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80"/>
          <w:szCs w:val="80"/>
        </w:rPr>
      </w:pPr>
      <w:r>
        <w:rPr>
          <w:rFonts w:ascii="SimHei" w:eastAsia="SimHei" w:hAnsi="SimHei" w:cs="SimHei"/>
          <w:color w:val="6C1141"/>
          <w:spacing w:val="0"/>
          <w:w w:val="100"/>
          <w:position w:val="0"/>
          <w:sz w:val="80"/>
          <w:szCs w:val="80"/>
        </w:rPr>
        <w:t>可百知</w:t>
      </w:r>
    </w:p>
    <w:p>
      <w:pPr>
        <w:widowControl w:val="0"/>
        <w:spacing w:line="1" w:lineRule="exact"/>
      </w:pPr>
      <w:r>
        <w:drawing>
          <wp:anchor distT="2396490" distB="0" distL="0" distR="0" simplePos="0" relativeHeight="125829378" behindDoc="0" locked="0" layoutInCell="1" allowOverlap="1">
            <wp:simplePos x="0" y="0"/>
            <wp:positionH relativeFrom="page">
              <wp:posOffset>1478280</wp:posOffset>
            </wp:positionH>
            <wp:positionV relativeFrom="paragraph">
              <wp:posOffset>2396490</wp:posOffset>
            </wp:positionV>
            <wp:extent cx="3523615" cy="293814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23615" cy="2938145"/>
                    </a:xfrm>
                    <a:prstGeom prst="rect"/>
                  </pic:spPr>
                </pic:pic>
              </a:graphicData>
            </a:graphic>
          </wp:anchor>
        </w:drawing>
      </w:r>
      <w:r>
        <w:drawing>
          <wp:anchor distT="1536700" distB="600710" distL="0" distR="0" simplePos="0" relativeHeight="125829379" behindDoc="0" locked="0" layoutInCell="1" allowOverlap="1">
            <wp:simplePos x="0" y="0"/>
            <wp:positionH relativeFrom="page">
              <wp:posOffset>5264150</wp:posOffset>
            </wp:positionH>
            <wp:positionV relativeFrom="paragraph">
              <wp:posOffset>1536700</wp:posOffset>
            </wp:positionV>
            <wp:extent cx="682625" cy="320040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682625" cy="3200400"/>
                    </a:xfrm>
                    <a:prstGeom prst="rect"/>
                  </pic:spPr>
                </pic:pic>
              </a:graphicData>
            </a:graphic>
          </wp:anchor>
        </w:drawing>
      </w:r>
    </w:p>
    <w:p>
      <w:pPr>
        <w:pStyle w:val="Style2"/>
        <w:keepNext w:val="0"/>
        <w:keepLines w:val="0"/>
        <w:widowControl w:val="0"/>
        <w:shd w:val="clear" w:color="auto" w:fill="auto"/>
        <w:bidi w:val="0"/>
        <w:spacing w:before="0" w:after="240" w:line="240" w:lineRule="auto"/>
        <w:ind w:left="0" w:right="0" w:firstLine="0"/>
        <w:jc w:val="center"/>
        <w:rPr>
          <w:sz w:val="82"/>
          <w:szCs w:val="82"/>
        </w:rPr>
      </w:pPr>
      <w:r>
        <w:rPr>
          <w:rFonts w:ascii="SimHei" w:eastAsia="SimHei" w:hAnsi="SimHei" w:cs="SimHei"/>
          <w:color w:val="000000"/>
          <w:spacing w:val="0"/>
          <w:w w:val="100"/>
          <w:position w:val="0"/>
          <w:sz w:val="100"/>
          <w:szCs w:val="100"/>
        </w:rPr>
        <w:t>2020</w:t>
      </w:r>
      <w:r>
        <w:rPr>
          <w:rFonts w:ascii="SimHei" w:eastAsia="SimHei" w:hAnsi="SimHei" w:cs="SimHei"/>
          <w:color w:val="000000"/>
          <w:spacing w:val="0"/>
          <w:w w:val="100"/>
          <w:position w:val="0"/>
          <w:sz w:val="82"/>
          <w:szCs w:val="82"/>
        </w:rPr>
        <w:t>年年度报告</w:t>
      </w:r>
    </w:p>
    <w:p>
      <w:pPr>
        <w:pStyle w:val="Style2"/>
        <w:keepNext w:val="0"/>
        <w:keepLines w:val="0"/>
        <w:widowControl w:val="0"/>
        <w:pBdr>
          <w:top w:val="single" w:sz="0" w:space="0" w:color="F31A8B"/>
          <w:left w:val="single" w:sz="0" w:space="0" w:color="F31A8B"/>
          <w:bottom w:val="single" w:sz="0" w:space="0" w:color="F31A8B"/>
          <w:right w:val="single" w:sz="0" w:space="0" w:color="F31A8B"/>
        </w:pBdr>
        <w:shd w:val="clear" w:color="auto" w:fill="F31A8B"/>
        <w:bidi w:val="0"/>
        <w:spacing w:before="0" w:after="460" w:line="240" w:lineRule="auto"/>
        <w:ind w:left="0" w:right="0" w:firstLine="0"/>
        <w:jc w:val="center"/>
        <w:rPr>
          <w:sz w:val="36"/>
          <w:szCs w:val="36"/>
        </w:rPr>
      </w:pPr>
      <w:r>
        <w:rPr>
          <w:rFonts w:ascii="SimHei" w:eastAsia="SimHei" w:hAnsi="SimHei" w:cs="SimHei"/>
          <w:color w:val="FCE3FA"/>
          <w:spacing w:val="0"/>
          <w:w w:val="100"/>
          <w:position w:val="0"/>
          <w:sz w:val="36"/>
          <w:szCs w:val="36"/>
        </w:rPr>
        <w:t>披露时间：</w:t>
      </w:r>
      <w:r>
        <w:rPr>
          <w:rFonts w:ascii="Times New Roman" w:eastAsia="Times New Roman" w:hAnsi="Times New Roman" w:cs="Times New Roman"/>
          <w:color w:val="FCE3FA"/>
          <w:spacing w:val="0"/>
          <w:w w:val="100"/>
          <w:position w:val="0"/>
          <w:sz w:val="44"/>
          <w:szCs w:val="44"/>
        </w:rPr>
        <w:t>2021</w:t>
      </w:r>
      <w:r>
        <w:rPr>
          <w:rFonts w:ascii="SimHei" w:eastAsia="SimHei" w:hAnsi="SimHei" w:cs="SimHei"/>
          <w:color w:val="FCE3FA"/>
          <w:spacing w:val="0"/>
          <w:w w:val="100"/>
          <w:position w:val="0"/>
          <w:sz w:val="36"/>
          <w:szCs w:val="36"/>
        </w:rPr>
        <w:t>年</w:t>
      </w:r>
      <w:r>
        <w:rPr>
          <w:rFonts w:ascii="Times New Roman" w:eastAsia="Times New Roman" w:hAnsi="Times New Roman" w:cs="Times New Roman"/>
          <w:color w:val="FCE3FA"/>
          <w:spacing w:val="0"/>
          <w:w w:val="100"/>
          <w:position w:val="0"/>
          <w:sz w:val="44"/>
          <w:szCs w:val="44"/>
        </w:rPr>
        <w:t>4</w:t>
      </w:r>
      <w:r>
        <w:rPr>
          <w:rFonts w:ascii="SimHei" w:eastAsia="SimHei" w:hAnsi="SimHei" w:cs="SimHei"/>
          <w:color w:val="FCE3FA"/>
          <w:spacing w:val="0"/>
          <w:w w:val="100"/>
          <w:position w:val="0"/>
          <w:sz w:val="36"/>
          <w:szCs w:val="36"/>
        </w:rPr>
        <w:t>月</w:t>
      </w:r>
    </w:p>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SimHei" w:eastAsia="SimHei" w:hAnsi="SimHei" w:cs="SimHei"/>
          <w:color w:val="000000"/>
          <w:spacing w:val="0"/>
          <w:w w:val="100"/>
          <w:position w:val="0"/>
          <w:sz w:val="36"/>
          <w:szCs w:val="36"/>
        </w:rPr>
        <w:t>北京百华悦邦科技股份有限公司</w:t>
      </w:r>
    </w:p>
    <w:p>
      <w:pPr>
        <w:pStyle w:val="Style2"/>
        <w:keepNext w:val="0"/>
        <w:keepLines w:val="0"/>
        <w:widowControl w:val="0"/>
        <w:shd w:val="clear" w:color="auto" w:fill="auto"/>
        <w:bidi w:val="0"/>
        <w:spacing w:before="0" w:after="240" w:line="240" w:lineRule="auto"/>
        <w:ind w:left="0" w:right="0" w:firstLine="0"/>
        <w:jc w:val="center"/>
        <w:rPr>
          <w:sz w:val="36"/>
          <w:szCs w:val="36"/>
        </w:rPr>
        <w:sectPr>
          <w:footerReference w:type="default" r:id="rId9"/>
          <w:footerReference w:type="even" r:id="rId10"/>
          <w:footnotePr>
            <w:pos w:val="pageBottom"/>
            <w:numFmt w:val="decimal"/>
            <w:numRestart w:val="continuous"/>
          </w:footnotePr>
          <w:pgSz w:w="11966" w:h="17375"/>
          <w:pgMar w:top="897" w:right="2506" w:bottom="1998" w:left="2568" w:header="469" w:footer="3" w:gutter="0"/>
          <w:pgNumType w:start="1"/>
          <w:cols w:space="720"/>
          <w:noEndnote/>
          <w:rtlGutter w:val="0"/>
          <w:docGrid w:linePitch="360"/>
        </w:sectPr>
      </w:pPr>
      <w:r>
        <w:rPr>
          <w:rFonts w:ascii="Tahoma" w:eastAsia="Tahoma" w:hAnsi="Tahoma" w:cs="Tahoma"/>
          <w:color w:val="000000"/>
          <w:spacing w:val="0"/>
          <w:w w:val="100"/>
          <w:position w:val="0"/>
          <w:sz w:val="36"/>
          <w:szCs w:val="36"/>
        </w:rPr>
        <w:t>BYBON Group Company Limited</w:t>
      </w:r>
    </w:p>
    <w:p>
      <w:pPr>
        <w:pStyle w:val="Style2"/>
        <w:keepNext w:val="0"/>
        <w:keepLines w:val="0"/>
        <w:widowControl w:val="0"/>
        <w:shd w:val="clear" w:color="auto" w:fill="auto"/>
        <w:bidi w:val="0"/>
        <w:spacing w:before="4080" w:after="240" w:line="240" w:lineRule="auto"/>
        <w:ind w:left="0" w:right="0" w:firstLine="0"/>
        <w:jc w:val="center"/>
        <w:rPr>
          <w:sz w:val="44"/>
          <w:szCs w:val="44"/>
        </w:rPr>
      </w:pPr>
      <w:r>
        <w:rPr>
          <w:rFonts w:ascii="SimHei" w:eastAsia="SimHei" w:hAnsi="SimHei" w:cs="SimHei"/>
          <w:color w:val="6C1141"/>
          <w:spacing w:val="0"/>
          <w:w w:val="100"/>
          <w:position w:val="0"/>
          <w:sz w:val="44"/>
          <w:szCs w:val="44"/>
        </w:rPr>
        <w:t>钮百却</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Hei" w:eastAsia="SimHei" w:hAnsi="SimHei" w:cs="SimHei"/>
          <w:color w:val="000000"/>
          <w:spacing w:val="0"/>
          <w:w w:val="100"/>
          <w:position w:val="0"/>
          <w:sz w:val="36"/>
          <w:szCs w:val="36"/>
        </w:rPr>
        <w:t>北京百华悦邦科技股份有限公司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22"/>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spacing w:val="0"/>
          <w:w w:val="100"/>
          <w:position w:val="0"/>
        </w:rPr>
        <w:t>第一节重要提示、目录和释义</w:t>
      </w:r>
      <w:bookmarkEnd w:id="0"/>
      <w:bookmarkEnd w:id="1"/>
      <w:bookmarkEnd w:id="2"/>
    </w:p>
    <w:p>
      <w:pPr>
        <w:pStyle w:val="Style24"/>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24"/>
        <w:keepNext w:val="0"/>
        <w:keepLines w:val="0"/>
        <w:widowControl w:val="0"/>
        <w:shd w:val="clear" w:color="auto" w:fill="auto"/>
        <w:bidi w:val="0"/>
        <w:spacing w:before="0" w:line="614" w:lineRule="exact"/>
        <w:ind w:left="0" w:right="0"/>
        <w:jc w:val="both"/>
      </w:pPr>
      <w:r>
        <w:rPr>
          <w:color w:val="000000"/>
          <w:spacing w:val="0"/>
          <w:w w:val="100"/>
          <w:position w:val="0"/>
        </w:rPr>
        <w:t>公司负责人刘铁峰、主管会计工作负责人兼会计机构负责人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 xml:space="preserve">） </w:t>
      </w:r>
      <w:r>
        <w:rPr>
          <w:color w:val="000000"/>
          <w:spacing w:val="0"/>
          <w:w w:val="100"/>
          <w:position w:val="0"/>
        </w:rPr>
        <w:t>谢迎新声明：保证本年度报告中财务报告的真实、准确、完整。</w:t>
      </w:r>
    </w:p>
    <w:p>
      <w:pPr>
        <w:pStyle w:val="Style2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4"/>
        <w:keepNext w:val="0"/>
        <w:keepLines w:val="0"/>
        <w:widowControl w:val="0"/>
        <w:shd w:val="clear" w:color="auto" w:fill="auto"/>
        <w:bidi w:val="0"/>
        <w:spacing w:before="0" w:line="62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年度净利润为负，主要受到新冠疫情和某品牌授权维修业务投产 后经营亏损的影响，公司及时调整经营策略，减轻了疫情带来的损失，在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年末与某品牌厂家友好协商达成一致，终止并清算亏损的授权维修业务。公司 的主营业务、核心竞争力没有发生重大变化，具备良好的持续经营能力。公司 管理层继续看好电子产品售后服务消费的大市场，对公司未来业绩增长充满信 心。</w:t>
      </w:r>
    </w:p>
    <w:p>
      <w:pPr>
        <w:pStyle w:val="Style24"/>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24"/>
        <w:keepNext w:val="0"/>
        <w:keepLines w:val="0"/>
        <w:widowControl w:val="0"/>
        <w:shd w:val="clear" w:color="auto" w:fill="auto"/>
        <w:bidi w:val="0"/>
        <w:spacing w:before="0"/>
        <w:ind w:left="0" w:right="0"/>
        <w:jc w:val="both"/>
      </w:pPr>
      <w:r>
        <w:rPr>
          <w:color w:val="000000"/>
          <w:spacing w:val="0"/>
          <w:w w:val="100"/>
          <w:position w:val="0"/>
        </w:rPr>
        <w:t>公司在本年度报告中详细阐述了未来可能发生的有关风险因素及对策，详 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（三）可 能面对的风险</w:t>
      </w:r>
      <w:r>
        <w:rPr>
          <w:rFonts w:ascii="Times New Roman" w:eastAsia="Times New Roman" w:hAnsi="Times New Roman" w:cs="Times New Roman"/>
          <w:color w:val="000000"/>
          <w:spacing w:val="0"/>
          <w:w w:val="100"/>
          <w:position w:val="0"/>
        </w:rPr>
        <w:t>”</w:t>
      </w:r>
      <w:r>
        <w:rPr>
          <w:color w:val="000000"/>
          <w:spacing w:val="0"/>
          <w:w w:val="100"/>
          <w:position w:val="0"/>
        </w:rPr>
        <w:t>，敬请投资者予以关注。</w:t>
      </w:r>
    </w:p>
    <w:p>
      <w:pPr>
        <w:pStyle w:val="Style24"/>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rFonts w:ascii="SimHei" w:eastAsia="SimHei" w:hAnsi="SimHei" w:cs="SimHei"/>
          <w:color w:val="A22A6F"/>
          <w:spacing w:val="0"/>
          <w:w w:val="100"/>
          <w:position w:val="0"/>
          <w:sz w:val="36"/>
          <w:szCs w:val="36"/>
        </w:rPr>
        <w:t>目录</w:t>
      </w:r>
    </w:p>
    <w:p>
      <w:pPr>
        <w:pStyle w:val="Style28"/>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spacing w:val="0"/>
            <w:w w:val="100"/>
            <w:position w:val="0"/>
            <w:sz w:val="24"/>
            <w:szCs w:val="24"/>
          </w:rPr>
          <w:t>第一节重要提示、目录和释义</w:t>
        </w:r>
        <w:r>
          <w:rPr>
            <w:spacing w:val="0"/>
            <w:w w:val="100"/>
            <w:position w:val="0"/>
            <w:sz w:val="24"/>
            <w:szCs w:val="24"/>
          </w:rPr>
          <w:tab/>
        </w:r>
        <w:r>
          <w:rPr>
            <w:rFonts w:ascii="Times New Roman" w:eastAsia="Times New Roman" w:hAnsi="Times New Roman" w:cs="Times New Roman"/>
            <w:spacing w:val="0"/>
            <w:w w:val="100"/>
            <w:position w:val="0"/>
            <w:sz w:val="24"/>
            <w:szCs w:val="24"/>
          </w:rPr>
          <w:t>2</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spacing w:val="0"/>
            <w:w w:val="100"/>
            <w:position w:val="0"/>
            <w:sz w:val="24"/>
            <w:szCs w:val="24"/>
          </w:rPr>
          <w:t>第二节公司简介和主要财务指标</w:t>
        </w:r>
        <w:r>
          <w:rPr>
            <w:spacing w:val="0"/>
            <w:w w:val="100"/>
            <w:position w:val="0"/>
            <w:sz w:val="24"/>
            <w:szCs w:val="24"/>
          </w:rPr>
          <w:tab/>
        </w:r>
        <w:r>
          <w:rPr>
            <w:rFonts w:ascii="Times New Roman" w:eastAsia="Times New Roman" w:hAnsi="Times New Roman" w:cs="Times New Roman"/>
            <w:spacing w:val="0"/>
            <w:w w:val="100"/>
            <w:position w:val="0"/>
            <w:sz w:val="24"/>
            <w:szCs w:val="24"/>
          </w:rPr>
          <w:t>5</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44" w:tooltip="Current Document">
        <w:r>
          <w:rPr>
            <w:spacing w:val="0"/>
            <w:w w:val="100"/>
            <w:position w:val="0"/>
            <w:sz w:val="24"/>
            <w:szCs w:val="24"/>
          </w:rPr>
          <w:t>第三节 公司业务概要</w:t>
        </w:r>
        <w:r>
          <w:rPr>
            <w:spacing w:val="0"/>
            <w:w w:val="100"/>
            <w:position w:val="0"/>
            <w:sz w:val="24"/>
            <w:szCs w:val="24"/>
          </w:rPr>
          <w:tab/>
        </w:r>
        <w:r>
          <w:rPr>
            <w:rFonts w:ascii="Times New Roman" w:eastAsia="Times New Roman" w:hAnsi="Times New Roman" w:cs="Times New Roman"/>
            <w:spacing w:val="0"/>
            <w:w w:val="100"/>
            <w:position w:val="0"/>
            <w:sz w:val="24"/>
            <w:szCs w:val="24"/>
          </w:rPr>
          <w:t>9</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88" w:tooltip="Current Document">
        <w:r>
          <w:rPr>
            <w:spacing w:val="0"/>
            <w:w w:val="100"/>
            <w:position w:val="0"/>
            <w:sz w:val="24"/>
            <w:szCs w:val="24"/>
          </w:rPr>
          <w:t>第四节 经营情况讨论与分析</w:t>
        </w:r>
        <w:r>
          <w:rPr>
            <w:spacing w:val="0"/>
            <w:w w:val="100"/>
            <w:position w:val="0"/>
            <w:sz w:val="24"/>
            <w:szCs w:val="24"/>
          </w:rPr>
          <w:tab/>
        </w:r>
        <w:r>
          <w:rPr>
            <w:rFonts w:ascii="Times New Roman" w:eastAsia="Times New Roman" w:hAnsi="Times New Roman" w:cs="Times New Roman"/>
            <w:spacing w:val="0"/>
            <w:w w:val="100"/>
            <w:position w:val="0"/>
            <w:sz w:val="24"/>
            <w:szCs w:val="24"/>
          </w:rPr>
          <w:t>13</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266" w:tooltip="Current Document">
        <w:r>
          <w:rPr>
            <w:spacing w:val="0"/>
            <w:w w:val="100"/>
            <w:position w:val="0"/>
            <w:sz w:val="24"/>
            <w:szCs w:val="24"/>
          </w:rPr>
          <w:t>第五节重要事项</w:t>
        </w:r>
        <w:r>
          <w:rPr>
            <w:spacing w:val="0"/>
            <w:w w:val="100"/>
            <w:position w:val="0"/>
            <w:sz w:val="24"/>
            <w:szCs w:val="24"/>
          </w:rPr>
          <w:tab/>
        </w:r>
        <w:r>
          <w:rPr>
            <w:rFonts w:ascii="Times New Roman" w:eastAsia="Times New Roman" w:hAnsi="Times New Roman" w:cs="Times New Roman"/>
            <w:spacing w:val="0"/>
            <w:w w:val="100"/>
            <w:position w:val="0"/>
            <w:sz w:val="24"/>
            <w:szCs w:val="24"/>
          </w:rPr>
          <w:t>26</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427" w:tooltip="Current Document">
        <w:r>
          <w:rPr>
            <w:spacing w:val="0"/>
            <w:w w:val="100"/>
            <w:position w:val="0"/>
            <w:sz w:val="24"/>
            <w:szCs w:val="24"/>
          </w:rPr>
          <w:t>第六节股份变动及股东情况</w:t>
        </w:r>
        <w:r>
          <w:rPr>
            <w:spacing w:val="0"/>
            <w:w w:val="100"/>
            <w:position w:val="0"/>
            <w:sz w:val="24"/>
            <w:szCs w:val="24"/>
          </w:rPr>
          <w:tab/>
        </w:r>
        <w:r>
          <w:rPr>
            <w:rFonts w:ascii="Times New Roman" w:eastAsia="Times New Roman" w:hAnsi="Times New Roman" w:cs="Times New Roman"/>
            <w:spacing w:val="0"/>
            <w:w w:val="100"/>
            <w:position w:val="0"/>
            <w:sz w:val="24"/>
            <w:szCs w:val="24"/>
          </w:rPr>
          <w:t>37</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482" w:tooltip="Current Document">
        <w:r>
          <w:rPr>
            <w:spacing w:val="0"/>
            <w:w w:val="100"/>
            <w:position w:val="0"/>
            <w:sz w:val="24"/>
            <w:szCs w:val="24"/>
          </w:rPr>
          <w:t>第七节优先股相关情况</w:t>
        </w:r>
        <w:r>
          <w:rPr>
            <w:spacing w:val="0"/>
            <w:w w:val="100"/>
            <w:position w:val="0"/>
            <w:sz w:val="24"/>
            <w:szCs w:val="24"/>
          </w:rPr>
          <w:tab/>
        </w:r>
        <w:r>
          <w:rPr>
            <w:rFonts w:ascii="Times New Roman" w:eastAsia="Times New Roman" w:hAnsi="Times New Roman" w:cs="Times New Roman"/>
            <w:spacing w:val="0"/>
            <w:w w:val="100"/>
            <w:position w:val="0"/>
            <w:sz w:val="24"/>
            <w:szCs w:val="24"/>
          </w:rPr>
          <w:t>43</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485" w:tooltip="Current Document">
        <w:r>
          <w:rPr>
            <w:spacing w:val="0"/>
            <w:w w:val="100"/>
            <w:position w:val="0"/>
            <w:sz w:val="24"/>
            <w:szCs w:val="24"/>
          </w:rPr>
          <w:t>第八节可转换公司债券相关情况</w:t>
        </w:r>
        <w:r>
          <w:rPr>
            <w:spacing w:val="0"/>
            <w:w w:val="100"/>
            <w:position w:val="0"/>
            <w:sz w:val="24"/>
            <w:szCs w:val="24"/>
          </w:rPr>
          <w:tab/>
        </w:r>
        <w:r>
          <w:rPr>
            <w:rFonts w:ascii="Times New Roman" w:eastAsia="Times New Roman" w:hAnsi="Times New Roman" w:cs="Times New Roman"/>
            <w:spacing w:val="0"/>
            <w:w w:val="100"/>
            <w:position w:val="0"/>
            <w:sz w:val="24"/>
            <w:szCs w:val="24"/>
          </w:rPr>
          <w:t>44</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488" w:tooltip="Current Document">
        <w:r>
          <w:rPr>
            <w:spacing w:val="0"/>
            <w:w w:val="100"/>
            <w:position w:val="0"/>
            <w:sz w:val="24"/>
            <w:szCs w:val="24"/>
          </w:rPr>
          <w:t>第九节董事、监事、高级管理人员和员工情况</w:t>
        </w:r>
        <w:r>
          <w:rPr>
            <w:spacing w:val="0"/>
            <w:w w:val="100"/>
            <w:position w:val="0"/>
            <w:sz w:val="24"/>
            <w:szCs w:val="24"/>
          </w:rPr>
          <w:tab/>
        </w:r>
        <w:r>
          <w:rPr>
            <w:rFonts w:ascii="Times New Roman" w:eastAsia="Times New Roman" w:hAnsi="Times New Roman" w:cs="Times New Roman"/>
            <w:spacing w:val="0"/>
            <w:w w:val="100"/>
            <w:position w:val="0"/>
            <w:sz w:val="24"/>
            <w:szCs w:val="24"/>
          </w:rPr>
          <w:t>45</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535" w:tooltip="Current Document">
        <w:r>
          <w:rPr>
            <w:spacing w:val="0"/>
            <w:w w:val="100"/>
            <w:position w:val="0"/>
            <w:sz w:val="24"/>
            <w:szCs w:val="24"/>
          </w:rPr>
          <w:t>第十节公司治理</w:t>
        </w:r>
        <w:r>
          <w:rPr>
            <w:spacing w:val="0"/>
            <w:w w:val="100"/>
            <w:position w:val="0"/>
            <w:sz w:val="24"/>
            <w:szCs w:val="24"/>
          </w:rPr>
          <w:tab/>
        </w:r>
        <w:r>
          <w:rPr>
            <w:rFonts w:ascii="Times New Roman" w:eastAsia="Times New Roman" w:hAnsi="Times New Roman" w:cs="Times New Roman"/>
            <w:spacing w:val="0"/>
            <w:w w:val="100"/>
            <w:position w:val="0"/>
            <w:sz w:val="24"/>
            <w:szCs w:val="24"/>
          </w:rPr>
          <w:t>51</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614" w:tooltip="Current Document">
        <w:r>
          <w:rPr>
            <w:spacing w:val="0"/>
            <w:w w:val="100"/>
            <w:position w:val="0"/>
            <w:sz w:val="24"/>
            <w:szCs w:val="24"/>
          </w:rPr>
          <w:t>第十一节公司债券相关情况</w:t>
        </w:r>
        <w:r>
          <w:rPr>
            <w:spacing w:val="0"/>
            <w:w w:val="100"/>
            <w:position w:val="0"/>
            <w:sz w:val="24"/>
            <w:szCs w:val="24"/>
          </w:rPr>
          <w:tab/>
        </w:r>
        <w:r>
          <w:rPr>
            <w:rFonts w:ascii="Times New Roman" w:eastAsia="Times New Roman" w:hAnsi="Times New Roman" w:cs="Times New Roman"/>
            <w:spacing w:val="0"/>
            <w:w w:val="100"/>
            <w:position w:val="0"/>
            <w:sz w:val="24"/>
            <w:szCs w:val="24"/>
          </w:rPr>
          <w:t>56</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pPr>
      <w:hyperlink w:anchor="bookmark617" w:tooltip="Current Document">
        <w:r>
          <w:rPr>
            <w:spacing w:val="0"/>
            <w:w w:val="100"/>
            <w:position w:val="0"/>
            <w:sz w:val="24"/>
            <w:szCs w:val="24"/>
          </w:rPr>
          <w:t>第十二节财务报告</w:t>
        </w:r>
        <w:r>
          <w:rPr>
            <w:spacing w:val="0"/>
            <w:w w:val="100"/>
            <w:position w:val="0"/>
            <w:sz w:val="24"/>
            <w:szCs w:val="24"/>
          </w:rPr>
          <w:tab/>
        </w:r>
        <w:r>
          <w:rPr>
            <w:rFonts w:ascii="Times New Roman" w:eastAsia="Times New Roman" w:hAnsi="Times New Roman" w:cs="Times New Roman"/>
            <w:spacing w:val="0"/>
            <w:w w:val="100"/>
            <w:position w:val="0"/>
            <w:sz w:val="24"/>
            <w:szCs w:val="24"/>
          </w:rPr>
          <w:t>57</w:t>
        </w:r>
      </w:hyperlink>
    </w:p>
    <w:p>
      <w:pPr>
        <w:pStyle w:val="Style28"/>
        <w:keepNext w:val="0"/>
        <w:keepLines w:val="0"/>
        <w:widowControl w:val="0"/>
        <w:shd w:val="clear" w:color="auto" w:fill="auto"/>
        <w:tabs>
          <w:tab w:leader="dot" w:pos="9614" w:val="right"/>
        </w:tabs>
        <w:bidi w:val="0"/>
        <w:spacing w:before="0" w:line="240" w:lineRule="auto"/>
        <w:ind w:left="0" w:right="0" w:firstLine="0"/>
        <w:jc w:val="both"/>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1966" w:h="17375"/>
          <w:pgMar w:top="2164" w:right="1140" w:bottom="2006" w:left="1134" w:header="0" w:footer="3" w:gutter="0"/>
          <w:pgNumType w:start="1"/>
          <w:cols w:space="720"/>
          <w:noEndnote/>
          <w:titlePg/>
          <w:rtlGutter w:val="0"/>
          <w:docGrid w:linePitch="360"/>
        </w:sectPr>
      </w:pPr>
      <w:hyperlink w:anchor="bookmark1388" w:tooltip="Current Document">
        <w:r>
          <w:rPr>
            <w:spacing w:val="0"/>
            <w:w w:val="100"/>
            <w:position w:val="0"/>
            <w:sz w:val="24"/>
            <w:szCs w:val="24"/>
          </w:rPr>
          <w:t>第十三节 备查文件目录</w:t>
        </w:r>
        <w:r>
          <w:rPr>
            <w:spacing w:val="0"/>
            <w:w w:val="100"/>
            <w:position w:val="0"/>
            <w:sz w:val="24"/>
            <w:szCs w:val="24"/>
          </w:rPr>
          <w:tab/>
        </w:r>
        <w:r>
          <w:rPr>
            <w:rFonts w:ascii="Times New Roman" w:eastAsia="Times New Roman" w:hAnsi="Times New Roman" w:cs="Times New Roman"/>
            <w:spacing w:val="0"/>
            <w:w w:val="100"/>
            <w:position w:val="0"/>
            <w:sz w:val="24"/>
            <w:szCs w:val="24"/>
          </w:rPr>
          <w:t>142</w:t>
        </w:r>
      </w:hyperlink>
      <w:r>
        <w:fldChar w:fldCharType="end"/>
      </w: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A22A6F"/>
          <w:spacing w:val="0"/>
          <w:w w:val="100"/>
          <w:position w:val="0"/>
          <w:sz w:val="32"/>
          <w:szCs w:val="32"/>
        </w:rPr>
        <w:t>释义</w:t>
      </w:r>
    </w:p>
    <w:p>
      <w:pPr>
        <w:widowControl w:val="0"/>
        <w:spacing w:line="1" w:lineRule="exact"/>
      </w:pPr>
      <w:r>
        <mc:AlternateContent>
          <mc:Choice Requires="wps">
            <w:drawing>
              <wp:anchor distT="508000" distB="0" distL="0" distR="0" simplePos="0" relativeHeight="125829380" behindDoc="0" locked="0" layoutInCell="1" allowOverlap="1">
                <wp:simplePos x="0" y="0"/>
                <wp:positionH relativeFrom="page">
                  <wp:posOffset>1377950</wp:posOffset>
                </wp:positionH>
                <wp:positionV relativeFrom="paragraph">
                  <wp:posOffset>508000</wp:posOffset>
                </wp:positionV>
                <wp:extent cx="374650" cy="152400"/>
                <wp:wrapTopAndBottom/>
                <wp:docPr id="24" name="Shape 24"/>
                <a:graphic xmlns:a="http://schemas.openxmlformats.org/drawingml/2006/main">
                  <a:graphicData uri="http://schemas.microsoft.com/office/word/2010/wordprocessingShape">
                    <wps:wsp>
                      <wps:cNvSpPr txBox="1"/>
                      <wps:spPr>
                        <a:xfrm>
                          <a:ext cx="374650" cy="152400"/>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释义项</w:t>
                            </w:r>
                          </w:p>
                        </w:txbxContent>
                      </wps:txbx>
                      <wps:bodyPr wrap="none" lIns="0" tIns="0" rIns="0" bIns="0">
                        <a:noAutoFit/>
                      </wps:bodyPr>
                    </wps:wsp>
                  </a:graphicData>
                </a:graphic>
              </wp:anchor>
            </w:drawing>
          </mc:Choice>
          <mc:Fallback>
            <w:pict>
              <v:shape id="_x0000_s1050" type="#_x0000_t202" style="position:absolute;margin-left:108.5pt;margin-top:40.pt;width:29.5pt;height:12.pt;z-index:-125829373;mso-wrap-distance-left:0;mso-wrap-distance-top:40.pt;mso-wrap-distance-right:0;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释义项</w:t>
                      </w:r>
                    </w:p>
                  </w:txbxContent>
                </v:textbox>
                <w10:wrap type="topAndBottom" anchorx="page"/>
              </v:shape>
            </w:pict>
          </mc:Fallback>
        </mc:AlternateContent>
      </w:r>
      <w:r>
        <mc:AlternateContent>
          <mc:Choice Requires="wps">
            <w:drawing>
              <wp:anchor distT="508000" distB="0" distL="0" distR="0" simplePos="0" relativeHeight="125829382" behindDoc="0" locked="0" layoutInCell="1" allowOverlap="1">
                <wp:simplePos x="0" y="0"/>
                <wp:positionH relativeFrom="page">
                  <wp:posOffset>4541520</wp:posOffset>
                </wp:positionH>
                <wp:positionV relativeFrom="paragraph">
                  <wp:posOffset>508000</wp:posOffset>
                </wp:positionV>
                <wp:extent cx="487680" cy="152400"/>
                <wp:wrapTopAndBottom/>
                <wp:docPr id="26" name="Shape 2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释义内容</w:t>
                            </w:r>
                          </w:p>
                        </w:txbxContent>
                      </wps:txbx>
                      <wps:bodyPr wrap="none" lIns="0" tIns="0" rIns="0" bIns="0">
                        <a:noAutoFit/>
                      </wps:bodyPr>
                    </wps:wsp>
                  </a:graphicData>
                </a:graphic>
              </wp:anchor>
            </w:drawing>
          </mc:Choice>
          <mc:Fallback>
            <w:pict>
              <v:shape id="_x0000_s1052" type="#_x0000_t202" style="position:absolute;margin-left:357.60000000000002pt;margin-top:40.pt;width:38.399999999999999pt;height:12.pt;z-index:-125829371;mso-wrap-distance-left:0;mso-wrap-distance-top:40.pt;mso-wrap-distance-right:0;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释义内容</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66" w:h="17375"/>
          <w:pgMar w:top="2385" w:right="1157" w:bottom="5932" w:left="1138" w:header="0" w:footer="3" w:gutter="0"/>
          <w:cols w:space="720"/>
          <w:noEndnote/>
          <w:rtlGutter w:val="0"/>
          <w:docGrid w:linePitch="360"/>
        </w:sectPr>
      </w:pPr>
      <w:r>
        <mc:AlternateContent>
          <mc:Choice Requires="wps">
            <w:drawing>
              <wp:anchor distT="101600" distB="3175" distL="0" distR="0" simplePos="0" relativeHeight="125829384" behindDoc="0" locked="0" layoutInCell="1" allowOverlap="1">
                <wp:simplePos x="0" y="0"/>
                <wp:positionH relativeFrom="page">
                  <wp:posOffset>722630</wp:posOffset>
                </wp:positionH>
                <wp:positionV relativeFrom="paragraph">
                  <wp:posOffset>101600</wp:posOffset>
                </wp:positionV>
                <wp:extent cx="1167130" cy="146050"/>
                <wp:wrapTopAndBottom/>
                <wp:docPr id="28" name="Shape 28"/>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报告期、本年、本年度</w:t>
                            </w:r>
                          </w:p>
                        </w:txbxContent>
                      </wps:txbx>
                      <wps:bodyPr wrap="none" lIns="0" tIns="0" rIns="0" bIns="0">
                        <a:noAutoFit/>
                      </wps:bodyPr>
                    </wps:wsp>
                  </a:graphicData>
                </a:graphic>
              </wp:anchor>
            </w:drawing>
          </mc:Choice>
          <mc:Fallback>
            <w:pict>
              <v:shape id="_x0000_s1054" type="#_x0000_t202" style="position:absolute;margin-left:56.899999999999999pt;margin-top:8.pt;width:91.900000000000006pt;height:11.5pt;z-index:-125829369;mso-wrap-distance-left:0;mso-wrap-distance-top:8.pt;mso-wrap-distance-right:0;mso-wrap-distance-bottom: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报告期、本年、本年度</w:t>
                      </w:r>
                    </w:p>
                  </w:txbxContent>
                </v:textbox>
                <w10:wrap type="topAndBottom" anchorx="page"/>
              </v:shape>
            </w:pict>
          </mc:Fallback>
        </mc:AlternateContent>
      </w:r>
      <w:r>
        <mc:AlternateContent>
          <mc:Choice Requires="wps">
            <w:drawing>
              <wp:anchor distT="101600" distB="0" distL="0" distR="0" simplePos="0" relativeHeight="125829386" behindDoc="0" locked="0" layoutInCell="1" allowOverlap="1">
                <wp:simplePos x="0" y="0"/>
                <wp:positionH relativeFrom="page">
                  <wp:posOffset>2578735</wp:posOffset>
                </wp:positionH>
                <wp:positionV relativeFrom="paragraph">
                  <wp:posOffset>101600</wp:posOffset>
                </wp:positionV>
                <wp:extent cx="2142490" cy="149225"/>
                <wp:wrapTopAndBottom/>
                <wp:docPr id="30" name="Shape 30"/>
                <a:graphic xmlns:a="http://schemas.openxmlformats.org/drawingml/2006/main">
                  <a:graphicData uri="http://schemas.microsoft.com/office/word/2010/wordprocessingShape">
                    <wps:wsp>
                      <wps:cNvSpPr txBox="1"/>
                      <wps:spPr>
                        <a:xfrm>
                          <a:ext cx="214249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指 </w:t>
                            </w:r>
                            <w:r>
                              <w:rPr>
                                <w:color w:val="000000"/>
                                <w:spacing w:val="0"/>
                                <w:w w:val="100"/>
                                <w:position w:val="0"/>
                                <w:sz w:val="18"/>
                                <w:szCs w:val="18"/>
                              </w:rPr>
                              <w:t>2020</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w:t>
                            </w:r>
                            <w:r>
                              <w:rPr>
                                <w:color w:val="000000"/>
                                <w:spacing w:val="0"/>
                                <w:w w:val="100"/>
                                <w:position w:val="0"/>
                                <w:sz w:val="18"/>
                                <w:szCs w:val="18"/>
                              </w:rPr>
                              <w:t>-2020</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txbxContent>
                      </wps:txbx>
                      <wps:bodyPr wrap="none" lIns="0" tIns="0" rIns="0" bIns="0">
                        <a:noAutoFit/>
                      </wps:bodyPr>
                    </wps:wsp>
                  </a:graphicData>
                </a:graphic>
              </wp:anchor>
            </w:drawing>
          </mc:Choice>
          <mc:Fallback>
            <w:pict>
              <v:shape id="_x0000_s1056" type="#_x0000_t202" style="position:absolute;margin-left:203.05000000000001pt;margin-top:8.pt;width:168.70000000000002pt;height:11.75pt;z-index:-125829367;mso-wrap-distance-left:0;mso-wrap-distance-top:8.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指 </w:t>
                      </w:r>
                      <w:r>
                        <w:rPr>
                          <w:color w:val="000000"/>
                          <w:spacing w:val="0"/>
                          <w:w w:val="100"/>
                          <w:position w:val="0"/>
                          <w:sz w:val="18"/>
                          <w:szCs w:val="18"/>
                        </w:rPr>
                        <w:t>2020</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w:t>
                      </w:r>
                      <w:r>
                        <w:rPr>
                          <w:color w:val="000000"/>
                          <w:spacing w:val="0"/>
                          <w:w w:val="100"/>
                          <w:position w:val="0"/>
                          <w:sz w:val="18"/>
                          <w:szCs w:val="18"/>
                        </w:rPr>
                        <w:t>-2020</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txbxContent>
                </v:textbox>
                <w10:wrap type="topAndBottom" anchorx="page"/>
              </v:shape>
            </w:pict>
          </mc:Fallback>
        </mc:AlternateContent>
      </w:r>
    </w:p>
    <w:p>
      <w:pPr>
        <w:widowControl w:val="0"/>
        <w:spacing w:line="35" w:lineRule="exact"/>
        <w:rPr>
          <w:sz w:val="3"/>
          <w:szCs w:val="3"/>
        </w:rPr>
      </w:pPr>
    </w:p>
    <w:p>
      <w:pPr>
        <w:widowControl w:val="0"/>
        <w:spacing w:line="1" w:lineRule="exact"/>
        <w:sectPr>
          <w:footnotePr>
            <w:pos w:val="pageBottom"/>
            <w:numFmt w:val="decimal"/>
            <w:numRestart w:val="continuous"/>
          </w:footnotePr>
          <w:type w:val="continuous"/>
          <w:pgSz w:w="11966" w:h="17375"/>
          <w:pgMar w:top="2385" w:right="0" w:bottom="5932" w:left="0" w:header="0" w:footer="3" w:gutter="0"/>
          <w:cols w:space="720"/>
          <w:noEndnote/>
          <w:rtlGutter w:val="0"/>
          <w:docGrid w:linePitch="360"/>
        </w:sectPr>
      </w:pPr>
    </w:p>
    <w:p>
      <w:pPr>
        <w:pStyle w:val="Style34"/>
        <w:keepNext w:val="0"/>
        <w:keepLines w:val="0"/>
        <w:widowControl w:val="0"/>
        <w:pBdr>
          <w:top w:val="single" w:sz="4" w:space="0" w:color="auto"/>
          <w:bottom w:val="single" w:sz="4" w:space="0" w:color="auto"/>
        </w:pBdr>
        <w:shd w:val="clear" w:color="auto" w:fill="auto"/>
        <w:tabs>
          <w:tab w:pos="2893" w:val="left"/>
          <w:tab w:pos="3377" w:val="left"/>
        </w:tabs>
        <w:bidi w:val="0"/>
        <w:spacing w:before="0" w:after="200" w:line="240" w:lineRule="auto"/>
        <w:ind w:left="0" w:right="0" w:firstLine="0"/>
        <w:jc w:val="left"/>
        <w:rPr>
          <w:sz w:val="15"/>
          <w:szCs w:val="15"/>
        </w:rPr>
      </w:pPr>
      <w:r>
        <w:rPr>
          <w:rFonts w:ascii="SimSun" w:eastAsia="SimSun" w:hAnsi="SimSun" w:cs="SimSun"/>
          <w:color w:val="000000"/>
          <w:spacing w:val="0"/>
          <w:w w:val="100"/>
          <w:position w:val="0"/>
          <w:sz w:val="15"/>
          <w:szCs w:val="15"/>
        </w:rPr>
        <w:t>上年同期</w:t>
        <w:tab/>
        <w:t>指</w:t>
        <w:tab/>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w:t>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p>
      <w:pPr>
        <w:pStyle w:val="Style31"/>
        <w:keepNext w:val="0"/>
        <w:keepLines w:val="0"/>
        <w:widowControl w:val="0"/>
        <w:pBdr>
          <w:bottom w:val="single" w:sz="4" w:space="0" w:color="auto"/>
        </w:pBdr>
        <w:shd w:val="clear" w:color="auto" w:fill="auto"/>
        <w:tabs>
          <w:tab w:pos="2893" w:val="left"/>
          <w:tab w:pos="3377" w:val="left"/>
        </w:tabs>
        <w:bidi w:val="0"/>
        <w:spacing w:before="0" w:after="200" w:line="240" w:lineRule="auto"/>
        <w:ind w:left="0" w:right="0" w:firstLine="0"/>
        <w:jc w:val="left"/>
      </w:pPr>
      <w:r>
        <w:rPr>
          <w:color w:val="000000"/>
          <w:spacing w:val="0"/>
          <w:w w:val="100"/>
          <w:position w:val="0"/>
        </w:rPr>
        <w:t>中国证监会</w:t>
        <w:tab/>
        <w:t>指</w:t>
        <w:tab/>
        <w:t>中国证券监督管理委员会</w:t>
      </w:r>
    </w:p>
    <w:p>
      <w:pPr>
        <w:pStyle w:val="Style31"/>
        <w:keepNext w:val="0"/>
        <w:keepLines w:val="0"/>
        <w:widowControl w:val="0"/>
        <w:pBdr>
          <w:bottom w:val="single" w:sz="4" w:space="0" w:color="auto"/>
        </w:pBdr>
        <w:shd w:val="clear" w:color="auto" w:fill="auto"/>
        <w:tabs>
          <w:tab w:pos="2893" w:val="left"/>
        </w:tabs>
        <w:bidi w:val="0"/>
        <w:spacing w:before="0" w:after="200" w:line="240" w:lineRule="auto"/>
        <w:ind w:left="0" w:right="0" w:firstLine="0"/>
        <w:jc w:val="left"/>
      </w:pPr>
      <w:r>
        <w:rPr>
          <w:color w:val="000000"/>
          <w:spacing w:val="0"/>
          <w:w w:val="100"/>
          <w:position w:val="0"/>
        </w:rPr>
        <w:t>证券交易所</w:t>
        <w:tab/>
        <w:t>指深圳证券交易所</w:t>
      </w:r>
    </w:p>
    <w:p>
      <w:pPr>
        <w:pStyle w:val="Style31"/>
        <w:keepNext w:val="0"/>
        <w:keepLines w:val="0"/>
        <w:widowControl w:val="0"/>
        <w:pBdr>
          <w:bottom w:val="single" w:sz="4" w:space="0" w:color="auto"/>
        </w:pBdr>
        <w:shd w:val="clear" w:color="auto" w:fill="auto"/>
        <w:tabs>
          <w:tab w:pos="2893" w:val="left"/>
          <w:tab w:pos="3377" w:val="left"/>
        </w:tabs>
        <w:bidi w:val="0"/>
        <w:spacing w:before="0" w:after="200" w:line="240" w:lineRule="auto"/>
        <w:ind w:left="0" w:right="0" w:firstLine="0"/>
        <w:jc w:val="left"/>
      </w:pPr>
      <w:r>
        <w:rPr>
          <w:color w:val="000000"/>
          <w:spacing w:val="0"/>
          <w:w w:val="100"/>
          <w:position w:val="0"/>
        </w:rPr>
        <w:t>公司、百邦</w:t>
        <w:tab/>
        <w:t>指</w:t>
        <w:tab/>
        <w:t>北京百华悦邦科技股份有限公司</w:t>
      </w:r>
    </w:p>
    <w:p>
      <w:pPr>
        <w:pStyle w:val="Style31"/>
        <w:keepNext w:val="0"/>
        <w:keepLines w:val="0"/>
        <w:widowControl w:val="0"/>
        <w:pBdr>
          <w:bottom w:val="single" w:sz="4" w:space="0" w:color="auto"/>
        </w:pBdr>
        <w:shd w:val="clear" w:color="auto" w:fill="auto"/>
        <w:tabs>
          <w:tab w:pos="2893" w:val="left"/>
        </w:tabs>
        <w:bidi w:val="0"/>
        <w:spacing w:before="0" w:after="200" w:line="240" w:lineRule="auto"/>
        <w:ind w:left="0" w:right="0" w:firstLine="0"/>
        <w:jc w:val="left"/>
      </w:pPr>
      <w:r>
        <w:rPr>
          <w:color w:val="000000"/>
          <w:spacing w:val="0"/>
          <w:w w:val="100"/>
          <w:position w:val="0"/>
        </w:rPr>
        <w:t>上海百邦</w:t>
        <w:tab/>
        <w:t>指上海百华悦邦电子科技有限公司</w:t>
      </w:r>
    </w:p>
    <w:p>
      <w:pPr>
        <w:pStyle w:val="Style31"/>
        <w:keepNext w:val="0"/>
        <w:keepLines w:val="0"/>
        <w:widowControl w:val="0"/>
        <w:pBdr>
          <w:bottom w:val="single" w:sz="4" w:space="0" w:color="auto"/>
        </w:pBdr>
        <w:shd w:val="clear" w:color="auto" w:fill="auto"/>
        <w:tabs>
          <w:tab w:pos="2893" w:val="left"/>
          <w:tab w:pos="3377" w:val="left"/>
        </w:tabs>
        <w:bidi w:val="0"/>
        <w:spacing w:before="0" w:after="200" w:line="240" w:lineRule="auto"/>
        <w:ind w:left="0" w:right="0" w:firstLine="0"/>
        <w:jc w:val="left"/>
      </w:pPr>
      <w:r>
        <w:rPr>
          <w:color w:val="000000"/>
          <w:spacing w:val="0"/>
          <w:w w:val="100"/>
          <w:position w:val="0"/>
        </w:rPr>
        <w:t>山西凯特</w:t>
        <w:tab/>
        <w:t>指</w:t>
        <w:tab/>
        <w:t>山西凯特通讯信息技术有限责任公司</w:t>
      </w:r>
    </w:p>
    <w:p>
      <w:pPr>
        <w:pStyle w:val="Style31"/>
        <w:keepNext w:val="0"/>
        <w:keepLines w:val="0"/>
        <w:widowControl w:val="0"/>
        <w:pBdr>
          <w:bottom w:val="single" w:sz="4" w:space="0" w:color="auto"/>
        </w:pBdr>
        <w:shd w:val="clear" w:color="auto" w:fill="auto"/>
        <w:tabs>
          <w:tab w:pos="2893" w:val="left"/>
        </w:tabs>
        <w:bidi w:val="0"/>
        <w:spacing w:before="0" w:after="200" w:line="240" w:lineRule="auto"/>
        <w:ind w:left="0" w:right="0" w:firstLine="0"/>
        <w:jc w:val="left"/>
      </w:pPr>
      <w:r>
        <w:rPr>
          <w:color w:val="000000"/>
          <w:spacing w:val="0"/>
          <w:w w:val="100"/>
          <w:position w:val="0"/>
        </w:rPr>
        <w:t>上海闪电蜂</w:t>
        <w:tab/>
        <w:t>指上海闪电蜂电子商务有限公司</w:t>
      </w:r>
    </w:p>
    <w:p>
      <w:pPr>
        <w:pStyle w:val="Style31"/>
        <w:keepNext w:val="0"/>
        <w:keepLines w:val="0"/>
        <w:widowControl w:val="0"/>
        <w:pBdr>
          <w:bottom w:val="single" w:sz="4" w:space="0" w:color="auto"/>
        </w:pBdr>
        <w:shd w:val="clear" w:color="auto" w:fill="auto"/>
        <w:tabs>
          <w:tab w:pos="2893" w:val="left"/>
          <w:tab w:pos="3377" w:val="left"/>
        </w:tabs>
        <w:bidi w:val="0"/>
        <w:spacing w:before="0" w:after="200" w:line="240" w:lineRule="auto"/>
        <w:ind w:left="0" w:right="0" w:firstLine="0"/>
        <w:jc w:val="left"/>
      </w:pPr>
      <w:r>
        <w:rPr>
          <w:color w:val="000000"/>
          <w:spacing w:val="0"/>
          <w:w w:val="100"/>
          <w:position w:val="0"/>
        </w:rPr>
        <w:t>达安世纪</w:t>
        <w:tab/>
        <w:t>指</w:t>
        <w:tab/>
        <w:t>北京达安世纪投资管理有限公司，为公司控股股东之一</w:t>
      </w:r>
    </w:p>
    <w:p>
      <w:pPr>
        <w:pStyle w:val="Style31"/>
        <w:keepNext w:val="0"/>
        <w:keepLines w:val="0"/>
        <w:widowControl w:val="0"/>
        <w:shd w:val="clear" w:color="auto" w:fill="auto"/>
        <w:tabs>
          <w:tab w:pos="2466" w:val="left"/>
        </w:tabs>
        <w:bidi w:val="0"/>
        <w:spacing w:before="0" w:after="0" w:line="240" w:lineRule="auto"/>
        <w:ind w:left="2000" w:right="0" w:firstLine="0"/>
        <w:jc w:val="left"/>
      </w:pPr>
      <w:r>
        <mc:AlternateContent>
          <mc:Choice Requires="wps">
            <w:drawing>
              <wp:anchor distT="0" distB="0" distL="114300" distR="114300" simplePos="0" relativeHeight="125829388" behindDoc="0" locked="0" layoutInCell="1" allowOverlap="1">
                <wp:simplePos x="0" y="0"/>
                <wp:positionH relativeFrom="page">
                  <wp:posOffset>722630</wp:posOffset>
                </wp:positionH>
                <wp:positionV relativeFrom="paragraph">
                  <wp:posOffset>12700</wp:posOffset>
                </wp:positionV>
                <wp:extent cx="481330" cy="146050"/>
                <wp:wrapSquare wrapText="bothSides"/>
                <wp:docPr id="32" name="Shape 32"/>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悦华众城</w:t>
                            </w:r>
                          </w:p>
                        </w:txbxContent>
                      </wps:txbx>
                      <wps:bodyPr wrap="none" lIns="0" tIns="0" rIns="0" bIns="0">
                        <a:noAutoFit/>
                      </wps:bodyPr>
                    </wps:wsp>
                  </a:graphicData>
                </a:graphic>
              </wp:anchor>
            </w:drawing>
          </mc:Choice>
          <mc:Fallback>
            <w:pict>
              <v:shape id="_x0000_s1058" type="#_x0000_t202" style="position:absolute;margin-left:56.899999999999999pt;margin-top:1.pt;width:37.899999999999999pt;height:11.5pt;z-index:-125829365;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悦华众城</w:t>
                      </w:r>
                    </w:p>
                  </w:txbxContent>
                </v:textbox>
                <w10:wrap type="square" anchorx="page"/>
              </v:shape>
            </w:pict>
          </mc:Fallback>
        </mc:AlternateContent>
      </w:r>
      <w:r>
        <w:rPr>
          <w:color w:val="000000"/>
          <w:spacing w:val="0"/>
          <w:w w:val="100"/>
          <w:position w:val="0"/>
        </w:rPr>
        <w:t>指</w:t>
        <w:tab/>
        <w:t>北京悦华众城投资管理中心（有限合伙），为公司控股股东之一</w:t>
      </w:r>
    </w:p>
    <w:p>
      <w:pPr>
        <w:widowControl w:val="0"/>
        <w:spacing w:line="1" w:lineRule="exact"/>
        <w:sectPr>
          <w:footnotePr>
            <w:pos w:val="pageBottom"/>
            <w:numFmt w:val="decimal"/>
            <w:numRestart w:val="continuous"/>
          </w:footnotePr>
          <w:type w:val="continuous"/>
          <w:pgSz w:w="11966" w:h="17375"/>
          <w:pgMar w:top="2385" w:right="1517" w:bottom="5932" w:left="1138" w:header="0" w:footer="3" w:gutter="0"/>
          <w:cols w:space="720"/>
          <w:noEndnote/>
          <w:rtlGutter w:val="0"/>
          <w:docGrid w:linePitch="360"/>
        </w:sectPr>
      </w:pPr>
      <w:r>
        <mc:AlternateContent>
          <mc:Choice Requires="wps">
            <w:drawing>
              <wp:anchor distT="38100" distB="0" distL="0" distR="0" simplePos="0" relativeHeight="125829390" behindDoc="0" locked="0" layoutInCell="1" allowOverlap="1">
                <wp:simplePos x="0" y="0"/>
                <wp:positionH relativeFrom="page">
                  <wp:posOffset>731520</wp:posOffset>
                </wp:positionH>
                <wp:positionV relativeFrom="paragraph">
                  <wp:posOffset>38100</wp:posOffset>
                </wp:positionV>
                <wp:extent cx="1273810" cy="146050"/>
                <wp:wrapTopAndBottom/>
                <wp:docPr id="34" name="Shape 34"/>
                <a:graphic xmlns:a="http://schemas.openxmlformats.org/drawingml/2006/main">
                  <a:graphicData uri="http://schemas.microsoft.com/office/word/2010/wordprocessingShape">
                    <wps:wsp>
                      <wps:cNvSpPr txBox="1"/>
                      <wps:spPr>
                        <a:xfrm>
                          <a:ext cx="127381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中信建投证券、主承销商</w:t>
                            </w:r>
                          </w:p>
                        </w:txbxContent>
                      </wps:txbx>
                      <wps:bodyPr wrap="none" lIns="0" tIns="0" rIns="0" bIns="0">
                        <a:noAutoFit/>
                      </wps:bodyPr>
                    </wps:wsp>
                  </a:graphicData>
                </a:graphic>
              </wp:anchor>
            </w:drawing>
          </mc:Choice>
          <mc:Fallback>
            <w:pict>
              <v:shape id="_x0000_s1060" type="#_x0000_t202" style="position:absolute;margin-left:57.600000000000001pt;margin-top:3.pt;width:100.3pt;height:11.5pt;z-index:-125829363;mso-wrap-distance-left:0;mso-wrap-distance-top:3.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中信建投证券、主承销商</w:t>
                      </w:r>
                    </w:p>
                  </w:txbxContent>
                </v:textbox>
                <w10:wrap type="topAndBottom" anchorx="page"/>
              </v:shape>
            </w:pict>
          </mc:Fallback>
        </mc:AlternateContent>
      </w:r>
      <w:r>
        <mc:AlternateContent>
          <mc:Choice Requires="wps">
            <w:drawing>
              <wp:anchor distT="38100" distB="0" distL="0" distR="0" simplePos="0" relativeHeight="125829392" behindDoc="0" locked="0" layoutInCell="1" allowOverlap="1">
                <wp:simplePos x="0" y="0"/>
                <wp:positionH relativeFrom="page">
                  <wp:posOffset>2578735</wp:posOffset>
                </wp:positionH>
                <wp:positionV relativeFrom="paragraph">
                  <wp:posOffset>38100</wp:posOffset>
                </wp:positionV>
                <wp:extent cx="1700530" cy="146050"/>
                <wp:wrapTopAndBottom/>
                <wp:docPr id="36" name="Shape 36"/>
                <a:graphic xmlns:a="http://schemas.openxmlformats.org/drawingml/2006/main">
                  <a:graphicData uri="http://schemas.microsoft.com/office/word/2010/wordprocessingShape">
                    <wps:wsp>
                      <wps:cNvSpPr txBox="1"/>
                      <wps:spPr>
                        <a:xfrm>
                          <a:ext cx="1700530" cy="146050"/>
                        </a:xfrm>
                        <a:prstGeom prst="rect"/>
                        <a:noFill/>
                      </wps:spPr>
                      <wps:txbx>
                        <w:txbxContent>
                          <w:p>
                            <w:pPr>
                              <w:pStyle w:val="Style31"/>
                              <w:keepNext w:val="0"/>
                              <w:keepLines w:val="0"/>
                              <w:widowControl w:val="0"/>
                              <w:shd w:val="clear" w:color="auto" w:fill="auto"/>
                              <w:tabs>
                                <w:tab w:pos="466" w:val="left"/>
                              </w:tabs>
                              <w:bidi w:val="0"/>
                              <w:spacing w:before="0" w:after="0" w:line="240" w:lineRule="auto"/>
                              <w:ind w:left="0" w:right="0" w:firstLine="0"/>
                              <w:jc w:val="left"/>
                            </w:pPr>
                            <w:r>
                              <w:rPr>
                                <w:color w:val="000000"/>
                                <w:spacing w:val="0"/>
                                <w:w w:val="100"/>
                                <w:position w:val="0"/>
                              </w:rPr>
                              <w:t>指</w:t>
                              <w:tab/>
                              <w:t>中信建投证券股份有限公司</w:t>
                            </w:r>
                          </w:p>
                        </w:txbxContent>
                      </wps:txbx>
                      <wps:bodyPr wrap="none" lIns="0" tIns="0" rIns="0" bIns="0">
                        <a:noAutoFit/>
                      </wps:bodyPr>
                    </wps:wsp>
                  </a:graphicData>
                </a:graphic>
              </wp:anchor>
            </w:drawing>
          </mc:Choice>
          <mc:Fallback>
            <w:pict>
              <v:shape id="_x0000_s1062" type="#_x0000_t202" style="position:absolute;margin-left:203.05000000000001pt;margin-top:3.pt;width:133.90000000000001pt;height:11.5pt;z-index:-125829361;mso-wrap-distance-left:0;mso-wrap-distance-top:3.pt;mso-wrap-distance-right:0;mso-position-horizontal-relative:page" filled="f" stroked="f">
                <v:textbox inset="0,0,0,0">
                  <w:txbxContent>
                    <w:p>
                      <w:pPr>
                        <w:pStyle w:val="Style31"/>
                        <w:keepNext w:val="0"/>
                        <w:keepLines w:val="0"/>
                        <w:widowControl w:val="0"/>
                        <w:shd w:val="clear" w:color="auto" w:fill="auto"/>
                        <w:tabs>
                          <w:tab w:pos="466" w:val="left"/>
                        </w:tabs>
                        <w:bidi w:val="0"/>
                        <w:spacing w:before="0" w:after="0" w:line="240" w:lineRule="auto"/>
                        <w:ind w:left="0" w:right="0" w:firstLine="0"/>
                        <w:jc w:val="left"/>
                      </w:pPr>
                      <w:r>
                        <w:rPr>
                          <w:color w:val="000000"/>
                          <w:spacing w:val="0"/>
                          <w:w w:val="100"/>
                          <w:position w:val="0"/>
                        </w:rPr>
                        <w:t>指</w:t>
                        <w:tab/>
                        <w:t>中信建投证券股份有限公司</w:t>
                      </w:r>
                    </w:p>
                  </w:txbxContent>
                </v:textbox>
                <w10:wrap type="topAndBottom" anchorx="page"/>
              </v:shape>
            </w:pict>
          </mc:Fallback>
        </mc:AlternateContent>
      </w:r>
    </w:p>
    <w:p>
      <w:pPr>
        <w:widowControl w:val="0"/>
        <w:spacing w:line="88" w:lineRule="exact"/>
        <w:rPr>
          <w:sz w:val="7"/>
          <w:szCs w:val="7"/>
        </w:rPr>
      </w:pPr>
    </w:p>
    <w:p>
      <w:pPr>
        <w:widowControl w:val="0"/>
        <w:spacing w:line="1" w:lineRule="exact"/>
        <w:sectPr>
          <w:footnotePr>
            <w:pos w:val="pageBottom"/>
            <w:numFmt w:val="decimal"/>
            <w:numRestart w:val="continuous"/>
          </w:footnotePr>
          <w:type w:val="continuous"/>
          <w:pgSz w:w="11966" w:h="17375"/>
          <w:pgMar w:top="1703" w:right="0" w:bottom="1756" w:left="0" w:header="0" w:footer="3" w:gutter="0"/>
          <w:cols w:space="720"/>
          <w:noEndnote/>
          <w:rtlGutter w:val="0"/>
          <w:docGrid w:linePitch="360"/>
        </w:sectPr>
      </w:pPr>
    </w:p>
    <w:p>
      <w:pPr>
        <w:pStyle w:val="Style31"/>
        <w:keepNext w:val="0"/>
        <w:keepLines w:val="0"/>
        <w:widowControl w:val="0"/>
        <w:pBdr>
          <w:top w:val="single" w:sz="4" w:space="0" w:color="auto"/>
          <w:bottom w:val="single" w:sz="4" w:space="0" w:color="auto"/>
        </w:pBdr>
        <w:shd w:val="clear" w:color="auto" w:fill="auto"/>
        <w:tabs>
          <w:tab w:pos="2865" w:val="left"/>
        </w:tabs>
        <w:bidi w:val="0"/>
        <w:spacing w:before="0" w:after="200" w:line="240" w:lineRule="auto"/>
        <w:ind w:left="0" w:right="0" w:firstLine="0"/>
        <w:jc w:val="left"/>
        <w:rPr>
          <w:sz w:val="18"/>
          <w:szCs w:val="18"/>
        </w:rPr>
      </w:pPr>
      <w:r>
        <w:rPr>
          <w:color w:val="000000"/>
          <w:spacing w:val="0"/>
          <w:w w:val="100"/>
          <w:position w:val="0"/>
          <w:sz w:val="15"/>
          <w:szCs w:val="15"/>
        </w:rPr>
        <w:t>德勤</w:t>
        <w:tab/>
        <w:t>指德勤华永会计师事务所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特殊普通合伙</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pBdr>
          <w:bottom w:val="single" w:sz="4" w:space="0" w:color="auto"/>
        </w:pBdr>
        <w:shd w:val="clear" w:color="auto" w:fill="auto"/>
        <w:tabs>
          <w:tab w:pos="2865" w:val="left"/>
          <w:tab w:pos="3392" w:val="left"/>
        </w:tabs>
        <w:bidi w:val="0"/>
        <w:spacing w:before="0" w:after="200" w:line="240" w:lineRule="auto"/>
        <w:ind w:left="0" w:right="0" w:firstLine="0"/>
        <w:jc w:val="left"/>
      </w:pPr>
      <w:r>
        <w:rPr>
          <w:color w:val="000000"/>
          <w:spacing w:val="0"/>
          <w:w w:val="100"/>
          <w:position w:val="0"/>
        </w:rPr>
        <w:t>《公司法》</w:t>
        <w:tab/>
        <w:t>指</w:t>
        <w:tab/>
        <w:t>《中华人民共和国公司法》</w:t>
      </w:r>
    </w:p>
    <w:p>
      <w:pPr>
        <w:pStyle w:val="Style31"/>
        <w:keepNext w:val="0"/>
        <w:keepLines w:val="0"/>
        <w:widowControl w:val="0"/>
        <w:pBdr>
          <w:bottom w:val="single" w:sz="4" w:space="0" w:color="auto"/>
        </w:pBdr>
        <w:shd w:val="clear" w:color="auto" w:fill="auto"/>
        <w:tabs>
          <w:tab w:pos="2865" w:val="left"/>
          <w:tab w:pos="3392" w:val="left"/>
        </w:tabs>
        <w:bidi w:val="0"/>
        <w:spacing w:before="0" w:after="200" w:line="240" w:lineRule="auto"/>
        <w:ind w:left="0" w:right="0" w:firstLine="0"/>
        <w:jc w:val="left"/>
      </w:pPr>
      <w:r>
        <w:rPr>
          <w:color w:val="000000"/>
          <w:spacing w:val="0"/>
          <w:w w:val="100"/>
          <w:position w:val="0"/>
        </w:rPr>
        <w:t>《证券法》</w:t>
        <w:tab/>
        <w:t>指</w:t>
        <w:tab/>
        <w:t>《中华人民共和国证券法》</w:t>
      </w:r>
    </w:p>
    <w:p>
      <w:pPr>
        <w:pStyle w:val="Style31"/>
        <w:keepNext w:val="0"/>
        <w:keepLines w:val="0"/>
        <w:widowControl w:val="0"/>
        <w:pBdr>
          <w:bottom w:val="single" w:sz="4" w:space="0" w:color="auto"/>
        </w:pBdr>
        <w:shd w:val="clear" w:color="auto" w:fill="auto"/>
        <w:tabs>
          <w:tab w:pos="2865" w:val="left"/>
          <w:tab w:pos="3392" w:val="left"/>
        </w:tabs>
        <w:bidi w:val="0"/>
        <w:spacing w:before="0" w:after="200" w:line="240" w:lineRule="auto"/>
        <w:ind w:left="0" w:right="0" w:firstLine="0"/>
        <w:jc w:val="left"/>
      </w:pPr>
      <w:r>
        <w:rPr>
          <w:color w:val="000000"/>
          <w:spacing w:val="0"/>
          <w:w w:val="100"/>
          <w:position w:val="0"/>
        </w:rPr>
        <w:t>《公司章程》</w:t>
        <w:tab/>
        <w:t>指</w:t>
        <w:tab/>
        <w:t>《北京百华悦邦科技股份有限公司章程》</w:t>
      </w:r>
    </w:p>
    <w:p>
      <w:pPr>
        <w:pStyle w:val="Style31"/>
        <w:keepNext w:val="0"/>
        <w:keepLines w:val="0"/>
        <w:widowControl w:val="0"/>
        <w:pBdr>
          <w:bottom w:val="single" w:sz="4" w:space="0" w:color="auto"/>
        </w:pBdr>
        <w:shd w:val="clear" w:color="auto" w:fill="auto"/>
        <w:tabs>
          <w:tab w:pos="2865" w:val="left"/>
        </w:tabs>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5G</w:t>
        <w:tab/>
      </w:r>
      <w:r>
        <w:rPr>
          <w:color w:val="000000"/>
          <w:spacing w:val="0"/>
          <w:w w:val="100"/>
          <w:position w:val="0"/>
        </w:rPr>
        <w:t>指第五代移动电话行动通信标准，也称第五代移动通信技术</w:t>
      </w:r>
    </w:p>
    <w:p>
      <w:pPr>
        <w:pStyle w:val="Style31"/>
        <w:keepNext w:val="0"/>
        <w:keepLines w:val="0"/>
        <w:widowControl w:val="0"/>
        <w:pBdr>
          <w:bottom w:val="single" w:sz="4" w:space="0" w:color="auto"/>
        </w:pBdr>
        <w:shd w:val="clear" w:color="auto" w:fill="auto"/>
        <w:tabs>
          <w:tab w:pos="2865" w:val="left"/>
        </w:tabs>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3C</w:t>
        <w:tab/>
      </w:r>
      <w:r>
        <w:rPr>
          <w:color w:val="000000"/>
          <w:spacing w:val="0"/>
          <w:w w:val="100"/>
          <w:position w:val="0"/>
          <w:sz w:val="15"/>
          <w:szCs w:val="15"/>
        </w:rPr>
        <w:t>指是计算机类、通信类和消费类电子产品三者的统称，也称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信息家电</w:t>
      </w:r>
      <w:r>
        <w:rPr>
          <w:rFonts w:ascii="Times New Roman" w:eastAsia="Times New Roman" w:hAnsi="Times New Roman" w:cs="Times New Roman"/>
          <w:color w:val="000000"/>
          <w:spacing w:val="0"/>
          <w:w w:val="100"/>
          <w:position w:val="0"/>
          <w:sz w:val="18"/>
          <w:szCs w:val="18"/>
        </w:rPr>
        <w:t>”</w:t>
      </w:r>
    </w:p>
    <w:p>
      <w:pPr>
        <w:pStyle w:val="Style34"/>
        <w:keepNext w:val="0"/>
        <w:keepLines w:val="0"/>
        <w:widowControl w:val="0"/>
        <w:shd w:val="clear" w:color="auto" w:fill="auto"/>
        <w:bidi w:val="0"/>
        <w:spacing w:before="0" w:after="0" w:line="173" w:lineRule="exact"/>
        <w:ind w:left="2380" w:right="0" w:firstLine="480"/>
        <w:jc w:val="left"/>
        <w:rPr>
          <w:sz w:val="15"/>
          <w:szCs w:val="15"/>
        </w:rPr>
      </w:pPr>
      <w:r>
        <mc:AlternateContent>
          <mc:Choice Requires="wps">
            <w:drawing>
              <wp:anchor distT="0" distB="0" distL="114300" distR="114300" simplePos="0" relativeHeight="125829394" behindDoc="0" locked="0" layoutInCell="1" allowOverlap="1">
                <wp:simplePos x="0" y="0"/>
                <wp:positionH relativeFrom="page">
                  <wp:posOffset>722630</wp:posOffset>
                </wp:positionH>
                <wp:positionV relativeFrom="paragraph">
                  <wp:posOffset>88900</wp:posOffset>
                </wp:positionV>
                <wp:extent cx="237490" cy="143510"/>
                <wp:wrapSquare wrapText="bothSides"/>
                <wp:docPr id="38" name="Shape 38"/>
                <a:graphic xmlns:a="http://schemas.openxmlformats.org/drawingml/2006/main">
                  <a:graphicData uri="http://schemas.microsoft.com/office/word/2010/wordprocessingShape">
                    <wps:wsp>
                      <wps:cNvSpPr txBox="1"/>
                      <wps:spPr>
                        <a:xfrm>
                          <a:ext cx="23749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SOP</w:t>
                            </w:r>
                          </w:p>
                        </w:txbxContent>
                      </wps:txbx>
                      <wps:bodyPr wrap="none" lIns="0" tIns="0" rIns="0" bIns="0">
                        <a:noAutoFit/>
                      </wps:bodyPr>
                    </wps:wsp>
                  </a:graphicData>
                </a:graphic>
              </wp:anchor>
            </w:drawing>
          </mc:Choice>
          <mc:Fallback>
            <w:pict>
              <v:shape id="_x0000_s1064" type="#_x0000_t202" style="position:absolute;margin-left:56.899999999999999pt;margin-top:7.pt;width:18.699999999999999pt;height:11.300000000000001pt;z-index:-125829359;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SOP</w:t>
                      </w:r>
                    </w:p>
                  </w:txbxContent>
                </v:textbox>
                <w10:wrap type="square" anchorx="page"/>
              </v:shape>
            </w:pict>
          </mc:Fallback>
        </mc:AlternateContent>
      </w:r>
      <w:r>
        <w:rPr>
          <w:rFonts w:ascii="SimSun" w:eastAsia="SimSun" w:hAnsi="SimSun" w:cs="SimSun"/>
          <w:color w:val="000000"/>
          <w:spacing w:val="0"/>
          <w:w w:val="100"/>
          <w:position w:val="0"/>
          <w:sz w:val="15"/>
          <w:szCs w:val="15"/>
        </w:rPr>
        <w:t>是</w:t>
      </w:r>
      <w:r>
        <w:rPr>
          <w:color w:val="000000"/>
          <w:spacing w:val="0"/>
          <w:w w:val="100"/>
          <w:position w:val="0"/>
          <w:sz w:val="18"/>
          <w:szCs w:val="18"/>
        </w:rPr>
        <w:t>Standard Operating Procedure</w:t>
      </w:r>
      <w:r>
        <w:rPr>
          <w:rFonts w:ascii="SimSun" w:eastAsia="SimSun" w:hAnsi="SimSun" w:cs="SimSun"/>
          <w:color w:val="000000"/>
          <w:spacing w:val="0"/>
          <w:w w:val="100"/>
          <w:position w:val="0"/>
          <w:sz w:val="15"/>
          <w:szCs w:val="15"/>
        </w:rPr>
        <w:t>的缩写，即标准作业程序，指将某一事件的 指</w:t>
      </w:r>
    </w:p>
    <w:p>
      <w:pPr>
        <w:pStyle w:val="Style31"/>
        <w:keepNext w:val="0"/>
        <w:keepLines w:val="0"/>
        <w:widowControl w:val="0"/>
        <w:pBdr>
          <w:bottom w:val="single" w:sz="4" w:space="0" w:color="auto"/>
        </w:pBdr>
        <w:shd w:val="clear" w:color="auto" w:fill="auto"/>
        <w:bidi w:val="0"/>
        <w:spacing w:before="0" w:after="200" w:line="173" w:lineRule="exact"/>
        <w:ind w:left="2860" w:right="0" w:firstLine="0"/>
        <w:jc w:val="left"/>
      </w:pPr>
      <w:r>
        <w:rPr>
          <w:color w:val="000000"/>
          <w:spacing w:val="0"/>
          <w:w w:val="100"/>
          <w:position w:val="0"/>
        </w:rPr>
        <w:t>标准操作步骤和要求以统一的格式描述出来，用于指导和规范日常的工作</w:t>
      </w:r>
      <w:r>
        <w:br w:type="page"/>
      </w:r>
    </w:p>
    <w:p>
      <w:pPr>
        <w:pStyle w:val="Style22"/>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第二节公司简介和主要财务指标</w:t>
      </w:r>
      <w:bookmarkEnd w:id="3"/>
      <w:bookmarkEnd w:id="4"/>
      <w:bookmarkEnd w:id="5"/>
    </w:p>
    <w:p>
      <w:pPr>
        <w:pStyle w:val="Style39"/>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80"/>
        <w:gridCol w:w="2842"/>
        <w:gridCol w:w="1781"/>
        <w:gridCol w:w="267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股票简称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百邦科技</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股票代码</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rPr>
                <w:sz w:val="18"/>
                <w:szCs w:val="18"/>
              </w:rPr>
            </w:pPr>
            <w:r>
              <w:rPr>
                <w:rFonts w:ascii="Times New Roman" w:eastAsia="Times New Roman" w:hAnsi="Times New Roman" w:cs="Times New Roman"/>
                <w:b/>
                <w:bCs/>
                <w:color w:val="FFFFFF"/>
                <w:spacing w:val="0"/>
                <w:w w:val="100"/>
                <w:position w:val="0"/>
                <w:sz w:val="18"/>
                <w:szCs w:val="18"/>
              </w:rPr>
              <w:t>300736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公司的中文名称</w:t>
            </w:r>
          </w:p>
        </w:tc>
        <w:tc>
          <w:tcPr>
            <w:gridSpan w:val="3"/>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北京百华悦邦科技股份有限公司</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公司的中文简称</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百邦</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公司的外文名称</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BYBON Group Company Limited</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公司的外文名称缩写</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BYBON</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公司的法定代表人</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刘铁峰</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注册地址</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北京市朝阳区阜通东大街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5"/>
                <w:szCs w:val="15"/>
              </w:rPr>
              <w:t>层</w:t>
            </w:r>
            <w:r>
              <w:rPr>
                <w:rFonts w:ascii="Times New Roman" w:eastAsia="Times New Roman" w:hAnsi="Times New Roman" w:cs="Times New Roman"/>
                <w:color w:val="000000"/>
                <w:spacing w:val="0"/>
                <w:w w:val="100"/>
                <w:position w:val="0"/>
                <w:sz w:val="18"/>
                <w:szCs w:val="18"/>
              </w:rPr>
              <w:t>1906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注册地址的邮政编码</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办公地址</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北京市朝阳区阜通东大街方恒国际中心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办公地址的邮政编码</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公司国际互联网网址</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"http://www.bybon.com" </w:instrText>
            </w:r>
            <w:r>
              <w:fldChar w:fldCharType="separate"/>
            </w:r>
            <w:r>
              <w:rPr>
                <w:rFonts w:ascii="Times New Roman" w:eastAsia="Times New Roman" w:hAnsi="Times New Roman" w:cs="Times New Roman"/>
                <w:color w:val="000000"/>
                <w:spacing w:val="0"/>
                <w:w w:val="100"/>
                <w:position w:val="0"/>
                <w:sz w:val="18"/>
                <w:szCs w:val="18"/>
              </w:rPr>
              <w:t>www.bybon.com</w:t>
            </w:r>
            <w:r>
              <w:fldChar w:fldCharType="end"/>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电子信箱</w:t>
            </w:r>
          </w:p>
        </w:tc>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"mailto:zhengquan@bybon.cn" </w:instrText>
            </w:r>
            <w:r>
              <w:fldChar w:fldCharType="separate"/>
            </w:r>
            <w:r>
              <w:rPr>
                <w:rFonts w:ascii="Times New Roman" w:eastAsia="Times New Roman" w:hAnsi="Times New Roman" w:cs="Times New Roman"/>
                <w:color w:val="000000"/>
                <w:spacing w:val="0"/>
                <w:w w:val="100"/>
                <w:position w:val="0"/>
                <w:sz w:val="18"/>
                <w:szCs w:val="18"/>
              </w:rPr>
              <w:t>zhengquan@bybon.cn</w:t>
            </w:r>
            <w:r>
              <w:fldChar w:fldCharType="end"/>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014"/>
        <w:gridCol w:w="3302"/>
        <w:gridCol w:w="3259"/>
      </w:tblGrid>
      <w:tr>
        <w:trPr>
          <w:trHeight w:val="437"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董事会秘书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证券事务代表</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姓名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CHEN LI YA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pPr>
            <w:r>
              <w:rPr>
                <w:color w:val="000000"/>
                <w:spacing w:val="0"/>
                <w:w w:val="100"/>
                <w:position w:val="0"/>
              </w:rPr>
              <w:t>唐浩</w:t>
            </w: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联系地址</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98" w:lineRule="exact"/>
              <w:ind w:left="280" w:right="0" w:firstLine="0"/>
              <w:jc w:val="left"/>
            </w:pPr>
            <w:r>
              <w:rPr>
                <w:color w:val="000000"/>
                <w:spacing w:val="0"/>
                <w:w w:val="100"/>
                <w:position w:val="0"/>
              </w:rPr>
              <w:t>北京市朝阳区阜通东大街方恒国际中 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98" w:lineRule="exact"/>
              <w:ind w:left="160" w:right="0" w:firstLine="0"/>
              <w:jc w:val="left"/>
            </w:pPr>
            <w:r>
              <w:rPr>
                <w:color w:val="000000"/>
                <w:spacing w:val="0"/>
                <w:w w:val="100"/>
                <w:position w:val="0"/>
              </w:rPr>
              <w:t>北京市朝阳区阜通东大街方恒国际中 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电话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010-64775967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010-64775967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传真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010-64775927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010-64775927</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电子信箱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zhengquan@bybon. cn</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"mailto:zhengquan@bybon.cn" </w:instrText>
            </w:r>
            <w:r>
              <w:fldChar w:fldCharType="separate"/>
            </w:r>
            <w:r>
              <w:rPr>
                <w:rFonts w:ascii="Times New Roman" w:eastAsia="Times New Roman" w:hAnsi="Times New Roman" w:cs="Times New Roman"/>
                <w:color w:val="000000"/>
                <w:spacing w:val="0"/>
                <w:w w:val="100"/>
                <w:position w:val="0"/>
                <w:sz w:val="18"/>
                <w:szCs w:val="18"/>
              </w:rPr>
              <w:t>zhengquan@bybon.cn</w:t>
            </w:r>
            <w:r>
              <w:fldChar w:fldCharType="end"/>
            </w:r>
          </w:p>
        </w:tc>
      </w:tr>
      <w:tr>
        <w:trPr>
          <w:trHeight w:val="965"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14" w:name="bookmark14"/>
            <w:r>
              <w:rPr>
                <w:b/>
                <w:bCs/>
                <w:color w:val="000000"/>
                <w:spacing w:val="0"/>
                <w:w w:val="100"/>
                <w:position w:val="0"/>
                <w:sz w:val="24"/>
                <w:szCs w:val="24"/>
              </w:rPr>
              <w:t>三、信息披露及备置地点</w:t>
            </w:r>
            <w:bookmarkEnd w:id="14"/>
          </w:p>
        </w:tc>
      </w:tr>
    </w:tbl>
    <w:p>
      <w:pPr>
        <w:widowControl w:val="0"/>
        <w:spacing w:line="1" w:lineRule="exact"/>
      </w:pPr>
    </w:p>
    <w:tbl>
      <w:tblPr>
        <w:tblOverlap w:val="never"/>
        <w:jc w:val="center"/>
        <w:tblLayout w:type="fixed"/>
      </w:tblPr>
      <w:tblGrid>
        <w:gridCol w:w="3994"/>
        <w:gridCol w:w="5597"/>
      </w:tblGrid>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公司选定的信息披露媒体的名称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上海证券报、证券时报、证券日报和巨潮资讯网</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登载年度报告的中国证监会指定网站的网址</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公司年度报告备置地点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四</w:t>
      </w:r>
      <w:bookmarkEnd w:id="17"/>
      <w:r>
        <w:rPr>
          <w:color w:val="000000"/>
          <w:spacing w:val="0"/>
          <w:w w:val="100"/>
          <w:position w:val="0"/>
          <w:sz w:val="24"/>
          <w:szCs w:val="24"/>
        </w:rPr>
        <w:t>、其他有关资料</w:t>
      </w:r>
      <w:bookmarkEnd w:id="15"/>
      <w:bookmarkEnd w:id="16"/>
      <w:bookmarkEnd w:id="18"/>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26"/>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会计师事务所名称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会计师事务所办公地址</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上海市延安东路</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号外滩中心</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签字会计师姓名</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郑群、王江涛</w:t>
            </w:r>
          </w:p>
        </w:tc>
      </w:tr>
    </w:tbl>
    <w:p>
      <w:pPr>
        <w:pStyle w:val="Style45"/>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公司聘请的报告期内履行持续督导职责的保荐机构</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mc:AlternateContent>
          <mc:Choice Requires="wps">
            <w:drawing>
              <wp:anchor distT="50800" distB="478790" distL="0" distR="0" simplePos="0" relativeHeight="125829396" behindDoc="0" locked="0" layoutInCell="1" allowOverlap="1">
                <wp:simplePos x="0" y="0"/>
                <wp:positionH relativeFrom="page">
                  <wp:posOffset>1036320</wp:posOffset>
                </wp:positionH>
                <wp:positionV relativeFrom="paragraph">
                  <wp:posOffset>50800</wp:posOffset>
                </wp:positionV>
                <wp:extent cx="719455" cy="152400"/>
                <wp:wrapTopAndBottom/>
                <wp:docPr id="40" name="Shape 40"/>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left"/>
                            </w:pPr>
                            <w:r>
                              <w:rPr>
                                <w:b/>
                                <w:bCs/>
                                <w:color w:val="FFFFFF"/>
                                <w:spacing w:val="0"/>
                                <w:w w:val="100"/>
                                <w:position w:val="0"/>
                              </w:rPr>
                              <w:t>保荐机构名称</w:t>
                            </w:r>
                          </w:p>
                        </w:txbxContent>
                      </wps:txbx>
                      <wps:bodyPr wrap="none" lIns="0" tIns="0" rIns="0" bIns="0">
                        <a:noAutoFit/>
                      </wps:bodyPr>
                    </wps:wsp>
                  </a:graphicData>
                </a:graphic>
              </wp:anchor>
            </w:drawing>
          </mc:Choice>
          <mc:Fallback>
            <w:pict>
              <v:shape id="_x0000_s1066" type="#_x0000_t202" style="position:absolute;margin-left:81.600000000000009pt;margin-top:4.pt;width:56.649999999999999pt;height:12.pt;z-index:-125829357;mso-wrap-distance-left:0;mso-wrap-distance-top:4.pt;mso-wrap-distance-right:0;mso-wrap-distance-bottom:37.700000000000003pt;mso-position-horizontal-relative:page" filled="f" stroked="f">
                <v:textbox inset="0,0,0,0">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left"/>
                      </w:pPr>
                      <w:r>
                        <w:rPr>
                          <w:b/>
                          <w:bCs/>
                          <w:color w:val="FFFFFF"/>
                          <w:spacing w:val="0"/>
                          <w:w w:val="100"/>
                          <w:position w:val="0"/>
                        </w:rPr>
                        <w:t>保荐机构名称</w:t>
                      </w:r>
                    </w:p>
                  </w:txbxContent>
                </v:textbox>
                <w10:wrap type="topAndBottom" anchorx="page"/>
              </v:shape>
            </w:pict>
          </mc:Fallback>
        </mc:AlternateContent>
      </w:r>
      <w:r>
        <mc:AlternateContent>
          <mc:Choice Requires="wps">
            <w:drawing>
              <wp:anchor distT="50800" distB="478790" distL="0" distR="0" simplePos="0" relativeHeight="125829398" behindDoc="0" locked="0" layoutInCell="1" allowOverlap="1">
                <wp:simplePos x="0" y="0"/>
                <wp:positionH relativeFrom="page">
                  <wp:posOffset>2441575</wp:posOffset>
                </wp:positionH>
                <wp:positionV relativeFrom="paragraph">
                  <wp:posOffset>50800</wp:posOffset>
                </wp:positionV>
                <wp:extent cx="948055" cy="152400"/>
                <wp:wrapTopAndBottom/>
                <wp:docPr id="42" name="Shape 42"/>
                <a:graphic xmlns:a="http://schemas.openxmlformats.org/drawingml/2006/main">
                  <a:graphicData uri="http://schemas.microsoft.com/office/word/2010/wordprocessingShape">
                    <wps:wsp>
                      <wps:cNvSpPr txBox="1"/>
                      <wps:spPr>
                        <a:xfrm>
                          <a:ext cx="948055" cy="152400"/>
                        </a:xfrm>
                        <a:prstGeom prst="rect"/>
                        <a:noFill/>
                      </wps:spPr>
                      <wps:txbx>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left"/>
                            </w:pPr>
                            <w:r>
                              <w:rPr>
                                <w:b/>
                                <w:bCs/>
                                <w:color w:val="FFFFFF"/>
                                <w:spacing w:val="0"/>
                                <w:w w:val="100"/>
                                <w:position w:val="0"/>
                              </w:rPr>
                              <w:t>保荐机构办公地址</w:t>
                            </w:r>
                          </w:p>
                        </w:txbxContent>
                      </wps:txbx>
                      <wps:bodyPr wrap="none" lIns="0" tIns="0" rIns="0" bIns="0">
                        <a:noAutoFit/>
                      </wps:bodyPr>
                    </wps:wsp>
                  </a:graphicData>
                </a:graphic>
              </wp:anchor>
            </w:drawing>
          </mc:Choice>
          <mc:Fallback>
            <w:pict>
              <v:shape id="_x0000_s1068" type="#_x0000_t202" style="position:absolute;margin-left:192.25pt;margin-top:4.pt;width:74.650000000000006pt;height:12.pt;z-index:-125829355;mso-wrap-distance-left:0;mso-wrap-distance-top:4.pt;mso-wrap-distance-right:0;mso-wrap-distance-bottom:37.700000000000003pt;mso-position-horizontal-relative:page" filled="f" stroked="f">
                <v:textbox inset="0,0,0,0">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left"/>
                      </w:pPr>
                      <w:r>
                        <w:rPr>
                          <w:b/>
                          <w:bCs/>
                          <w:color w:val="FFFFFF"/>
                          <w:spacing w:val="0"/>
                          <w:w w:val="100"/>
                          <w:position w:val="0"/>
                        </w:rPr>
                        <w:t>保荐机构办公地址</w:t>
                      </w:r>
                    </w:p>
                  </w:txbxContent>
                </v:textbox>
                <w10:wrap type="topAndBottom" anchorx="page"/>
              </v:shape>
            </w:pict>
          </mc:Fallback>
        </mc:AlternateContent>
      </w:r>
      <w:r>
        <mc:AlternateContent>
          <mc:Choice Requires="wps">
            <w:drawing>
              <wp:anchor distT="50800" distB="478790" distL="0" distR="0" simplePos="0" relativeHeight="125829400" behindDoc="0" locked="0" layoutInCell="1" allowOverlap="1">
                <wp:simplePos x="0" y="0"/>
                <wp:positionH relativeFrom="page">
                  <wp:posOffset>4017645</wp:posOffset>
                </wp:positionH>
                <wp:positionV relativeFrom="paragraph">
                  <wp:posOffset>50800</wp:posOffset>
                </wp:positionV>
                <wp:extent cx="831850" cy="152400"/>
                <wp:wrapTopAndBottom/>
                <wp:docPr id="44" name="Shape 44"/>
                <a:graphic xmlns:a="http://schemas.openxmlformats.org/drawingml/2006/main">
                  <a:graphicData uri="http://schemas.microsoft.com/office/word/2010/wordprocessingShape">
                    <wps:wsp>
                      <wps:cNvSpPr txBox="1"/>
                      <wps:spPr>
                        <a:xfrm>
                          <a:ext cx="831850" cy="152400"/>
                        </a:xfrm>
                        <a:prstGeom prst="rect"/>
                        <a:noFill/>
                      </wps:spPr>
                      <wps:txbx>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center"/>
                            </w:pPr>
                            <w:r>
                              <w:rPr>
                                <w:b/>
                                <w:bCs/>
                                <w:color w:val="FFFFFF"/>
                                <w:spacing w:val="0"/>
                                <w:w w:val="100"/>
                                <w:position w:val="0"/>
                              </w:rPr>
                              <w:t>保荐代表人姓名</w:t>
                            </w:r>
                          </w:p>
                        </w:txbxContent>
                      </wps:txbx>
                      <wps:bodyPr wrap="none" lIns="0" tIns="0" rIns="0" bIns="0">
                        <a:noAutoFit/>
                      </wps:bodyPr>
                    </wps:wsp>
                  </a:graphicData>
                </a:graphic>
              </wp:anchor>
            </w:drawing>
          </mc:Choice>
          <mc:Fallback>
            <w:pict>
              <v:shape id="_x0000_s1070" type="#_x0000_t202" style="position:absolute;margin-left:316.35000000000002pt;margin-top:4.pt;width:65.5pt;height:12.pt;z-index:-125829353;mso-wrap-distance-left:0;mso-wrap-distance-top:4.pt;mso-wrap-distance-right:0;mso-wrap-distance-bottom:37.700000000000003pt;mso-position-horizontal-relative:page" filled="f" stroked="f">
                <v:textbox inset="0,0,0,0">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center"/>
                      </w:pPr>
                      <w:r>
                        <w:rPr>
                          <w:b/>
                          <w:bCs/>
                          <w:color w:val="FFFFFF"/>
                          <w:spacing w:val="0"/>
                          <w:w w:val="100"/>
                          <w:position w:val="0"/>
                        </w:rPr>
                        <w:t>保荐代表人姓名</w:t>
                      </w:r>
                    </w:p>
                  </w:txbxContent>
                </v:textbox>
                <w10:wrap type="topAndBottom" anchorx="page"/>
              </v:shape>
            </w:pict>
          </mc:Fallback>
        </mc:AlternateContent>
      </w:r>
      <w:r>
        <mc:AlternateContent>
          <mc:Choice Requires="wps">
            <w:drawing>
              <wp:anchor distT="50800" distB="481965" distL="0" distR="0" simplePos="0" relativeHeight="125829402" behindDoc="0" locked="0" layoutInCell="1" allowOverlap="1">
                <wp:simplePos x="0" y="0"/>
                <wp:positionH relativeFrom="page">
                  <wp:posOffset>5593080</wp:posOffset>
                </wp:positionH>
                <wp:positionV relativeFrom="paragraph">
                  <wp:posOffset>50800</wp:posOffset>
                </wp:positionV>
                <wp:extent cx="716280" cy="149225"/>
                <wp:wrapTopAndBottom/>
                <wp:docPr id="46" name="Shape 46"/>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left"/>
                            </w:pPr>
                            <w:r>
                              <w:rPr>
                                <w:b/>
                                <w:bCs/>
                                <w:color w:val="FFFFFF"/>
                                <w:spacing w:val="0"/>
                                <w:w w:val="100"/>
                                <w:position w:val="0"/>
                              </w:rPr>
                              <w:t>持续督导期间</w:t>
                            </w:r>
                          </w:p>
                        </w:txbxContent>
                      </wps:txbx>
                      <wps:bodyPr wrap="none" lIns="0" tIns="0" rIns="0" bIns="0">
                        <a:noAutoFit/>
                      </wps:bodyPr>
                    </wps:wsp>
                  </a:graphicData>
                </a:graphic>
              </wp:anchor>
            </w:drawing>
          </mc:Choice>
          <mc:Fallback>
            <w:pict>
              <v:shape id="_x0000_s1072" type="#_x0000_t202" style="position:absolute;margin-left:440.40000000000003pt;margin-top:4.pt;width:56.399999999999999pt;height:11.75pt;z-index:-125829351;mso-wrap-distance-left:0;mso-wrap-distance-top:4.pt;mso-wrap-distance-right:0;mso-wrap-distance-bottom:37.950000000000003pt;mso-position-horizontal-relative:page" filled="f" stroked="f">
                <v:textbox inset="0,0,0,0">
                  <w:txbxContent>
                    <w:p>
                      <w:pPr>
                        <w:pStyle w:val="Style31"/>
                        <w:keepNext w:val="0"/>
                        <w:keepLines w:val="0"/>
                        <w:widowControl w:val="0"/>
                        <w:pBdr>
                          <w:top w:val="single" w:sz="0" w:space="0" w:color="A6A6A6"/>
                          <w:left w:val="single" w:sz="0" w:space="30" w:color="A6A6A6"/>
                          <w:bottom w:val="single" w:sz="0" w:space="0" w:color="A6A6A6"/>
                          <w:right w:val="single" w:sz="0" w:space="30" w:color="A6A6A6"/>
                        </w:pBdr>
                        <w:shd w:val="clear" w:color="auto" w:fill="A6A6A6"/>
                        <w:bidi w:val="0"/>
                        <w:spacing w:before="0" w:after="0" w:line="240" w:lineRule="auto"/>
                        <w:ind w:left="0" w:right="0" w:firstLine="0"/>
                        <w:jc w:val="left"/>
                      </w:pPr>
                      <w:r>
                        <w:rPr>
                          <w:b/>
                          <w:bCs/>
                          <w:color w:val="FFFFFF"/>
                          <w:spacing w:val="0"/>
                          <w:w w:val="100"/>
                          <w:position w:val="0"/>
                        </w:rPr>
                        <w:t>持续督导期间</w:t>
                      </w:r>
                    </w:p>
                  </w:txbxContent>
                </v:textbox>
                <w10:wrap type="topAndBottom" anchorx="page"/>
              </v:shape>
            </w:pict>
          </mc:Fallback>
        </mc:AlternateContent>
      </w:r>
      <w:r>
        <mc:AlternateContent>
          <mc:Choice Requires="wps">
            <w:drawing>
              <wp:anchor distT="422910" distB="113030" distL="0" distR="0" simplePos="0" relativeHeight="125829404" behindDoc="0" locked="0" layoutInCell="1" allowOverlap="1">
                <wp:simplePos x="0" y="0"/>
                <wp:positionH relativeFrom="page">
                  <wp:posOffset>704215</wp:posOffset>
                </wp:positionH>
                <wp:positionV relativeFrom="paragraph">
                  <wp:posOffset>422910</wp:posOffset>
                </wp:positionV>
                <wp:extent cx="1390015" cy="146050"/>
                <wp:wrapTopAndBottom/>
                <wp:docPr id="48" name="Shape 48"/>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xbxContent>
                      </wps:txbx>
                      <wps:bodyPr wrap="none" lIns="0" tIns="0" rIns="0" bIns="0">
                        <a:noAutoFit/>
                      </wps:bodyPr>
                    </wps:wsp>
                  </a:graphicData>
                </a:graphic>
              </wp:anchor>
            </w:drawing>
          </mc:Choice>
          <mc:Fallback>
            <w:pict>
              <v:shape id="_x0000_s1074" type="#_x0000_t202" style="position:absolute;margin-left:55.450000000000003pt;margin-top:33.299999999999997pt;width:109.45pt;height:11.5pt;z-index:-125829349;mso-wrap-distance-left:0;mso-wrap-distance-top:33.299999999999997pt;mso-wrap-distance-right:0;mso-wrap-distance-bottom:8.9000000000000004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xbxContent>
                </v:textbox>
                <w10:wrap type="topAndBottom" anchorx="page"/>
              </v:shape>
            </w:pict>
          </mc:Fallback>
        </mc:AlternateContent>
      </w:r>
      <w:r>
        <mc:AlternateContent>
          <mc:Choice Requires="wps">
            <w:drawing>
              <wp:anchor distT="321945" distB="12700" distL="0" distR="0" simplePos="0" relativeHeight="125829406" behindDoc="0" locked="0" layoutInCell="1" allowOverlap="1">
                <wp:simplePos x="0" y="0"/>
                <wp:positionH relativeFrom="page">
                  <wp:posOffset>2219325</wp:posOffset>
                </wp:positionH>
                <wp:positionV relativeFrom="paragraph">
                  <wp:posOffset>321945</wp:posOffset>
                </wp:positionV>
                <wp:extent cx="1395730" cy="347345"/>
                <wp:wrapTopAndBottom/>
                <wp:docPr id="50" name="Shape 50"/>
                <a:graphic xmlns:a="http://schemas.openxmlformats.org/drawingml/2006/main">
                  <a:graphicData uri="http://schemas.microsoft.com/office/word/2010/wordprocessingShape">
                    <wps:wsp>
                      <wps:cNvSpPr txBox="1"/>
                      <wps:spPr>
                        <a:xfrm>
                          <a:ext cx="1395730" cy="347345"/>
                        </a:xfrm>
                        <a:prstGeom prst="rect"/>
                        <a:noFill/>
                      </wps:spPr>
                      <wps:txbx>
                        <w:txbxContent>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凯恒中心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xbxContent>
                      </wps:txbx>
                      <wps:bodyPr lIns="0" tIns="0" rIns="0" bIns="0">
                        <a:noAutoFit/>
                      </wps:bodyPr>
                    </wps:wsp>
                  </a:graphicData>
                </a:graphic>
              </wp:anchor>
            </w:drawing>
          </mc:Choice>
          <mc:Fallback>
            <w:pict>
              <v:shape id="_x0000_s1076" type="#_x0000_t202" style="position:absolute;margin-left:174.75pt;margin-top:25.350000000000001pt;width:109.90000000000001pt;height:27.350000000000001pt;z-index:-125829347;mso-wrap-distance-left:0;mso-wrap-distance-top:25.350000000000001pt;mso-wrap-distance-right:0;mso-wrap-distance-bottom:1.pt;mso-position-horizontal-relative:page" filled="f" stroked="f">
                <v:textbox inset="0,0,0,0">
                  <w:txbxContent>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凯恒中心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xbxContent>
                </v:textbox>
                <w10:wrap type="topAndBottom" anchorx="page"/>
              </v:shape>
            </w:pict>
          </mc:Fallback>
        </mc:AlternateContent>
      </w:r>
      <w:r>
        <mc:AlternateContent>
          <mc:Choice Requires="wps">
            <w:drawing>
              <wp:anchor distT="422910" distB="113030" distL="0" distR="0" simplePos="0" relativeHeight="125829408" behindDoc="0" locked="0" layoutInCell="1" allowOverlap="1">
                <wp:simplePos x="0" y="0"/>
                <wp:positionH relativeFrom="page">
                  <wp:posOffset>4029710</wp:posOffset>
                </wp:positionH>
                <wp:positionV relativeFrom="paragraph">
                  <wp:posOffset>422910</wp:posOffset>
                </wp:positionV>
                <wp:extent cx="819785" cy="146050"/>
                <wp:wrapTopAndBottom/>
                <wp:docPr id="52" name="Shape 52"/>
                <a:graphic xmlns:a="http://schemas.openxmlformats.org/drawingml/2006/main">
                  <a:graphicData uri="http://schemas.microsoft.com/office/word/2010/wordprocessingShape">
                    <wps:wsp>
                      <wps:cNvSpPr txBox="1"/>
                      <wps:spPr>
                        <a:xfrm>
                          <a:ext cx="8197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闫明庆、曾琨杰</w:t>
                            </w:r>
                          </w:p>
                        </w:txbxContent>
                      </wps:txbx>
                      <wps:bodyPr wrap="none" lIns="0" tIns="0" rIns="0" bIns="0">
                        <a:noAutoFit/>
                      </wps:bodyPr>
                    </wps:wsp>
                  </a:graphicData>
                </a:graphic>
              </wp:anchor>
            </w:drawing>
          </mc:Choice>
          <mc:Fallback>
            <w:pict>
              <v:shape id="_x0000_s1078" type="#_x0000_t202" style="position:absolute;margin-left:317.30000000000001pt;margin-top:33.299999999999997pt;width:64.549999999999997pt;height:11.5pt;z-index:-125829345;mso-wrap-distance-left:0;mso-wrap-distance-top:33.299999999999997pt;mso-wrap-distance-right:0;mso-wrap-distance-bottom:8.9000000000000004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闫明庆、曾琨杰</w:t>
                      </w:r>
                    </w:p>
                  </w:txbxContent>
                </v:textbox>
                <w10:wrap type="topAndBottom" anchorx="page"/>
              </v:shape>
            </w:pict>
          </mc:Fallback>
        </mc:AlternateContent>
      </w:r>
      <w:r>
        <mc:AlternateContent>
          <mc:Choice Requires="wps">
            <w:drawing>
              <wp:anchor distT="309880" distB="0" distL="0" distR="0" simplePos="0" relativeHeight="125829410" behindDoc="0" locked="0" layoutInCell="1" allowOverlap="1">
                <wp:simplePos x="0" y="0"/>
                <wp:positionH relativeFrom="page">
                  <wp:posOffset>5462270</wp:posOffset>
                </wp:positionH>
                <wp:positionV relativeFrom="paragraph">
                  <wp:posOffset>309880</wp:posOffset>
                </wp:positionV>
                <wp:extent cx="975360" cy="372110"/>
                <wp:wrapTopAndBottom/>
                <wp:docPr id="54" name="Shape 54"/>
                <a:graphic xmlns:a="http://schemas.openxmlformats.org/drawingml/2006/main">
                  <a:graphicData uri="http://schemas.microsoft.com/office/word/2010/wordprocessingShape">
                    <wps:wsp>
                      <wps:cNvSpPr txBox="1"/>
                      <wps:spPr>
                        <a:xfrm>
                          <a:ext cx="975360" cy="372110"/>
                        </a:xfrm>
                        <a:prstGeom prst="rect"/>
                        <a:noFill/>
                      </wps:spPr>
                      <wps:txbx>
                        <w:txbxContent>
                          <w:p>
                            <w:pPr>
                              <w:pStyle w:val="Style3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2018</w:t>
                            </w:r>
                            <w:r>
                              <w:rPr>
                                <w:rFonts w:ascii="SimSun" w:eastAsia="SimSun" w:hAnsi="SimSun" w:cs="SimSun"/>
                                <w:color w:val="000000"/>
                                <w:spacing w:val="0"/>
                                <w:w w:val="100"/>
                                <w:position w:val="0"/>
                                <w:sz w:val="15"/>
                                <w:szCs w:val="15"/>
                              </w:rPr>
                              <w:t>年</w:t>
                            </w:r>
                            <w:r>
                              <w:rPr>
                                <w:color w:val="000000"/>
                                <w:spacing w:val="0"/>
                                <w:w w:val="100"/>
                                <w:position w:val="0"/>
                              </w:rPr>
                              <w:t>1</w:t>
                            </w:r>
                            <w:r>
                              <w:rPr>
                                <w:rFonts w:ascii="SimSun" w:eastAsia="SimSun" w:hAnsi="SimSun" w:cs="SimSun"/>
                                <w:color w:val="000000"/>
                                <w:spacing w:val="0"/>
                                <w:w w:val="100"/>
                                <w:position w:val="0"/>
                                <w:sz w:val="15"/>
                                <w:szCs w:val="15"/>
                              </w:rPr>
                              <w:t>月</w:t>
                            </w:r>
                            <w:r>
                              <w:rPr>
                                <w:color w:val="000000"/>
                                <w:spacing w:val="0"/>
                                <w:w w:val="100"/>
                                <w:position w:val="0"/>
                              </w:rPr>
                              <w:t>9</w:t>
                            </w:r>
                            <w:r>
                              <w:rPr>
                                <w:rFonts w:ascii="SimSun" w:eastAsia="SimSun" w:hAnsi="SimSun" w:cs="SimSun"/>
                                <w:color w:val="000000"/>
                                <w:spacing w:val="0"/>
                                <w:w w:val="100"/>
                                <w:position w:val="0"/>
                                <w:sz w:val="15"/>
                                <w:szCs w:val="15"/>
                              </w:rPr>
                              <w:t>日</w:t>
                            </w:r>
                            <w:r>
                              <w:rPr>
                                <w:color w:val="000000"/>
                                <w:spacing w:val="0"/>
                                <w:w w:val="100"/>
                                <w:position w:val="0"/>
                              </w:rPr>
                              <w:t>-</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2021</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txbxContent>
                      </wps:txbx>
                      <wps:bodyPr lIns="0" tIns="0" rIns="0" bIns="0">
                        <a:noAutoFit/>
                      </wps:bodyPr>
                    </wps:wsp>
                  </a:graphicData>
                </a:graphic>
              </wp:anchor>
            </w:drawing>
          </mc:Choice>
          <mc:Fallback>
            <w:pict>
              <v:shape id="_x0000_s1080" type="#_x0000_t202" style="position:absolute;margin-left:430.10000000000002pt;margin-top:24.400000000000002pt;width:76.799999999999997pt;height:29.300000000000001pt;z-index:-125829343;mso-wrap-distance-left:0;mso-wrap-distance-top:24.400000000000002pt;mso-wrap-distance-right:0;mso-position-horizontal-relative:page" filled="f" stroked="f">
                <v:textbox inset="0,0,0,0">
                  <w:txbxContent>
                    <w:p>
                      <w:pPr>
                        <w:pStyle w:val="Style3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2018</w:t>
                      </w:r>
                      <w:r>
                        <w:rPr>
                          <w:rFonts w:ascii="SimSun" w:eastAsia="SimSun" w:hAnsi="SimSun" w:cs="SimSun"/>
                          <w:color w:val="000000"/>
                          <w:spacing w:val="0"/>
                          <w:w w:val="100"/>
                          <w:position w:val="0"/>
                          <w:sz w:val="15"/>
                          <w:szCs w:val="15"/>
                        </w:rPr>
                        <w:t>年</w:t>
                      </w:r>
                      <w:r>
                        <w:rPr>
                          <w:color w:val="000000"/>
                          <w:spacing w:val="0"/>
                          <w:w w:val="100"/>
                          <w:position w:val="0"/>
                        </w:rPr>
                        <w:t>1</w:t>
                      </w:r>
                      <w:r>
                        <w:rPr>
                          <w:rFonts w:ascii="SimSun" w:eastAsia="SimSun" w:hAnsi="SimSun" w:cs="SimSun"/>
                          <w:color w:val="000000"/>
                          <w:spacing w:val="0"/>
                          <w:w w:val="100"/>
                          <w:position w:val="0"/>
                          <w:sz w:val="15"/>
                          <w:szCs w:val="15"/>
                        </w:rPr>
                        <w:t>月</w:t>
                      </w:r>
                      <w:r>
                        <w:rPr>
                          <w:color w:val="000000"/>
                          <w:spacing w:val="0"/>
                          <w:w w:val="100"/>
                          <w:position w:val="0"/>
                        </w:rPr>
                        <w:t>9</w:t>
                      </w:r>
                      <w:r>
                        <w:rPr>
                          <w:rFonts w:ascii="SimSun" w:eastAsia="SimSun" w:hAnsi="SimSun" w:cs="SimSun"/>
                          <w:color w:val="000000"/>
                          <w:spacing w:val="0"/>
                          <w:w w:val="100"/>
                          <w:position w:val="0"/>
                          <w:sz w:val="15"/>
                          <w:szCs w:val="15"/>
                        </w:rPr>
                        <w:t>日</w:t>
                      </w:r>
                      <w:r>
                        <w:rPr>
                          <w:color w:val="000000"/>
                          <w:spacing w:val="0"/>
                          <w:w w:val="100"/>
                          <w:position w:val="0"/>
                        </w:rPr>
                        <w:t>-</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2021</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w:t>
                      </w:r>
                    </w:p>
                  </w:txbxContent>
                </v:textbox>
                <w10:wrap type="topAndBottom" anchorx="page"/>
              </v:shape>
            </w:pict>
          </mc:Fallback>
        </mc:AlternateContent>
      </w:r>
    </w:p>
    <w:p>
      <w:pPr>
        <w:pStyle w:val="Style31"/>
        <w:keepNext w:val="0"/>
        <w:keepLines w:val="0"/>
        <w:widowControl w:val="0"/>
        <w:pBdr>
          <w:top w:val="single" w:sz="4" w:space="0" w:color="auto"/>
        </w:pBdr>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五</w:t>
      </w:r>
      <w:bookmarkEnd w:id="21"/>
      <w:r>
        <w:rPr>
          <w:color w:val="000000"/>
          <w:spacing w:val="0"/>
          <w:w w:val="100"/>
          <w:position w:val="0"/>
          <w:sz w:val="24"/>
          <w:szCs w:val="24"/>
        </w:rPr>
        <w:t>、主要会计数据和财务指标</w:t>
      </w:r>
      <w:bookmarkEnd w:id="19"/>
      <w:bookmarkEnd w:id="20"/>
      <w:bookmarkEnd w:id="2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08"/>
        <w:gridCol w:w="1742"/>
        <w:gridCol w:w="1608"/>
        <w:gridCol w:w="1872"/>
        <w:gridCol w:w="1546"/>
      </w:tblGrid>
      <w:tr>
        <w:trPr>
          <w:trHeight w:val="437"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本年比上年增减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rFonts w:ascii="Times New Roman" w:eastAsia="Times New Roman" w:hAnsi="Times New Roman" w:cs="Times New Roman"/>
                <w:b/>
                <w:bCs/>
                <w:color w:val="FFFFFF"/>
                <w:spacing w:val="0"/>
                <w:w w:val="100"/>
                <w:position w:val="0"/>
                <w:sz w:val="18"/>
                <w:szCs w:val="18"/>
              </w:rPr>
              <w:t xml:space="preserve">2018 </w:t>
            </w:r>
            <w:r>
              <w:rPr>
                <w:b/>
                <w:bCs/>
                <w:color w:val="FFFFFF"/>
                <w:spacing w:val="0"/>
                <w:w w:val="100"/>
                <w:position w:val="0"/>
              </w:rPr>
              <w:t>年</w:t>
            </w:r>
          </w:p>
        </w:tc>
      </w:tr>
      <w:tr>
        <w:trPr>
          <w:trHeight w:val="403"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506" w:val="left"/>
              </w:tabs>
              <w:bidi w:val="0"/>
              <w:spacing w:before="0" w:after="0" w:line="240" w:lineRule="auto"/>
              <w:ind w:left="0" w:right="0" w:firstLine="0"/>
              <w:jc w:val="left"/>
            </w:pPr>
            <w:r>
              <w:rPr>
                <w:b/>
                <w:bCs/>
                <w:color w:val="FFFFFF"/>
                <w:spacing w:val="0"/>
                <w:w w:val="100"/>
                <w:position w:val="0"/>
              </w:rPr>
              <w:t>营业收入（元）</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353,384,194.29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630,556,651.24</w:t>
            </w:r>
          </w:p>
        </w:tc>
      </w:tr>
      <w:tr>
        <w:trPr>
          <w:trHeight w:val="557" w:hRule="exact"/>
        </w:trPr>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b/>
                <w:bCs/>
                <w:color w:val="FFFFFF"/>
                <w:spacing w:val="0"/>
                <w:w w:val="100"/>
                <w:position w:val="0"/>
                <w:sz w:val="15"/>
                <w:szCs w:val="15"/>
              </w:rPr>
              <w:t>归属于上市公司股东的净利润</w:t>
            </w:r>
            <w:r>
              <w:rPr>
                <w:rFonts w:ascii="Times New Roman" w:eastAsia="Times New Roman" w:hAnsi="Times New Roman" w:cs="Times New Roman"/>
                <w:color w:val="FFFFFF"/>
                <w:spacing w:val="0"/>
                <w:w w:val="100"/>
                <w:position w:val="0"/>
                <w:sz w:val="18"/>
                <w:szCs w:val="18"/>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（元）</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-92,950,034.98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27,028,850.55</w:t>
            </w:r>
          </w:p>
        </w:tc>
      </w:tr>
      <w:tr>
        <w:trPr>
          <w:trHeight w:val="557"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510" w:val="left"/>
              </w:tabs>
              <w:bidi w:val="0"/>
              <w:spacing w:before="0" w:after="0" w:line="235" w:lineRule="exact"/>
              <w:ind w:left="0" w:right="0" w:firstLine="0"/>
              <w:jc w:val="left"/>
            </w:pPr>
            <w:r>
              <w:rPr>
                <w:b/>
                <w:bCs/>
                <w:color w:val="FFFFFF"/>
                <w:spacing w:val="0"/>
                <w:w w:val="100"/>
                <w:position w:val="0"/>
              </w:rPr>
              <w:t>归属于上市公司股东的扣除非</w:t>
            </w:r>
            <w:r>
              <w:rPr>
                <w:b/>
                <w:bCs/>
                <w:color w:val="FFFFFF"/>
                <w:spacing w:val="0"/>
                <w:w w:val="100"/>
                <w:position w:val="0"/>
              </w:rPr>
              <w:t xml:space="preserve">■ </w:t>
            </w:r>
            <w:r>
              <w:rPr>
                <w:b/>
                <w:bCs/>
                <w:color w:val="FFFFFF"/>
                <w:spacing w:val="0"/>
                <w:w w:val="100"/>
                <w:position w:val="0"/>
              </w:rPr>
              <w:t>经常性损益的净利润（元）</w:t>
              <w:tab/>
            </w:r>
            <w:r>
              <w:rPr>
                <w:b/>
                <w:bCs/>
                <w:color w:val="FFFFFF"/>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-69,142,725.99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-95,653,362.33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18,493,065.83</w:t>
            </w:r>
          </w:p>
        </w:tc>
      </w:tr>
      <w:tr>
        <w:trPr>
          <w:trHeight w:val="557" w:hRule="exact"/>
        </w:trPr>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6" w:lineRule="exact"/>
              <w:ind w:left="0" w:right="0" w:firstLine="0"/>
              <w:jc w:val="left"/>
            </w:pPr>
            <w:r>
              <w:rPr>
                <w:b/>
                <w:bCs/>
                <w:color w:val="FFFFFF"/>
                <w:spacing w:val="0"/>
                <w:w w:val="100"/>
                <w:position w:val="0"/>
              </w:rPr>
              <w:t>经营活动产生的现金流量净额</w:t>
            </w:r>
            <w:r>
              <w:rPr>
                <w:rFonts w:ascii="Times New Roman" w:eastAsia="Times New Roman" w:hAnsi="Times New Roman" w:cs="Times New Roman"/>
                <w:color w:val="FFFFFF"/>
                <w:spacing w:val="0"/>
                <w:w w:val="100"/>
                <w:position w:val="0"/>
                <w:sz w:val="18"/>
                <w:szCs w:val="18"/>
              </w:rPr>
              <w:t xml:space="preserve">I </w:t>
            </w:r>
            <w:r>
              <w:rPr>
                <w:b/>
                <w:bCs/>
                <w:color w:val="FFFFFF"/>
                <w:spacing w:val="0"/>
                <w:w w:val="100"/>
                <w:position w:val="0"/>
              </w:rPr>
              <w:t>（元）</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-88,827,244.71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-52,761,828.96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-68.36%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50,381,172.15</w:t>
            </w:r>
          </w:p>
        </w:tc>
      </w:tr>
      <w:tr>
        <w:trPr>
          <w:trHeight w:val="408"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486" w:val="left"/>
              </w:tabs>
              <w:bidi w:val="0"/>
              <w:spacing w:before="0" w:after="0" w:line="240" w:lineRule="auto"/>
              <w:ind w:left="0" w:right="0" w:firstLine="0"/>
              <w:jc w:val="left"/>
            </w:pPr>
            <w:r>
              <w:rPr>
                <w:b/>
                <w:bCs/>
                <w:color w:val="FFFFFF"/>
                <w:spacing w:val="0"/>
                <w:w w:val="100"/>
                <w:position w:val="0"/>
              </w:rPr>
              <w:t>基本每股收益（元</w:t>
            </w:r>
            <w:r>
              <w:rPr>
                <w:rFonts w:ascii="Times New Roman" w:eastAsia="Times New Roman" w:hAnsi="Times New Roman" w:cs="Times New Roman"/>
                <w:color w:val="FFFFFF"/>
                <w:spacing w:val="0"/>
                <w:w w:val="100"/>
                <w:position w:val="0"/>
                <w:sz w:val="18"/>
                <w:szCs w:val="18"/>
              </w:rPr>
              <w:t>/</w:t>
            </w:r>
            <w:r>
              <w:rPr>
                <w:b/>
                <w:bCs/>
                <w:color w:val="FFFFFF"/>
                <w:spacing w:val="0"/>
                <w:w w:val="100"/>
                <w:position w:val="0"/>
              </w:rPr>
              <w:t>股）</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稀释每股收益（元</w:t>
            </w:r>
            <w:r>
              <w:rPr>
                <w:rFonts w:ascii="Times New Roman" w:eastAsia="Times New Roman" w:hAnsi="Times New Roman" w:cs="Times New Roman"/>
                <w:color w:val="FFFFFF"/>
                <w:spacing w:val="0"/>
                <w:w w:val="100"/>
                <w:position w:val="0"/>
                <w:sz w:val="18"/>
                <w:szCs w:val="18"/>
              </w:rPr>
              <w:t>/</w:t>
            </w:r>
            <w:r>
              <w:rPr>
                <w:b/>
                <w:bCs/>
                <w:color w:val="FFFFFF"/>
                <w:spacing w:val="0"/>
                <w:w w:val="100"/>
                <w:position w:val="0"/>
              </w:rPr>
              <w:t>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8" w:hRule="exact"/>
        </w:trPr>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486" w:val="left"/>
              </w:tabs>
              <w:bidi w:val="0"/>
              <w:spacing w:before="0" w:after="0" w:line="240" w:lineRule="auto"/>
              <w:ind w:left="0" w:right="0" w:firstLine="0"/>
              <w:jc w:val="left"/>
            </w:pPr>
            <w:r>
              <w:rPr>
                <w:b/>
                <w:bCs/>
                <w:color w:val="FFFFFF"/>
                <w:spacing w:val="0"/>
                <w:w w:val="100"/>
                <w:position w:val="0"/>
              </w:rPr>
              <w:t>加权平均净资产收益率</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-38.52%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r>
      <w:tr>
        <w:trPr>
          <w:trHeight w:val="408"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本年比上年增减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2018</w:t>
            </w:r>
            <w:r>
              <w:rPr>
                <w:b/>
                <w:bCs/>
                <w:color w:val="FFFFFF"/>
                <w:spacing w:val="0"/>
                <w:w w:val="100"/>
                <w:position w:val="0"/>
              </w:rPr>
              <w:t>年末</w:t>
            </w:r>
          </w:p>
        </w:tc>
      </w:tr>
      <w:tr>
        <w:trPr>
          <w:trHeight w:val="403"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501" w:val="left"/>
              </w:tabs>
              <w:bidi w:val="0"/>
              <w:spacing w:before="0" w:after="0" w:line="240" w:lineRule="auto"/>
              <w:ind w:left="0" w:right="0" w:firstLine="0"/>
              <w:jc w:val="left"/>
            </w:pPr>
            <w:r>
              <w:rPr>
                <w:b/>
                <w:bCs/>
                <w:color w:val="FFFFFF"/>
                <w:spacing w:val="0"/>
                <w:w w:val="100"/>
                <w:position w:val="0"/>
              </w:rPr>
              <w:t>资产总额（元）</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271,707,158.53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347,043,957.37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471,418,956.15</w:t>
            </w:r>
          </w:p>
        </w:tc>
      </w:tr>
      <w:tr>
        <w:trPr>
          <w:trHeight w:val="586" w:hRule="exact"/>
        </w:trPr>
        <w:tc>
          <w:tcPr>
            <w:tcBorders>
              <w:top w:val="single" w:sz="4"/>
              <w:bottom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归属于上市公司股东的净资产</w:t>
            </w:r>
            <w:r>
              <w:rPr>
                <w:rFonts w:ascii="Times New Roman" w:eastAsia="Times New Roman" w:hAnsi="Times New Roman" w:cs="Times New Roman"/>
                <w:color w:val="FFFFFF"/>
                <w:spacing w:val="0"/>
                <w:w w:val="100"/>
                <w:position w:val="0"/>
                <w:sz w:val="18"/>
                <w:szCs w:val="18"/>
              </w:rPr>
              <w:t xml:space="preserve">I </w:t>
            </w:r>
            <w:r>
              <w:rPr>
                <w:b/>
                <w:bCs/>
                <w:color w:val="FFFFFF"/>
                <w:spacing w:val="0"/>
                <w:w w:val="100"/>
                <w:position w:val="0"/>
              </w:rPr>
              <w:t>（元）</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271,019,047.10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-32.20%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403,071,971.49</w:t>
            </w:r>
          </w:p>
        </w:tc>
      </w:tr>
    </w:tbl>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323"/>
        <w:gridCol w:w="2856"/>
        <w:gridCol w:w="2002"/>
        <w:gridCol w:w="2395"/>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备注</w:t>
            </w:r>
          </w:p>
        </w:tc>
      </w:tr>
      <w:tr>
        <w:trPr>
          <w:trHeight w:val="60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营业收入（元）</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353,384,194.29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公司的主营业务收入</w:t>
            </w:r>
          </w:p>
        </w:tc>
      </w:tr>
    </w:tbl>
    <w:p>
      <w:pPr>
        <w:widowControl w:val="0"/>
        <w:spacing w:line="1" w:lineRule="exact"/>
      </w:pPr>
      <w:r>
        <w:br w:type="page"/>
      </w:r>
    </w:p>
    <w:tbl>
      <w:tblPr>
        <w:tblOverlap w:val="never"/>
        <w:jc w:val="center"/>
        <w:tblLayout w:type="fixed"/>
      </w:tblPr>
      <w:tblGrid>
        <w:gridCol w:w="2405"/>
        <w:gridCol w:w="2789"/>
        <w:gridCol w:w="1997"/>
        <w:gridCol w:w="240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备注</w:t>
            </w:r>
          </w:p>
        </w:tc>
      </w:tr>
      <w:tr>
        <w:trPr>
          <w:trHeight w:val="57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营业收入扣除金额（元）</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7,298,642.70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6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营业收入扣除后金额（元）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475,137,934.69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346,085,551.59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公司的主营业务收入</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六</w:t>
      </w:r>
      <w:bookmarkEnd w:id="25"/>
      <w:r>
        <w:rPr>
          <w:color w:val="000000"/>
          <w:spacing w:val="0"/>
          <w:w w:val="100"/>
          <w:position w:val="0"/>
          <w:sz w:val="24"/>
          <w:szCs w:val="24"/>
        </w:rPr>
        <w:t>、分季度主要财务指标</w:t>
      </w:r>
      <w:bookmarkEnd w:id="23"/>
      <w:bookmarkEnd w:id="24"/>
      <w:bookmarkEnd w:id="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939"/>
        <w:gridCol w:w="1742"/>
        <w:gridCol w:w="1733"/>
        <w:gridCol w:w="1541"/>
      </w:tblGrid>
      <w:tr>
        <w:trPr>
          <w:trHeight w:val="437"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b/>
                <w:bCs/>
                <w:color w:val="FFFFFF"/>
                <w:spacing w:val="0"/>
                <w:w w:val="100"/>
                <w:position w:val="0"/>
              </w:rPr>
              <w:t>第一季度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第二季度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第三季度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第四季度</w:t>
            </w:r>
          </w:p>
        </w:tc>
      </w:tr>
      <w:tr>
        <w:trPr>
          <w:trHeight w:val="62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45,399,950.99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198,015,213.42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95,595,410.36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149,907,929.09</w:t>
            </w:r>
          </w:p>
        </w:tc>
      </w:tr>
      <w:tr>
        <w:trPr>
          <w:trHeight w:val="63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归属于上市公司股东的净利润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-16,512,160.93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-3,394,718.33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-6,653,337.85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-60,936,907.10</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left"/>
            </w:pPr>
            <w:r>
              <w:rPr>
                <w:b/>
                <w:bCs/>
                <w:color w:val="FFFFFF"/>
                <w:spacing w:val="0"/>
                <w:w w:val="100"/>
                <w:position w:val="0"/>
              </w:rPr>
              <w:t>归属于上市公司股东的扣除非 经常性损益的净利润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-18,518,739.70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-3,478,134.00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-6,524,596.55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-40,621,255.74</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经营活动产生的现金流量净额</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-15,220,951.53</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-56,278,082.82</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34,167,000.93</w:t>
            </w:r>
          </w:p>
        </w:tc>
        <w:tc>
          <w:tcPr>
            <w:tcBorders>
              <w:top w:val="single" w:sz="4"/>
              <w:bottom w:val="single" w:sz="4"/>
            </w:tcBorders>
            <w:shd w:val="clear" w:color="auto" w:fill="F9ECF3"/>
            <w:vAlign w:val="top"/>
          </w:tcPr>
          <w:p>
            <w:pPr>
              <w:pStyle w:val="Style2"/>
              <w:keepNext w:val="0"/>
              <w:keepLines w:val="0"/>
              <w:widowControl w:val="0"/>
              <w:shd w:val="clear" w:color="auto" w:fill="auto"/>
              <w:bidi w:val="0"/>
              <w:spacing w:before="8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-51,495,211.29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522" w:val="left"/>
        </w:tabs>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七</w:t>
      </w:r>
      <w:bookmarkEnd w:id="29"/>
      <w:r>
        <w:rPr>
          <w:color w:val="000000"/>
          <w:spacing w:val="0"/>
          <w:w w:val="100"/>
          <w:position w:val="0"/>
          <w:sz w:val="24"/>
          <w:szCs w:val="24"/>
        </w:rPr>
        <w:t>、</w:t>
        <w:tab/>
        <w:t>境内外会计准则下会计数据差异</w:t>
      </w:r>
      <w:bookmarkEnd w:id="27"/>
      <w:bookmarkEnd w:id="28"/>
      <w:bookmarkEnd w:id="30"/>
    </w:p>
    <w:p>
      <w:pPr>
        <w:pStyle w:val="Style49"/>
        <w:keepNext/>
        <w:keepLines/>
        <w:widowControl w:val="0"/>
        <w:shd w:val="clear" w:color="auto" w:fill="auto"/>
        <w:tabs>
          <w:tab w:pos="403" w:val="left"/>
        </w:tabs>
        <w:bidi w:val="0"/>
        <w:spacing w:before="0" w:line="240" w:lineRule="auto"/>
        <w:ind w:left="0" w:right="0" w:firstLine="0"/>
        <w:jc w:val="left"/>
      </w:pPr>
      <w:bookmarkStart w:id="31" w:name="bookmark31"/>
      <w:bookmarkStart w:id="32" w:name="bookmark32"/>
      <w:bookmarkStart w:id="33" w:name="bookmark33"/>
      <w:bookmarkStart w:id="34" w:name="bookmark34"/>
      <w:r>
        <w:rPr>
          <w:rFonts w:ascii="Times New Roman" w:eastAsia="Times New Roman" w:hAnsi="Times New Roman" w:cs="Times New Roman"/>
          <w:color w:val="000000"/>
          <w:spacing w:val="0"/>
          <w:w w:val="100"/>
          <w:position w:val="0"/>
        </w:rPr>
        <w:t>1</w:t>
      </w:r>
      <w:bookmarkEnd w:id="33"/>
      <w:r>
        <w:rPr>
          <w:color w:val="000000"/>
          <w:spacing w:val="0"/>
          <w:w w:val="100"/>
          <w:position w:val="0"/>
        </w:rPr>
        <w:t>、</w:t>
        <w:tab/>
        <w:t>同时按照国际会计准则与按照中国会计准则披露的财务报告中净利润和净资产差异情况</w:t>
      </w:r>
      <w:bookmarkEnd w:id="31"/>
      <w:bookmarkEnd w:id="32"/>
      <w:bookmarkEnd w:id="3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9"/>
        <w:keepNext/>
        <w:keepLines/>
        <w:widowControl w:val="0"/>
        <w:shd w:val="clear" w:color="auto" w:fill="auto"/>
        <w:tabs>
          <w:tab w:pos="403"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2</w:t>
      </w:r>
      <w:bookmarkEnd w:id="37"/>
      <w:r>
        <w:rPr>
          <w:color w:val="000000"/>
          <w:spacing w:val="0"/>
          <w:w w:val="100"/>
          <w:position w:val="0"/>
        </w:rPr>
        <w:t>、</w:t>
        <w:tab/>
        <w:t>同时按照境外会计准则与按照中国会计准则披露的财务报告中净利润和净资产差异情况</w:t>
      </w:r>
      <w:bookmarkEnd w:id="35"/>
      <w:bookmarkEnd w:id="36"/>
      <w:bookmarkEnd w:id="3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9"/>
        <w:keepNext/>
        <w:keepLines/>
        <w:widowControl w:val="0"/>
        <w:shd w:val="clear" w:color="auto" w:fill="auto"/>
        <w:tabs>
          <w:tab w:pos="522" w:val="left"/>
        </w:tabs>
        <w:bidi w:val="0"/>
        <w:spacing w:before="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八</w:t>
      </w:r>
      <w:bookmarkEnd w:id="41"/>
      <w:r>
        <w:rPr>
          <w:color w:val="000000"/>
          <w:spacing w:val="0"/>
          <w:w w:val="100"/>
          <w:position w:val="0"/>
          <w:sz w:val="24"/>
          <w:szCs w:val="24"/>
        </w:rPr>
        <w:t>、</w:t>
        <w:tab/>
        <w:t>非经常性损益项目及金额</w:t>
      </w:r>
      <w:bookmarkEnd w:id="39"/>
      <w:bookmarkEnd w:id="40"/>
      <w:bookmarkEnd w:id="4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21"/>
        <w:gridCol w:w="1445"/>
        <w:gridCol w:w="1291"/>
        <w:gridCol w:w="1301"/>
        <w:gridCol w:w="1714"/>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2018</w:t>
            </w:r>
            <w:r>
              <w:rPr>
                <w:b/>
                <w:bCs/>
                <w:color w:val="FFFFFF"/>
                <w:spacing w:val="0"/>
                <w:w w:val="100"/>
                <w:position w:val="0"/>
              </w:rPr>
              <w:t>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说明</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非流动资产处置损益（包括已计提资产减值准 备的冲销部分）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-6,505,741.09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-4,559,815.46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-1,655,072.32</w:t>
            </w:r>
          </w:p>
        </w:tc>
        <w:tc>
          <w:tcPr>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主要为非流动资产 处置损益</w:t>
            </w:r>
          </w:p>
        </w:tc>
      </w:tr>
      <w:tr>
        <w:trPr>
          <w:trHeight w:val="80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计入当期损益的政府补助（与企业业务密切相 关，按照国家统一标准定额或定量享受的政府 补助除外）</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2,382,000.00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3,189,500.00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10,207,566.67</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政府扶持资金</w:t>
            </w:r>
          </w:p>
        </w:tc>
      </w:tr>
    </w:tbl>
    <w:p>
      <w:pPr>
        <w:widowControl w:val="0"/>
        <w:spacing w:line="1" w:lineRule="exact"/>
      </w:pPr>
      <w:r>
        <w:br w:type="page"/>
      </w:r>
    </w:p>
    <w:tbl>
      <w:tblPr>
        <w:tblOverlap w:val="never"/>
        <w:jc w:val="center"/>
        <w:tblLayout w:type="fixed"/>
      </w:tblPr>
      <w:tblGrid>
        <w:gridCol w:w="3826"/>
        <w:gridCol w:w="1450"/>
        <w:gridCol w:w="1296"/>
        <w:gridCol w:w="1291"/>
        <w:gridCol w:w="1714"/>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2018</w:t>
            </w:r>
            <w:r>
              <w:rPr>
                <w:b/>
                <w:bCs/>
                <w:color w:val="FFFFFF"/>
                <w:spacing w:val="0"/>
                <w:w w:val="100"/>
                <w:position w:val="0"/>
              </w:rPr>
              <w:t>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说明</w:t>
            </w:r>
          </w:p>
        </w:tc>
      </w:tr>
      <w:tr>
        <w:trPr>
          <w:trHeight w:val="148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除同公司正常经营业务相关的有效套期保值 业务外，持有交易性金融资产、衍生金融资产、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914,017.12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5,094,624.04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3,854,510.58</w:t>
            </w:r>
          </w:p>
        </w:tc>
        <w:tc>
          <w:tcPr>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交易性金融资产投 资取得的投资收益</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其他符合非经常性损益定义的损益项目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-523,891.41</w:t>
            </w:r>
          </w:p>
        </w:tc>
        <w:tc>
          <w:tcPr>
            <w:tcBorders>
              <w:top w:val="single" w:sz="4"/>
            </w:tcBorders>
            <w:shd w:val="clear" w:color="auto" w:fill="F9ECF3"/>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预计诉讼赔偿金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处置子公司的投资收益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-40,734.34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门店关闭及转让赔偿金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-10,501,545.38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违约无法收回的应收款项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-1,799,121.68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处置合伙企业的投资损失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除上述各项之外的其他营业外收入和支出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-906,167.19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-29,137.77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-502,067.23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处置某品牌授权维 修业务导致的营业 外支出</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减：所得税影响额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901,109.12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2,845,261.57</w:t>
            </w: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rPr>
                <w:sz w:val="18"/>
                <w:szCs w:val="18"/>
              </w:rPr>
            </w:pPr>
            <w:r>
              <w:rPr>
                <w:rFonts w:ascii="Times New Roman" w:eastAsia="Times New Roman" w:hAnsi="Times New Roman" w:cs="Times New Roman"/>
                <w:b/>
                <w:bCs/>
                <w:color w:val="FFFFFF"/>
                <w:spacing w:val="0"/>
                <w:w w:val="100"/>
                <w:position w:val="0"/>
                <w:sz w:val="18"/>
                <w:szCs w:val="18"/>
              </w:rPr>
              <w:t>-18,354,398.22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rPr>
                <w:sz w:val="18"/>
                <w:szCs w:val="18"/>
              </w:rPr>
            </w:pPr>
            <w:r>
              <w:rPr>
                <w:rFonts w:ascii="Times New Roman" w:eastAsia="Times New Roman" w:hAnsi="Times New Roman" w:cs="Times New Roman"/>
                <w:b/>
                <w:bCs/>
                <w:color w:val="FFFFFF"/>
                <w:spacing w:val="0"/>
                <w:w w:val="100"/>
                <w:position w:val="0"/>
                <w:sz w:val="18"/>
                <w:szCs w:val="18"/>
              </w:rPr>
              <w:t>2,703,327.35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both"/>
              <w:rPr>
                <w:sz w:val="18"/>
                <w:szCs w:val="18"/>
              </w:rPr>
            </w:pPr>
            <w:r>
              <w:rPr>
                <w:rFonts w:ascii="Times New Roman" w:eastAsia="Times New Roman" w:hAnsi="Times New Roman" w:cs="Times New Roman"/>
                <w:b/>
                <w:bCs/>
                <w:color w:val="FFFFFF"/>
                <w:spacing w:val="0"/>
                <w:w w:val="100"/>
                <w:position w:val="0"/>
                <w:sz w:val="18"/>
                <w:szCs w:val="18"/>
              </w:rPr>
              <w:t>8,535,784.72</w:t>
            </w:r>
          </w:p>
        </w:tc>
        <w:tc>
          <w:tcPr>
            <w:tcBorders/>
            <w:shd w:val="clear" w:color="auto" w:fill="A6A6A6"/>
            <w:vAlign w:val="top"/>
          </w:tcPr>
          <w:p>
            <w:pPr>
              <w:widowControl w:val="0"/>
              <w:rPr>
                <w:sz w:val="10"/>
                <w:szCs w:val="10"/>
              </w:rPr>
            </w:pP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type w:val="continuous"/>
          <w:pgSz w:w="11966" w:h="17375"/>
          <w:pgMar w:top="1703" w:right="1200" w:bottom="1756" w:left="9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22"/>
        <w:keepNext/>
        <w:keepLines/>
        <w:widowControl w:val="0"/>
        <w:shd w:val="clear" w:color="auto" w:fill="auto"/>
        <w:bidi w:val="0"/>
        <w:spacing w:before="600" w:after="560" w:line="240" w:lineRule="auto"/>
        <w:ind w:left="0" w:right="0" w:firstLine="0"/>
        <w:jc w:val="center"/>
      </w:pPr>
      <w:bookmarkStart w:id="43" w:name="bookmark43"/>
      <w:bookmarkStart w:id="44" w:name="bookmark44"/>
      <w:bookmarkStart w:id="45" w:name="bookmark45"/>
      <w:r>
        <w:rPr>
          <w:spacing w:val="0"/>
          <w:w w:val="100"/>
          <w:position w:val="0"/>
        </w:rPr>
        <w:t>第三节公司业务概要</w:t>
      </w:r>
      <w:bookmarkEnd w:id="43"/>
      <w:bookmarkEnd w:id="44"/>
      <w:bookmarkEnd w:id="45"/>
    </w:p>
    <w:p>
      <w:pPr>
        <w:pStyle w:val="Style39"/>
        <w:keepNext/>
        <w:keepLines/>
        <w:widowControl w:val="0"/>
        <w:shd w:val="clear" w:color="auto" w:fill="auto"/>
        <w:bidi w:val="0"/>
        <w:spacing w:before="0" w:after="1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一</w:t>
      </w:r>
      <w:bookmarkEnd w:id="48"/>
      <w:r>
        <w:rPr>
          <w:color w:val="000000"/>
          <w:spacing w:val="0"/>
          <w:w w:val="100"/>
          <w:position w:val="0"/>
          <w:sz w:val="24"/>
          <w:szCs w:val="24"/>
        </w:rPr>
        <w:t>、报告期内公司从事的主要业务</w:t>
      </w:r>
      <w:bookmarkEnd w:id="46"/>
      <w:bookmarkEnd w:id="47"/>
      <w:bookmarkEnd w:id="49"/>
    </w:p>
    <w:p>
      <w:pPr>
        <w:pStyle w:val="Style31"/>
        <w:keepNext w:val="0"/>
        <w:keepLines w:val="0"/>
        <w:widowControl w:val="0"/>
        <w:shd w:val="clear" w:color="auto" w:fill="auto"/>
        <w:tabs>
          <w:tab w:pos="911" w:val="left"/>
        </w:tabs>
        <w:bidi w:val="0"/>
        <w:spacing w:before="0" w:after="0" w:line="355" w:lineRule="exact"/>
        <w:ind w:left="0" w:right="0" w:firstLine="380"/>
        <w:jc w:val="both"/>
      </w:pPr>
      <w:bookmarkStart w:id="50" w:name="bookmark50"/>
      <w:r>
        <w:rPr>
          <w:color w:val="000000"/>
          <w:spacing w:val="0"/>
          <w:w w:val="100"/>
          <w:position w:val="0"/>
        </w:rPr>
        <w:t>（</w:t>
      </w:r>
      <w:bookmarkEnd w:id="50"/>
      <w:r>
        <w:rPr>
          <w:color w:val="000000"/>
          <w:spacing w:val="0"/>
          <w:w w:val="100"/>
          <w:position w:val="0"/>
        </w:rPr>
        <w:t>一）</w:t>
        <w:tab/>
        <w:t>公司主要业务</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公司专注于手机售后服务产业，通过实体门店连锁经营与电子商务经营相结合的模式，为消费者提供手机维修服务、商 品销售、二手机回收及销售、增值服务、手机保障服务以及其他手机相关服务。公司始终坚持以优质的服务为导向、以专业 的技术为支撑、以先进的模式为驱动，向消费者提供高效、专业、全面的覆盖手机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全生命周期的售后服务，向 大型手机品牌厂商提供稳定、无忧的售后支持，并努力成为中国</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产品售后服务领域一流的、全国性的、线上线下融合的 综合服务供应商。</w:t>
      </w:r>
    </w:p>
    <w:p>
      <w:pPr>
        <w:pStyle w:val="Style31"/>
        <w:keepNext w:val="0"/>
        <w:keepLines w:val="0"/>
        <w:widowControl w:val="0"/>
        <w:shd w:val="clear" w:color="auto" w:fill="auto"/>
        <w:bidi w:val="0"/>
        <w:spacing w:before="0" w:after="0" w:line="341" w:lineRule="exact"/>
        <w:ind w:left="0" w:right="0" w:firstLine="380"/>
        <w:jc w:val="both"/>
      </w:pPr>
      <w:r>
        <w:rPr>
          <w:color w:val="000000"/>
          <w:spacing w:val="0"/>
          <w:w w:val="100"/>
          <w:position w:val="0"/>
        </w:rPr>
        <w:t>公司先后与诺基亚、三星、华为、苹果等国内外主要的手机品牌生产厂商建立了长期的互信合作伙伴关系，从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 今，公司作为苹果公司授权售后服务商已超过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p>
      <w:pPr>
        <w:pStyle w:val="Style31"/>
        <w:keepNext w:val="0"/>
        <w:keepLines w:val="0"/>
        <w:widowControl w:val="0"/>
        <w:shd w:val="clear" w:color="auto" w:fill="auto"/>
        <w:bidi w:val="0"/>
        <w:spacing w:before="0" w:after="0" w:line="346" w:lineRule="exact"/>
        <w:ind w:left="0" w:right="0" w:firstLine="380"/>
        <w:jc w:val="both"/>
      </w:pPr>
      <w:r>
        <w:rPr>
          <w:color w:val="000000"/>
          <w:spacing w:val="0"/>
          <w:w w:val="100"/>
          <w:position w:val="0"/>
        </w:rPr>
        <w:t>公司业务范围遍布全国。截至报告期末，公司已经在北京、山东、浙江、江苏、河北、福建、广东、上海、湖北、湖南、 河南、山西等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个省、自治区和直辖市建有</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家手机售后服务连锁门店，发展加盟门店</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余家。</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历经</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年发展，公司已形成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（实体门店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四大渠道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运营商渠道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零售商渠道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加盟 商渠道）、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双线发展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（线上线下融合发展）的业务模式，可以为消费者提供多品牌、全方位的手机售后服务。</w:t>
      </w:r>
    </w:p>
    <w:p>
      <w:pPr>
        <w:pStyle w:val="Style31"/>
        <w:keepNext w:val="0"/>
        <w:keepLines w:val="0"/>
        <w:widowControl w:val="0"/>
        <w:shd w:val="clear" w:color="auto" w:fill="auto"/>
        <w:tabs>
          <w:tab w:pos="911" w:val="left"/>
        </w:tabs>
        <w:bidi w:val="0"/>
        <w:spacing w:before="0" w:after="0" w:line="355" w:lineRule="exact"/>
        <w:ind w:left="0" w:right="0" w:firstLine="380"/>
        <w:jc w:val="both"/>
      </w:pPr>
      <w:bookmarkStart w:id="51" w:name="bookmark51"/>
      <w:r>
        <w:rPr>
          <w:color w:val="000000"/>
          <w:spacing w:val="0"/>
          <w:w w:val="100"/>
          <w:position w:val="0"/>
        </w:rPr>
        <w:t>（</w:t>
      </w:r>
      <w:bookmarkEnd w:id="51"/>
      <w:r>
        <w:rPr>
          <w:color w:val="000000"/>
          <w:spacing w:val="0"/>
          <w:w w:val="100"/>
          <w:position w:val="0"/>
        </w:rPr>
        <w:t>二）</w:t>
        <w:tab/>
        <w:t>公司主要产品</w:t>
      </w:r>
    </w:p>
    <w:p>
      <w:pPr>
        <w:pStyle w:val="Style31"/>
        <w:keepNext w:val="0"/>
        <w:keepLines w:val="0"/>
        <w:widowControl w:val="0"/>
        <w:shd w:val="clear" w:color="auto" w:fill="auto"/>
        <w:bidi w:val="0"/>
        <w:spacing w:before="0" w:after="160" w:line="355" w:lineRule="exact"/>
        <w:ind w:left="0" w:right="0" w:firstLine="380"/>
        <w:jc w:val="both"/>
      </w:pPr>
      <w:r>
        <w:rPr>
          <w:color w:val="000000"/>
          <w:spacing w:val="0"/>
          <w:w w:val="100"/>
          <w:position w:val="0"/>
        </w:rPr>
        <w:t>经过多年手机售后服务行业的经营积累，公司已逐步形成了手机维修业务、商品销售与增值服务和电子商务三大板块的 综合服务体系。</w:t>
      </w:r>
    </w:p>
    <w:p>
      <w:pPr>
        <w:pStyle w:val="Style31"/>
        <w:keepNext w:val="0"/>
        <w:keepLines w:val="0"/>
        <w:widowControl w:val="0"/>
        <w:shd w:val="clear" w:color="auto" w:fill="auto"/>
        <w:tabs>
          <w:tab w:pos="731" w:val="left"/>
        </w:tabs>
        <w:bidi w:val="0"/>
        <w:spacing w:before="0" w:after="0" w:line="413" w:lineRule="auto"/>
        <w:ind w:left="0" w:right="0" w:firstLine="380"/>
        <w:jc w:val="left"/>
      </w:pPr>
      <w:bookmarkStart w:id="52" w:name="bookmark52"/>
      <w:r>
        <w:rPr>
          <w:rFonts w:ascii="Times New Roman" w:eastAsia="Times New Roman" w:hAnsi="Times New Roman" w:cs="Times New Roman"/>
          <w:color w:val="000000"/>
          <w:spacing w:val="0"/>
          <w:w w:val="100"/>
          <w:position w:val="0"/>
          <w:sz w:val="18"/>
          <w:szCs w:val="18"/>
        </w:rPr>
        <w:t>1</w:t>
      </w:r>
      <w:bookmarkEnd w:id="52"/>
      <w:r>
        <w:rPr>
          <w:color w:val="000000"/>
          <w:spacing w:val="0"/>
          <w:w w:val="100"/>
          <w:position w:val="0"/>
        </w:rPr>
        <w:t>、</w:t>
        <w:tab/>
        <w:t>手机维修业务</w:t>
      </w:r>
    </w:p>
    <w:p>
      <w:pPr>
        <w:pStyle w:val="Style31"/>
        <w:keepNext w:val="0"/>
        <w:keepLines w:val="0"/>
        <w:widowControl w:val="0"/>
        <w:shd w:val="clear" w:color="auto" w:fill="auto"/>
        <w:bidi w:val="0"/>
        <w:spacing w:before="0" w:after="0" w:line="360" w:lineRule="exact"/>
        <w:ind w:left="0" w:right="0" w:firstLine="380"/>
        <w:jc w:val="both"/>
      </w:pPr>
      <w:r>
        <w:rPr>
          <w:color w:val="000000"/>
          <w:spacing w:val="0"/>
          <w:w w:val="100"/>
          <w:position w:val="0"/>
        </w:rPr>
        <w:t>手机维修业务，是指在手机品牌厂商的授权下，公司通过实体门店或上门服务向消费者提供智能手机等电子产品保内维 修服务和保外维修服务。</w:t>
      </w:r>
    </w:p>
    <w:p>
      <w:pPr>
        <w:pStyle w:val="Style31"/>
        <w:keepNext w:val="0"/>
        <w:keepLines w:val="0"/>
        <w:widowControl w:val="0"/>
        <w:shd w:val="clear" w:color="auto" w:fill="auto"/>
        <w:tabs>
          <w:tab w:pos="825" w:val="left"/>
        </w:tabs>
        <w:bidi w:val="0"/>
        <w:spacing w:before="0" w:after="0" w:line="355" w:lineRule="exact"/>
        <w:ind w:left="0" w:right="0" w:firstLine="380"/>
        <w:jc w:val="both"/>
      </w:pPr>
      <w:bookmarkStart w:id="53" w:name="bookmark53"/>
      <w:r>
        <w:rPr>
          <w:color w:val="000000"/>
          <w:spacing w:val="0"/>
          <w:w w:val="100"/>
          <w:position w:val="0"/>
        </w:rPr>
        <w:t>（</w:t>
      </w:r>
      <w:bookmarkEnd w:id="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保内维修服务</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保内维修服务，是指在手机品牌厂商授权下，公司通过专业检测和判断，为符合手机品牌厂商保修期内维修政策的消费 者提供免费的原厂整机更换或配附件维修服务，并向手机品牌厂商收取劳务费用。</w:t>
      </w:r>
    </w:p>
    <w:p>
      <w:pPr>
        <w:pStyle w:val="Style31"/>
        <w:keepNext w:val="0"/>
        <w:keepLines w:val="0"/>
        <w:widowControl w:val="0"/>
        <w:shd w:val="clear" w:color="auto" w:fill="auto"/>
        <w:tabs>
          <w:tab w:pos="825" w:val="left"/>
        </w:tabs>
        <w:bidi w:val="0"/>
        <w:spacing w:before="0" w:after="0" w:line="355" w:lineRule="exact"/>
        <w:ind w:left="0" w:right="0" w:firstLine="38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保外维修服务</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保外维修服务，是指在手机品牌厂商授权下，公司为已经不符合手机品牌厂商保修期内维修政策的消费者，提供原厂整 机更换或配附件维修服务，并向消费者收取相应的硬件成本及劳务费用。</w:t>
      </w:r>
    </w:p>
    <w:p>
      <w:pPr>
        <w:pStyle w:val="Style31"/>
        <w:keepNext w:val="0"/>
        <w:keepLines w:val="0"/>
        <w:widowControl w:val="0"/>
        <w:shd w:val="clear" w:color="auto" w:fill="auto"/>
        <w:tabs>
          <w:tab w:pos="734" w:val="left"/>
        </w:tabs>
        <w:bidi w:val="0"/>
        <w:spacing w:before="0" w:after="0" w:line="355" w:lineRule="exact"/>
        <w:ind w:left="0" w:right="0" w:firstLine="380"/>
        <w:jc w:val="both"/>
      </w:pPr>
      <w:bookmarkStart w:id="55" w:name="bookmark55"/>
      <w:r>
        <w:rPr>
          <w:rFonts w:ascii="Times New Roman" w:eastAsia="Times New Roman" w:hAnsi="Times New Roman" w:cs="Times New Roman"/>
          <w:color w:val="000000"/>
          <w:spacing w:val="0"/>
          <w:w w:val="100"/>
          <w:position w:val="0"/>
          <w:sz w:val="18"/>
          <w:szCs w:val="18"/>
        </w:rPr>
        <w:t>2</w:t>
      </w:r>
      <w:bookmarkEnd w:id="55"/>
      <w:r>
        <w:rPr>
          <w:color w:val="000000"/>
          <w:spacing w:val="0"/>
          <w:w w:val="100"/>
          <w:position w:val="0"/>
        </w:rPr>
        <w:t>、</w:t>
        <w:tab/>
        <w:t>商品销售和增值业务</w:t>
      </w:r>
    </w:p>
    <w:p>
      <w:pPr>
        <w:pStyle w:val="Style31"/>
        <w:keepNext w:val="0"/>
        <w:keepLines w:val="0"/>
        <w:widowControl w:val="0"/>
        <w:shd w:val="clear" w:color="auto" w:fill="auto"/>
        <w:tabs>
          <w:tab w:pos="825" w:val="left"/>
        </w:tabs>
        <w:bidi w:val="0"/>
        <w:spacing w:before="0" w:after="0" w:line="355" w:lineRule="exact"/>
        <w:ind w:left="0" w:right="0" w:firstLine="380"/>
        <w:jc w:val="left"/>
      </w:pPr>
      <w:bookmarkStart w:id="56" w:name="bookmark56"/>
      <w:r>
        <w:rPr>
          <w:color w:val="000000"/>
          <w:spacing w:val="0"/>
          <w:w w:val="100"/>
          <w:position w:val="0"/>
        </w:rPr>
        <w:t>（</w:t>
      </w:r>
      <w:bookmarkEnd w:id="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商品销售业务</w:t>
      </w:r>
    </w:p>
    <w:p>
      <w:pPr>
        <w:pStyle w:val="Style31"/>
        <w:keepNext w:val="0"/>
        <w:keepLines w:val="0"/>
        <w:widowControl w:val="0"/>
        <w:shd w:val="clear" w:color="auto" w:fill="auto"/>
        <w:bidi w:val="0"/>
        <w:spacing w:before="0" w:after="0" w:line="346" w:lineRule="exact"/>
        <w:ind w:left="0" w:right="0" w:firstLine="380"/>
        <w:jc w:val="both"/>
      </w:pPr>
      <w:r>
        <w:rPr>
          <w:color w:val="000000"/>
          <w:spacing w:val="0"/>
          <w:w w:val="100"/>
          <w:position w:val="0"/>
        </w:rPr>
        <w:t>商品销售业务，是指公司通过下属门店为消费者或加盟商提供手机保护壳膜、移动电源、蓝牙耳机、数据线、便携式音 响、充电器等高品质手机周边产品的业务。自有品牌</w:t>
      </w:r>
      <w:r>
        <w:rPr>
          <w:rFonts w:ascii="Times New Roman" w:eastAsia="Times New Roman" w:hAnsi="Times New Roman" w:cs="Times New Roman"/>
          <w:color w:val="000000"/>
          <w:spacing w:val="0"/>
          <w:w w:val="100"/>
          <w:position w:val="0"/>
          <w:sz w:val="18"/>
          <w:szCs w:val="18"/>
        </w:rPr>
        <w:t>“UKER”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百邦致生活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系列涵盖了手机壳、膜、移动电源等产品。</w:t>
      </w:r>
    </w:p>
    <w:p>
      <w:pPr>
        <w:pStyle w:val="Style31"/>
        <w:keepNext w:val="0"/>
        <w:keepLines w:val="0"/>
        <w:widowControl w:val="0"/>
        <w:shd w:val="clear" w:color="auto" w:fill="auto"/>
        <w:tabs>
          <w:tab w:pos="825" w:val="left"/>
        </w:tabs>
        <w:bidi w:val="0"/>
        <w:spacing w:before="0" w:after="0" w:line="355" w:lineRule="exact"/>
        <w:ind w:left="0" w:right="0" w:firstLine="380"/>
        <w:jc w:val="both"/>
      </w:pPr>
      <w:bookmarkStart w:id="57" w:name="bookmark57"/>
      <w:r>
        <w:rPr>
          <w:color w:val="000000"/>
          <w:spacing w:val="0"/>
          <w:w w:val="100"/>
          <w:position w:val="0"/>
        </w:rPr>
        <w:t>（</w:t>
      </w:r>
      <w:bookmarkEnd w:id="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增值业务</w:t>
      </w:r>
    </w:p>
    <w:p>
      <w:pPr>
        <w:pStyle w:val="Style31"/>
        <w:keepNext w:val="0"/>
        <w:keepLines w:val="0"/>
        <w:widowControl w:val="0"/>
        <w:shd w:val="clear" w:color="auto" w:fill="auto"/>
        <w:bidi w:val="0"/>
        <w:spacing w:before="0" w:after="160" w:line="355" w:lineRule="exact"/>
        <w:ind w:left="0" w:right="0" w:firstLine="380"/>
        <w:jc w:val="both"/>
      </w:pPr>
      <w:r>
        <w:rPr>
          <w:color w:val="000000"/>
          <w:spacing w:val="0"/>
          <w:w w:val="100"/>
          <w:position w:val="0"/>
        </w:rPr>
        <w:t>为满足消费者对增值业务的需求，公司推出多项服务产品，为消费者提供智能手机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综合解决方案。</w:t>
      </w:r>
    </w:p>
    <w:p>
      <w:pPr>
        <w:pStyle w:val="Style31"/>
        <w:keepNext w:val="0"/>
        <w:keepLines w:val="0"/>
        <w:widowControl w:val="0"/>
        <w:shd w:val="clear" w:color="auto" w:fill="auto"/>
        <w:tabs>
          <w:tab w:pos="734" w:val="left"/>
        </w:tabs>
        <w:bidi w:val="0"/>
        <w:spacing w:before="0" w:after="0" w:line="413" w:lineRule="auto"/>
        <w:ind w:left="0" w:right="0" w:firstLine="380"/>
        <w:jc w:val="both"/>
      </w:pPr>
      <w:bookmarkStart w:id="58" w:name="bookmark58"/>
      <w:r>
        <w:rPr>
          <w:rFonts w:ascii="Times New Roman" w:eastAsia="Times New Roman" w:hAnsi="Times New Roman" w:cs="Times New Roman"/>
          <w:color w:val="000000"/>
          <w:spacing w:val="0"/>
          <w:w w:val="100"/>
          <w:position w:val="0"/>
          <w:sz w:val="18"/>
          <w:szCs w:val="18"/>
        </w:rPr>
        <w:t>3</w:t>
      </w:r>
      <w:bookmarkEnd w:id="58"/>
      <w:r>
        <w:rPr>
          <w:color w:val="000000"/>
          <w:spacing w:val="0"/>
          <w:w w:val="100"/>
          <w:position w:val="0"/>
        </w:rPr>
        <w:t>、</w:t>
        <w:tab/>
        <w:t>电子商务业务</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 xml:space="preserve">在传统业务的基础上，通过电子商务平台连接线上和线下手机服务各业务主体，开展二手机回收及销售、手机保障和商 </w:t>
      </w:r>
      <w:r>
        <w:rPr>
          <w:color w:val="000000"/>
          <w:spacing w:val="0"/>
          <w:w w:val="100"/>
          <w:position w:val="0"/>
        </w:rPr>
        <w:t>品销售等具有广阔市场前景的业务，进一步提升了线下手机维修业务与线上二手机业务、商品销售的协同效应，增加交叉销 售机会。</w:t>
      </w:r>
    </w:p>
    <w:p>
      <w:pPr>
        <w:pStyle w:val="Style31"/>
        <w:keepNext w:val="0"/>
        <w:keepLines w:val="0"/>
        <w:widowControl w:val="0"/>
        <w:numPr>
          <w:ilvl w:val="0"/>
          <w:numId w:val="1"/>
        </w:numPr>
        <w:shd w:val="clear" w:color="auto" w:fill="auto"/>
        <w:tabs>
          <w:tab w:pos="765" w:val="left"/>
        </w:tabs>
        <w:bidi w:val="0"/>
        <w:spacing w:before="0" w:after="0" w:line="352" w:lineRule="exact"/>
        <w:ind w:left="0" w:right="0" w:firstLine="380"/>
        <w:jc w:val="left"/>
      </w:pPr>
      <w:bookmarkStart w:id="59" w:name="bookmark59"/>
      <w:bookmarkEnd w:id="59"/>
      <w:r>
        <w:rPr>
          <w:color w:val="000000"/>
          <w:spacing w:val="0"/>
          <w:w w:val="100"/>
          <w:position w:val="0"/>
        </w:rPr>
        <w:t>二手机回收及销售业务</w:t>
      </w:r>
    </w:p>
    <w:p>
      <w:pPr>
        <w:pStyle w:val="Style31"/>
        <w:keepNext w:val="0"/>
        <w:keepLines w:val="0"/>
        <w:widowControl w:val="0"/>
        <w:shd w:val="clear" w:color="auto" w:fill="auto"/>
        <w:bidi w:val="0"/>
        <w:spacing w:before="0" w:after="0" w:line="355" w:lineRule="exact"/>
        <w:ind w:left="0" w:right="0" w:firstLine="380"/>
        <w:jc w:val="left"/>
      </w:pPr>
      <w:r>
        <w:rPr>
          <w:color w:val="000000"/>
          <w:spacing w:val="0"/>
          <w:w w:val="100"/>
          <w:position w:val="0"/>
        </w:rPr>
        <w:t>公司通过二手机经销商、移动运营商、手机零售商等渠道回收二手机，经过专业检测并附加手机延保服务后，借助电商 平台及区域二手机经销商，销售给消费者。</w:t>
      </w:r>
    </w:p>
    <w:p>
      <w:pPr>
        <w:pStyle w:val="Style31"/>
        <w:keepNext w:val="0"/>
        <w:keepLines w:val="0"/>
        <w:widowControl w:val="0"/>
        <w:numPr>
          <w:ilvl w:val="0"/>
          <w:numId w:val="1"/>
        </w:numPr>
        <w:shd w:val="clear" w:color="auto" w:fill="auto"/>
        <w:tabs>
          <w:tab w:pos="765" w:val="left"/>
        </w:tabs>
        <w:bidi w:val="0"/>
        <w:spacing w:before="0" w:after="0" w:line="355" w:lineRule="exact"/>
        <w:ind w:left="0" w:right="0" w:firstLine="380"/>
        <w:jc w:val="left"/>
      </w:pPr>
      <w:bookmarkStart w:id="60" w:name="bookmark60"/>
      <w:bookmarkEnd w:id="60"/>
      <w:r>
        <w:rPr>
          <w:color w:val="000000"/>
          <w:spacing w:val="0"/>
          <w:w w:val="100"/>
          <w:position w:val="0"/>
        </w:rPr>
        <w:t>手机保障业务</w:t>
      </w:r>
    </w:p>
    <w:p>
      <w:pPr>
        <w:pStyle w:val="Style31"/>
        <w:keepNext w:val="0"/>
        <w:keepLines w:val="0"/>
        <w:widowControl w:val="0"/>
        <w:shd w:val="clear" w:color="auto" w:fill="auto"/>
        <w:bidi w:val="0"/>
        <w:spacing w:before="0" w:after="0" w:line="353" w:lineRule="exact"/>
        <w:ind w:left="0" w:right="0" w:firstLine="380"/>
        <w:jc w:val="left"/>
      </w:pPr>
      <w:r>
        <w:rPr>
          <w:color w:val="000000"/>
          <w:spacing w:val="0"/>
          <w:w w:val="100"/>
          <w:position w:val="0"/>
        </w:rPr>
        <w:t>为满足消费者对手机保障服务的需求，公司提供手机碎屏保障产品。消费者在闪电蜂电商平台购买手机碎屏保障产品， 当手机屏幕出现保障需求时，可通过闪电蜂电商平台实现产品激活、用户出险报修，在线下门店完成核保检测并获得换屏维 修服务。</w:t>
      </w:r>
    </w:p>
    <w:p>
      <w:pPr>
        <w:pStyle w:val="Style31"/>
        <w:keepNext w:val="0"/>
        <w:keepLines w:val="0"/>
        <w:widowControl w:val="0"/>
        <w:shd w:val="clear" w:color="auto" w:fill="auto"/>
        <w:bidi w:val="0"/>
        <w:spacing w:before="0" w:after="0" w:line="355" w:lineRule="exact"/>
        <w:ind w:left="0" w:right="0" w:firstLine="380"/>
        <w:jc w:val="left"/>
      </w:pPr>
      <w:r>
        <w:rPr>
          <w:color w:val="000000"/>
          <w:spacing w:val="0"/>
          <w:w w:val="100"/>
          <w:position w:val="0"/>
        </w:rPr>
        <w:t>同时，公司推出了专门针对二手机的保障服务产品，为经过公司质检合格的二手机提供保障，消费者可享受保障期内非 人为故障免费维修的服务。</w:t>
      </w:r>
    </w:p>
    <w:p>
      <w:pPr>
        <w:pStyle w:val="Style31"/>
        <w:keepNext w:val="0"/>
        <w:keepLines w:val="0"/>
        <w:widowControl w:val="0"/>
        <w:numPr>
          <w:ilvl w:val="0"/>
          <w:numId w:val="1"/>
        </w:numPr>
        <w:shd w:val="clear" w:color="auto" w:fill="auto"/>
        <w:tabs>
          <w:tab w:pos="765" w:val="left"/>
        </w:tabs>
        <w:bidi w:val="0"/>
        <w:spacing w:before="0" w:after="0" w:line="352" w:lineRule="exact"/>
        <w:ind w:left="0" w:right="0" w:firstLine="380"/>
        <w:jc w:val="left"/>
      </w:pPr>
      <w:bookmarkStart w:id="61" w:name="bookmark61"/>
      <w:bookmarkEnd w:id="61"/>
      <w:r>
        <w:rPr>
          <w:color w:val="000000"/>
          <w:spacing w:val="0"/>
          <w:w w:val="100"/>
          <w:position w:val="0"/>
        </w:rPr>
        <w:t>联盟业务</w:t>
      </w:r>
    </w:p>
    <w:p>
      <w:pPr>
        <w:pStyle w:val="Style31"/>
        <w:keepNext w:val="0"/>
        <w:keepLines w:val="0"/>
        <w:widowControl w:val="0"/>
        <w:shd w:val="clear" w:color="auto" w:fill="auto"/>
        <w:bidi w:val="0"/>
        <w:spacing w:before="0" w:after="0" w:line="355" w:lineRule="exact"/>
        <w:ind w:left="0" w:right="0" w:firstLine="380"/>
        <w:jc w:val="left"/>
      </w:pPr>
      <w:r>
        <w:rPr>
          <w:color w:val="000000"/>
          <w:spacing w:val="0"/>
          <w:w w:val="100"/>
          <w:position w:val="0"/>
        </w:rPr>
        <w:t>为了整合行业资源，规范和提高小微手机维修商的经营服务能力，公司于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年启动联盟业务，通过供应链、培训、管 理、品牌、订单等多方面为加盟商赋能。基于对加盟商业务场景和痛点的深度洞察，公司开发推出了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闪电蜂商家</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系统， 并向加盟商开放使用，使加盟商在管理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等多个方面获得有效的运营和管理工具。</w:t>
      </w:r>
    </w:p>
    <w:p>
      <w:pPr>
        <w:pStyle w:val="Style31"/>
        <w:keepNext w:val="0"/>
        <w:keepLines w:val="0"/>
        <w:widowControl w:val="0"/>
        <w:numPr>
          <w:ilvl w:val="0"/>
          <w:numId w:val="3"/>
        </w:numPr>
        <w:shd w:val="clear" w:color="auto" w:fill="auto"/>
        <w:bidi w:val="0"/>
        <w:spacing w:before="0" w:after="200" w:line="352" w:lineRule="exact"/>
        <w:ind w:left="0" w:right="0" w:firstLine="380"/>
        <w:jc w:val="left"/>
      </w:pPr>
      <w:bookmarkStart w:id="62" w:name="bookmark62"/>
      <w:bookmarkEnd w:id="62"/>
      <w:r>
        <w:rPr>
          <w:color w:val="000000"/>
          <w:spacing w:val="0"/>
          <w:w w:val="100"/>
          <w:position w:val="0"/>
        </w:rPr>
        <w:t>行业发展及格局</w:t>
      </w:r>
    </w:p>
    <w:p>
      <w:pPr>
        <w:pStyle w:val="Style31"/>
        <w:keepNext w:val="0"/>
        <w:keepLines w:val="0"/>
        <w:widowControl w:val="0"/>
        <w:shd w:val="clear" w:color="auto" w:fill="auto"/>
        <w:tabs>
          <w:tab w:pos="698" w:val="left"/>
        </w:tabs>
        <w:bidi w:val="0"/>
        <w:spacing w:before="0" w:after="0" w:line="408" w:lineRule="auto"/>
        <w:ind w:left="0" w:right="0" w:firstLine="380"/>
        <w:jc w:val="left"/>
      </w:pPr>
      <w:bookmarkStart w:id="63" w:name="bookmark63"/>
      <w:r>
        <w:rPr>
          <w:rFonts w:ascii="Times New Roman" w:eastAsia="Times New Roman" w:hAnsi="Times New Roman" w:cs="Times New Roman"/>
          <w:color w:val="000000"/>
          <w:spacing w:val="0"/>
          <w:w w:val="100"/>
          <w:position w:val="0"/>
          <w:sz w:val="18"/>
          <w:szCs w:val="18"/>
        </w:rPr>
        <w:t>1</w:t>
      </w:r>
      <w:bookmarkEnd w:id="63"/>
      <w:r>
        <w:rPr>
          <w:color w:val="000000"/>
          <w:spacing w:val="0"/>
          <w:w w:val="100"/>
          <w:position w:val="0"/>
        </w:rPr>
        <w:t>、</w:t>
        <w:tab/>
        <w:t>线下线上协同发展</w:t>
      </w:r>
    </w:p>
    <w:p>
      <w:pPr>
        <w:pStyle w:val="Style31"/>
        <w:keepNext w:val="0"/>
        <w:keepLines w:val="0"/>
        <w:widowControl w:val="0"/>
        <w:shd w:val="clear" w:color="auto" w:fill="auto"/>
        <w:bidi w:val="0"/>
        <w:spacing w:before="0" w:after="200" w:line="343" w:lineRule="exact"/>
        <w:ind w:left="0" w:right="0" w:firstLine="380"/>
        <w:jc w:val="left"/>
      </w:pPr>
      <w:r>
        <w:rPr>
          <w:color w:val="000000"/>
          <w:spacing w:val="0"/>
          <w:w w:val="100"/>
          <w:position w:val="0"/>
        </w:rPr>
        <w:t>主要电商平台的品类拓展、消费者线上停留时间的增长、以及新冠疫情的影响，推动了手机维修业务在线上的发发展。 但手机维修服务与传统电商业务的根本区别，在于虽然订单获取可以在线上完成，但维修服务产付必须在本地、线下完成， 所以线下的门店网络、交付能力和口碑，是线上业务发展的前提，同时，线下业务的发展，可以带来更多的线上订单。基于 这一洞察，公司于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年起，以天猫和微信为主要平台，发展线上业务，并于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年将平台合作拓展至美团大众。线上线下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飞轮效应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，使公司线上业务迅速增长，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年连续成为天猫双十一品类冠军并持续扩大领先优势，公司仅用半 年时间，也成发展成为美团大众平台开店数量最多、月总订单量显著领先的手机维修商，公司自有公众号和企微平台的粉丝 量和订单量也在持续增长。</w:t>
      </w:r>
    </w:p>
    <w:p>
      <w:pPr>
        <w:pStyle w:val="Style31"/>
        <w:keepNext w:val="0"/>
        <w:keepLines w:val="0"/>
        <w:widowControl w:val="0"/>
        <w:shd w:val="clear" w:color="auto" w:fill="auto"/>
        <w:tabs>
          <w:tab w:pos="698" w:val="left"/>
        </w:tabs>
        <w:bidi w:val="0"/>
        <w:spacing w:before="0" w:after="0" w:line="408" w:lineRule="auto"/>
        <w:ind w:left="0" w:right="0" w:firstLine="380"/>
        <w:jc w:val="both"/>
      </w:pPr>
      <w:bookmarkStart w:id="64" w:name="bookmark64"/>
      <w:r>
        <w:rPr>
          <w:rFonts w:ascii="Times New Roman" w:eastAsia="Times New Roman" w:hAnsi="Times New Roman" w:cs="Times New Roman"/>
          <w:color w:val="000000"/>
          <w:spacing w:val="0"/>
          <w:w w:val="100"/>
          <w:position w:val="0"/>
          <w:sz w:val="18"/>
          <w:szCs w:val="18"/>
        </w:rPr>
        <w:t>2</w:t>
      </w:r>
      <w:bookmarkEnd w:id="64"/>
      <w:r>
        <w:rPr>
          <w:color w:val="000000"/>
          <w:spacing w:val="0"/>
          <w:w w:val="100"/>
          <w:position w:val="0"/>
        </w:rPr>
        <w:t>、</w:t>
        <w:tab/>
        <w:t>供应链的重要性凸显</w:t>
      </w:r>
    </w:p>
    <w:p>
      <w:pPr>
        <w:pStyle w:val="Style31"/>
        <w:keepNext w:val="0"/>
        <w:keepLines w:val="0"/>
        <w:widowControl w:val="0"/>
        <w:shd w:val="clear" w:color="auto" w:fill="auto"/>
        <w:bidi w:val="0"/>
        <w:spacing w:before="0" w:after="200" w:line="350" w:lineRule="exact"/>
        <w:ind w:left="0" w:right="0" w:firstLine="380"/>
        <w:jc w:val="both"/>
      </w:pPr>
      <w:r>
        <w:rPr>
          <w:color w:val="000000"/>
          <w:spacing w:val="0"/>
          <w:w w:val="100"/>
          <w:position w:val="0"/>
        </w:rPr>
        <w:t>手机维修配件对于维修品质起着至关重要的作用，而目前除原厂配件外，配件供应链尚处于原始阶段，销售渠道以各地 的通讯市场为主，产品质量无法保证、并且有大量假冒原厂的配件产品，这对于维修质量和消费者权益带来很大的损害。随 着领先品牌相继宣布在新机包装中取消附赠充电器，市场对于充电器、数据线等手机周边产品的需求也将显著增长，而周边 产品的供应链和渠道，同样处于初级阶段。基于对这一趋势的理解，一方面公司依托品牌厂商供应链的可靠品质和稳定供应 能力，持续扩大在供应链上的优势地位，一方面，开发自主品牌的手机周边产品，持续打造在配件和附件供应链上的优势。</w:t>
      </w:r>
    </w:p>
    <w:p>
      <w:pPr>
        <w:pStyle w:val="Style31"/>
        <w:keepNext w:val="0"/>
        <w:keepLines w:val="0"/>
        <w:widowControl w:val="0"/>
        <w:shd w:val="clear" w:color="auto" w:fill="auto"/>
        <w:tabs>
          <w:tab w:pos="698" w:val="left"/>
        </w:tabs>
        <w:bidi w:val="0"/>
        <w:spacing w:before="0" w:after="0" w:line="408" w:lineRule="auto"/>
        <w:ind w:left="0" w:right="0" w:firstLine="380"/>
        <w:jc w:val="both"/>
      </w:pPr>
      <w:bookmarkStart w:id="65" w:name="bookmark65"/>
      <w:r>
        <w:rPr>
          <w:rFonts w:ascii="Times New Roman" w:eastAsia="Times New Roman" w:hAnsi="Times New Roman" w:cs="Times New Roman"/>
          <w:color w:val="000000"/>
          <w:spacing w:val="0"/>
          <w:w w:val="100"/>
          <w:position w:val="0"/>
          <w:sz w:val="18"/>
          <w:szCs w:val="18"/>
        </w:rPr>
        <w:t>3</w:t>
      </w:r>
      <w:bookmarkEnd w:id="65"/>
      <w:r>
        <w:rPr>
          <w:color w:val="000000"/>
          <w:spacing w:val="0"/>
          <w:w w:val="100"/>
          <w:position w:val="0"/>
        </w:rPr>
        <w:t>、</w:t>
        <w:tab/>
        <w:t>以品牌整合、改造手机售后行业</w:t>
      </w:r>
    </w:p>
    <w:p>
      <w:pPr>
        <w:pStyle w:val="Style31"/>
        <w:keepNext w:val="0"/>
        <w:keepLines w:val="0"/>
        <w:widowControl w:val="0"/>
        <w:shd w:val="clear" w:color="auto" w:fill="auto"/>
        <w:bidi w:val="0"/>
        <w:spacing w:before="0" w:after="0" w:line="352" w:lineRule="exact"/>
        <w:ind w:left="0" w:right="0" w:firstLine="380"/>
        <w:jc w:val="both"/>
      </w:pPr>
      <w:r>
        <w:rPr>
          <w:color w:val="000000"/>
          <w:spacing w:val="0"/>
          <w:w w:val="100"/>
          <w:position w:val="0"/>
        </w:rPr>
        <w:t>手机售后行业是典型的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大蛋糕、小蚂蚁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格局，市场整体规模巨大，但从业者以个体夫妻店为主，小、散、乱是这个行 业的主要问题，消费者找不到可依赖的品牌维修商。百邦深耕售后行业</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年，在全国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多个城市的自营店，大多持续经营 十年以上，与当地的消费者、零售商建立了长期、互信的合作关系。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年初，公司针对行业小散乱的问题，推出了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百邦，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个放心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的品牌诠释，形成与其他维修商的显著区隔，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年中，百邦明确了百邦、闪电蜂双品牌的拓展战略，以闪电蜂 品牌整合、拓展加盟店，并已看到初步成效。</w:t>
      </w:r>
    </w:p>
    <w:p>
      <w:pPr>
        <w:pStyle w:val="Style39"/>
        <w:keepNext/>
        <w:keepLines/>
        <w:widowControl w:val="0"/>
        <w:shd w:val="clear" w:color="auto" w:fill="auto"/>
        <w:bidi w:val="0"/>
        <w:spacing w:before="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49"/>
        <w:keepNext/>
        <w:keepLines/>
        <w:widowControl w:val="0"/>
        <w:shd w:val="clear" w:color="auto" w:fill="auto"/>
        <w:bidi w:val="0"/>
        <w:spacing w:before="0" w:after="320" w:line="240" w:lineRule="auto"/>
        <w:ind w:left="0" w:right="0" w:firstLine="0"/>
        <w:jc w:val="both"/>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1709"/>
        <w:gridCol w:w="7882"/>
      </w:tblGrid>
      <w:tr>
        <w:trPr>
          <w:trHeight w:val="79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主要资产</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重大变化说明</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股权资产</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无形资产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比上年末减少</w:t>
            </w:r>
            <w:r>
              <w:rPr>
                <w:rFonts w:ascii="Times New Roman" w:eastAsia="Times New Roman" w:hAnsi="Times New Roman" w:cs="Times New Roman"/>
                <w:color w:val="000000"/>
                <w:spacing w:val="0"/>
                <w:w w:val="100"/>
                <w:position w:val="0"/>
                <w:sz w:val="18"/>
                <w:szCs w:val="18"/>
              </w:rPr>
              <w:t>1,024.90</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62.05%</w:t>
            </w:r>
            <w:r>
              <w:rPr>
                <w:color w:val="000000"/>
                <w:spacing w:val="0"/>
                <w:w w:val="100"/>
                <w:position w:val="0"/>
              </w:rPr>
              <w:t>），主要系本年无形资产摊销及本期对无形资产计提减 值准备所致</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在建工程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9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货币资金</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比上年末减少</w:t>
            </w:r>
            <w:r>
              <w:rPr>
                <w:rFonts w:ascii="Times New Roman" w:eastAsia="Times New Roman" w:hAnsi="Times New Roman" w:cs="Times New Roman"/>
                <w:color w:val="000000"/>
                <w:spacing w:val="0"/>
                <w:w w:val="100"/>
                <w:position w:val="0"/>
                <w:sz w:val="18"/>
                <w:szCs w:val="18"/>
              </w:rPr>
              <w:t>6,919.42</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35.58%</w:t>
            </w:r>
            <w:r>
              <w:rPr>
                <w:color w:val="000000"/>
                <w:spacing w:val="0"/>
                <w:w w:val="100"/>
                <w:position w:val="0"/>
              </w:rPr>
              <w:t>），主要系本年经营亏损及开展华为授权维修业务、新 机销售业务导致的现金支出增加所致</w:t>
            </w:r>
          </w:p>
        </w:tc>
      </w:tr>
    </w:tbl>
    <w:p>
      <w:pPr>
        <w:widowControl w:val="0"/>
        <w:spacing w:after="319" w:line="1" w:lineRule="exact"/>
      </w:pPr>
    </w:p>
    <w:p>
      <w:pPr>
        <w:pStyle w:val="Style49"/>
        <w:keepNext/>
        <w:keepLines/>
        <w:widowControl w:val="0"/>
        <w:shd w:val="clear" w:color="auto" w:fill="auto"/>
        <w:bidi w:val="0"/>
        <w:spacing w:before="0" w:after="220" w:line="240" w:lineRule="auto"/>
        <w:ind w:left="0" w:right="0" w:firstLine="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31"/>
        <w:keepNext w:val="0"/>
        <w:keepLines w:val="0"/>
        <w:widowControl w:val="0"/>
        <w:shd w:val="clear" w:color="auto" w:fill="auto"/>
        <w:bidi w:val="0"/>
        <w:spacing w:before="0" w:after="360" w:line="35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2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31"/>
        <w:keepNext w:val="0"/>
        <w:keepLines w:val="0"/>
        <w:widowControl w:val="0"/>
        <w:shd w:val="clear" w:color="auto" w:fill="auto"/>
        <w:tabs>
          <w:tab w:pos="824" w:val="left"/>
        </w:tabs>
        <w:bidi w:val="0"/>
        <w:spacing w:before="0" w:after="0" w:line="353" w:lineRule="exact"/>
        <w:ind w:left="0" w:right="0" w:firstLine="480"/>
        <w:jc w:val="both"/>
      </w:pPr>
      <w:bookmarkStart w:id="82" w:name="bookmark82"/>
      <w:r>
        <w:rPr>
          <w:rFonts w:ascii="Times New Roman" w:eastAsia="Times New Roman" w:hAnsi="Times New Roman" w:cs="Times New Roman"/>
          <w:b/>
          <w:bCs/>
          <w:color w:val="000000"/>
          <w:spacing w:val="0"/>
          <w:w w:val="100"/>
          <w:position w:val="0"/>
          <w:sz w:val="18"/>
          <w:szCs w:val="18"/>
        </w:rPr>
        <w:t>1</w:t>
      </w:r>
      <w:bookmarkEnd w:id="82"/>
      <w:r>
        <w:rPr>
          <w:b/>
          <w:bCs/>
          <w:color w:val="000000"/>
          <w:spacing w:val="0"/>
          <w:w w:val="100"/>
          <w:position w:val="0"/>
        </w:rPr>
        <w:t>、</w:t>
        <w:tab/>
        <w:t>高效的顾客响应及网点覆盖能力</w:t>
      </w:r>
    </w:p>
    <w:p>
      <w:pPr>
        <w:pStyle w:val="Style31"/>
        <w:keepNext w:val="0"/>
        <w:keepLines w:val="0"/>
        <w:widowControl w:val="0"/>
        <w:shd w:val="clear" w:color="auto" w:fill="auto"/>
        <w:bidi w:val="0"/>
        <w:spacing w:before="0" w:after="40" w:line="355" w:lineRule="exact"/>
        <w:ind w:left="0" w:right="0" w:firstLine="480"/>
        <w:jc w:val="both"/>
      </w:pPr>
      <w:r>
        <w:rPr>
          <w:color w:val="000000"/>
          <w:spacing w:val="0"/>
          <w:w w:val="100"/>
          <w:position w:val="0"/>
        </w:rPr>
        <w:t>公司的服务覆盖范围包括线下和线上两部分，线下通过自营门店及加盟商门店，覆盖全国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个省和直辖市、</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个城市， 随着加盟店的持续拓展，线下服务的覆盖范围还在继续增长。</w:t>
      </w:r>
    </w:p>
    <w:p>
      <w:pPr>
        <w:pStyle w:val="Style31"/>
        <w:keepNext w:val="0"/>
        <w:keepLines w:val="0"/>
        <w:widowControl w:val="0"/>
        <w:shd w:val="clear" w:color="auto" w:fill="auto"/>
        <w:bidi w:val="0"/>
        <w:spacing w:before="0" w:after="40" w:line="353" w:lineRule="exact"/>
        <w:ind w:left="0" w:right="0" w:firstLine="480"/>
        <w:jc w:val="both"/>
      </w:pPr>
      <w:r>
        <w:rPr>
          <w:color w:val="000000"/>
          <w:spacing w:val="0"/>
          <w:w w:val="100"/>
          <w:position w:val="0"/>
        </w:rPr>
        <w:t xml:space="preserve">公司的线上业务既依托于线下门店支持，又可以不局限于已有门店的地理位置。公司通过自有微信公众号、百邦联盟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天猫、京东、大众点评、美团、有赞等多个平台拓展线上业务，同时线下门店的顾客，也可以通过公众号和企业微信， 实现线上留存，形成线上、线下的“飞轮效应”。</w:t>
      </w:r>
    </w:p>
    <w:p>
      <w:pPr>
        <w:pStyle w:val="Style31"/>
        <w:keepNext w:val="0"/>
        <w:keepLines w:val="0"/>
        <w:widowControl w:val="0"/>
        <w:shd w:val="clear" w:color="auto" w:fill="auto"/>
        <w:tabs>
          <w:tab w:pos="838" w:val="left"/>
        </w:tabs>
        <w:bidi w:val="0"/>
        <w:spacing w:before="0" w:after="40" w:line="353" w:lineRule="exact"/>
        <w:ind w:left="0" w:right="0" w:firstLine="480"/>
        <w:jc w:val="both"/>
      </w:pPr>
      <w:bookmarkStart w:id="83" w:name="bookmark83"/>
      <w:r>
        <w:rPr>
          <w:rFonts w:ascii="Times New Roman" w:eastAsia="Times New Roman" w:hAnsi="Times New Roman" w:cs="Times New Roman"/>
          <w:b/>
          <w:bCs/>
          <w:color w:val="000000"/>
          <w:spacing w:val="0"/>
          <w:w w:val="100"/>
          <w:position w:val="0"/>
          <w:sz w:val="18"/>
          <w:szCs w:val="18"/>
        </w:rPr>
        <w:t>2</w:t>
      </w:r>
      <w:bookmarkEnd w:id="83"/>
      <w:r>
        <w:rPr>
          <w:b/>
          <w:bCs/>
          <w:color w:val="000000"/>
          <w:spacing w:val="0"/>
          <w:w w:val="100"/>
          <w:position w:val="0"/>
        </w:rPr>
        <w:t>、</w:t>
        <w:tab/>
        <w:t>结合人、供应链、</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系统的运营管理体系</w:t>
      </w:r>
    </w:p>
    <w:p>
      <w:pPr>
        <w:pStyle w:val="Style31"/>
        <w:keepNext w:val="0"/>
        <w:keepLines w:val="0"/>
        <w:widowControl w:val="0"/>
        <w:shd w:val="clear" w:color="auto" w:fill="auto"/>
        <w:bidi w:val="0"/>
        <w:spacing w:before="0" w:after="40" w:line="348" w:lineRule="exact"/>
        <w:ind w:left="0" w:right="0" w:firstLine="480"/>
        <w:jc w:val="both"/>
      </w:pPr>
      <w:r>
        <w:rPr>
          <w:color w:val="000000"/>
          <w:spacing w:val="0"/>
          <w:w w:val="100"/>
          <w:position w:val="0"/>
        </w:rPr>
        <w:t>公司经过十多年的积淀，形成了系统化复制人才的管理体系，公司维修工程师和服务顾问上岗前均经过专业培训、演练 和认证，全部上岗维修工程师均经过苹果</w:t>
      </w:r>
      <w:r>
        <w:rPr>
          <w:rFonts w:ascii="Times New Roman" w:eastAsia="Times New Roman" w:hAnsi="Times New Roman" w:cs="Times New Roman"/>
          <w:color w:val="000000"/>
          <w:spacing w:val="0"/>
          <w:w w:val="100"/>
          <w:position w:val="0"/>
          <w:sz w:val="18"/>
          <w:szCs w:val="18"/>
        </w:rPr>
        <w:t>AC1T</w:t>
      </w:r>
      <w:r>
        <w:rPr>
          <w:color w:val="000000"/>
          <w:spacing w:val="0"/>
          <w:w w:val="100"/>
          <w:position w:val="0"/>
        </w:rPr>
        <w:t>认证。公司的供应链管理体系，可实现人工和系统的结合，实现配件、附件 的周转率和缺货管理的有效平衡。公司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年上线的自有维修管理系统</w:t>
      </w:r>
      <w:r>
        <w:rPr>
          <w:rFonts w:ascii="Times New Roman" w:eastAsia="Times New Roman" w:hAnsi="Times New Roman" w:cs="Times New Roman"/>
          <w:color w:val="000000"/>
          <w:spacing w:val="0"/>
          <w:w w:val="100"/>
          <w:position w:val="0"/>
          <w:sz w:val="18"/>
          <w:szCs w:val="18"/>
        </w:rPr>
        <w:t>BOMS</w:t>
      </w:r>
      <w:r>
        <w:rPr>
          <w:color w:val="000000"/>
          <w:spacing w:val="0"/>
          <w:w w:val="100"/>
          <w:position w:val="0"/>
        </w:rPr>
        <w:t>，</w:t>
      </w:r>
      <w:r>
        <w:rPr>
          <w:color w:val="000000"/>
          <w:spacing w:val="0"/>
          <w:w w:val="100"/>
          <w:position w:val="0"/>
        </w:rPr>
        <w:t>历经数百次升级，可以管理从受理、到诊断、 维修、取机、评价、人员绩效的全程追踪，可以与厂商的全球服务系统实时同步，并与公司的供应链、财务形成无缝对接。 公司历经十多年打造的，结合了人员发展、供应链管理、和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系统的运营体系，是公司独特的竞争力之一。</w:t>
      </w:r>
    </w:p>
    <w:p>
      <w:pPr>
        <w:pStyle w:val="Style31"/>
        <w:keepNext w:val="0"/>
        <w:keepLines w:val="0"/>
        <w:widowControl w:val="0"/>
        <w:shd w:val="clear" w:color="auto" w:fill="auto"/>
        <w:tabs>
          <w:tab w:pos="838" w:val="left"/>
        </w:tabs>
        <w:bidi w:val="0"/>
        <w:spacing w:before="0" w:after="40" w:line="353" w:lineRule="exact"/>
        <w:ind w:left="0" w:right="0" w:firstLine="480"/>
        <w:jc w:val="both"/>
      </w:pPr>
      <w:bookmarkStart w:id="84" w:name="bookmark84"/>
      <w:r>
        <w:rPr>
          <w:rFonts w:ascii="Times New Roman" w:eastAsia="Times New Roman" w:hAnsi="Times New Roman" w:cs="Times New Roman"/>
          <w:b/>
          <w:bCs/>
          <w:color w:val="000000"/>
          <w:spacing w:val="0"/>
          <w:w w:val="100"/>
          <w:position w:val="0"/>
          <w:sz w:val="18"/>
          <w:szCs w:val="18"/>
        </w:rPr>
        <w:t>3</w:t>
      </w:r>
      <w:bookmarkEnd w:id="84"/>
      <w:r>
        <w:rPr>
          <w:b/>
          <w:bCs/>
          <w:color w:val="000000"/>
          <w:spacing w:val="0"/>
          <w:w w:val="100"/>
          <w:position w:val="0"/>
        </w:rPr>
        <w:t>、</w:t>
        <w:tab/>
        <w:t>供应链能力</w:t>
      </w:r>
    </w:p>
    <w:p>
      <w:pPr>
        <w:pStyle w:val="Style31"/>
        <w:keepNext w:val="0"/>
        <w:keepLines w:val="0"/>
        <w:widowControl w:val="0"/>
        <w:shd w:val="clear" w:color="auto" w:fill="auto"/>
        <w:bidi w:val="0"/>
        <w:spacing w:before="0" w:after="40" w:line="353" w:lineRule="exact"/>
        <w:ind w:left="0" w:right="0" w:firstLine="480"/>
        <w:jc w:val="both"/>
      </w:pPr>
      <w:r>
        <w:rPr>
          <w:color w:val="000000"/>
          <w:spacing w:val="0"/>
          <w:w w:val="100"/>
          <w:position w:val="0"/>
        </w:rPr>
        <w:t>公司与领先品牌战略合作，形成了在屏幕、电池等维修配件上的独特供应链优势。同时，基于公司对手机周边产品市场 的理解，于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年形成了涵盖充电器、移运电源、壳膜、数据线、蓝牙等全系列手机周边产品在内的百邦致生活自有品牌手 机周边产品供应链，并借助渠道拓展、门店拓展、供应商优化，进而实现供应链持续升级。</w:t>
      </w:r>
    </w:p>
    <w:p>
      <w:pPr>
        <w:pStyle w:val="Style31"/>
        <w:keepNext w:val="0"/>
        <w:keepLines w:val="0"/>
        <w:widowControl w:val="0"/>
        <w:shd w:val="clear" w:color="auto" w:fill="auto"/>
        <w:tabs>
          <w:tab w:pos="834" w:val="left"/>
        </w:tabs>
        <w:bidi w:val="0"/>
        <w:spacing w:before="0" w:after="40" w:line="353" w:lineRule="exact"/>
        <w:ind w:left="0" w:right="0" w:firstLine="480"/>
        <w:jc w:val="both"/>
      </w:pPr>
      <w:bookmarkStart w:id="85" w:name="bookmark85"/>
      <w:r>
        <w:rPr>
          <w:rFonts w:ascii="Times New Roman" w:eastAsia="Times New Roman" w:hAnsi="Times New Roman" w:cs="Times New Roman"/>
          <w:b/>
          <w:bCs/>
          <w:color w:val="000000"/>
          <w:spacing w:val="0"/>
          <w:w w:val="100"/>
          <w:position w:val="0"/>
          <w:sz w:val="18"/>
          <w:szCs w:val="18"/>
        </w:rPr>
        <w:t>4</w:t>
      </w:r>
      <w:bookmarkEnd w:id="85"/>
      <w:r>
        <w:rPr>
          <w:b/>
          <w:bCs/>
          <w:color w:val="000000"/>
          <w:spacing w:val="0"/>
          <w:w w:val="100"/>
          <w:position w:val="0"/>
        </w:rPr>
        <w:t>、</w:t>
        <w:tab/>
        <w:t>标准化的服务交付能力</w:t>
      </w:r>
    </w:p>
    <w:p>
      <w:pPr>
        <w:pStyle w:val="Style31"/>
        <w:keepNext w:val="0"/>
        <w:keepLines w:val="0"/>
        <w:widowControl w:val="0"/>
        <w:shd w:val="clear" w:color="auto" w:fill="auto"/>
        <w:bidi w:val="0"/>
        <w:spacing w:before="0" w:after="120" w:line="350" w:lineRule="exact"/>
        <w:ind w:left="0" w:right="0" w:firstLine="480"/>
        <w:jc w:val="both"/>
      </w:pPr>
      <w:r>
        <w:rPr>
          <w:color w:val="000000"/>
          <w:spacing w:val="0"/>
          <w:w w:val="100"/>
          <w:position w:val="0"/>
        </w:rPr>
        <w:t>公司在门店经营、电商销售平台的管理上，均制定了严格的标准化服务流程、运营规范及考核标准，落实责任到人，通 过音视频监控等手段，使全流程环节可追踪。</w:t>
      </w:r>
    </w:p>
    <w:p>
      <w:pPr>
        <w:pStyle w:val="Style31"/>
        <w:keepNext w:val="0"/>
        <w:keepLines w:val="0"/>
        <w:widowControl w:val="0"/>
        <w:shd w:val="clear" w:color="auto" w:fill="auto"/>
        <w:bidi w:val="0"/>
        <w:spacing w:before="0" w:after="0" w:line="349" w:lineRule="exact"/>
        <w:ind w:left="0" w:right="0" w:firstLine="360"/>
        <w:jc w:val="both"/>
      </w:pPr>
      <w:bookmarkStart w:id="86" w:name="bookmark86"/>
      <w:r>
        <w:rPr>
          <w:rFonts w:ascii="Times New Roman" w:eastAsia="Times New Roman" w:hAnsi="Times New Roman" w:cs="Times New Roman"/>
          <w:b/>
          <w:bCs/>
          <w:color w:val="000000"/>
          <w:spacing w:val="0"/>
          <w:w w:val="100"/>
          <w:position w:val="0"/>
          <w:sz w:val="18"/>
          <w:szCs w:val="18"/>
        </w:rPr>
        <w:t>5</w:t>
      </w:r>
      <w:bookmarkEnd w:id="86"/>
      <w:r>
        <w:rPr>
          <w:b/>
          <w:bCs/>
          <w:color w:val="000000"/>
          <w:spacing w:val="0"/>
          <w:w w:val="100"/>
          <w:position w:val="0"/>
        </w:rPr>
        <w:t>、领先的信息化管理能力</w:t>
      </w:r>
    </w:p>
    <w:p>
      <w:pPr>
        <w:pStyle w:val="Style31"/>
        <w:keepNext w:val="0"/>
        <w:keepLines w:val="0"/>
        <w:widowControl w:val="0"/>
        <w:shd w:val="clear" w:color="auto" w:fill="auto"/>
        <w:bidi w:val="0"/>
        <w:spacing w:before="0" w:after="0" w:line="349" w:lineRule="exact"/>
        <w:ind w:left="0" w:right="0" w:firstLine="360"/>
        <w:jc w:val="both"/>
        <w:sectPr>
          <w:footnotePr>
            <w:pos w:val="pageBottom"/>
            <w:numFmt w:val="decimal"/>
            <w:numRestart w:val="continuous"/>
          </w:footnotePr>
          <w:pgSz w:w="11966" w:h="17375"/>
          <w:pgMar w:top="1569" w:right="1040" w:bottom="1824" w:left="1057" w:header="0" w:footer="3" w:gutter="0"/>
          <w:cols w:space="720"/>
          <w:noEndnote/>
          <w:rtlGutter w:val="0"/>
          <w:docGrid w:linePitch="360"/>
        </w:sectPr>
      </w:pPr>
      <w:r>
        <w:rPr>
          <w:color w:val="000000"/>
          <w:spacing w:val="0"/>
          <w:w w:val="100"/>
          <w:position w:val="0"/>
        </w:rPr>
        <w:t>连锁经营模式和电子商务模式对公司的信息管理能力有较高的要求，公司始终注重在信息化建设方面的投入，在行业内 首先运用信息化手段加强对各门店的垂直管理。公司在采用</w:t>
      </w:r>
      <w:r>
        <w:rPr>
          <w:rFonts w:ascii="Times New Roman" w:eastAsia="Times New Roman" w:hAnsi="Times New Roman" w:cs="Times New Roman"/>
          <w:color w:val="000000"/>
          <w:spacing w:val="0"/>
          <w:w w:val="100"/>
          <w:position w:val="0"/>
          <w:sz w:val="18"/>
          <w:szCs w:val="18"/>
        </w:rPr>
        <w:t>BOMS</w:t>
      </w:r>
      <w:r>
        <w:rPr>
          <w:color w:val="000000"/>
          <w:spacing w:val="0"/>
          <w:w w:val="100"/>
          <w:position w:val="0"/>
        </w:rPr>
        <w:t>门店管理系统和</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财务管理系统对公司业务和财务实施 信息化管理之后，又上线了用友管理系统，新系统联通了线上线下业务，实现了对多终端、全业务的系统化覆盖，可以提升 公司运营效率，帮助各级管理人员自动化数据分析，及时作出有效决策。</w:t>
      </w:r>
    </w:p>
    <w:p>
      <w:pPr>
        <w:pStyle w:val="Style22"/>
        <w:keepNext/>
        <w:keepLines/>
        <w:widowControl w:val="0"/>
        <w:shd w:val="clear" w:color="auto" w:fill="auto"/>
        <w:bidi w:val="0"/>
        <w:spacing w:before="680" w:line="240" w:lineRule="auto"/>
        <w:ind w:left="0" w:right="0" w:firstLine="0"/>
        <w:jc w:val="center"/>
      </w:pPr>
      <w:bookmarkStart w:id="87" w:name="bookmark87"/>
      <w:bookmarkStart w:id="88" w:name="bookmark88"/>
      <w:bookmarkStart w:id="89" w:name="bookmark89"/>
      <w:r>
        <w:rPr>
          <w:spacing w:val="0"/>
          <w:w w:val="100"/>
          <w:position w:val="0"/>
        </w:rPr>
        <w:t>第四节经营情况讨论与分析</w:t>
      </w:r>
      <w:bookmarkEnd w:id="87"/>
      <w:bookmarkEnd w:id="88"/>
      <w:bookmarkEnd w:id="89"/>
    </w:p>
    <w:p>
      <w:pPr>
        <w:pStyle w:val="Style39"/>
        <w:keepNext/>
        <w:keepLines/>
        <w:widowControl w:val="0"/>
        <w:shd w:val="clear" w:color="auto" w:fill="auto"/>
        <w:tabs>
          <w:tab w:pos="517" w:val="left"/>
        </w:tabs>
        <w:bidi w:val="0"/>
        <w:spacing w:before="0" w:after="1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一</w:t>
      </w:r>
      <w:bookmarkEnd w:id="92"/>
      <w:r>
        <w:rPr>
          <w:color w:val="000000"/>
          <w:spacing w:val="0"/>
          <w:w w:val="100"/>
          <w:position w:val="0"/>
          <w:sz w:val="24"/>
          <w:szCs w:val="24"/>
        </w:rPr>
        <w:t>、</w:t>
        <w:tab/>
        <w:t>概述</w:t>
      </w:r>
      <w:bookmarkEnd w:id="90"/>
      <w:bookmarkEnd w:id="91"/>
      <w:bookmarkEnd w:id="93"/>
    </w:p>
    <w:p>
      <w:pPr>
        <w:pStyle w:val="Style31"/>
        <w:keepNext w:val="0"/>
        <w:keepLines w:val="0"/>
        <w:widowControl w:val="0"/>
        <w:shd w:val="clear" w:color="auto" w:fill="auto"/>
        <w:bidi w:val="0"/>
        <w:spacing w:before="0" w:after="40" w:line="35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年，公司营业收入</w:t>
      </w:r>
      <w:r>
        <w:rPr>
          <w:rFonts w:ascii="Times New Roman" w:eastAsia="Times New Roman" w:hAnsi="Times New Roman" w:cs="Times New Roman"/>
          <w:color w:val="000000"/>
          <w:spacing w:val="0"/>
          <w:w w:val="100"/>
          <w:position w:val="0"/>
          <w:sz w:val="18"/>
          <w:szCs w:val="18"/>
        </w:rPr>
        <w:t>48,891.85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38.35%</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-8,479.6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万元，同比减亏</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；归属于上市公司股 东的净利润</w:t>
      </w:r>
      <w:r>
        <w:rPr>
          <w:rFonts w:ascii="Times New Roman" w:eastAsia="Times New Roman" w:hAnsi="Times New Roman" w:cs="Times New Roman"/>
          <w:color w:val="000000"/>
          <w:spacing w:val="0"/>
          <w:w w:val="100"/>
          <w:position w:val="0"/>
          <w:sz w:val="18"/>
          <w:szCs w:val="18"/>
        </w:rPr>
        <w:t>-8,749.71</w:t>
      </w:r>
      <w:r>
        <w:rPr>
          <w:color w:val="000000"/>
          <w:spacing w:val="0"/>
          <w:w w:val="100"/>
          <w:position w:val="0"/>
        </w:rPr>
        <w:t>元，同比减亏</w:t>
      </w:r>
      <w:r>
        <w:rPr>
          <w:rFonts w:ascii="Times New Roman" w:eastAsia="Times New Roman" w:hAnsi="Times New Roman" w:cs="Times New Roman"/>
          <w:color w:val="000000"/>
          <w:spacing w:val="0"/>
          <w:w w:val="100"/>
          <w:position w:val="0"/>
          <w:sz w:val="18"/>
          <w:szCs w:val="18"/>
        </w:rPr>
        <w:t>5.87%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年初开始的新冠肺炎疫情以及某品牌授权售后投入后的经营亏损，给转型中 的公司带来了较大的挑战。在压力下，公司坚持愿景和使命的引导，坚持长期战略规划，步步为营，推进各关键战略举措的 落地。</w:t>
      </w:r>
    </w:p>
    <w:p>
      <w:pPr>
        <w:pStyle w:val="Style31"/>
        <w:keepNext w:val="0"/>
        <w:keepLines w:val="0"/>
        <w:widowControl w:val="0"/>
        <w:shd w:val="clear" w:color="auto" w:fill="auto"/>
        <w:tabs>
          <w:tab w:pos="804" w:val="left"/>
        </w:tabs>
        <w:bidi w:val="0"/>
        <w:spacing w:before="0" w:after="40" w:line="348" w:lineRule="exact"/>
        <w:ind w:left="0" w:right="0" w:firstLine="460"/>
        <w:jc w:val="both"/>
      </w:pPr>
      <w:bookmarkStart w:id="94" w:name="bookmark94"/>
      <w:r>
        <w:rPr>
          <w:rFonts w:ascii="Times New Roman" w:eastAsia="Times New Roman" w:hAnsi="Times New Roman" w:cs="Times New Roman"/>
          <w:b/>
          <w:bCs/>
          <w:color w:val="000000"/>
          <w:spacing w:val="0"/>
          <w:w w:val="100"/>
          <w:position w:val="0"/>
          <w:sz w:val="18"/>
          <w:szCs w:val="18"/>
        </w:rPr>
        <w:t>1</w:t>
      </w:r>
      <w:bookmarkEnd w:id="94"/>
      <w:r>
        <w:rPr>
          <w:b/>
          <w:bCs/>
          <w:color w:val="000000"/>
          <w:spacing w:val="0"/>
          <w:w w:val="100"/>
          <w:position w:val="0"/>
        </w:rPr>
        <w:t>、</w:t>
        <w:tab/>
        <w:t>精耕主营业务，夯实业务基础</w:t>
      </w:r>
    </w:p>
    <w:p>
      <w:pPr>
        <w:pStyle w:val="Style31"/>
        <w:keepNext w:val="0"/>
        <w:keepLines w:val="0"/>
        <w:widowControl w:val="0"/>
        <w:shd w:val="clear" w:color="auto" w:fill="auto"/>
        <w:bidi w:val="0"/>
        <w:spacing w:before="0" w:after="40" w:line="346" w:lineRule="exact"/>
        <w:ind w:left="0" w:right="0" w:firstLine="460"/>
        <w:jc w:val="both"/>
      </w:pPr>
      <w:r>
        <w:rPr>
          <w:color w:val="000000"/>
          <w:spacing w:val="0"/>
          <w:w w:val="100"/>
          <w:position w:val="0"/>
        </w:rPr>
        <w:t>经历了疫情的考验和经营亏损的压力，公司以客户为中心，更加重视经营服务的精细化管理。通过持续改进项目、训练 与培训、绩效管理等管理手段，强化运营能力和顾客服务能力。截止报告期末，顾客满意度、建单率、交叉销售率、加盟店 数量等关键运营指标均有了显著提升。</w:t>
      </w:r>
    </w:p>
    <w:p>
      <w:pPr>
        <w:pStyle w:val="Style31"/>
        <w:keepNext w:val="0"/>
        <w:keepLines w:val="0"/>
        <w:widowControl w:val="0"/>
        <w:shd w:val="clear" w:color="auto" w:fill="auto"/>
        <w:tabs>
          <w:tab w:pos="818" w:val="left"/>
        </w:tabs>
        <w:bidi w:val="0"/>
        <w:spacing w:before="0" w:after="40" w:line="348" w:lineRule="exact"/>
        <w:ind w:left="0" w:right="0" w:firstLine="460"/>
        <w:jc w:val="both"/>
      </w:pPr>
      <w:bookmarkStart w:id="95" w:name="bookmark95"/>
      <w:r>
        <w:rPr>
          <w:rFonts w:ascii="Times New Roman" w:eastAsia="Times New Roman" w:hAnsi="Times New Roman" w:cs="Times New Roman"/>
          <w:b/>
          <w:bCs/>
          <w:color w:val="000000"/>
          <w:spacing w:val="0"/>
          <w:w w:val="100"/>
          <w:position w:val="0"/>
          <w:sz w:val="18"/>
          <w:szCs w:val="18"/>
        </w:rPr>
        <w:t>2</w:t>
      </w:r>
      <w:bookmarkEnd w:id="95"/>
      <w:r>
        <w:rPr>
          <w:b/>
          <w:bCs/>
          <w:color w:val="000000"/>
          <w:spacing w:val="0"/>
          <w:w w:val="100"/>
          <w:position w:val="0"/>
        </w:rPr>
        <w:t>、</w:t>
        <w:tab/>
        <w:t>推动线上发展，增强双轮驱动</w:t>
      </w:r>
    </w:p>
    <w:p>
      <w:pPr>
        <w:pStyle w:val="Style31"/>
        <w:keepNext w:val="0"/>
        <w:keepLines w:val="0"/>
        <w:widowControl w:val="0"/>
        <w:shd w:val="clear" w:color="auto" w:fill="auto"/>
        <w:bidi w:val="0"/>
        <w:spacing w:before="0" w:after="40" w:line="348" w:lineRule="exact"/>
        <w:ind w:left="0" w:right="0" w:firstLine="460"/>
        <w:jc w:val="both"/>
      </w:pPr>
      <w:r>
        <w:rPr>
          <w:color w:val="000000"/>
          <w:spacing w:val="0"/>
          <w:w w:val="100"/>
          <w:position w:val="0"/>
        </w:rPr>
        <w:t>公司遍布全国的线下自营门店和加盟门店，是公司线上业务快速发展的重要支撑。报告期内，公司结合市场环境变化， 增加对线上业务的资源投入，电商业务全面发展。在</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活动期间，公司的天猫旗舰店交易额再次 稳居天猫平台本地化生活服务</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数码服务交易指数排行榜首，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年来自线上的收入较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w:t>
      </w:r>
    </w:p>
    <w:p>
      <w:pPr>
        <w:pStyle w:val="Style31"/>
        <w:keepNext w:val="0"/>
        <w:keepLines w:val="0"/>
        <w:widowControl w:val="0"/>
        <w:shd w:val="clear" w:color="auto" w:fill="auto"/>
        <w:bidi w:val="0"/>
        <w:spacing w:before="0" w:after="40" w:line="360" w:lineRule="exact"/>
        <w:ind w:left="0" w:right="0" w:firstLine="460"/>
        <w:jc w:val="both"/>
      </w:pPr>
      <w:r>
        <w:rPr>
          <w:color w:val="000000"/>
          <w:spacing w:val="0"/>
          <w:w w:val="100"/>
          <w:position w:val="0"/>
        </w:rPr>
        <w:t>线上业务的快速发展，也有效推动了线下门店的业务增长，报告期内，门店非保修业务量年化增长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以上。线上线下 的''飞轮效应”，对业务增长的驱动力明显增强。</w:t>
      </w:r>
    </w:p>
    <w:p>
      <w:pPr>
        <w:pStyle w:val="Style31"/>
        <w:keepNext w:val="0"/>
        <w:keepLines w:val="0"/>
        <w:widowControl w:val="0"/>
        <w:shd w:val="clear" w:color="auto" w:fill="auto"/>
        <w:tabs>
          <w:tab w:pos="818" w:val="left"/>
        </w:tabs>
        <w:bidi w:val="0"/>
        <w:spacing w:before="0" w:after="40" w:line="348" w:lineRule="exact"/>
        <w:ind w:left="0" w:right="0" w:firstLine="460"/>
        <w:jc w:val="both"/>
      </w:pPr>
      <w:bookmarkStart w:id="96" w:name="bookmark96"/>
      <w:r>
        <w:rPr>
          <w:rFonts w:ascii="Times New Roman" w:eastAsia="Times New Roman" w:hAnsi="Times New Roman" w:cs="Times New Roman"/>
          <w:b/>
          <w:bCs/>
          <w:color w:val="000000"/>
          <w:spacing w:val="0"/>
          <w:w w:val="100"/>
          <w:position w:val="0"/>
          <w:sz w:val="18"/>
          <w:szCs w:val="18"/>
        </w:rPr>
        <w:t>3</w:t>
      </w:r>
      <w:bookmarkEnd w:id="96"/>
      <w:r>
        <w:rPr>
          <w:b/>
          <w:bCs/>
          <w:color w:val="000000"/>
          <w:spacing w:val="0"/>
          <w:w w:val="100"/>
          <w:position w:val="0"/>
        </w:rPr>
        <w:t>、</w:t>
        <w:tab/>
        <w:t>推动联盟业务发展，促进互利共赢</w:t>
      </w:r>
    </w:p>
    <w:p>
      <w:pPr>
        <w:pStyle w:val="Style31"/>
        <w:keepNext w:val="0"/>
        <w:keepLines w:val="0"/>
        <w:widowControl w:val="0"/>
        <w:shd w:val="clear" w:color="auto" w:fill="auto"/>
        <w:bidi w:val="0"/>
        <w:spacing w:before="0" w:after="460" w:line="346" w:lineRule="exact"/>
        <w:ind w:left="0" w:right="0" w:firstLine="460"/>
        <w:jc w:val="both"/>
      </w:pPr>
      <w:r>
        <w:rPr>
          <w:color w:val="000000"/>
          <w:spacing w:val="0"/>
          <w:w w:val="100"/>
          <w:position w:val="0"/>
        </w:rPr>
        <w:t>报告期内，公司把对加盟商的赋能、提升加盟商的盈利能力作为加盟业务的首要工作，持续研发满足市场需求的爆款产 品，为加盟商提供线上线下经营管理的方法论指导，为加盟商赋能线上引流。截止报告期末，公司新发展加盟店</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多家， 覆盖全国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18 0</w:t>
      </w:r>
      <w:r>
        <w:rPr>
          <w:color w:val="000000"/>
          <w:spacing w:val="0"/>
          <w:w w:val="100"/>
          <w:position w:val="0"/>
        </w:rPr>
        <w:t>个地市，并在产品开发、供应链管理、营销管理等方面，形成了百邦的方法论。</w:t>
      </w:r>
    </w:p>
    <w:p>
      <w:pPr>
        <w:pStyle w:val="Style39"/>
        <w:keepNext/>
        <w:keepLines/>
        <w:widowControl w:val="0"/>
        <w:shd w:val="clear" w:color="auto" w:fill="auto"/>
        <w:tabs>
          <w:tab w:pos="517" w:val="left"/>
        </w:tabs>
        <w:bidi w:val="0"/>
        <w:spacing w:before="0" w:after="3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w:t>
        <w:tab/>
        <w:t>主营业务分析</w:t>
      </w:r>
      <w:bookmarkEnd w:id="100"/>
      <w:bookmarkEnd w:id="97"/>
      <w:bookmarkEnd w:id="98"/>
    </w:p>
    <w:p>
      <w:pPr>
        <w:pStyle w:val="Style49"/>
        <w:keepNext/>
        <w:keepLines/>
        <w:widowControl w:val="0"/>
        <w:shd w:val="clear" w:color="auto" w:fill="auto"/>
        <w:tabs>
          <w:tab w:pos="395" w:val="left"/>
        </w:tabs>
        <w:bidi w:val="0"/>
        <w:spacing w:before="0" w:after="22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31"/>
        <w:keepNext w:val="0"/>
        <w:keepLines w:val="0"/>
        <w:widowControl w:val="0"/>
        <w:shd w:val="clear" w:color="auto" w:fill="auto"/>
        <w:bidi w:val="0"/>
        <w:spacing w:before="0" w:after="380" w:line="348"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9"/>
        <w:keepNext/>
        <w:keepLines/>
        <w:widowControl w:val="0"/>
        <w:shd w:val="clear" w:color="auto" w:fill="auto"/>
        <w:tabs>
          <w:tab w:pos="395" w:val="left"/>
        </w:tabs>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69"/>
        <w:keepNext/>
        <w:keepLines/>
        <w:widowControl w:val="0"/>
        <w:numPr>
          <w:ilvl w:val="0"/>
          <w:numId w:val="5"/>
        </w:numPr>
        <w:shd w:val="clear" w:color="auto" w:fill="auto"/>
        <w:bidi w:val="0"/>
        <w:spacing w:before="0" w:after="22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营业收入构成</w:t>
      </w:r>
      <w:bookmarkEnd w:id="109"/>
      <w:bookmarkEnd w:id="110"/>
      <w:bookmarkEnd w:id="112"/>
    </w:p>
    <w:p>
      <w:pPr>
        <w:pStyle w:val="Style31"/>
        <w:keepNext w:val="0"/>
        <w:keepLines w:val="0"/>
        <w:widowControl w:val="0"/>
        <w:shd w:val="clear" w:color="auto" w:fill="auto"/>
        <w:bidi w:val="0"/>
        <w:spacing w:before="0" w:after="180" w:line="348" w:lineRule="exact"/>
        <w:ind w:left="0" w:right="0" w:firstLine="0"/>
        <w:jc w:val="both"/>
      </w:pPr>
      <w:r>
        <w:rPr>
          <w:color w:val="000000"/>
          <w:spacing w:val="0"/>
          <w:w w:val="100"/>
          <w:position w:val="0"/>
        </w:rPr>
        <w:t>营业收入整体情况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661"/>
        <w:gridCol w:w="1685"/>
        <w:gridCol w:w="1502"/>
        <w:gridCol w:w="1728"/>
        <w:gridCol w:w="1426"/>
      </w:tblGrid>
      <w:tr>
        <w:trPr>
          <w:trHeight w:val="398" w:hRule="exact"/>
        </w:trPr>
        <w:tc>
          <w:tcPr>
            <w:tcBorders>
              <w:top w:val="single" w:sz="4"/>
            </w:tcBorders>
            <w:shd w:val="clear" w:color="auto" w:fill="A6A6A6"/>
            <w:vAlign w:val="top"/>
          </w:tcPr>
          <w:p>
            <w:pPr>
              <w:widowControl w:val="0"/>
              <w:rPr>
                <w:sz w:val="10"/>
                <w:szCs w:val="10"/>
              </w:rPr>
            </w:pPr>
          </w:p>
        </w:tc>
        <w:tc>
          <w:tcPr>
            <w:gridSpan w:val="2"/>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gridSpan w:val="2"/>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60" w:right="0" w:firstLine="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vMerge w:val="restart"/>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同比增减</w:t>
            </w:r>
          </w:p>
        </w:tc>
      </w:tr>
      <w:tr>
        <w:trPr>
          <w:trHeight w:val="403" w:hRule="exact"/>
        </w:trPr>
        <w:tc>
          <w:tcPr>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金额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占营业收入比重</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金额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占营业收入比重</w:t>
            </w:r>
          </w:p>
        </w:tc>
        <w:tc>
          <w:tcPr>
            <w:vMerge/>
            <w:tcBorders/>
            <w:shd w:val="clear" w:color="auto" w:fill="A6A6A6"/>
            <w:vAlign w:val="center"/>
          </w:tcPr>
          <w:p>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营业收入合计</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353,384,194.29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w:t>
            </w:r>
          </w:p>
        </w:tc>
      </w:tr>
    </w:tbl>
    <w:p>
      <w:pPr>
        <w:widowControl w:val="0"/>
        <w:spacing w:line="1" w:lineRule="exact"/>
      </w:pPr>
      <w:r>
        <w:br w:type="page"/>
      </w:r>
    </w:p>
    <w:tbl>
      <w:tblPr>
        <w:tblOverlap w:val="never"/>
        <w:jc w:val="center"/>
        <w:tblLayout w:type="fixed"/>
      </w:tblPr>
      <w:tblGrid>
        <w:gridCol w:w="1694"/>
        <w:gridCol w:w="2083"/>
        <w:gridCol w:w="1123"/>
        <w:gridCol w:w="2035"/>
        <w:gridCol w:w="1200"/>
        <w:gridCol w:w="1397"/>
      </w:tblGrid>
      <w:tr>
        <w:trPr>
          <w:trHeight w:val="418"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60" w:right="0" w:firstLine="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同比增减</w:t>
            </w:r>
          </w:p>
        </w:tc>
      </w:tr>
      <w:tr>
        <w:trPr>
          <w:trHeight w:val="322" w:hRule="exact"/>
        </w:trPr>
        <w:tc>
          <w:tcPr>
            <w:gridSpan w:val="6"/>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分行业</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居民服务、修理及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其他服务业</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475,137,934.69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97.18%</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346,085,551.59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97.93%</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37.29%</w:t>
            </w:r>
          </w:p>
        </w:tc>
      </w:tr>
      <w:tr>
        <w:trPr>
          <w:trHeight w:val="413" w:hRule="exact"/>
        </w:trPr>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59" w:val="left"/>
              </w:tabs>
              <w:bidi w:val="0"/>
              <w:spacing w:before="0" w:after="0" w:line="240" w:lineRule="auto"/>
              <w:ind w:left="0" w:right="0" w:firstLine="0"/>
              <w:jc w:val="left"/>
              <w:rPr>
                <w:sz w:val="54"/>
                <w:szCs w:val="54"/>
              </w:rPr>
            </w:pPr>
            <w:r>
              <w:rPr>
                <w:b/>
                <w:bCs/>
                <w:color w:val="FFFFFF"/>
                <w:spacing w:val="0"/>
                <w:w w:val="100"/>
                <w:position w:val="0"/>
                <w:sz w:val="15"/>
                <w:szCs w:val="15"/>
              </w:rPr>
              <w:t>其他业务收入</w:t>
              <w:tab/>
            </w:r>
            <w:r>
              <w:rPr>
                <w:rFonts w:ascii="Arial" w:eastAsia="Arial" w:hAnsi="Arial" w:cs="Arial"/>
                <w:color w:val="FFFFFF"/>
                <w:spacing w:val="0"/>
                <w:w w:val="100"/>
                <w:position w:val="0"/>
                <w:sz w:val="54"/>
                <w:szCs w:val="54"/>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7,298,642.70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88.81%</w:t>
            </w:r>
          </w:p>
        </w:tc>
      </w:tr>
      <w:tr>
        <w:trPr>
          <w:trHeight w:val="317" w:hRule="exact"/>
        </w:trPr>
        <w:tc>
          <w:tcPr>
            <w:gridSpan w:val="6"/>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分产品</w:t>
            </w:r>
          </w:p>
        </w:tc>
      </w:tr>
      <w:tr>
        <w:trPr>
          <w:trHeight w:val="3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83" w:val="left"/>
              </w:tabs>
              <w:bidi w:val="0"/>
              <w:spacing w:before="0" w:after="0" w:line="240" w:lineRule="auto"/>
              <w:ind w:left="0" w:right="0" w:firstLine="0"/>
              <w:jc w:val="left"/>
              <w:rPr>
                <w:sz w:val="54"/>
                <w:szCs w:val="54"/>
              </w:rPr>
            </w:pPr>
            <w:r>
              <w:rPr>
                <w:b/>
                <w:bCs/>
                <w:color w:val="FFFFFF"/>
                <w:spacing w:val="0"/>
                <w:w w:val="100"/>
                <w:position w:val="0"/>
                <w:sz w:val="15"/>
                <w:szCs w:val="15"/>
              </w:rPr>
              <w:t>手机维修</w:t>
              <w:tab/>
            </w:r>
            <w:r>
              <w:rPr>
                <w:rFonts w:ascii="Arial" w:eastAsia="Arial" w:hAnsi="Arial" w:cs="Arial"/>
                <w:color w:val="FFFFFF"/>
                <w:spacing w:val="0"/>
                <w:w w:val="100"/>
                <w:position w:val="0"/>
                <w:sz w:val="54"/>
                <w:szCs w:val="54"/>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206,312,098.12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174,768,662.58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18.05%</w:t>
            </w:r>
          </w:p>
        </w:tc>
      </w:tr>
      <w:tr>
        <w:trPr>
          <w:trHeight w:val="403"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78" w:val="left"/>
              </w:tabs>
              <w:bidi w:val="0"/>
              <w:spacing w:before="0" w:after="0" w:line="240" w:lineRule="auto"/>
              <w:ind w:left="0" w:right="0" w:firstLine="0"/>
              <w:jc w:val="left"/>
              <w:rPr>
                <w:sz w:val="54"/>
                <w:szCs w:val="54"/>
              </w:rPr>
            </w:pPr>
            <w:r>
              <w:rPr>
                <w:b/>
                <w:bCs/>
                <w:color w:val="FFFFFF"/>
                <w:spacing w:val="0"/>
                <w:w w:val="100"/>
                <w:position w:val="0"/>
                <w:sz w:val="15"/>
                <w:szCs w:val="15"/>
              </w:rPr>
              <w:t>新机销售</w:t>
              <w:tab/>
            </w:r>
            <w:r>
              <w:rPr>
                <w:rFonts w:ascii="Arial" w:eastAsia="Arial" w:hAnsi="Arial" w:cs="Arial"/>
                <w:color w:val="FFFFFF"/>
                <w:spacing w:val="0"/>
                <w:w w:val="100"/>
                <w:position w:val="0"/>
                <w:sz w:val="54"/>
                <w:szCs w:val="54"/>
              </w:rPr>
              <w:t>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212,125,109.25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43.39%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112,163,347.18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31.74%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89.12%</w:t>
            </w:r>
          </w:p>
        </w:tc>
      </w:tr>
      <w:tr>
        <w:trPr>
          <w:trHeight w:val="398"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26" w:val="left"/>
              </w:tabs>
              <w:bidi w:val="0"/>
              <w:spacing w:before="0" w:after="0" w:line="240" w:lineRule="auto"/>
              <w:ind w:left="0" w:right="0" w:firstLine="0"/>
              <w:jc w:val="left"/>
              <w:rPr>
                <w:sz w:val="54"/>
                <w:szCs w:val="54"/>
              </w:rPr>
            </w:pPr>
            <w:r>
              <w:rPr>
                <w:b/>
                <w:bCs/>
                <w:color w:val="FFFFFF"/>
                <w:spacing w:val="0"/>
                <w:w w:val="100"/>
                <w:position w:val="0"/>
                <w:sz w:val="15"/>
                <w:szCs w:val="15"/>
              </w:rPr>
              <w:t>电子商务</w:t>
              <w:tab/>
            </w:r>
            <w:r>
              <w:rPr>
                <w:rFonts w:ascii="Arial" w:eastAsia="Arial" w:hAnsi="Arial" w:cs="Arial"/>
                <w:color w:val="FFFFFF"/>
                <w:spacing w:val="0"/>
                <w:w w:val="100"/>
                <w:position w:val="0"/>
                <w:sz w:val="54"/>
                <w:szCs w:val="54"/>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25,940,732.62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19,086,678.94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35.91%</w:t>
            </w:r>
          </w:p>
        </w:tc>
      </w:tr>
      <w:tr>
        <w:trPr>
          <w:trHeight w:val="557"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商品销售、增值服 务及其他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30,759,994.70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40,066,862.89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w:t>
            </w:r>
          </w:p>
        </w:tc>
      </w:tr>
      <w:tr>
        <w:trPr>
          <w:trHeight w:val="403"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59" w:val="left"/>
              </w:tabs>
              <w:bidi w:val="0"/>
              <w:spacing w:before="0" w:after="0" w:line="240" w:lineRule="auto"/>
              <w:ind w:left="0" w:right="0" w:firstLine="0"/>
              <w:jc w:val="left"/>
              <w:rPr>
                <w:sz w:val="54"/>
                <w:szCs w:val="54"/>
              </w:rPr>
            </w:pPr>
            <w:r>
              <w:rPr>
                <w:b/>
                <w:bCs/>
                <w:color w:val="FFFFFF"/>
                <w:spacing w:val="0"/>
                <w:w w:val="100"/>
                <w:position w:val="0"/>
                <w:sz w:val="15"/>
                <w:szCs w:val="15"/>
              </w:rPr>
              <w:t>其他业务收入</w:t>
              <w:tab/>
            </w:r>
            <w:r>
              <w:rPr>
                <w:rFonts w:ascii="Arial" w:eastAsia="Arial" w:hAnsi="Arial" w:cs="Arial"/>
                <w:color w:val="FFFFFF"/>
                <w:spacing w:val="0"/>
                <w:w w:val="100"/>
                <w:position w:val="0"/>
                <w:sz w:val="54"/>
                <w:szCs w:val="54"/>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7,298,642.70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88.81%</w:t>
            </w:r>
          </w:p>
        </w:tc>
      </w:tr>
      <w:tr>
        <w:trPr>
          <w:trHeight w:val="331" w:hRule="exact"/>
        </w:trPr>
        <w:tc>
          <w:tcPr>
            <w:gridSpan w:val="6"/>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分地区</w:t>
            </w:r>
          </w:p>
        </w:tc>
      </w:tr>
      <w:tr>
        <w:trPr>
          <w:trHeight w:val="427" w:hRule="exact"/>
        </w:trPr>
        <w:tc>
          <w:tcPr>
            <w:tcBorders>
              <w:bottom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83" w:val="left"/>
              </w:tabs>
              <w:bidi w:val="0"/>
              <w:spacing w:before="0" w:after="0" w:line="240" w:lineRule="auto"/>
              <w:ind w:left="0" w:right="0" w:firstLine="0"/>
              <w:jc w:val="left"/>
              <w:rPr>
                <w:sz w:val="54"/>
                <w:szCs w:val="54"/>
              </w:rPr>
            </w:pPr>
            <w:r>
              <w:rPr>
                <w:b/>
                <w:bCs/>
                <w:color w:val="FFFFFF"/>
                <w:spacing w:val="0"/>
                <w:w w:val="100"/>
                <w:position w:val="0"/>
                <w:sz w:val="15"/>
                <w:szCs w:val="15"/>
              </w:rPr>
              <w:t>境内收入</w:t>
              <w:tab/>
            </w:r>
            <w:r>
              <w:rPr>
                <w:rFonts w:ascii="Arial" w:eastAsia="Arial" w:hAnsi="Arial" w:cs="Arial"/>
                <w:color w:val="FFFFFF"/>
                <w:spacing w:val="0"/>
                <w:w w:val="100"/>
                <w:position w:val="0"/>
                <w:sz w:val="54"/>
                <w:szCs w:val="54"/>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353,384,194.29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38.35%</w:t>
            </w:r>
          </w:p>
        </w:tc>
      </w:tr>
    </w:tbl>
    <w:p>
      <w:pPr>
        <w:widowControl w:val="0"/>
        <w:spacing w:after="319" w:line="1" w:lineRule="exact"/>
      </w:pPr>
    </w:p>
    <w:p>
      <w:pPr>
        <w:pStyle w:val="Style69"/>
        <w:keepNext/>
        <w:keepLines/>
        <w:widowControl w:val="0"/>
        <w:numPr>
          <w:ilvl w:val="0"/>
          <w:numId w:val="5"/>
        </w:numPr>
        <w:shd w:val="clear" w:color="auto" w:fill="auto"/>
        <w:bidi w:val="0"/>
        <w:spacing w:before="0" w:line="240" w:lineRule="auto"/>
        <w:ind w:left="0" w:right="0" w:firstLine="20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526"/>
        <w:gridCol w:w="1507"/>
        <w:gridCol w:w="912"/>
        <w:gridCol w:w="1368"/>
        <w:gridCol w:w="1363"/>
        <w:gridCol w:w="1330"/>
      </w:tblGrid>
      <w:tr>
        <w:trPr>
          <w:trHeight w:val="720"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营业收入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营业成本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毛利率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营业收入比上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年同期增减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营业成本比上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年同期增减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2" w:lineRule="exact"/>
              <w:ind w:left="0" w:right="0" w:firstLine="0"/>
              <w:jc w:val="center"/>
            </w:pPr>
            <w:r>
              <w:rPr>
                <w:b/>
                <w:bCs/>
                <w:color w:val="FFFFFF"/>
                <w:spacing w:val="0"/>
                <w:w w:val="100"/>
                <w:position w:val="0"/>
              </w:rPr>
              <w:t>毛利率比上年 同期增减</w:t>
            </w:r>
          </w:p>
        </w:tc>
      </w:tr>
      <w:tr>
        <w:trPr>
          <w:trHeight w:val="326" w:hRule="exact"/>
        </w:trPr>
        <w:tc>
          <w:tcPr>
            <w:gridSpan w:val="7"/>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分行业</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居民服务、修理 及其他服务业</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475,137,934.69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441,432,947.32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37.29%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其他业务收入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2,111,469.87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322" w:hRule="exact"/>
        </w:trPr>
        <w:tc>
          <w:tcPr>
            <w:gridSpan w:val="7"/>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8880" w:right="0" w:firstLine="0"/>
              <w:jc w:val="left"/>
            </w:pPr>
            <w:r>
              <w:rPr>
                <w:b/>
                <w:bCs/>
                <w:color w:val="FFFFFF"/>
                <w:spacing w:val="0"/>
                <w:w w:val="100"/>
                <w:position w:val="0"/>
              </w:rPr>
              <w:t>分产品</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手机维修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206,312,098.12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149,345,589.04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-3.98%</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新机销售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212,125,109.25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209,509,183.05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88.45%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商品销售、增值</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服务及其他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30,759,994.70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58,666,803.30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-55.13%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电子商务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25940732.62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23,911,371.93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35.91%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-90.17%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其他业务收入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2,111,469.87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326" w:hRule="exact"/>
        </w:trPr>
        <w:tc>
          <w:tcPr>
            <w:gridSpan w:val="7"/>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8880" w:right="0" w:firstLine="0"/>
              <w:jc w:val="left"/>
            </w:pPr>
            <w:r>
              <w:rPr>
                <w:b/>
                <w:bCs/>
                <w:color w:val="FFFFFF"/>
                <w:spacing w:val="0"/>
                <w:w w:val="100"/>
                <w:position w:val="0"/>
              </w:rPr>
              <w:t>分地区</w:t>
            </w:r>
          </w:p>
        </w:tc>
      </w:tr>
      <w:tr>
        <w:trPr>
          <w:trHeight w:val="427"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境内收入</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443,544,417.19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38.35%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44.69%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-3.97%</w:t>
            </w:r>
          </w:p>
        </w:tc>
      </w:tr>
    </w:tbl>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69"/>
        <w:keepNext/>
        <w:keepLines/>
        <w:widowControl w:val="0"/>
        <w:numPr>
          <w:ilvl w:val="0"/>
          <w:numId w:val="5"/>
        </w:numPr>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公司实物销售收入是否大于劳务收入</w:t>
      </w:r>
      <w:bookmarkEnd w:id="117"/>
      <w:bookmarkEnd w:id="118"/>
      <w:bookmarkEnd w:id="120"/>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br w:type="page"/>
      </w:r>
    </w:p>
    <w:p>
      <w:pPr>
        <w:pStyle w:val="Style69"/>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9"/>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416"/>
        <w:gridCol w:w="1502"/>
        <w:gridCol w:w="1109"/>
        <w:gridCol w:w="1502"/>
        <w:gridCol w:w="1104"/>
        <w:gridCol w:w="1248"/>
      </w:tblGrid>
      <w:tr>
        <w:trPr>
          <w:trHeight w:val="355"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产品分类</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pPr>
            <w:r>
              <w:rPr>
                <w:b/>
                <w:bCs/>
                <w:color w:val="FFFFFF"/>
                <w:spacing w:val="0"/>
                <w:w w:val="100"/>
                <w:position w:val="0"/>
              </w:rPr>
              <w:t>同比增减</w:t>
            </w:r>
          </w:p>
        </w:tc>
      </w:tr>
      <w:tr>
        <w:trPr>
          <w:trHeight w:val="557" w:hRule="exact"/>
        </w:trPr>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占营业成本 比重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660" w:firstLine="0"/>
              <w:jc w:val="righ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6" w:lineRule="exact"/>
              <w:ind w:left="0" w:right="0" w:firstLine="0"/>
              <w:jc w:val="center"/>
            </w:pPr>
            <w:r>
              <w:rPr>
                <w:b/>
                <w:bCs/>
                <w:color w:val="FFFFFF"/>
                <w:spacing w:val="0"/>
                <w:w w:val="100"/>
                <w:position w:val="0"/>
              </w:rPr>
              <w:t>占营业成本 比重</w:t>
            </w:r>
          </w:p>
        </w:tc>
        <w:tc>
          <w:tcPr>
            <w:vMerge/>
            <w:tcBorders/>
            <w:shd w:val="clear" w:color="auto" w:fill="A6A6A6"/>
            <w:vAlign w:val="center"/>
          </w:tcPr>
          <w:p>
            <w:pP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居民服务、修理及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其他服务业</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手机维修</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149,345,589.04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119,560,377.85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24.91%</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居民服务、修理及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其他服务业</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商品销售、增值 服务及其他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58,666,803.30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54,327,024.15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居民服务、修理及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其他服务业</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电子商务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23,911,371.93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21,488,875.17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11.27%</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居民服务、修理及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其他服务业</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新机销售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209,509,183.05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111,173,601.23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88.45%</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其他业务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其他业务成本</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2,111,469.87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rPr>
                <w:sz w:val="18"/>
                <w:szCs w:val="18"/>
              </w:rPr>
            </w:pPr>
            <w:r>
              <w:rPr>
                <w:rFonts w:ascii="Times New Roman" w:eastAsia="Times New Roman" w:hAnsi="Times New Roman" w:cs="Times New Roman"/>
                <w:b/>
                <w:bCs/>
                <w:color w:val="FFFFFF"/>
                <w:spacing w:val="0"/>
                <w:w w:val="100"/>
                <w:position w:val="0"/>
                <w:sz w:val="18"/>
                <w:szCs w:val="18"/>
              </w:rPr>
              <w:t>443,544,417.19</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rPr>
                <w:sz w:val="18"/>
                <w:szCs w:val="18"/>
              </w:rPr>
            </w:pPr>
            <w:r>
              <w:rPr>
                <w:rFonts w:ascii="Times New Roman" w:eastAsia="Times New Roman" w:hAnsi="Times New Roman" w:cs="Times New Roman"/>
                <w:b/>
                <w:bCs/>
                <w:color w:val="FFFFFF"/>
                <w:spacing w:val="0"/>
                <w:w w:val="100"/>
                <w:position w:val="0"/>
                <w:sz w:val="18"/>
                <w:szCs w:val="18"/>
              </w:rPr>
              <w:t>306,549,878.4</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44.69%</w:t>
            </w:r>
          </w:p>
        </w:tc>
      </w:tr>
    </w:tbl>
    <w:p>
      <w:pPr>
        <w:widowControl w:val="0"/>
        <w:spacing w:after="379" w:line="1" w:lineRule="exact"/>
      </w:pPr>
    </w:p>
    <w:p>
      <w:pPr>
        <w:pStyle w:val="Style69"/>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本年度新纳入合并范围的子公司为：</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深圳市百邦世纪电子科技有限公司</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上海百悦乐语科贸有限公司</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百邦日新（北京）科技有限公司</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河北雄安悦睿电子科技有限公司</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河北雄安悦星电子科技有限公司</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百隆嘉讯（上海）信息科技有限公司</w:t>
      </w:r>
    </w:p>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本年度不再纳入合并范围的子公司主要如下所示：</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山西凯特通讯信息技术有限公司</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山东百邦电子科技有限公司（以下简称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山东百邦</w:t>
      </w:r>
      <w:r>
        <w:rPr>
          <w:color w:val="000000"/>
          <w:spacing w:val="0"/>
          <w:w w:val="100"/>
          <w:position w:val="0"/>
        </w:rPr>
        <w:t>''）</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骏驰融资租赁有限公司（以下简称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骏驰融资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9"/>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9"/>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958"/>
        <w:gridCol w:w="4627"/>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前五名客户合计销售金额（元）</w:t>
            </w:r>
          </w:p>
        </w:tc>
        <w:tc>
          <w:tcPr>
            <w:tcBorders>
              <w:top w:val="single" w:sz="4"/>
            </w:tcBorders>
            <w:shd w:val="clear" w:color="auto" w:fill="A22B6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前五名客户合计销售金额占年度销售总额比例</w:t>
            </w:r>
          </w:p>
        </w:tc>
        <w:tc>
          <w:tcPr>
            <w:tcBorders>
              <w:top w:val="single" w:sz="4"/>
            </w:tcBorders>
            <w:shd w:val="clear" w:color="auto" w:fill="7E3F63"/>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前五名客户销售额中关联方销售额占年度销售总额比例</w:t>
            </w:r>
          </w:p>
        </w:tc>
        <w:tc>
          <w:tcPr>
            <w:tcBorders>
              <w:top w:val="single" w:sz="4"/>
              <w:bottom w:val="single" w:sz="4"/>
            </w:tcBorders>
            <w:shd w:val="clear" w:color="auto" w:fill="A22B6F"/>
            <w:vAlign w:val="top"/>
          </w:tcPr>
          <w:p>
            <w:pPr>
              <w:widowControl w:val="0"/>
              <w:rPr>
                <w:sz w:val="10"/>
                <w:szCs w:val="10"/>
              </w:rPr>
            </w:pPr>
          </w:p>
        </w:tc>
      </w:tr>
    </w:tbl>
    <w:p>
      <w:pPr>
        <w:widowControl w:val="0"/>
        <w:spacing w:line="1" w:lineRule="exact"/>
      </w:pPr>
    </w:p>
    <w:tbl>
      <w:tblPr>
        <w:tblOverlap w:val="never"/>
        <w:jc w:val="center"/>
        <w:tblLayout w:type="fixed"/>
      </w:tblPr>
      <w:tblGrid>
        <w:gridCol w:w="1915"/>
        <w:gridCol w:w="1858"/>
        <w:gridCol w:w="3005"/>
        <w:gridCol w:w="2798"/>
      </w:tblGrid>
      <w:tr>
        <w:trPr>
          <w:trHeight w:val="43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序号</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pPr>
            <w:r>
              <w:rPr>
                <w:b/>
                <w:bCs/>
                <w:color w:val="FFFFFF"/>
                <w:spacing w:val="0"/>
                <w:w w:val="100"/>
                <w:position w:val="0"/>
              </w:rPr>
              <w:t>客户名称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销售额（元）</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占年度销售总额比例</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rPr>
                <w:sz w:val="18"/>
                <w:szCs w:val="18"/>
              </w:rPr>
            </w:pPr>
            <w:r>
              <w:rPr>
                <w:rFonts w:ascii="Times New Roman" w:eastAsia="Times New Roman" w:hAnsi="Times New Roman" w:cs="Times New Roman"/>
                <w:b/>
                <w:bCs/>
                <w:color w:val="FFFFFF"/>
                <w:spacing w:val="0"/>
                <w:w w:val="100"/>
                <w:position w:val="0"/>
                <w:sz w:val="18"/>
                <w:szCs w:val="18"/>
              </w:rPr>
              <w:t>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客户一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100,714,292.05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rPr>
                <w:sz w:val="18"/>
                <w:szCs w:val="18"/>
              </w:rPr>
            </w:pPr>
            <w:r>
              <w:rPr>
                <w:rFonts w:ascii="Times New Roman" w:eastAsia="Times New Roman" w:hAnsi="Times New Roman" w:cs="Times New Roman"/>
                <w:b/>
                <w:bCs/>
                <w:color w:val="FFFFFF"/>
                <w:spacing w:val="0"/>
                <w:w w:val="100"/>
                <w:position w:val="0"/>
                <w:sz w:val="18"/>
                <w:szCs w:val="18"/>
              </w:rPr>
              <w:t>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客户二</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61,510,753.48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12.58%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rPr>
                <w:sz w:val="18"/>
                <w:szCs w:val="18"/>
              </w:rPr>
            </w:pPr>
            <w:r>
              <w:rPr>
                <w:rFonts w:ascii="Times New Roman" w:eastAsia="Times New Roman" w:hAnsi="Times New Roman" w:cs="Times New Roman"/>
                <w:b/>
                <w:bCs/>
                <w:color w:val="FFFFFF"/>
                <w:spacing w:val="0"/>
                <w:w w:val="100"/>
                <w:position w:val="0"/>
                <w:sz w:val="18"/>
                <w:szCs w:val="18"/>
              </w:rPr>
              <w:t>3</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客户三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15,102,103.54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rPr>
                <w:sz w:val="18"/>
                <w:szCs w:val="18"/>
              </w:rPr>
            </w:pPr>
            <w:r>
              <w:rPr>
                <w:rFonts w:ascii="Times New Roman" w:eastAsia="Times New Roman" w:hAnsi="Times New Roman" w:cs="Times New Roman"/>
                <w:b/>
                <w:bCs/>
                <w:color w:val="FFFFFF"/>
                <w:spacing w:val="0"/>
                <w:w w:val="100"/>
                <w:position w:val="0"/>
                <w:sz w:val="18"/>
                <w:szCs w:val="18"/>
              </w:rPr>
              <w:t>4</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客户四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13,724,535.40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rPr>
                <w:sz w:val="18"/>
                <w:szCs w:val="18"/>
              </w:rPr>
            </w:pPr>
            <w:r>
              <w:rPr>
                <w:rFonts w:ascii="Times New Roman" w:eastAsia="Times New Roman" w:hAnsi="Times New Roman" w:cs="Times New Roman"/>
                <w:b/>
                <w:bCs/>
                <w:color w:val="FFFFFF"/>
                <w:spacing w:val="0"/>
                <w:w w:val="100"/>
                <w:position w:val="0"/>
                <w:sz w:val="18"/>
                <w:szCs w:val="18"/>
              </w:rPr>
              <w:t>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客户五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13,050,984.96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20" w:right="0" w:firstLine="0"/>
              <w:jc w:val="left"/>
              <w:rPr>
                <w:sz w:val="18"/>
                <w:szCs w:val="18"/>
              </w:rPr>
            </w:pPr>
            <w:r>
              <w:rPr>
                <w:rFonts w:ascii="Times New Roman" w:eastAsia="Times New Roman" w:hAnsi="Times New Roman" w:cs="Times New Roman"/>
                <w:b/>
                <w:bCs/>
                <w:color w:val="FFFFFF"/>
                <w:spacing w:val="0"/>
                <w:w w:val="100"/>
                <w:position w:val="0"/>
                <w:sz w:val="18"/>
                <w:szCs w:val="18"/>
              </w:rPr>
              <w:t>204,102,669.43</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41.75%</w:t>
            </w:r>
          </w:p>
        </w:tc>
      </w:tr>
    </w:tbl>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公司主要供应商情况</w:t>
      </w:r>
    </w:p>
    <w:tbl>
      <w:tblPr>
        <w:tblOverlap w:val="never"/>
        <w:jc w:val="center"/>
        <w:tblLayout w:type="fixed"/>
      </w:tblPr>
      <w:tblGrid>
        <w:gridCol w:w="4958"/>
        <w:gridCol w:w="4627"/>
      </w:tblGrid>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前五名供应商合计采购金额（元）</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前五名供应商合计采购金额占年度采购总额比例</w:t>
            </w:r>
          </w:p>
        </w:tc>
        <w:tc>
          <w:tcPr>
            <w:tcBorders>
              <w:top w:val="single" w:sz="4"/>
            </w:tcBorders>
            <w:shd w:val="clear" w:color="auto" w:fill="A22B6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前五名供应商采购额中关联方采购额占年度采购总额比例</w:t>
            </w:r>
          </w:p>
        </w:tc>
        <w:tc>
          <w:tcPr>
            <w:tcBorders>
              <w:top w:val="single" w:sz="4"/>
              <w:bottom w:val="single" w:sz="4"/>
            </w:tcBorders>
            <w:shd w:val="clear" w:color="auto" w:fill="A22B6F"/>
            <w:vAlign w:val="top"/>
          </w:tcPr>
          <w:p>
            <w:pPr>
              <w:widowControl w:val="0"/>
              <w:rPr>
                <w:sz w:val="10"/>
                <w:szCs w:val="10"/>
              </w:rPr>
            </w:pPr>
          </w:p>
        </w:tc>
      </w:tr>
    </w:tbl>
    <w:p>
      <w:pPr>
        <w:widowControl w:val="0"/>
        <w:spacing w:line="1" w:lineRule="exact"/>
      </w:pPr>
    </w:p>
    <w:tbl>
      <w:tblPr>
        <w:tblOverlap w:val="never"/>
        <w:jc w:val="center"/>
        <w:tblLayout w:type="fixed"/>
      </w:tblPr>
      <w:tblGrid>
        <w:gridCol w:w="1992"/>
        <w:gridCol w:w="1858"/>
        <w:gridCol w:w="2928"/>
        <w:gridCol w:w="2798"/>
      </w:tblGrid>
      <w:tr>
        <w:trPr>
          <w:trHeight w:val="442"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序号</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供应商名称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采购额（元）</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占年度采购总额比例</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供应商一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98,876,698.68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22.29%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供应商二</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90,667,792.64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20.44%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3</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供应商三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77,049,806.08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17.37%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4</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供应商四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45,878,505.74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10.34%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供应商五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16,553,994.42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340" w:right="0" w:firstLine="0"/>
              <w:jc w:val="left"/>
              <w:rPr>
                <w:sz w:val="18"/>
                <w:szCs w:val="18"/>
              </w:rPr>
            </w:pPr>
            <w:r>
              <w:rPr>
                <w:rFonts w:ascii="Times New Roman" w:eastAsia="Times New Roman" w:hAnsi="Times New Roman" w:cs="Times New Roman"/>
                <w:b/>
                <w:bCs/>
                <w:color w:val="FFFFFF"/>
                <w:spacing w:val="0"/>
                <w:w w:val="100"/>
                <w:position w:val="0"/>
                <w:sz w:val="18"/>
                <w:szCs w:val="18"/>
              </w:rPr>
              <w:t>329,026,797.56</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74.18%</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834"/>
        <w:gridCol w:w="1584"/>
        <w:gridCol w:w="1325"/>
        <w:gridCol w:w="2923"/>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同比增减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重大变动说明</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销售费用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35,457,517.23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29,838,674.91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c>
          <w:tcPr>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管理费用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55,198,252.95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68,805,416.44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tcBorders>
            <w:shd w:val="clear" w:color="auto" w:fill="F9ECF3"/>
            <w:vAlign w:val="top"/>
          </w:tcPr>
          <w:p>
            <w:pPr>
              <w:widowControl w:val="0"/>
              <w:rPr>
                <w:sz w:val="10"/>
                <w:szCs w:val="10"/>
              </w:rPr>
            </w:pP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1,046,634.17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483,610.14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116.42%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本报告期内财务费用增加主要是门 店开展新机销售业务，导致增加微 信和支付宝的费用支出所致。</w:t>
            </w:r>
          </w:p>
        </w:tc>
      </w:tr>
      <w:tr>
        <w:trPr>
          <w:trHeight w:val="82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研发费用</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7,032,206.27</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13,385,504.95</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-47.46%</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研发费用减少是本年度公司没有新 的系统和软件开发工作，导致的研 发费用有所减少。</w:t>
            </w:r>
          </w:p>
        </w:tc>
      </w:tr>
    </w:tbl>
    <w:p>
      <w:pPr>
        <w:spacing w:lineRule="exact" w:line="1"/>
        <w:rPr>
          <w:sz w:val="2"/>
          <w:szCs w:val="2"/>
        </w:rPr>
      </w:pPr>
      <w:r>
        <w:br w:type="page"/>
      </w:r>
    </w:p>
    <w:p>
      <w:pPr>
        <w:pStyle w:val="Style49"/>
        <w:keepNext/>
        <w:keepLines/>
        <w:widowControl w:val="0"/>
        <w:shd w:val="clear" w:color="auto" w:fill="auto"/>
        <w:bidi w:val="0"/>
        <w:spacing w:before="0" w:after="26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本年度公司主要利用公司内部的研发人员并结合外包团队共同开发了百邦</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售后服务商家联盟</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系统，截至报告期末, 上述系统尚未投入运行。</w:t>
      </w:r>
    </w:p>
    <w:p>
      <w:pPr>
        <w:pStyle w:val="Style31"/>
        <w:keepNext w:val="0"/>
        <w:keepLines w:val="0"/>
        <w:widowControl w:val="0"/>
        <w:shd w:val="clear" w:color="auto" w:fill="auto"/>
        <w:bidi w:val="0"/>
        <w:spacing w:before="0" w:after="80" w:line="326"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110"/>
        <w:gridCol w:w="2611"/>
        <w:gridCol w:w="2107"/>
        <w:gridCol w:w="1742"/>
      </w:tblGrid>
      <w:tr>
        <w:trPr>
          <w:trHeight w:val="432"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rFonts w:ascii="Times New Roman" w:eastAsia="Times New Roman" w:hAnsi="Times New Roman" w:cs="Times New Roman"/>
                <w:b/>
                <w:bCs/>
                <w:color w:val="FFFFFF"/>
                <w:spacing w:val="0"/>
                <w:w w:val="100"/>
                <w:position w:val="0"/>
                <w:sz w:val="18"/>
                <w:szCs w:val="18"/>
              </w:rPr>
              <w:t xml:space="preserve">2018 </w:t>
            </w:r>
            <w:r>
              <w:rPr>
                <w:b/>
                <w:bCs/>
                <w:color w:val="FFFFFF"/>
                <w:spacing w:val="0"/>
                <w:w w:val="100"/>
                <w:position w:val="0"/>
              </w:rPr>
              <w:t>年</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研发人员数量（人）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研发人员数量占比</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研发投入金额（元）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7,032,206.27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13,385,504.95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17,262,042.53</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研发投入占营业收入比例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研发支出资本化的金额（元）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8,635,780.20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资本化研发支出占研发投入的比例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资本化研发支出占当期净利润的比重</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00" w:line="343" w:lineRule="exact"/>
        <w:ind w:left="0" w:right="0" w:firstLine="0"/>
        <w:jc w:val="left"/>
      </w:pPr>
      <w:r>
        <w:rPr>
          <w:color w:val="000000"/>
          <w:spacing w:val="0"/>
          <w:w w:val="100"/>
          <w:position w:val="0"/>
        </w:rPr>
        <w:t>本会计年度所有研发费用化，没有资本化列支。</w:t>
      </w:r>
    </w:p>
    <w:p>
      <w:pPr>
        <w:pStyle w:val="Style49"/>
        <w:keepNext/>
        <w:keepLines/>
        <w:widowControl w:val="0"/>
        <w:shd w:val="clear" w:color="auto" w:fill="auto"/>
        <w:bidi w:val="0"/>
        <w:spacing w:before="0" w:after="4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59"/>
        <w:gridCol w:w="2525"/>
        <w:gridCol w:w="2371"/>
        <w:gridCol w:w="2016"/>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同比增减</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经营活动现金流入小计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596,719,431.9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460,356,533.76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29.62%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经营活动现金流出小计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685,546,676.61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513,118,362.72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33.60%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-88,827,244.71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-52,761,828.96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-68.36%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投资活动现金流入小计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300,793,724.64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1,416,330,929.47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-78.76%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313,014,766.54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1,422,671,284.49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投资活动产生的现金流量净额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-12,221,041.90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-6,340,355.02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-92.75%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252,900.00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7,808.26%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筹资活动现金流出小计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1,664,586.25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41,022,052.11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-95.94%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18,335,413.75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-40,769,152.11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144.97%</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现金及现金等价物净增加额</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-82,754,183.62</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-99,823,161.55</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17.10%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560"/>
        <w:jc w:val="left"/>
      </w:pPr>
      <w:bookmarkStart w:id="153" w:name="bookmark153"/>
      <w:r>
        <w:rPr>
          <w:rFonts w:ascii="Times New Roman" w:eastAsia="Times New Roman" w:hAnsi="Times New Roman" w:cs="Times New Roman"/>
          <w:color w:val="000000"/>
          <w:spacing w:val="0"/>
          <w:w w:val="100"/>
          <w:position w:val="0"/>
          <w:sz w:val="18"/>
          <w:szCs w:val="18"/>
        </w:rPr>
        <w:t>（</w:t>
      </w:r>
      <w:bookmarkEnd w:id="1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）经营活动现金流出：同比增加</w:t>
      </w:r>
      <w:r>
        <w:rPr>
          <w:rFonts w:ascii="Times New Roman" w:eastAsia="Times New Roman" w:hAnsi="Times New Roman" w:cs="Times New Roman"/>
          <w:color w:val="000000"/>
          <w:spacing w:val="0"/>
          <w:w w:val="100"/>
          <w:position w:val="0"/>
          <w:sz w:val="18"/>
          <w:szCs w:val="18"/>
        </w:rPr>
        <w:t>33.60%</w:t>
      </w:r>
      <w:r>
        <w:rPr>
          <w:color w:val="000000"/>
          <w:spacing w:val="0"/>
          <w:w w:val="100"/>
          <w:position w:val="0"/>
        </w:rPr>
        <w:t>，主要原因是公司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年开展新机销售增加采购成本、同时开展了某品牌 </w:t>
      </w:r>
      <w:r>
        <w:rPr>
          <w:color w:val="000000"/>
          <w:spacing w:val="0"/>
          <w:w w:val="100"/>
          <w:position w:val="0"/>
        </w:rPr>
        <w:t>授权维修业务导致的采购成本增加所致。</w:t>
      </w:r>
    </w:p>
    <w:p>
      <w:pPr>
        <w:pStyle w:val="Style31"/>
        <w:keepNext w:val="0"/>
        <w:keepLines w:val="0"/>
        <w:widowControl w:val="0"/>
        <w:shd w:val="clear" w:color="auto" w:fill="auto"/>
        <w:tabs>
          <w:tab w:pos="901" w:val="left"/>
        </w:tabs>
        <w:bidi w:val="0"/>
        <w:spacing w:before="0" w:after="0" w:line="360" w:lineRule="exact"/>
        <w:ind w:left="0" w:right="0" w:firstLine="460"/>
        <w:jc w:val="left"/>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经营活动产生的现金流量净额：同比减少</w:t>
      </w:r>
      <w:r>
        <w:rPr>
          <w:rFonts w:ascii="Times New Roman" w:eastAsia="Times New Roman" w:hAnsi="Times New Roman" w:cs="Times New Roman"/>
          <w:color w:val="000000"/>
          <w:spacing w:val="0"/>
          <w:w w:val="100"/>
          <w:position w:val="0"/>
          <w:sz w:val="18"/>
          <w:szCs w:val="18"/>
        </w:rPr>
        <w:t>68.36%</w:t>
      </w:r>
      <w:r>
        <w:rPr>
          <w:color w:val="000000"/>
          <w:spacing w:val="0"/>
          <w:w w:val="100"/>
          <w:position w:val="0"/>
        </w:rPr>
        <w:t>，主要原因是公司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年经营亏损并增加了某品牌授权维修业 务的投入所致。</w:t>
      </w:r>
    </w:p>
    <w:p>
      <w:pPr>
        <w:pStyle w:val="Style31"/>
        <w:keepNext w:val="0"/>
        <w:keepLines w:val="0"/>
        <w:widowControl w:val="0"/>
        <w:shd w:val="clear" w:color="auto" w:fill="auto"/>
        <w:tabs>
          <w:tab w:pos="905" w:val="left"/>
        </w:tabs>
        <w:bidi w:val="0"/>
        <w:spacing w:before="0" w:after="0" w:line="360" w:lineRule="exact"/>
        <w:ind w:left="0" w:right="0" w:firstLine="460"/>
        <w:jc w:val="left"/>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投资活动现金流入：同比减少</w:t>
      </w:r>
      <w:r>
        <w:rPr>
          <w:rFonts w:ascii="Times New Roman" w:eastAsia="Times New Roman" w:hAnsi="Times New Roman" w:cs="Times New Roman"/>
          <w:color w:val="000000"/>
          <w:spacing w:val="0"/>
          <w:w w:val="100"/>
          <w:position w:val="0"/>
          <w:sz w:val="18"/>
          <w:szCs w:val="18"/>
        </w:rPr>
        <w:t>78.76%</w:t>
      </w:r>
      <w:r>
        <w:rPr>
          <w:color w:val="000000"/>
          <w:spacing w:val="0"/>
          <w:w w:val="100"/>
          <w:position w:val="0"/>
        </w:rPr>
        <w:t>，主要是本年度公司投入投资活动的现金及理财收益减少所致。</w:t>
      </w:r>
    </w:p>
    <w:p>
      <w:pPr>
        <w:pStyle w:val="Style31"/>
        <w:keepNext w:val="0"/>
        <w:keepLines w:val="0"/>
        <w:widowControl w:val="0"/>
        <w:shd w:val="clear" w:color="auto" w:fill="auto"/>
        <w:tabs>
          <w:tab w:pos="886" w:val="left"/>
        </w:tabs>
        <w:bidi w:val="0"/>
        <w:spacing w:before="0" w:after="0" w:line="365" w:lineRule="exact"/>
        <w:ind w:left="0" w:right="0" w:firstLine="460"/>
        <w:jc w:val="left"/>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投资活动现金流出：同比减少</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，主要是本年度公司投入投资活动的现金减少及增加了某品牌授权维修业务 固定资产支出增加所致。</w:t>
      </w:r>
    </w:p>
    <w:p>
      <w:pPr>
        <w:pStyle w:val="Style31"/>
        <w:keepNext w:val="0"/>
        <w:keepLines w:val="0"/>
        <w:widowControl w:val="0"/>
        <w:shd w:val="clear" w:color="auto" w:fill="auto"/>
        <w:tabs>
          <w:tab w:pos="905" w:val="left"/>
        </w:tabs>
        <w:bidi w:val="0"/>
        <w:spacing w:before="0" w:after="0" w:line="365" w:lineRule="exact"/>
        <w:ind w:left="0" w:right="0" w:firstLine="46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投资活动使用的现金流量净额：同比减少</w:t>
      </w:r>
      <w:r>
        <w:rPr>
          <w:rFonts w:ascii="Times New Roman" w:eastAsia="Times New Roman" w:hAnsi="Times New Roman" w:cs="Times New Roman"/>
          <w:color w:val="000000"/>
          <w:spacing w:val="0"/>
          <w:w w:val="100"/>
          <w:position w:val="0"/>
          <w:sz w:val="18"/>
          <w:szCs w:val="18"/>
        </w:rPr>
        <w:t>92.75%</w:t>
      </w:r>
      <w:r>
        <w:rPr>
          <w:color w:val="000000"/>
          <w:spacing w:val="0"/>
          <w:w w:val="100"/>
          <w:position w:val="0"/>
        </w:rPr>
        <w:t>，主要是本年度增加某品牌授权维修业务固定资产支出所致。</w:t>
      </w:r>
    </w:p>
    <w:p>
      <w:pPr>
        <w:pStyle w:val="Style31"/>
        <w:keepNext w:val="0"/>
        <w:keepLines w:val="0"/>
        <w:widowControl w:val="0"/>
        <w:shd w:val="clear" w:color="auto" w:fill="auto"/>
        <w:tabs>
          <w:tab w:pos="905" w:val="left"/>
        </w:tabs>
        <w:bidi w:val="0"/>
        <w:spacing w:before="0" w:after="0" w:line="365" w:lineRule="exact"/>
        <w:ind w:left="0" w:right="0" w:firstLine="46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筹资活动现金流入：同比增加</w:t>
      </w:r>
      <w:r>
        <w:rPr>
          <w:rFonts w:ascii="Times New Roman" w:eastAsia="Times New Roman" w:hAnsi="Times New Roman" w:cs="Times New Roman"/>
          <w:color w:val="000000"/>
          <w:spacing w:val="0"/>
          <w:w w:val="100"/>
          <w:position w:val="0"/>
          <w:sz w:val="18"/>
          <w:szCs w:val="18"/>
        </w:rPr>
        <w:t>7,808.26%</w:t>
      </w:r>
      <w:r>
        <w:rPr>
          <w:color w:val="000000"/>
          <w:spacing w:val="0"/>
          <w:w w:val="100"/>
          <w:position w:val="0"/>
        </w:rPr>
        <w:t>，主要是本年度公司提取了国家开发银行的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万贷款所致。</w:t>
      </w:r>
    </w:p>
    <w:p>
      <w:pPr>
        <w:pStyle w:val="Style31"/>
        <w:keepNext w:val="0"/>
        <w:keepLines w:val="0"/>
        <w:widowControl w:val="0"/>
        <w:shd w:val="clear" w:color="auto" w:fill="auto"/>
        <w:tabs>
          <w:tab w:pos="905" w:val="left"/>
        </w:tabs>
        <w:bidi w:val="0"/>
        <w:spacing w:before="0" w:after="0" w:line="365" w:lineRule="exact"/>
        <w:ind w:left="0" w:right="0" w:firstLine="460"/>
        <w:jc w:val="left"/>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筹资活动现金流出：同比减少</w:t>
      </w:r>
      <w:r>
        <w:rPr>
          <w:rFonts w:ascii="Times New Roman" w:eastAsia="Times New Roman" w:hAnsi="Times New Roman" w:cs="Times New Roman"/>
          <w:color w:val="000000"/>
          <w:spacing w:val="0"/>
          <w:w w:val="100"/>
          <w:position w:val="0"/>
          <w:sz w:val="18"/>
          <w:szCs w:val="18"/>
        </w:rPr>
        <w:t>95.94%</w:t>
      </w:r>
      <w:r>
        <w:rPr>
          <w:color w:val="000000"/>
          <w:spacing w:val="0"/>
          <w:w w:val="100"/>
          <w:position w:val="0"/>
        </w:rPr>
        <w:t>，主要是本年度公司没有进行股票回购也未分配股利所致。</w:t>
      </w:r>
    </w:p>
    <w:p>
      <w:pPr>
        <w:pStyle w:val="Style31"/>
        <w:keepNext w:val="0"/>
        <w:keepLines w:val="0"/>
        <w:widowControl w:val="0"/>
        <w:shd w:val="clear" w:color="auto" w:fill="auto"/>
        <w:bidi w:val="0"/>
        <w:spacing w:before="0" w:after="80" w:line="365" w:lineRule="exact"/>
        <w:ind w:left="0" w:right="0" w:firstLine="46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sz w:val="18"/>
          <w:szCs w:val="18"/>
        </w:rPr>
        <w:t>8</w:t>
      </w:r>
      <w:r>
        <w:rPr>
          <w:color w:val="000000"/>
          <w:spacing w:val="0"/>
          <w:w w:val="100"/>
          <w:position w:val="0"/>
        </w:rPr>
        <w:t>） 筹资活动产生的现金流量净额：同比增加</w:t>
      </w:r>
      <w:r>
        <w:rPr>
          <w:rFonts w:ascii="Times New Roman" w:eastAsia="Times New Roman" w:hAnsi="Times New Roman" w:cs="Times New Roman"/>
          <w:color w:val="000000"/>
          <w:spacing w:val="0"/>
          <w:w w:val="100"/>
          <w:position w:val="0"/>
          <w:sz w:val="18"/>
          <w:szCs w:val="18"/>
        </w:rPr>
        <w:t>144.97%</w:t>
      </w:r>
      <w:r>
        <w:rPr>
          <w:color w:val="000000"/>
          <w:spacing w:val="0"/>
          <w:w w:val="100"/>
          <w:position w:val="0"/>
        </w:rPr>
        <w:t>，主要是本年度公司提取了国家开发银行的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万贷款，没 有进行股票回购也未分配股利所致。</w:t>
      </w:r>
    </w:p>
    <w:p>
      <w:pPr>
        <w:pStyle w:val="Style31"/>
        <w:keepNext w:val="0"/>
        <w:keepLines w:val="0"/>
        <w:widowControl w:val="0"/>
        <w:shd w:val="clear" w:color="auto" w:fill="auto"/>
        <w:bidi w:val="0"/>
        <w:spacing w:before="0" w:after="160" w:line="365"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20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、非主营业务情况</w:t>
      </w:r>
      <w:bookmarkEnd w:id="161"/>
      <w:bookmarkEnd w:id="162"/>
      <w:bookmarkEnd w:id="164"/>
    </w:p>
    <w:p>
      <w:pPr>
        <w:pStyle w:val="Style31"/>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12"/>
        <w:gridCol w:w="1978"/>
        <w:gridCol w:w="1574"/>
        <w:gridCol w:w="2338"/>
        <w:gridCol w:w="2170"/>
      </w:tblGrid>
      <w:tr>
        <w:trPr>
          <w:trHeight w:val="34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8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占利润总额比例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pPr>
            <w:r>
              <w:rPr>
                <w:b/>
                <w:bCs/>
                <w:color w:val="FFFFFF"/>
                <w:spacing w:val="0"/>
                <w:w w:val="100"/>
                <w:position w:val="0"/>
              </w:rPr>
              <w:t>形成原因说明</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是否具有可持续性</w:t>
            </w:r>
          </w:p>
        </w:tc>
      </w:tr>
      <w:tr>
        <w:trPr>
          <w:trHeight w:val="63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934,017.12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主要是购买银行理财产 品形成的投资收益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是</w:t>
            </w:r>
          </w:p>
        </w:tc>
      </w:tr>
      <w:tr>
        <w:trPr>
          <w:trHeight w:val="63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资产减值</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-8,870,523.27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主要为无形资产减值</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否</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营业外支出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-21,266,883.34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主要为门店关闭或迁址 造成的租赁押金及未摊 销完装修费的损失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否</w:t>
            </w:r>
          </w:p>
        </w:tc>
      </w:tr>
      <w:tr>
        <w:trPr>
          <w:trHeight w:val="66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其他收益</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2,623,469.41</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主要来源于政府发放的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补助和税收返还</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否</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、资产及负债状况分析</w:t>
      </w:r>
      <w:bookmarkEnd w:id="165"/>
      <w:bookmarkEnd w:id="166"/>
      <w:bookmarkEnd w:id="168"/>
    </w:p>
    <w:p>
      <w:pPr>
        <w:pStyle w:val="Style49"/>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1675"/>
        <w:gridCol w:w="720"/>
        <w:gridCol w:w="1498"/>
        <w:gridCol w:w="758"/>
        <w:gridCol w:w="778"/>
        <w:gridCol w:w="2928"/>
      </w:tblGrid>
      <w:tr>
        <w:trPr>
          <w:trHeight w:val="437" w:hRule="exact"/>
        </w:trPr>
        <w:tc>
          <w:tcPr>
            <w:vMerge w:val="restart"/>
            <w:tcBorders/>
            <w:shd w:val="clear" w:color="auto" w:fill="A6A6A6"/>
            <w:vAlign w:val="top"/>
          </w:tcPr>
          <w:p>
            <w:pPr>
              <w:widowControl w:val="0"/>
              <w:rPr>
                <w:sz w:val="10"/>
                <w:szCs w:val="10"/>
              </w:rPr>
            </w:pP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年末</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年初</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2" w:lineRule="exact"/>
              <w:ind w:left="0" w:right="0" w:firstLine="0"/>
              <w:jc w:val="center"/>
            </w:pPr>
            <w:r>
              <w:rPr>
                <w:b/>
                <w:bCs/>
                <w:color w:val="FFFFFF"/>
                <w:spacing w:val="0"/>
                <w:w w:val="100"/>
                <w:position w:val="0"/>
              </w:rPr>
              <w:t>比重增 减</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重大变动说明</w:t>
            </w:r>
          </w:p>
        </w:tc>
      </w:tr>
      <w:tr>
        <w:trPr>
          <w:trHeight w:val="715" w:hRule="exact"/>
        </w:trPr>
        <w:tc>
          <w:tcPr>
            <w:vMerge/>
            <w:tcBorders/>
            <w:shd w:val="clear" w:color="auto" w:fill="A6A6A6"/>
            <w:vAlign w:val="top"/>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占总资</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产比例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占总资</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产比例</w:t>
            </w:r>
          </w:p>
        </w:tc>
        <w:tc>
          <w:tcPr>
            <w:vMerge/>
            <w:tcBorders/>
            <w:shd w:val="clear" w:color="auto" w:fill="A6A6A6"/>
            <w:vAlign w:val="center"/>
          </w:tcPr>
          <w:p>
            <w:pPr/>
          </w:p>
        </w:tc>
        <w:tc>
          <w:tcPr>
            <w:vMerge/>
            <w:tcBorders/>
            <w:shd w:val="clear" w:color="auto" w:fill="A6A6A6"/>
            <w:vAlign w:val="center"/>
          </w:tcPr>
          <w:p>
            <w:pPr/>
          </w:p>
        </w:tc>
      </w:tr>
      <w:tr>
        <w:trPr>
          <w:trHeight w:val="269" w:hRule="exact"/>
        </w:trPr>
        <w:tc>
          <w:tcPr>
            <w:vMerge w:val="restart"/>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货币资金</w:t>
            </w: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vMerge w:val="restart"/>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主要因本期应收账款增加，存货增</w:t>
            </w:r>
          </w:p>
        </w:tc>
      </w:tr>
      <w:tr>
        <w:trPr>
          <w:trHeight w:val="149" w:hRule="exact"/>
        </w:trPr>
        <w:tc>
          <w:tcPr>
            <w:vMerge/>
            <w:tcBorders/>
            <w:shd w:val="clear" w:color="auto" w:fill="A6A6A6"/>
            <w:vAlign w:val="bottom"/>
          </w:tcPr>
          <w:p>
            <w:pPr/>
          </w:p>
        </w:tc>
        <w:tc>
          <w:tcPr>
            <w:vMerge w:val="restart"/>
            <w:tcBorders/>
            <w:shd w:val="clear" w:color="auto" w:fill="F9ECF3"/>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125,293,250.43</w:t>
            </w:r>
          </w:p>
        </w:tc>
        <w:tc>
          <w:tcPr>
            <w:vMerge w:val="restart"/>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w:t>
            </w:r>
          </w:p>
        </w:tc>
        <w:tc>
          <w:tcPr>
            <w:vMerge w:val="restart"/>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194,487,434.05</w:t>
            </w:r>
          </w:p>
        </w:tc>
        <w:tc>
          <w:tcPr>
            <w:vMerge w:val="restart"/>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56.04%</w:t>
            </w:r>
          </w:p>
        </w:tc>
        <w:tc>
          <w:tcPr>
            <w:vMerge w:val="restart"/>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vMerge/>
            <w:tcBorders/>
            <w:shd w:val="clear" w:color="auto" w:fill="F9ECF3"/>
            <w:vAlign w:val="center"/>
          </w:tcPr>
          <w:p>
            <w:pPr/>
          </w:p>
        </w:tc>
      </w:tr>
      <w:tr>
        <w:trPr>
          <w:trHeight w:val="278" w:hRule="exact"/>
        </w:trPr>
        <w:tc>
          <w:tcPr>
            <w:tcBorders/>
            <w:shd w:val="clear" w:color="auto" w:fill="A6A6A6"/>
            <w:vAlign w:val="top"/>
          </w:tcPr>
          <w:p>
            <w:pPr>
              <w:widowControl w:val="0"/>
              <w:rPr>
                <w:sz w:val="10"/>
                <w:szCs w:val="10"/>
              </w:rPr>
            </w:pPr>
          </w:p>
        </w:tc>
        <w:tc>
          <w:tcPr>
            <w:vMerge/>
            <w:tcBorders/>
            <w:shd w:val="clear" w:color="auto" w:fill="F9ECF3"/>
            <w:vAlign w:val="top"/>
          </w:tcPr>
          <w:p>
            <w:pPr/>
          </w:p>
        </w:tc>
        <w:tc>
          <w:tcPr>
            <w:vMerge/>
            <w:tcBorders/>
            <w:shd w:val="clear" w:color="auto" w:fill="F9ECF3"/>
            <w:vAlign w:val="top"/>
          </w:tcPr>
          <w:p>
            <w:pPr/>
          </w:p>
        </w:tc>
        <w:tc>
          <w:tcPr>
            <w:vMerge/>
            <w:tcBorders/>
            <w:shd w:val="clear" w:color="auto" w:fill="F9ECF3"/>
            <w:vAlign w:val="top"/>
          </w:tcPr>
          <w:p>
            <w:pPr/>
          </w:p>
        </w:tc>
        <w:tc>
          <w:tcPr>
            <w:vMerge/>
            <w:tcBorders/>
            <w:shd w:val="clear" w:color="auto" w:fill="F9ECF3"/>
            <w:vAlign w:val="top"/>
          </w:tcPr>
          <w:p>
            <w:pPr/>
          </w:p>
        </w:tc>
        <w:tc>
          <w:tcPr>
            <w:vMerge/>
            <w:tcBorders/>
            <w:shd w:val="clear" w:color="auto" w:fill="F9ECF3"/>
            <w:vAlign w:val="top"/>
          </w:tcPr>
          <w:p>
            <w:pP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加和开展华为授权维修业务增加了</w:t>
            </w:r>
          </w:p>
        </w:tc>
      </w:tr>
    </w:tbl>
    <w:p>
      <w:pPr>
        <w:widowControl w:val="0"/>
        <w:spacing w:line="1" w:lineRule="exact"/>
      </w:pPr>
      <w:r>
        <w:br w:type="page"/>
      </w:r>
    </w:p>
    <w:tbl>
      <w:tblPr>
        <w:tblOverlap w:val="never"/>
        <w:jc w:val="center"/>
        <w:tblLayout w:type="fixed"/>
      </w:tblPr>
      <w:tblGrid>
        <w:gridCol w:w="1363"/>
        <w:gridCol w:w="8213"/>
      </w:tblGrid>
      <w:tr>
        <w:trPr>
          <w:trHeight w:val="442"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957" w:val="left"/>
                <w:tab w:pos="4622" w:val="left"/>
                <w:tab w:pos="6192" w:val="left"/>
              </w:tabs>
              <w:bidi w:val="0"/>
              <w:spacing w:before="0" w:after="0" w:line="240" w:lineRule="auto"/>
              <w:ind w:left="0" w:right="0" w:firstLine="72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年末</w:t>
              <w:tab/>
            </w: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年初</w:t>
              <w:tab/>
              <w:t>比重增</w:t>
              <w:tab/>
              <w:t>重大变动说明</w:t>
            </w:r>
          </w:p>
        </w:tc>
      </w:tr>
      <w:tr>
        <w:trPr>
          <w:trHeight w:val="662" w:hRule="exact"/>
        </w:trPr>
        <w:tc>
          <w:tcPr>
            <w:vMerge w:val="restart"/>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应收账款</w:t>
            </w:r>
          </w:p>
        </w:tc>
        <w:tc>
          <w:tcPr>
            <w:tcBorders/>
            <w:shd w:val="clear" w:color="auto" w:fill="F9ECF3"/>
            <w:vAlign w:val="center"/>
          </w:tcPr>
          <w:p>
            <w:pPr>
              <w:pStyle w:val="Style2"/>
              <w:keepNext w:val="0"/>
              <w:keepLines w:val="0"/>
              <w:widowControl w:val="0"/>
              <w:shd w:val="clear" w:color="auto" w:fill="auto"/>
              <w:bidi w:val="0"/>
              <w:spacing w:before="0" w:after="0" w:line="312" w:lineRule="exact"/>
              <w:ind w:left="5380" w:right="0" w:firstLine="0"/>
              <w:jc w:val="left"/>
            </w:pPr>
            <w:r>
              <w:rPr>
                <w:color w:val="000000"/>
                <w:spacing w:val="0"/>
                <w:w w:val="100"/>
                <w:position w:val="0"/>
              </w:rPr>
              <w:t>房租押金，厂家押金和存货增加及 经营亏损导致的现金减少所致。</w:t>
            </w:r>
          </w:p>
        </w:tc>
      </w:tr>
      <w:tr>
        <w:trPr>
          <w:trHeight w:val="403" w:hRule="exact"/>
        </w:trPr>
        <w:tc>
          <w:tcPr>
            <w:vMerge/>
            <w:tcBorders/>
            <w:shd w:val="clear" w:color="auto" w:fill="A6A6A6"/>
            <w:vAlign w:val="bottom"/>
          </w:tcPr>
          <w:p>
            <w:pPr/>
          </w:p>
        </w:tc>
        <w:tc>
          <w:tcPr>
            <w:tcBorders>
              <w:top w:val="single" w:sz="4"/>
            </w:tcBorders>
            <w:shd w:val="clear" w:color="auto" w:fill="FFFFFF"/>
            <w:vAlign w:val="center"/>
          </w:tcPr>
          <w:p>
            <w:pPr>
              <w:pStyle w:val="Style2"/>
              <w:keepNext w:val="0"/>
              <w:keepLines w:val="0"/>
              <w:widowControl w:val="0"/>
              <w:shd w:val="clear" w:color="auto" w:fill="auto"/>
              <w:tabs>
                <w:tab w:pos="1664" w:val="left"/>
                <w:tab w:pos="2466" w:val="left"/>
                <w:tab w:pos="3920" w:val="left"/>
                <w:tab w:pos="4717" w:val="left"/>
              </w:tabs>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23,594,486.51</w:t>
              <w:tab/>
            </w:r>
            <w:r>
              <w:rPr>
                <w:rFonts w:ascii="Times New Roman" w:eastAsia="Times New Roman" w:hAnsi="Times New Roman" w:cs="Times New Roman"/>
                <w:color w:val="000000"/>
                <w:spacing w:val="0"/>
                <w:w w:val="100"/>
                <w:position w:val="0"/>
                <w:sz w:val="18"/>
                <w:szCs w:val="18"/>
              </w:rPr>
              <w:t>8.68%</w:t>
              <w:tab/>
            </w:r>
            <w:r>
              <w:rPr>
                <w:rFonts w:ascii="Times New Roman" w:eastAsia="Times New Roman" w:hAnsi="Times New Roman" w:cs="Times New Roman"/>
                <w:color w:val="000000"/>
                <w:spacing w:val="0"/>
                <w:w w:val="100"/>
                <w:position w:val="0"/>
                <w:sz w:val="18"/>
                <w:szCs w:val="18"/>
              </w:rPr>
              <w:t>17,982,313.01</w:t>
              <w:tab/>
            </w:r>
            <w:r>
              <w:rPr>
                <w:rFonts w:ascii="Times New Roman" w:eastAsia="Times New Roman" w:hAnsi="Times New Roman" w:cs="Times New Roman"/>
                <w:color w:val="000000"/>
                <w:spacing w:val="0"/>
                <w:w w:val="100"/>
                <w:position w:val="0"/>
                <w:sz w:val="18"/>
                <w:szCs w:val="18"/>
              </w:rPr>
              <w:t>5.18%</w:t>
              <w:tab/>
              <w:t>3.50%</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存货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5380" w:right="0" w:firstLine="0"/>
              <w:jc w:val="left"/>
            </w:pPr>
            <w:r>
              <w:rPr>
                <w:color w:val="000000"/>
                <w:spacing w:val="0"/>
                <w:w w:val="100"/>
                <w:position w:val="0"/>
              </w:rPr>
              <w:t>本期存货增加主要是华为授权维修</w:t>
            </w:r>
          </w:p>
          <w:p>
            <w:pPr>
              <w:pStyle w:val="Style2"/>
              <w:keepNext w:val="0"/>
              <w:keepLines w:val="0"/>
              <w:widowControl w:val="0"/>
              <w:shd w:val="clear" w:color="auto" w:fill="auto"/>
              <w:tabs>
                <w:tab w:pos="1582" w:val="left"/>
                <w:tab w:pos="2456" w:val="left"/>
                <w:tab w:pos="3910" w:val="left"/>
                <w:tab w:pos="4702" w:val="left"/>
              </w:tabs>
              <w:bidi w:val="0"/>
              <w:spacing w:before="0" w:after="0" w:line="18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31,708,491.34</w:t>
              <w:tab/>
            </w:r>
            <w:r>
              <w:rPr>
                <w:rFonts w:ascii="Times New Roman" w:eastAsia="Times New Roman" w:hAnsi="Times New Roman" w:cs="Times New Roman"/>
                <w:color w:val="000000"/>
                <w:spacing w:val="0"/>
                <w:w w:val="100"/>
                <w:position w:val="0"/>
                <w:sz w:val="18"/>
                <w:szCs w:val="18"/>
              </w:rPr>
              <w:t>11.67%</w:t>
              <w:tab/>
            </w:r>
            <w:r>
              <w:rPr>
                <w:rFonts w:ascii="Times New Roman" w:eastAsia="Times New Roman" w:hAnsi="Times New Roman" w:cs="Times New Roman"/>
                <w:color w:val="000000"/>
                <w:spacing w:val="0"/>
                <w:w w:val="100"/>
                <w:position w:val="0"/>
                <w:sz w:val="18"/>
                <w:szCs w:val="18"/>
              </w:rPr>
              <w:t>17,824,213.06</w:t>
              <w:tab/>
            </w:r>
            <w:r>
              <w:rPr>
                <w:rFonts w:ascii="Times New Roman" w:eastAsia="Times New Roman" w:hAnsi="Times New Roman" w:cs="Times New Roman"/>
                <w:color w:val="000000"/>
                <w:spacing w:val="0"/>
                <w:w w:val="100"/>
                <w:position w:val="0"/>
                <w:sz w:val="18"/>
                <w:szCs w:val="18"/>
              </w:rPr>
              <w:t>5.14%</w:t>
              <w:tab/>
              <w:t>6.53%</w:t>
            </w:r>
          </w:p>
          <w:p>
            <w:pPr>
              <w:pStyle w:val="Style2"/>
              <w:keepNext w:val="0"/>
              <w:keepLines w:val="0"/>
              <w:widowControl w:val="0"/>
              <w:shd w:val="clear" w:color="auto" w:fill="auto"/>
              <w:tabs>
                <w:tab w:pos="2126" w:val="left"/>
                <w:tab w:pos="490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w:t>
              <w:tab/>
              <w:t>''</w:t>
              <w:tab/>
            </w:r>
            <w:r>
              <w:rPr>
                <w:color w:val="000000"/>
                <w:spacing w:val="0"/>
                <w:w w:val="100"/>
                <w:position w:val="0"/>
              </w:rPr>
              <w:t>门店营业和新机采购增加所致</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投资性房地产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长期股权投资</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5380" w:right="0" w:firstLine="0"/>
              <w:jc w:val="left"/>
            </w:pPr>
            <w:r>
              <w:rPr>
                <w:color w:val="000000"/>
                <w:spacing w:val="0"/>
                <w:w w:val="100"/>
                <w:position w:val="0"/>
              </w:rPr>
              <w:t>本报告期对于某品牌的授权业务进</w:t>
            </w:r>
          </w:p>
          <w:p>
            <w:pPr>
              <w:pStyle w:val="Style2"/>
              <w:keepNext w:val="0"/>
              <w:keepLines w:val="0"/>
              <w:widowControl w:val="0"/>
              <w:shd w:val="clear" w:color="auto" w:fill="auto"/>
              <w:tabs>
                <w:tab w:pos="1653" w:val="left"/>
                <w:tab w:pos="2522" w:val="left"/>
                <w:tab w:pos="3909" w:val="left"/>
                <w:tab w:pos="4634" w:val="left"/>
                <w:tab w:pos="5363" w:val="left"/>
              </w:tabs>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3,866,164.60</w:t>
              <w:tab/>
            </w:r>
            <w:r>
              <w:rPr>
                <w:rFonts w:ascii="Times New Roman" w:eastAsia="Times New Roman" w:hAnsi="Times New Roman" w:cs="Times New Roman"/>
                <w:color w:val="000000"/>
                <w:spacing w:val="0"/>
                <w:w w:val="100"/>
                <w:position w:val="0"/>
                <w:sz w:val="18"/>
                <w:szCs w:val="18"/>
              </w:rPr>
              <w:t>1.42%</w:t>
              <w:tab/>
            </w:r>
            <w:r>
              <w:rPr>
                <w:rFonts w:ascii="Times New Roman" w:eastAsia="Times New Roman" w:hAnsi="Times New Roman" w:cs="Times New Roman"/>
                <w:color w:val="000000"/>
                <w:spacing w:val="0"/>
                <w:w w:val="100"/>
                <w:position w:val="0"/>
                <w:sz w:val="18"/>
                <w:szCs w:val="18"/>
              </w:rPr>
              <w:t>5,473,900.38</w:t>
              <w:tab/>
            </w:r>
            <w:r>
              <w:rPr>
                <w:rFonts w:ascii="Times New Roman" w:eastAsia="Times New Roman" w:hAnsi="Times New Roman" w:cs="Times New Roman"/>
                <w:color w:val="000000"/>
                <w:spacing w:val="0"/>
                <w:w w:val="100"/>
                <w:position w:val="0"/>
                <w:sz w:val="18"/>
                <w:szCs w:val="18"/>
              </w:rPr>
              <w:t>1.58%</w:t>
              <w:tab/>
              <w:t>-0.16%</w:t>
              <w:tab/>
            </w:r>
            <w:r>
              <w:rPr>
                <w:color w:val="000000"/>
                <w:spacing w:val="0"/>
                <w:w w:val="100"/>
                <w:position w:val="0"/>
              </w:rPr>
              <w:t>行了处置，导致期末的固定资产有</w:t>
            </w:r>
          </w:p>
          <w:p>
            <w:pPr>
              <w:pStyle w:val="Style2"/>
              <w:keepNext w:val="0"/>
              <w:keepLines w:val="0"/>
              <w:widowControl w:val="0"/>
              <w:shd w:val="clear" w:color="auto" w:fill="auto"/>
              <w:bidi w:val="0"/>
              <w:spacing w:before="0" w:after="100" w:line="240" w:lineRule="auto"/>
              <w:ind w:left="5380" w:right="0" w:firstLine="0"/>
              <w:jc w:val="left"/>
            </w:pPr>
            <w:r>
              <w:rPr>
                <w:color w:val="000000"/>
                <w:spacing w:val="0"/>
                <w:w w:val="100"/>
                <w:position w:val="0"/>
              </w:rPr>
              <w:t>所减少</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在建工程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5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长期借款</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645" w:val="left"/>
                <w:tab w:pos="3152" w:val="left"/>
                <w:tab w:pos="3896" w:val="left"/>
                <w:tab w:pos="4698" w:val="left"/>
                <w:tab w:pos="5379" w:val="left"/>
              </w:tabs>
              <w:bidi w:val="0"/>
              <w:spacing w:before="0" w:after="0" w:line="298" w:lineRule="exact"/>
              <w:ind w:left="320" w:right="0" w:firstLine="5060"/>
              <w:jc w:val="left"/>
            </w:pPr>
            <w:r>
              <w:rPr>
                <w:color w:val="000000"/>
                <w:spacing w:val="0"/>
                <w:w w:val="100"/>
                <w:position w:val="0"/>
              </w:rPr>
              <w:t xml:space="preserve">本报告期末，公司提取了国开行的 </w:t>
            </w:r>
            <w:r>
              <w:rPr>
                <w:rFonts w:ascii="Times New Roman" w:eastAsia="Times New Roman" w:hAnsi="Times New Roman" w:cs="Times New Roman"/>
                <w:color w:val="000000"/>
                <w:spacing w:val="0"/>
                <w:w w:val="100"/>
                <w:position w:val="0"/>
                <w:sz w:val="18"/>
                <w:szCs w:val="18"/>
              </w:rPr>
              <w:t>16,000,000.00</w:t>
              <w:tab/>
            </w:r>
            <w:r>
              <w:rPr>
                <w:rFonts w:ascii="Times New Roman" w:eastAsia="Times New Roman" w:hAnsi="Times New Roman" w:cs="Times New Roman"/>
                <w:color w:val="000000"/>
                <w:spacing w:val="0"/>
                <w:w w:val="100"/>
                <w:position w:val="0"/>
                <w:sz w:val="18"/>
                <w:szCs w:val="18"/>
              </w:rPr>
              <w:t>5.89%</w:t>
              <w:tab/>
            </w:r>
            <w:r>
              <w:rPr>
                <w:rFonts w:ascii="Times New Roman" w:eastAsia="Times New Roman" w:hAnsi="Times New Roman" w:cs="Times New Roman"/>
                <w:color w:val="000000"/>
                <w:spacing w:val="0"/>
                <w:w w:val="100"/>
                <w:position w:val="0"/>
                <w:sz w:val="18"/>
                <w:szCs w:val="18"/>
              </w:rPr>
              <w:t>0.00</w:t>
              <w:tab/>
            </w:r>
            <w:r>
              <w:rPr>
                <w:rFonts w:ascii="Times New Roman" w:eastAsia="Times New Roman" w:hAnsi="Times New Roman" w:cs="Times New Roman"/>
                <w:color w:val="000000"/>
                <w:spacing w:val="0"/>
                <w:w w:val="100"/>
                <w:position w:val="0"/>
                <w:sz w:val="18"/>
                <w:szCs w:val="18"/>
              </w:rPr>
              <w:t>0.00%</w:t>
              <w:tab/>
              <w:t>5.89%</w:t>
              <w:tab/>
              <w:t>3</w:t>
            </w:r>
            <w:r>
              <w:rPr>
                <w:color w:val="000000"/>
                <w:spacing w:val="0"/>
                <w:w w:val="100"/>
                <w:position w:val="0"/>
              </w:rPr>
              <w:t>年期银行授信贷款导致长期借款</w:t>
            </w:r>
          </w:p>
          <w:p>
            <w:pPr>
              <w:pStyle w:val="Style2"/>
              <w:keepNext w:val="0"/>
              <w:keepLines w:val="0"/>
              <w:widowControl w:val="0"/>
              <w:shd w:val="clear" w:color="auto" w:fill="auto"/>
              <w:bidi w:val="0"/>
              <w:spacing w:before="0" w:after="0" w:line="298" w:lineRule="exact"/>
              <w:ind w:left="320" w:right="0" w:firstLine="5060"/>
              <w:jc w:val="left"/>
            </w:pPr>
            <w:r>
              <w:rPr>
                <w:color w:val="000000"/>
                <w:spacing w:val="0"/>
                <w:w w:val="100"/>
                <w:position w:val="0"/>
              </w:rPr>
              <w:t>增加</w:t>
            </w:r>
          </w:p>
        </w:tc>
      </w:tr>
    </w:tbl>
    <w:p>
      <w:pPr>
        <w:widowControl w:val="0"/>
        <w:spacing w:after="359" w:line="1" w:lineRule="exact"/>
      </w:pPr>
    </w:p>
    <w:p>
      <w:pPr>
        <w:pStyle w:val="Style49"/>
        <w:keepNext/>
        <w:keepLines/>
        <w:widowControl w:val="0"/>
        <w:shd w:val="clear" w:color="auto" w:fill="auto"/>
        <w:tabs>
          <w:tab w:pos="378"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以公允价值计量的资产和负债</w:t>
      </w:r>
      <w:bookmarkEnd w:id="173"/>
      <w:bookmarkEnd w:id="174"/>
      <w:bookmarkEnd w:id="17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tabs>
          <w:tab w:pos="378"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截至报告期末的资产权利受限情况</w:t>
      </w:r>
      <w:bookmarkEnd w:id="177"/>
      <w:bookmarkEnd w:id="178"/>
      <w:bookmarkEnd w:id="18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、投资状况分析</w:t>
      </w:r>
      <w:bookmarkEnd w:id="181"/>
      <w:bookmarkEnd w:id="182"/>
      <w:bookmarkEnd w:id="184"/>
    </w:p>
    <w:p>
      <w:pPr>
        <w:pStyle w:val="Style49"/>
        <w:keepNext/>
        <w:keepLines/>
        <w:widowControl w:val="0"/>
        <w:shd w:val="clear" w:color="auto" w:fill="auto"/>
        <w:tabs>
          <w:tab w:pos="36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w:t>
        <w:tab/>
        <w:t>总体情况</w:t>
      </w:r>
      <w:bookmarkEnd w:id="185"/>
      <w:bookmarkEnd w:id="186"/>
      <w:bookmarkEnd w:id="18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w:t>
        <w:tab/>
        <w:t>报告期内获取的重大的股权投资情况</w:t>
      </w:r>
      <w:bookmarkEnd w:id="189"/>
      <w:bookmarkEnd w:id="190"/>
      <w:bookmarkEnd w:id="19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w:t>
        <w:tab/>
        <w:t>报告期内正在进行的重大的非股权投资情况</w:t>
      </w:r>
      <w:bookmarkEnd w:id="193"/>
      <w:bookmarkEnd w:id="194"/>
      <w:bookmarkEnd w:id="19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、以公允价值计量的金融资产</w:t>
      </w:r>
      <w:bookmarkEnd w:id="197"/>
      <w:bookmarkEnd w:id="198"/>
      <w:bookmarkEnd w:id="20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9"/>
        <w:keepNext/>
        <w:keepLines/>
        <w:widowControl w:val="0"/>
        <w:shd w:val="clear" w:color="auto" w:fill="auto"/>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9"/>
        <w:keepNext/>
        <w:keepLines/>
        <w:widowControl w:val="0"/>
        <w:numPr>
          <w:ilvl w:val="0"/>
          <w:numId w:val="7"/>
        </w:numPr>
        <w:shd w:val="clear" w:color="auto" w:fill="auto"/>
        <w:bidi w:val="0"/>
        <w:spacing w:before="0" w:line="240" w:lineRule="auto"/>
        <w:ind w:left="0" w:right="0" w:firstLine="22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募集资金总体使用情况</w:t>
      </w:r>
      <w:bookmarkEnd w:id="205"/>
      <w:bookmarkEnd w:id="206"/>
      <w:bookmarkEnd w:id="20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p>
      <w:pPr>
        <w:widowControl w:val="0"/>
        <w:spacing w:line="1" w:lineRule="exact"/>
      </w:pPr>
      <w:r>
        <mc:AlternateContent>
          <mc:Choice Requires="wps">
            <w:drawing>
              <wp:anchor distT="311150" distB="295910" distL="0" distR="0" simplePos="0" relativeHeight="125829412" behindDoc="0" locked="0" layoutInCell="1" allowOverlap="1">
                <wp:simplePos x="0" y="0"/>
                <wp:positionH relativeFrom="page">
                  <wp:posOffset>711200</wp:posOffset>
                </wp:positionH>
                <wp:positionV relativeFrom="paragraph">
                  <wp:posOffset>311150</wp:posOffset>
                </wp:positionV>
                <wp:extent cx="265430" cy="304800"/>
                <wp:wrapTopAndBottom/>
                <wp:docPr id="56" name="Shape 56"/>
                <a:graphic xmlns:a="http://schemas.openxmlformats.org/drawingml/2006/main">
                  <a:graphicData uri="http://schemas.microsoft.com/office/word/2010/wordprocessingShape">
                    <wps:wsp>
                      <wps:cNvSpPr txBox="1"/>
                      <wps:spPr>
                        <a:xfrm>
                          <a:ext cx="265430" cy="3048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募集 年份</w:t>
                            </w:r>
                          </w:p>
                        </w:txbxContent>
                      </wps:txbx>
                      <wps:bodyPr lIns="0" tIns="0" rIns="0" bIns="0">
                        <a:noAutoFit/>
                      </wps:bodyPr>
                    </wps:wsp>
                  </a:graphicData>
                </a:graphic>
              </wp:anchor>
            </w:drawing>
          </mc:Choice>
          <mc:Fallback>
            <w:pict>
              <v:shape id="_x0000_s1082" type="#_x0000_t202" style="position:absolute;margin-left:56.pt;margin-top:24.5pt;width:20.900000000000002pt;height:24.pt;z-index:-125829341;mso-wrap-distance-left:0;mso-wrap-distance-top:24.5pt;mso-wrap-distance-right:0;mso-wrap-distance-bottom:23.300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募集 年份</w:t>
                      </w:r>
                    </w:p>
                  </w:txbxContent>
                </v:textbox>
                <w10:wrap type="topAndBottom" anchorx="page"/>
              </v:shape>
            </w:pict>
          </mc:Fallback>
        </mc:AlternateContent>
      </w:r>
      <w:r>
        <mc:AlternateContent>
          <mc:Choice Requires="wps">
            <w:drawing>
              <wp:anchor distT="317500" distB="295910" distL="0" distR="0" simplePos="0" relativeHeight="125829414" behindDoc="0" locked="0" layoutInCell="1" allowOverlap="1">
                <wp:simplePos x="0" y="0"/>
                <wp:positionH relativeFrom="page">
                  <wp:posOffset>1174750</wp:posOffset>
                </wp:positionH>
                <wp:positionV relativeFrom="paragraph">
                  <wp:posOffset>317500</wp:posOffset>
                </wp:positionV>
                <wp:extent cx="262255" cy="298450"/>
                <wp:wrapTopAndBottom/>
                <wp:docPr id="58" name="Shape 58"/>
                <a:graphic xmlns:a="http://schemas.openxmlformats.org/drawingml/2006/main">
                  <a:graphicData uri="http://schemas.microsoft.com/office/word/2010/wordprocessingShape">
                    <wps:wsp>
                      <wps:cNvSpPr txBox="1"/>
                      <wps:spPr>
                        <a:xfrm>
                          <a:ext cx="262255" cy="2984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募集</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方式</w:t>
                            </w:r>
                          </w:p>
                        </w:txbxContent>
                      </wps:txbx>
                      <wps:bodyPr lIns="0" tIns="0" rIns="0" bIns="0">
                        <a:noAutoFit/>
                      </wps:bodyPr>
                    </wps:wsp>
                  </a:graphicData>
                </a:graphic>
              </wp:anchor>
            </w:drawing>
          </mc:Choice>
          <mc:Fallback>
            <w:pict>
              <v:shape id="_x0000_s1084" type="#_x0000_t202" style="position:absolute;margin-left:92.5pt;margin-top:25.pt;width:20.650000000000002pt;height:23.5pt;z-index:-125829339;mso-wrap-distance-left:0;mso-wrap-distance-top:25.pt;mso-wrap-distance-right:0;mso-wrap-distance-bottom:23.300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募集</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方式</w:t>
                      </w:r>
                    </w:p>
                  </w:txbxContent>
                </v:textbox>
                <w10:wrap type="topAndBottom" anchorx="page"/>
              </v:shape>
            </w:pict>
          </mc:Fallback>
        </mc:AlternateContent>
      </w:r>
      <w:r>
        <mc:AlternateContent>
          <mc:Choice Requires="wps">
            <w:drawing>
              <wp:anchor distT="158750" distB="149860" distL="0" distR="0" simplePos="0" relativeHeight="125829416" behindDoc="0" locked="0" layoutInCell="1" allowOverlap="1">
                <wp:simplePos x="0" y="0"/>
                <wp:positionH relativeFrom="page">
                  <wp:posOffset>1637665</wp:posOffset>
                </wp:positionH>
                <wp:positionV relativeFrom="paragraph">
                  <wp:posOffset>158750</wp:posOffset>
                </wp:positionV>
                <wp:extent cx="932815" cy="603250"/>
                <wp:wrapTopAndBottom/>
                <wp:docPr id="60" name="Shape 60"/>
                <a:graphic xmlns:a="http://schemas.openxmlformats.org/drawingml/2006/main">
                  <a:graphicData uri="http://schemas.microsoft.com/office/word/2010/wordprocessingShape">
                    <wps:wsp>
                      <wps:cNvSpPr txBox="1"/>
                      <wps:spPr>
                        <a:xfrm>
                          <a:ext cx="932815" cy="6032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54" w:val="left"/>
                              </w:tabs>
                              <w:bidi w:val="0"/>
                              <w:spacing w:before="0" w:after="0" w:line="235" w:lineRule="exact"/>
                              <w:ind w:left="0" w:right="0" w:firstLine="0"/>
                              <w:jc w:val="right"/>
                            </w:pPr>
                            <w:r>
                              <w:rPr>
                                <w:b/>
                                <w:bCs/>
                                <w:color w:val="FFFFFF"/>
                                <w:spacing w:val="0"/>
                                <w:w w:val="100"/>
                                <w:position w:val="0"/>
                              </w:rPr>
                              <w:t>本期已 募集资</w:t>
                              <w:tab/>
                              <w:t>使用募</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54" w:val="left"/>
                              </w:tabs>
                              <w:bidi w:val="0"/>
                              <w:spacing w:before="0" w:after="0" w:line="235" w:lineRule="exact"/>
                              <w:ind w:left="0" w:right="0" w:firstLine="0"/>
                              <w:jc w:val="right"/>
                            </w:pPr>
                            <w:r>
                              <w:rPr>
                                <w:b/>
                                <w:bCs/>
                                <w:color w:val="FFFFFF"/>
                                <w:spacing w:val="0"/>
                                <w:w w:val="100"/>
                                <w:position w:val="0"/>
                              </w:rPr>
                              <w:t>金总额</w:t>
                              <w:tab/>
                              <w:t>集资金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right"/>
                            </w:pPr>
                            <w:r>
                              <w:rPr>
                                <w:b/>
                                <w:bCs/>
                                <w:color w:val="FFFFFF"/>
                                <w:spacing w:val="0"/>
                                <w:w w:val="100"/>
                                <w:position w:val="0"/>
                              </w:rPr>
                              <w:t>总额</w:t>
                            </w:r>
                          </w:p>
                        </w:txbxContent>
                      </wps:txbx>
                      <wps:bodyPr lIns="0" tIns="0" rIns="0" bIns="0">
                        <a:noAutoFit/>
                      </wps:bodyPr>
                    </wps:wsp>
                  </a:graphicData>
                </a:graphic>
              </wp:anchor>
            </w:drawing>
          </mc:Choice>
          <mc:Fallback>
            <w:pict>
              <v:shape id="_x0000_s1086" type="#_x0000_t202" style="position:absolute;margin-left:128.94999999999999pt;margin-top:12.5pt;width:73.450000000000003pt;height:47.5pt;z-index:-125829337;mso-wrap-distance-left:0;mso-wrap-distance-top:12.5pt;mso-wrap-distance-right:0;mso-wrap-distance-bottom:11.800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54" w:val="left"/>
                        </w:tabs>
                        <w:bidi w:val="0"/>
                        <w:spacing w:before="0" w:after="0" w:line="235" w:lineRule="exact"/>
                        <w:ind w:left="0" w:right="0" w:firstLine="0"/>
                        <w:jc w:val="right"/>
                      </w:pPr>
                      <w:r>
                        <w:rPr>
                          <w:b/>
                          <w:bCs/>
                          <w:color w:val="FFFFFF"/>
                          <w:spacing w:val="0"/>
                          <w:w w:val="100"/>
                          <w:position w:val="0"/>
                        </w:rPr>
                        <w:t>本期已 募集资</w:t>
                        <w:tab/>
                        <w:t>使用募</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54" w:val="left"/>
                        </w:tabs>
                        <w:bidi w:val="0"/>
                        <w:spacing w:before="0" w:after="0" w:line="235" w:lineRule="exact"/>
                        <w:ind w:left="0" w:right="0" w:firstLine="0"/>
                        <w:jc w:val="right"/>
                      </w:pPr>
                      <w:r>
                        <w:rPr>
                          <w:b/>
                          <w:bCs/>
                          <w:color w:val="FFFFFF"/>
                          <w:spacing w:val="0"/>
                          <w:w w:val="100"/>
                          <w:position w:val="0"/>
                        </w:rPr>
                        <w:t>金总额</w:t>
                        <w:tab/>
                        <w:t>集资金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right"/>
                      </w:pPr>
                      <w:r>
                        <w:rPr>
                          <w:b/>
                          <w:bCs/>
                          <w:color w:val="FFFFFF"/>
                          <w:spacing w:val="0"/>
                          <w:w w:val="100"/>
                          <w:position w:val="0"/>
                        </w:rPr>
                        <w:t>总额</w:t>
                      </w:r>
                    </w:p>
                  </w:txbxContent>
                </v:textbox>
                <w10:wrap type="topAndBottom" anchorx="page"/>
              </v:shape>
            </w:pict>
          </mc:Fallback>
        </mc:AlternateContent>
      </w:r>
      <w:r>
        <mc:AlternateContent>
          <mc:Choice Requires="wps">
            <w:drawing>
              <wp:anchor distT="158750" distB="149860" distL="0" distR="0" simplePos="0" relativeHeight="125829418" behindDoc="0" locked="0" layoutInCell="1" allowOverlap="1">
                <wp:simplePos x="0" y="0"/>
                <wp:positionH relativeFrom="page">
                  <wp:posOffset>2753360</wp:posOffset>
                </wp:positionH>
                <wp:positionV relativeFrom="paragraph">
                  <wp:posOffset>158750</wp:posOffset>
                </wp:positionV>
                <wp:extent cx="377825" cy="603250"/>
                <wp:wrapTopAndBottom/>
                <wp:docPr id="62" name="Shape 62"/>
                <a:graphic xmlns:a="http://schemas.openxmlformats.org/drawingml/2006/main">
                  <a:graphicData uri="http://schemas.microsoft.com/office/word/2010/wordprocessingShape">
                    <wps:wsp>
                      <wps:cNvSpPr txBox="1"/>
                      <wps:spPr>
                        <a:xfrm>
                          <a:ext cx="377825" cy="6032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center"/>
                            </w:pPr>
                            <w:r>
                              <w:rPr>
                                <w:b/>
                                <w:bCs/>
                                <w:color w:val="FFFFFF"/>
                                <w:spacing w:val="0"/>
                                <w:w w:val="100"/>
                                <w:position w:val="0"/>
                              </w:rPr>
                              <w:t>已累计</w:t>
                              <w:br/>
                              <w:t>使用募</w:t>
                              <w:br/>
                              <w:t>集资金</w:t>
                              <w:br/>
                              <w:t>总额</w:t>
                            </w:r>
                          </w:p>
                        </w:txbxContent>
                      </wps:txbx>
                      <wps:bodyPr lIns="0" tIns="0" rIns="0" bIns="0">
                        <a:noAutoFit/>
                      </wps:bodyPr>
                    </wps:wsp>
                  </a:graphicData>
                </a:graphic>
              </wp:anchor>
            </w:drawing>
          </mc:Choice>
          <mc:Fallback>
            <w:pict>
              <v:shape id="_x0000_s1088" type="#_x0000_t202" style="position:absolute;margin-left:216.80000000000001pt;margin-top:12.5pt;width:29.75pt;height:47.5pt;z-index:-125829335;mso-wrap-distance-left:0;mso-wrap-distance-top:12.5pt;mso-wrap-distance-right:0;mso-wrap-distance-bottom:11.800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center"/>
                      </w:pPr>
                      <w:r>
                        <w:rPr>
                          <w:b/>
                          <w:bCs/>
                          <w:color w:val="FFFFFF"/>
                          <w:spacing w:val="0"/>
                          <w:w w:val="100"/>
                          <w:position w:val="0"/>
                        </w:rPr>
                        <w:t>已累计</w:t>
                        <w:br/>
                        <w:t>使用募</w:t>
                        <w:br/>
                        <w:t>集资金</w:t>
                        <w:br/>
                        <w:t>总额</w:t>
                      </w:r>
                    </w:p>
                  </w:txbxContent>
                </v:textbox>
                <w10:wrap type="topAndBottom" anchorx="page"/>
              </v:shape>
            </w:pict>
          </mc:Fallback>
        </mc:AlternateContent>
      </w:r>
      <w:r>
        <mc:AlternateContent>
          <mc:Choice Requires="wps">
            <w:drawing>
              <wp:anchor distT="88900" distB="76200" distL="0" distR="0" simplePos="0" relativeHeight="125829420" behindDoc="0" locked="0" layoutInCell="1" allowOverlap="1">
                <wp:simplePos x="0" y="0"/>
                <wp:positionH relativeFrom="page">
                  <wp:posOffset>3310890</wp:posOffset>
                </wp:positionH>
                <wp:positionV relativeFrom="paragraph">
                  <wp:posOffset>88900</wp:posOffset>
                </wp:positionV>
                <wp:extent cx="377825" cy="746760"/>
                <wp:wrapTopAndBottom/>
                <wp:docPr id="64" name="Shape 64"/>
                <a:graphic xmlns:a="http://schemas.openxmlformats.org/drawingml/2006/main">
                  <a:graphicData uri="http://schemas.microsoft.com/office/word/2010/wordprocessingShape">
                    <wps:wsp>
                      <wps:cNvSpPr txBox="1"/>
                      <wps:spPr>
                        <a:xfrm>
                          <a:ext cx="377825" cy="74676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both"/>
                            </w:pPr>
                            <w:r>
                              <w:rPr>
                                <w:b/>
                                <w:bCs/>
                                <w:color w:val="FFFFFF"/>
                                <w:spacing w:val="0"/>
                                <w:w w:val="100"/>
                                <w:position w:val="0"/>
                              </w:rPr>
                              <w:t>报告期 内变更 用途的 募集资 金总额</w:t>
                            </w:r>
                          </w:p>
                        </w:txbxContent>
                      </wps:txbx>
                      <wps:bodyPr lIns="0" tIns="0" rIns="0" bIns="0">
                        <a:noAutoFit/>
                      </wps:bodyPr>
                    </wps:wsp>
                  </a:graphicData>
                </a:graphic>
              </wp:anchor>
            </w:drawing>
          </mc:Choice>
          <mc:Fallback>
            <w:pict>
              <v:shape id="_x0000_s1090" type="#_x0000_t202" style="position:absolute;margin-left:260.69999999999999pt;margin-top:7.pt;width:29.75pt;height:58.800000000000004pt;z-index:-125829333;mso-wrap-distance-left:0;mso-wrap-distance-top:7.pt;mso-wrap-distance-right:0;mso-wrap-distance-bottom:6.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both"/>
                      </w:pPr>
                      <w:r>
                        <w:rPr>
                          <w:b/>
                          <w:bCs/>
                          <w:color w:val="FFFFFF"/>
                          <w:spacing w:val="0"/>
                          <w:w w:val="100"/>
                          <w:position w:val="0"/>
                        </w:rPr>
                        <w:t>报告期 内变更 用途的 募集资 金总额</w:t>
                      </w:r>
                    </w:p>
                  </w:txbxContent>
                </v:textbox>
                <w10:wrap type="topAndBottom" anchorx="page"/>
              </v:shape>
            </w:pict>
          </mc:Fallback>
        </mc:AlternateContent>
      </w:r>
      <w:r>
        <mc:AlternateContent>
          <mc:Choice Requires="wps">
            <w:drawing>
              <wp:anchor distT="161925" distB="146685" distL="0" distR="0" simplePos="0" relativeHeight="125829422" behindDoc="0" locked="0" layoutInCell="1" allowOverlap="1">
                <wp:simplePos x="0" y="0"/>
                <wp:positionH relativeFrom="page">
                  <wp:posOffset>3835400</wp:posOffset>
                </wp:positionH>
                <wp:positionV relativeFrom="paragraph">
                  <wp:posOffset>161925</wp:posOffset>
                </wp:positionV>
                <wp:extent cx="487680" cy="603250"/>
                <wp:wrapTopAndBottom/>
                <wp:docPr id="66" name="Shape 66"/>
                <a:graphic xmlns:a="http://schemas.openxmlformats.org/drawingml/2006/main">
                  <a:graphicData uri="http://schemas.microsoft.com/office/word/2010/wordprocessingShape">
                    <wps:wsp>
                      <wps:cNvSpPr txBox="1"/>
                      <wps:spPr>
                        <a:xfrm>
                          <a:ext cx="487680" cy="6032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center"/>
                            </w:pPr>
                            <w:r>
                              <w:rPr>
                                <w:b/>
                                <w:bCs/>
                                <w:color w:val="FFFFFF"/>
                                <w:spacing w:val="0"/>
                                <w:w w:val="100"/>
                                <w:position w:val="0"/>
                              </w:rPr>
                              <w:t>累计变更</w:t>
                              <w:br/>
                              <w:t>用途的募</w:t>
                              <w:br/>
                              <w:t>集资金总</w:t>
                              <w:br/>
                              <w:t>额</w:t>
                            </w:r>
                          </w:p>
                        </w:txbxContent>
                      </wps:txbx>
                      <wps:bodyPr lIns="0" tIns="0" rIns="0" bIns="0">
                        <a:noAutoFit/>
                      </wps:bodyPr>
                    </wps:wsp>
                  </a:graphicData>
                </a:graphic>
              </wp:anchor>
            </w:drawing>
          </mc:Choice>
          <mc:Fallback>
            <w:pict>
              <v:shape id="_x0000_s1092" type="#_x0000_t202" style="position:absolute;margin-left:302.pt;margin-top:12.75pt;width:38.399999999999999pt;height:47.5pt;z-index:-125829331;mso-wrap-distance-left:0;mso-wrap-distance-top:12.75pt;mso-wrap-distance-right:0;mso-wrap-distance-bottom:11.550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center"/>
                      </w:pPr>
                      <w:r>
                        <w:rPr>
                          <w:b/>
                          <w:bCs/>
                          <w:color w:val="FFFFFF"/>
                          <w:spacing w:val="0"/>
                          <w:w w:val="100"/>
                          <w:position w:val="0"/>
                        </w:rPr>
                        <w:t>累计变更</w:t>
                        <w:br/>
                        <w:t>用途的募</w:t>
                        <w:br/>
                        <w:t>集资金总</w:t>
                        <w:br/>
                        <w:t>额</w:t>
                      </w:r>
                    </w:p>
                  </w:txbxContent>
                </v:textbox>
                <w10:wrap type="topAndBottom" anchorx="page"/>
              </v:shape>
            </w:pict>
          </mc:Fallback>
        </mc:AlternateContent>
      </w:r>
      <w:r>
        <mc:AlternateContent>
          <mc:Choice Requires="wps">
            <w:drawing>
              <wp:anchor distT="161925" distB="149225" distL="0" distR="0" simplePos="0" relativeHeight="125829424" behindDoc="0" locked="0" layoutInCell="1" allowOverlap="1">
                <wp:simplePos x="0" y="0"/>
                <wp:positionH relativeFrom="page">
                  <wp:posOffset>4451350</wp:posOffset>
                </wp:positionH>
                <wp:positionV relativeFrom="paragraph">
                  <wp:posOffset>161925</wp:posOffset>
                </wp:positionV>
                <wp:extent cx="490855" cy="600710"/>
                <wp:wrapTopAndBottom/>
                <wp:docPr id="68" name="Shape 68"/>
                <a:graphic xmlns:a="http://schemas.openxmlformats.org/drawingml/2006/main">
                  <a:graphicData uri="http://schemas.microsoft.com/office/word/2010/wordprocessingShape">
                    <wps:wsp>
                      <wps:cNvSpPr txBox="1"/>
                      <wps:spPr>
                        <a:xfrm>
                          <a:ext cx="490855" cy="6007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left"/>
                            </w:pPr>
                            <w:r>
                              <w:rPr>
                                <w:b/>
                                <w:bCs/>
                                <w:color w:val="FFFFFF"/>
                                <w:spacing w:val="0"/>
                                <w:w w:val="100"/>
                                <w:position w:val="0"/>
                              </w:rPr>
                              <w:t>累计变更 用途的募 集资金总 额比例</w:t>
                            </w:r>
                          </w:p>
                        </w:txbxContent>
                      </wps:txbx>
                      <wps:bodyPr lIns="0" tIns="0" rIns="0" bIns="0">
                        <a:noAutoFit/>
                      </wps:bodyPr>
                    </wps:wsp>
                  </a:graphicData>
                </a:graphic>
              </wp:anchor>
            </w:drawing>
          </mc:Choice>
          <mc:Fallback>
            <w:pict>
              <v:shape id="_x0000_s1094" type="#_x0000_t202" style="position:absolute;margin-left:350.5pt;margin-top:12.75pt;width:38.649999999999999pt;height:47.300000000000004pt;z-index:-125829329;mso-wrap-distance-left:0;mso-wrap-distance-top:12.75pt;mso-wrap-distance-right:0;mso-wrap-distance-bottom:11.7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left"/>
                      </w:pPr>
                      <w:r>
                        <w:rPr>
                          <w:b/>
                          <w:bCs/>
                          <w:color w:val="FFFFFF"/>
                          <w:spacing w:val="0"/>
                          <w:w w:val="100"/>
                          <w:position w:val="0"/>
                        </w:rPr>
                        <w:t>累计变更 用途的募 集资金总 额比例</w:t>
                      </w:r>
                    </w:p>
                  </w:txbxContent>
                </v:textbox>
                <w10:wrap type="topAndBottom" anchorx="page"/>
              </v:shape>
            </w:pict>
          </mc:Fallback>
        </mc:AlternateContent>
      </w:r>
      <w:r>
        <mc:AlternateContent>
          <mc:Choice Requires="wps">
            <w:drawing>
              <wp:anchor distT="168275" distB="146050" distL="0" distR="0" simplePos="0" relativeHeight="125829426" behindDoc="0" locked="0" layoutInCell="1" allowOverlap="1">
                <wp:simplePos x="0" y="0"/>
                <wp:positionH relativeFrom="page">
                  <wp:posOffset>5103495</wp:posOffset>
                </wp:positionH>
                <wp:positionV relativeFrom="paragraph">
                  <wp:posOffset>168275</wp:posOffset>
                </wp:positionV>
                <wp:extent cx="1362710" cy="597535"/>
                <wp:wrapTopAndBottom/>
                <wp:docPr id="70" name="Shape 70"/>
                <a:graphic xmlns:a="http://schemas.openxmlformats.org/drawingml/2006/main">
                  <a:graphicData uri="http://schemas.microsoft.com/office/word/2010/wordprocessingShape">
                    <wps:wsp>
                      <wps:cNvSpPr txBox="1"/>
                      <wps:spPr>
                        <a:xfrm>
                          <a:ext cx="1362710" cy="59753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尚未使</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用募集尚未使用募集资</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07" w:val="left"/>
                              </w:tabs>
                              <w:bidi w:val="0"/>
                              <w:spacing w:before="0" w:after="40" w:line="240" w:lineRule="auto"/>
                              <w:ind w:left="0" w:right="0" w:firstLine="0"/>
                              <w:jc w:val="left"/>
                            </w:pPr>
                            <w:r>
                              <w:rPr>
                                <w:b/>
                                <w:bCs/>
                                <w:color w:val="FFFFFF"/>
                                <w:spacing w:val="0"/>
                                <w:w w:val="100"/>
                                <w:position w:val="0"/>
                              </w:rPr>
                              <w:t>资金总</w:t>
                              <w:tab/>
                              <w:t>金用途及去向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200"/>
                              <w:jc w:val="left"/>
                            </w:pPr>
                            <w:r>
                              <w:rPr>
                                <w:b/>
                                <w:bCs/>
                                <w:color w:val="FFFFFF"/>
                                <w:spacing w:val="0"/>
                                <w:w w:val="100"/>
                                <w:position w:val="0"/>
                              </w:rPr>
                              <w:t>额</w:t>
                            </w:r>
                          </w:p>
                        </w:txbxContent>
                      </wps:txbx>
                      <wps:bodyPr lIns="0" tIns="0" rIns="0" bIns="0">
                        <a:noAutoFit/>
                      </wps:bodyPr>
                    </wps:wsp>
                  </a:graphicData>
                </a:graphic>
              </wp:anchor>
            </w:drawing>
          </mc:Choice>
          <mc:Fallback>
            <w:pict>
              <v:shape id="_x0000_s1096" type="#_x0000_t202" style="position:absolute;margin-left:401.85000000000002pt;margin-top:13.25pt;width:107.3pt;height:47.050000000000004pt;z-index:-125829327;mso-wrap-distance-left:0;mso-wrap-distance-top:13.25pt;mso-wrap-distance-right:0;mso-wrap-distance-bottom:11.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尚未使</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用募集尚未使用募集资</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07" w:val="left"/>
                        </w:tabs>
                        <w:bidi w:val="0"/>
                        <w:spacing w:before="0" w:after="40" w:line="240" w:lineRule="auto"/>
                        <w:ind w:left="0" w:right="0" w:firstLine="0"/>
                        <w:jc w:val="left"/>
                      </w:pPr>
                      <w:r>
                        <w:rPr>
                          <w:b/>
                          <w:bCs/>
                          <w:color w:val="FFFFFF"/>
                          <w:spacing w:val="0"/>
                          <w:w w:val="100"/>
                          <w:position w:val="0"/>
                        </w:rPr>
                        <w:t>资金总</w:t>
                        <w:tab/>
                        <w:t>金用途及去向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200"/>
                        <w:jc w:val="left"/>
                      </w:pPr>
                      <w:r>
                        <w:rPr>
                          <w:b/>
                          <w:bCs/>
                          <w:color w:val="FFFFFF"/>
                          <w:spacing w:val="0"/>
                          <w:w w:val="100"/>
                          <w:position w:val="0"/>
                        </w:rPr>
                        <w:t>额</w:t>
                      </w:r>
                    </w:p>
                  </w:txbxContent>
                </v:textbox>
                <w10:wrap type="topAndBottom" anchorx="page"/>
              </v:shape>
            </w:pict>
          </mc:Fallback>
        </mc:AlternateContent>
      </w:r>
      <w:r>
        <mc:AlternateContent>
          <mc:Choice Requires="wps">
            <w:drawing>
              <wp:anchor distT="12700" distB="0" distL="0" distR="0" simplePos="0" relativeHeight="125829428" behindDoc="0" locked="0" layoutInCell="1" allowOverlap="1">
                <wp:simplePos x="0" y="0"/>
                <wp:positionH relativeFrom="page">
                  <wp:posOffset>6590665</wp:posOffset>
                </wp:positionH>
                <wp:positionV relativeFrom="paragraph">
                  <wp:posOffset>12700</wp:posOffset>
                </wp:positionV>
                <wp:extent cx="265430" cy="899160"/>
                <wp:wrapTopAndBottom/>
                <wp:docPr id="72" name="Shape 72"/>
                <a:graphic xmlns:a="http://schemas.openxmlformats.org/drawingml/2006/main">
                  <a:graphicData uri="http://schemas.microsoft.com/office/word/2010/wordprocessingShape">
                    <wps:wsp>
                      <wps:cNvSpPr txBox="1"/>
                      <wps:spPr>
                        <a:xfrm>
                          <a:ext cx="265430" cy="89916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闲置 两年 以上 募集 资金 金额</w:t>
                            </w:r>
                          </w:p>
                        </w:txbxContent>
                      </wps:txbx>
                      <wps:bodyPr lIns="0" tIns="0" rIns="0" bIns="0">
                        <a:noAutoFit/>
                      </wps:bodyPr>
                    </wps:wsp>
                  </a:graphicData>
                </a:graphic>
              </wp:anchor>
            </w:drawing>
          </mc:Choice>
          <mc:Fallback>
            <w:pict>
              <v:shape id="_x0000_s1098" type="#_x0000_t202" style="position:absolute;margin-left:518.95000000000005pt;margin-top:1.pt;width:20.900000000000002pt;height:70.799999999999997pt;z-index:-125829325;mso-wrap-distance-left:0;mso-wrap-distance-top:1.pt;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闲置 两年 以上 募集 资金 金额</w:t>
                      </w:r>
                    </w:p>
                  </w:txbxContent>
                </v:textbox>
                <w10:wrap type="topAndBottom" anchorx="page"/>
              </v:shape>
            </w:pict>
          </mc:Fallback>
        </mc:AlternateContent>
      </w:r>
    </w:p>
    <w:p>
      <w:pPr>
        <w:widowControl w:val="0"/>
        <w:spacing w:line="1" w:lineRule="exact"/>
      </w:pPr>
      <w:r>
        <mc:AlternateContent>
          <mc:Choice Requires="wps">
            <w:drawing>
              <wp:anchor distT="425450" distB="372110" distL="0" distR="0" simplePos="0" relativeHeight="125829430" behindDoc="0" locked="0" layoutInCell="1" allowOverlap="1">
                <wp:simplePos x="0" y="0"/>
                <wp:positionH relativeFrom="page">
                  <wp:posOffset>708660</wp:posOffset>
                </wp:positionH>
                <wp:positionV relativeFrom="paragraph">
                  <wp:posOffset>425450</wp:posOffset>
                </wp:positionV>
                <wp:extent cx="262255" cy="283210"/>
                <wp:wrapTopAndBottom/>
                <wp:docPr id="74" name="Shape 74"/>
                <a:graphic xmlns:a="http://schemas.openxmlformats.org/drawingml/2006/main">
                  <a:graphicData uri="http://schemas.microsoft.com/office/word/2010/wordprocessingShape">
                    <wps:wsp>
                      <wps:cNvSpPr txBox="1"/>
                      <wps:spPr>
                        <a:xfrm>
                          <a:ext cx="262255" cy="2832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2018</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w:t>
                            </w:r>
                          </w:p>
                        </w:txbxContent>
                      </wps:txbx>
                      <wps:bodyPr lIns="0" tIns="0" rIns="0" bIns="0">
                        <a:noAutoFit/>
                      </wps:bodyPr>
                    </wps:wsp>
                  </a:graphicData>
                </a:graphic>
              </wp:anchor>
            </w:drawing>
          </mc:Choice>
          <mc:Fallback>
            <w:pict>
              <v:shape id="_x0000_s1100" type="#_x0000_t202" style="position:absolute;margin-left:55.800000000000004pt;margin-top:33.5pt;width:20.650000000000002pt;height:22.300000000000001pt;z-index:-125829323;mso-wrap-distance-left:0;mso-wrap-distance-top:33.5pt;mso-wrap-distance-right:0;mso-wrap-distance-bottom:29.300000000000001pt;mso-position-horizontal-relative:page"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2018</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w:t>
                      </w:r>
                    </w:p>
                  </w:txbxContent>
                </v:textbox>
                <w10:wrap type="topAndBottom" anchorx="page"/>
              </v:shape>
            </w:pict>
          </mc:Fallback>
        </mc:AlternateContent>
      </w:r>
      <w:r>
        <mc:AlternateContent>
          <mc:Choice Requires="wps">
            <w:drawing>
              <wp:anchor distT="269875" distB="219710" distL="0" distR="0" simplePos="0" relativeHeight="125829432" behindDoc="0" locked="0" layoutInCell="1" allowOverlap="1">
                <wp:simplePos x="0" y="0"/>
                <wp:positionH relativeFrom="page">
                  <wp:posOffset>1126490</wp:posOffset>
                </wp:positionH>
                <wp:positionV relativeFrom="paragraph">
                  <wp:posOffset>269875</wp:posOffset>
                </wp:positionV>
                <wp:extent cx="2054225" cy="591185"/>
                <wp:wrapTopAndBottom/>
                <wp:docPr id="76" name="Shape 76"/>
                <a:graphic xmlns:a="http://schemas.openxmlformats.org/drawingml/2006/main">
                  <a:graphicData uri="http://schemas.microsoft.com/office/word/2010/wordprocessingShape">
                    <wps:wsp>
                      <wps:cNvSpPr txBox="1"/>
                      <wps:spPr>
                        <a:xfrm>
                          <a:ext cx="2054225" cy="5911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w:t>
                            </w:r>
                          </w:p>
                          <w:p>
                            <w:pPr>
                              <w:pStyle w:val="Style34"/>
                              <w:keepNext w:val="0"/>
                              <w:keepLines w:val="0"/>
                              <w:widowControl w:val="0"/>
                              <w:shd w:val="clear" w:color="auto" w:fill="auto"/>
                              <w:tabs>
                                <w:tab w:pos="797" w:val="left"/>
                                <w:tab w:pos="1704" w:val="left"/>
                                <w:tab w:pos="2554" w:val="left"/>
                              </w:tabs>
                              <w:bidi w:val="0"/>
                              <w:spacing w:before="0" w:after="180" w:line="240" w:lineRule="auto"/>
                              <w:ind w:left="0" w:right="0" w:firstLine="0"/>
                              <w:jc w:val="left"/>
                            </w:pPr>
                            <w:r>
                              <w:rPr>
                                <w:rFonts w:ascii="SimSun" w:eastAsia="SimSun" w:hAnsi="SimSun" w:cs="SimSun"/>
                                <w:color w:val="000000"/>
                                <w:spacing w:val="0"/>
                                <w:w w:val="100"/>
                                <w:position w:val="0"/>
                                <w:sz w:val="15"/>
                                <w:szCs w:val="15"/>
                              </w:rPr>
                              <w:t xml:space="preserve">总 </w:t>
                            </w:r>
                            <w:r>
                              <w:rPr>
                                <w:color w:val="000000"/>
                                <w:spacing w:val="0"/>
                                <w:w w:val="100"/>
                                <w:position w:val="0"/>
                              </w:rPr>
                              <w:t>g</w:t>
                              <w:tab/>
                              <w:t>20,971.92</w:t>
                              <w:tab/>
                              <w:t>8,375.90</w:t>
                              <w:tab/>
                              <w:t>19,623.61</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w:t>
                            </w:r>
                          </w:p>
                        </w:txbxContent>
                      </wps:txbx>
                      <wps:bodyPr lIns="0" tIns="0" rIns="0" bIns="0">
                        <a:noAutoFit/>
                      </wps:bodyPr>
                    </wps:wsp>
                  </a:graphicData>
                </a:graphic>
              </wp:anchor>
            </w:drawing>
          </mc:Choice>
          <mc:Fallback>
            <w:pict>
              <v:shape id="_x0000_s1102" type="#_x0000_t202" style="position:absolute;margin-left:88.700000000000003pt;margin-top:21.25pt;width:161.75pt;height:46.550000000000004pt;z-index:-125829321;mso-wrap-distance-left:0;mso-wrap-distance-top:21.25pt;mso-wrap-distance-right:0;mso-wrap-distance-bottom:17.30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w:t>
                      </w:r>
                    </w:p>
                    <w:p>
                      <w:pPr>
                        <w:pStyle w:val="Style34"/>
                        <w:keepNext w:val="0"/>
                        <w:keepLines w:val="0"/>
                        <w:widowControl w:val="0"/>
                        <w:shd w:val="clear" w:color="auto" w:fill="auto"/>
                        <w:tabs>
                          <w:tab w:pos="797" w:val="left"/>
                          <w:tab w:pos="1704" w:val="left"/>
                          <w:tab w:pos="2554" w:val="left"/>
                        </w:tabs>
                        <w:bidi w:val="0"/>
                        <w:spacing w:before="0" w:after="180" w:line="240" w:lineRule="auto"/>
                        <w:ind w:left="0" w:right="0" w:firstLine="0"/>
                        <w:jc w:val="left"/>
                      </w:pPr>
                      <w:r>
                        <w:rPr>
                          <w:rFonts w:ascii="SimSun" w:eastAsia="SimSun" w:hAnsi="SimSun" w:cs="SimSun"/>
                          <w:color w:val="000000"/>
                          <w:spacing w:val="0"/>
                          <w:w w:val="100"/>
                          <w:position w:val="0"/>
                          <w:sz w:val="15"/>
                          <w:szCs w:val="15"/>
                        </w:rPr>
                        <w:t xml:space="preserve">总 </w:t>
                      </w:r>
                      <w:r>
                        <w:rPr>
                          <w:color w:val="000000"/>
                          <w:spacing w:val="0"/>
                          <w:w w:val="100"/>
                          <w:position w:val="0"/>
                        </w:rPr>
                        <w:t>g</w:t>
                        <w:tab/>
                        <w:t>20,971.92</w:t>
                        <w:tab/>
                        <w:t>8,375.90</w:t>
                        <w:tab/>
                        <w:t>19,623.61</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w:t>
                      </w:r>
                    </w:p>
                  </w:txbxContent>
                </v:textbox>
                <w10:wrap type="topAndBottom" anchorx="page"/>
              </v:shape>
            </w:pict>
          </mc:Fallback>
        </mc:AlternateContent>
      </w:r>
      <w:r>
        <mc:AlternateContent>
          <mc:Choice Requires="wps">
            <w:drawing>
              <wp:anchor distT="38100" distB="0" distL="0" distR="0" simplePos="0" relativeHeight="125829434" behindDoc="0" locked="0" layoutInCell="1" allowOverlap="1">
                <wp:simplePos x="0" y="0"/>
                <wp:positionH relativeFrom="page">
                  <wp:posOffset>3927475</wp:posOffset>
                </wp:positionH>
                <wp:positionV relativeFrom="paragraph">
                  <wp:posOffset>38100</wp:posOffset>
                </wp:positionV>
                <wp:extent cx="2541905" cy="1042670"/>
                <wp:wrapTopAndBottom/>
                <wp:docPr id="78" name="Shape 78"/>
                <a:graphic xmlns:a="http://schemas.openxmlformats.org/drawingml/2006/main">
                  <a:graphicData uri="http://schemas.microsoft.com/office/word/2010/wordprocessingShape">
                    <wps:wsp>
                      <wps:cNvSpPr txBox="1"/>
                      <wps:spPr>
                        <a:xfrm>
                          <a:ext cx="2541905" cy="1042670"/>
                        </a:xfrm>
                        <a:prstGeom prst="rect"/>
                        <a:noFill/>
                      </wps:spPr>
                      <wps:txbx>
                        <w:txbxContent>
                          <w:p>
                            <w:pPr>
                              <w:pStyle w:val="Style31"/>
                              <w:keepNext w:val="0"/>
                              <w:keepLines w:val="0"/>
                              <w:widowControl w:val="0"/>
                              <w:shd w:val="clear" w:color="auto" w:fill="auto"/>
                              <w:tabs>
                                <w:tab w:pos="1080" w:val="left"/>
                                <w:tab w:pos="1944" w:val="left"/>
                                <w:tab w:pos="2669" w:val="left"/>
                              </w:tabs>
                              <w:bidi w:val="0"/>
                              <w:spacing w:before="0" w:after="0" w:line="227" w:lineRule="exact"/>
                              <w:ind w:left="0" w:right="0" w:firstLine="2700"/>
                              <w:jc w:val="both"/>
                            </w:pPr>
                            <w:r>
                              <w:rPr>
                                <w:color w:val="000000"/>
                                <w:spacing w:val="0"/>
                                <w:w w:val="100"/>
                                <w:position w:val="0"/>
                              </w:rPr>
                              <w:t xml:space="preserve">公司募集资金均在 按照募集资金项目 和变更后的募集资 </w:t>
                            </w:r>
                            <w:r>
                              <w:rPr>
                                <w:rFonts w:ascii="Times New Roman" w:eastAsia="Times New Roman" w:hAnsi="Times New Roman" w:cs="Times New Roman"/>
                                <w:color w:val="000000"/>
                                <w:spacing w:val="0"/>
                                <w:w w:val="100"/>
                                <w:position w:val="0"/>
                                <w:sz w:val="18"/>
                                <w:szCs w:val="18"/>
                              </w:rPr>
                              <w:t>10,824.44</w:t>
                              <w:tab/>
                            </w:r>
                            <w:r>
                              <w:rPr>
                                <w:rFonts w:ascii="Times New Roman" w:eastAsia="Times New Roman" w:hAnsi="Times New Roman" w:cs="Times New Roman"/>
                                <w:color w:val="000000"/>
                                <w:spacing w:val="0"/>
                                <w:w w:val="100"/>
                                <w:position w:val="0"/>
                                <w:sz w:val="18"/>
                                <w:szCs w:val="18"/>
                              </w:rPr>
                              <w:t>51.61%</w:t>
                              <w:tab/>
                            </w:r>
                            <w:r>
                              <w:rPr>
                                <w:rFonts w:ascii="Times New Roman" w:eastAsia="Times New Roman" w:hAnsi="Times New Roman" w:cs="Times New Roman"/>
                                <w:color w:val="000000"/>
                                <w:spacing w:val="0"/>
                                <w:w w:val="100"/>
                                <w:position w:val="0"/>
                                <w:sz w:val="18"/>
                                <w:szCs w:val="18"/>
                              </w:rPr>
                              <w:t>1,348.31</w:t>
                              <w:tab/>
                            </w:r>
                            <w:r>
                              <w:rPr>
                                <w:color w:val="000000"/>
                                <w:spacing w:val="0"/>
                                <w:w w:val="100"/>
                                <w:position w:val="0"/>
                              </w:rPr>
                              <w:t>金投资项目规划使</w:t>
                            </w:r>
                          </w:p>
                          <w:p>
                            <w:pPr>
                              <w:pStyle w:val="Style31"/>
                              <w:keepNext w:val="0"/>
                              <w:keepLines w:val="0"/>
                              <w:widowControl w:val="0"/>
                              <w:shd w:val="clear" w:color="auto" w:fill="auto"/>
                              <w:bidi w:val="0"/>
                              <w:spacing w:before="0" w:after="0" w:line="230" w:lineRule="exact"/>
                              <w:ind w:left="2700" w:right="0" w:firstLine="0"/>
                              <w:jc w:val="both"/>
                            </w:pPr>
                            <w:r>
                              <w:rPr>
                                <w:color w:val="000000"/>
                                <w:spacing w:val="0"/>
                                <w:w w:val="100"/>
                                <w:position w:val="0"/>
                              </w:rPr>
                              <w:t>用中，部分闲置募 集资金用于购买短 期银亍理财。</w:t>
                            </w:r>
                          </w:p>
                        </w:txbxContent>
                      </wps:txbx>
                      <wps:bodyPr lIns="0" tIns="0" rIns="0" bIns="0">
                        <a:noAutoFit/>
                      </wps:bodyPr>
                    </wps:wsp>
                  </a:graphicData>
                </a:graphic>
              </wp:anchor>
            </w:drawing>
          </mc:Choice>
          <mc:Fallback>
            <w:pict>
              <v:shape id="_x0000_s1104" type="#_x0000_t202" style="position:absolute;margin-left:309.25pt;margin-top:3.pt;width:200.15000000000001pt;height:82.100000000000009pt;z-index:-125829319;mso-wrap-distance-left:0;mso-wrap-distance-top:3.pt;mso-wrap-distance-right:0;mso-position-horizontal-relative:page" filled="f" stroked="f">
                <v:textbox inset="0,0,0,0">
                  <w:txbxContent>
                    <w:p>
                      <w:pPr>
                        <w:pStyle w:val="Style31"/>
                        <w:keepNext w:val="0"/>
                        <w:keepLines w:val="0"/>
                        <w:widowControl w:val="0"/>
                        <w:shd w:val="clear" w:color="auto" w:fill="auto"/>
                        <w:tabs>
                          <w:tab w:pos="1080" w:val="left"/>
                          <w:tab w:pos="1944" w:val="left"/>
                          <w:tab w:pos="2669" w:val="left"/>
                        </w:tabs>
                        <w:bidi w:val="0"/>
                        <w:spacing w:before="0" w:after="0" w:line="227" w:lineRule="exact"/>
                        <w:ind w:left="0" w:right="0" w:firstLine="2700"/>
                        <w:jc w:val="both"/>
                      </w:pPr>
                      <w:r>
                        <w:rPr>
                          <w:color w:val="000000"/>
                          <w:spacing w:val="0"/>
                          <w:w w:val="100"/>
                          <w:position w:val="0"/>
                        </w:rPr>
                        <w:t xml:space="preserve">公司募集资金均在 按照募集资金项目 和变更后的募集资 </w:t>
                      </w:r>
                      <w:r>
                        <w:rPr>
                          <w:rFonts w:ascii="Times New Roman" w:eastAsia="Times New Roman" w:hAnsi="Times New Roman" w:cs="Times New Roman"/>
                          <w:color w:val="000000"/>
                          <w:spacing w:val="0"/>
                          <w:w w:val="100"/>
                          <w:position w:val="0"/>
                          <w:sz w:val="18"/>
                          <w:szCs w:val="18"/>
                        </w:rPr>
                        <w:t>10,824.44</w:t>
                        <w:tab/>
                      </w:r>
                      <w:r>
                        <w:rPr>
                          <w:rFonts w:ascii="Times New Roman" w:eastAsia="Times New Roman" w:hAnsi="Times New Roman" w:cs="Times New Roman"/>
                          <w:color w:val="000000"/>
                          <w:spacing w:val="0"/>
                          <w:w w:val="100"/>
                          <w:position w:val="0"/>
                          <w:sz w:val="18"/>
                          <w:szCs w:val="18"/>
                        </w:rPr>
                        <w:t>51.61%</w:t>
                        <w:tab/>
                      </w:r>
                      <w:r>
                        <w:rPr>
                          <w:rFonts w:ascii="Times New Roman" w:eastAsia="Times New Roman" w:hAnsi="Times New Roman" w:cs="Times New Roman"/>
                          <w:color w:val="000000"/>
                          <w:spacing w:val="0"/>
                          <w:w w:val="100"/>
                          <w:position w:val="0"/>
                          <w:sz w:val="18"/>
                          <w:szCs w:val="18"/>
                        </w:rPr>
                        <w:t>1,348.31</w:t>
                        <w:tab/>
                      </w:r>
                      <w:r>
                        <w:rPr>
                          <w:color w:val="000000"/>
                          <w:spacing w:val="0"/>
                          <w:w w:val="100"/>
                          <w:position w:val="0"/>
                        </w:rPr>
                        <w:t>金投资项目规划使</w:t>
                      </w:r>
                    </w:p>
                    <w:p>
                      <w:pPr>
                        <w:pStyle w:val="Style31"/>
                        <w:keepNext w:val="0"/>
                        <w:keepLines w:val="0"/>
                        <w:widowControl w:val="0"/>
                        <w:shd w:val="clear" w:color="auto" w:fill="auto"/>
                        <w:bidi w:val="0"/>
                        <w:spacing w:before="0" w:after="0" w:line="230" w:lineRule="exact"/>
                        <w:ind w:left="2700" w:right="0" w:firstLine="0"/>
                        <w:jc w:val="both"/>
                      </w:pPr>
                      <w:r>
                        <w:rPr>
                          <w:color w:val="000000"/>
                          <w:spacing w:val="0"/>
                          <w:w w:val="100"/>
                          <w:position w:val="0"/>
                        </w:rPr>
                        <w:t>用中，部分闲置募 集资金用于购买短 期银亍理财。</w:t>
                      </w:r>
                    </w:p>
                  </w:txbxContent>
                </v:textbox>
                <w10:wrap type="topAndBottom" anchorx="page"/>
              </v:shape>
            </w:pict>
          </mc:Fallback>
        </mc:AlternateContent>
      </w:r>
    </w:p>
    <w:p>
      <w:pPr>
        <w:widowControl w:val="0"/>
        <w:spacing w:line="1" w:lineRule="exact"/>
      </w:pPr>
      <w:r>
        <mc:AlternateContent>
          <mc:Choice Requires="wps">
            <w:drawing>
              <wp:anchor distT="50800" distB="0" distL="0" distR="0" simplePos="0" relativeHeight="125829436" behindDoc="0" locked="0" layoutInCell="1" allowOverlap="1">
                <wp:simplePos x="0" y="0"/>
                <wp:positionH relativeFrom="page">
                  <wp:posOffset>671830</wp:posOffset>
                </wp:positionH>
                <wp:positionV relativeFrom="paragraph">
                  <wp:posOffset>50800</wp:posOffset>
                </wp:positionV>
                <wp:extent cx="262255" cy="149225"/>
                <wp:wrapTopAndBottom/>
                <wp:docPr id="80" name="Shape 80"/>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xbxContent>
                      </wps:txbx>
                      <wps:bodyPr wrap="none" lIns="0" tIns="0" rIns="0" bIns="0">
                        <a:noAutoFit/>
                      </wps:bodyPr>
                    </wps:wsp>
                  </a:graphicData>
                </a:graphic>
              </wp:anchor>
            </w:drawing>
          </mc:Choice>
          <mc:Fallback>
            <w:pict>
              <v:shape id="_x0000_s1106" type="#_x0000_t202" style="position:absolute;margin-left:52.899999999999999pt;margin-top:4.pt;width:20.650000000000002pt;height:11.75pt;z-index:-125829317;mso-wrap-distance-left:0;mso-wrap-distance-top:4.pt;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xbxContent>
                </v:textbox>
                <w10:wrap type="topAndBottom" anchorx="page"/>
              </v:shape>
            </w:pict>
          </mc:Fallback>
        </mc:AlternateContent>
      </w:r>
      <w:r>
        <mc:AlternateContent>
          <mc:Choice Requires="wps">
            <w:drawing>
              <wp:anchor distT="50800" distB="5715" distL="0" distR="0" simplePos="0" relativeHeight="125829438" behindDoc="0" locked="0" layoutInCell="1" allowOverlap="1">
                <wp:simplePos x="0" y="0"/>
                <wp:positionH relativeFrom="page">
                  <wp:posOffset>1635125</wp:posOffset>
                </wp:positionH>
                <wp:positionV relativeFrom="paragraph">
                  <wp:posOffset>50800</wp:posOffset>
                </wp:positionV>
                <wp:extent cx="1545590" cy="143510"/>
                <wp:wrapTopAndBottom/>
                <wp:docPr id="82" name="Shape 82"/>
                <a:graphic xmlns:a="http://schemas.openxmlformats.org/drawingml/2006/main">
                  <a:graphicData uri="http://schemas.microsoft.com/office/word/2010/wordprocessingShape">
                    <wps:wsp>
                      <wps:cNvSpPr txBox="1"/>
                      <wps:spPr>
                        <a:xfrm>
                          <a:ext cx="1545590" cy="1435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07" w:val="left"/>
                                <w:tab w:pos="1762" w:val="left"/>
                              </w:tabs>
                              <w:bidi w:val="0"/>
                              <w:spacing w:before="0" w:after="0" w:line="240" w:lineRule="auto"/>
                              <w:ind w:left="0" w:right="0" w:firstLine="0"/>
                              <w:jc w:val="left"/>
                            </w:pPr>
                            <w:r>
                              <w:rPr>
                                <w:b/>
                                <w:bCs/>
                                <w:color w:val="FFFFFF"/>
                                <w:spacing w:val="0"/>
                                <w:w w:val="100"/>
                                <w:position w:val="0"/>
                              </w:rPr>
                              <w:t>20,971.92</w:t>
                              <w:tab/>
                              <w:t>8,375.90</w:t>
                              <w:tab/>
                              <w:t>19,623.61</w:t>
                            </w:r>
                          </w:p>
                        </w:txbxContent>
                      </wps:txbx>
                      <wps:bodyPr wrap="none" lIns="0" tIns="0" rIns="0" bIns="0">
                        <a:noAutoFit/>
                      </wps:bodyPr>
                    </wps:wsp>
                  </a:graphicData>
                </a:graphic>
              </wp:anchor>
            </w:drawing>
          </mc:Choice>
          <mc:Fallback>
            <w:pict>
              <v:shape id="_x0000_s1108" type="#_x0000_t202" style="position:absolute;margin-left:128.75pt;margin-top:4.pt;width:121.7pt;height:11.300000000000001pt;z-index:-125829315;mso-wrap-distance-left:0;mso-wrap-distance-top:4.pt;mso-wrap-distance-right:0;mso-wrap-distance-bottom:0.45000000000000001pt;mso-position-horizontal-relative:page"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07" w:val="left"/>
                          <w:tab w:pos="1762" w:val="left"/>
                        </w:tabs>
                        <w:bidi w:val="0"/>
                        <w:spacing w:before="0" w:after="0" w:line="240" w:lineRule="auto"/>
                        <w:ind w:left="0" w:right="0" w:firstLine="0"/>
                        <w:jc w:val="left"/>
                      </w:pPr>
                      <w:r>
                        <w:rPr>
                          <w:b/>
                          <w:bCs/>
                          <w:color w:val="FFFFFF"/>
                          <w:spacing w:val="0"/>
                          <w:w w:val="100"/>
                          <w:position w:val="0"/>
                        </w:rPr>
                        <w:t>20,971.92</w:t>
                        <w:tab/>
                        <w:t>8,375.90</w:t>
                        <w:tab/>
                        <w:t>19,623.61</w:t>
                      </w:r>
                    </w:p>
                  </w:txbxContent>
                </v:textbox>
                <w10:wrap type="topAndBottom" anchorx="page"/>
              </v:shape>
            </w:pict>
          </mc:Fallback>
        </mc:AlternateContent>
      </w:r>
      <w:r>
        <mc:AlternateContent>
          <mc:Choice Requires="wps">
            <w:drawing>
              <wp:anchor distT="50800" distB="5715" distL="0" distR="0" simplePos="0" relativeHeight="125829440" behindDoc="0" locked="0" layoutInCell="1" allowOverlap="1">
                <wp:simplePos x="0" y="0"/>
                <wp:positionH relativeFrom="page">
                  <wp:posOffset>3924300</wp:posOffset>
                </wp:positionH>
                <wp:positionV relativeFrom="paragraph">
                  <wp:posOffset>50800</wp:posOffset>
                </wp:positionV>
                <wp:extent cx="1606550" cy="143510"/>
                <wp:wrapTopAndBottom/>
                <wp:docPr id="84" name="Shape 84"/>
                <a:graphic xmlns:a="http://schemas.openxmlformats.org/drawingml/2006/main">
                  <a:graphicData uri="http://schemas.microsoft.com/office/word/2010/wordprocessingShape">
                    <wps:wsp>
                      <wps:cNvSpPr txBox="1"/>
                      <wps:spPr>
                        <a:xfrm>
                          <a:ext cx="1606550" cy="1435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51" w:val="left"/>
                                <w:tab w:pos="1944" w:val="left"/>
                              </w:tabs>
                              <w:bidi w:val="0"/>
                              <w:spacing w:before="0" w:after="0" w:line="240" w:lineRule="auto"/>
                              <w:ind w:left="0" w:right="0" w:firstLine="0"/>
                              <w:jc w:val="left"/>
                            </w:pPr>
                            <w:r>
                              <w:rPr>
                                <w:b/>
                                <w:bCs/>
                                <w:color w:val="FFFFFF"/>
                                <w:spacing w:val="0"/>
                                <w:w w:val="100"/>
                                <w:position w:val="0"/>
                              </w:rPr>
                              <w:t>10,824.44</w:t>
                              <w:tab/>
                            </w:r>
                            <w:r>
                              <w:rPr>
                                <w:b/>
                                <w:bCs/>
                                <w:color w:val="FFFFFF"/>
                                <w:spacing w:val="0"/>
                                <w:w w:val="100"/>
                                <w:position w:val="0"/>
                              </w:rPr>
                              <w:t>51.61%</w:t>
                              <w:tab/>
                            </w:r>
                            <w:r>
                              <w:rPr>
                                <w:b/>
                                <w:bCs/>
                                <w:color w:val="FFFFFF"/>
                                <w:spacing w:val="0"/>
                                <w:w w:val="100"/>
                                <w:position w:val="0"/>
                              </w:rPr>
                              <w:t>1,348.31</w:t>
                            </w:r>
                          </w:p>
                        </w:txbxContent>
                      </wps:txbx>
                      <wps:bodyPr wrap="none" lIns="0" tIns="0" rIns="0" bIns="0">
                        <a:noAutoFit/>
                      </wps:bodyPr>
                    </wps:wsp>
                  </a:graphicData>
                </a:graphic>
              </wp:anchor>
            </w:drawing>
          </mc:Choice>
          <mc:Fallback>
            <w:pict>
              <v:shape id="_x0000_s1110" type="#_x0000_t202" style="position:absolute;margin-left:309.pt;margin-top:4.pt;width:126.5pt;height:11.300000000000001pt;z-index:-125829313;mso-wrap-distance-left:0;mso-wrap-distance-top:4.pt;mso-wrap-distance-right:0;mso-wrap-distance-bottom:0.45000000000000001pt;mso-position-horizontal-relative:page"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51" w:val="left"/>
                          <w:tab w:pos="1944" w:val="left"/>
                        </w:tabs>
                        <w:bidi w:val="0"/>
                        <w:spacing w:before="0" w:after="0" w:line="240" w:lineRule="auto"/>
                        <w:ind w:left="0" w:right="0" w:firstLine="0"/>
                        <w:jc w:val="left"/>
                      </w:pPr>
                      <w:r>
                        <w:rPr>
                          <w:b/>
                          <w:bCs/>
                          <w:color w:val="FFFFFF"/>
                          <w:spacing w:val="0"/>
                          <w:w w:val="100"/>
                          <w:position w:val="0"/>
                        </w:rPr>
                        <w:t>10,824.44</w:t>
                        <w:tab/>
                      </w:r>
                      <w:r>
                        <w:rPr>
                          <w:b/>
                          <w:bCs/>
                          <w:color w:val="FFFFFF"/>
                          <w:spacing w:val="0"/>
                          <w:w w:val="100"/>
                          <w:position w:val="0"/>
                        </w:rPr>
                        <w:t>51.61%</w:t>
                        <w:tab/>
                      </w:r>
                      <w:r>
                        <w:rPr>
                          <w:b/>
                          <w:bCs/>
                          <w:color w:val="FFFFFF"/>
                          <w:spacing w:val="0"/>
                          <w:w w:val="100"/>
                          <w:position w:val="0"/>
                        </w:rPr>
                        <w:t>1,348.31</w:t>
                      </w:r>
                    </w:p>
                  </w:txbxContent>
                </v:textbox>
                <w10:wrap type="topAndBottom" anchorx="page"/>
              </v:shape>
            </w:pict>
          </mc:Fallback>
        </mc:AlternateConten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80" w:line="240" w:lineRule="auto"/>
        <w:ind w:left="0" w:right="0" w:firstLine="0"/>
        <w:jc w:val="center"/>
      </w:pPr>
      <w:r>
        <w:rPr>
          <w:b/>
          <w:bCs/>
          <w:color w:val="FFFFFF"/>
          <w:spacing w:val="0"/>
          <w:w w:val="100"/>
          <w:position w:val="0"/>
        </w:rPr>
        <w:t>募集资金总体使用情况说明</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20" w:line="234" w:lineRule="exact"/>
        <w:ind w:left="0" w:right="0" w:firstLine="0"/>
        <w:jc w:val="left"/>
      </w:pPr>
      <w:r>
        <w:rPr>
          <w:b/>
          <w:bCs/>
          <w:color w:val="FFFFFF"/>
          <w:spacing w:val="0"/>
          <w:w w:val="100"/>
          <w:position w:val="0"/>
        </w:rPr>
        <w:t>公司于</w:t>
      </w:r>
      <w:r>
        <w:rPr>
          <w:rFonts w:ascii="Times New Roman" w:eastAsia="Times New Roman" w:hAnsi="Times New Roman" w:cs="Times New Roman"/>
          <w:b/>
          <w:bCs/>
          <w:color w:val="FFFFFF"/>
          <w:spacing w:val="0"/>
          <w:w w:val="100"/>
          <w:position w:val="0"/>
          <w:sz w:val="18"/>
          <w:szCs w:val="18"/>
        </w:rPr>
        <w:t>2018</w:t>
      </w:r>
      <w:r>
        <w:rPr>
          <w:b/>
          <w:bCs/>
          <w:color w:val="FFFFFF"/>
          <w:spacing w:val="0"/>
          <w:w w:val="100"/>
          <w:position w:val="0"/>
        </w:rPr>
        <w:t>年在深圳证券交易所创业板首次公开发行股票，募集资金净额为人民币</w:t>
      </w:r>
      <w:r>
        <w:rPr>
          <w:rFonts w:ascii="Times New Roman" w:eastAsia="Times New Roman" w:hAnsi="Times New Roman" w:cs="Times New Roman"/>
          <w:b/>
          <w:bCs/>
          <w:color w:val="FFFFFF"/>
          <w:spacing w:val="0"/>
          <w:w w:val="100"/>
          <w:position w:val="0"/>
          <w:sz w:val="18"/>
          <w:szCs w:val="18"/>
        </w:rPr>
        <w:t>20,971.92</w:t>
      </w:r>
      <w:r>
        <w:rPr>
          <w:b/>
          <w:bCs/>
          <w:color w:val="FFFFFF"/>
          <w:spacing w:val="0"/>
          <w:w w:val="100"/>
          <w:position w:val="0"/>
        </w:rPr>
        <w:t>万元。截至</w:t>
      </w: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 xml:space="preserve">31 </w:t>
      </w:r>
      <w:r>
        <w:rPr>
          <w:b/>
          <w:bCs/>
          <w:color w:val="FFFFFF"/>
          <w:spacing w:val="0"/>
          <w:w w:val="100"/>
          <w:position w:val="0"/>
        </w:rPr>
        <w:t>日止，公司累计使用募集资金人民币</w:t>
      </w:r>
      <w:r>
        <w:rPr>
          <w:rFonts w:ascii="Times New Roman" w:eastAsia="Times New Roman" w:hAnsi="Times New Roman" w:cs="Times New Roman"/>
          <w:b/>
          <w:bCs/>
          <w:color w:val="FFFFFF"/>
          <w:spacing w:val="0"/>
          <w:w w:val="100"/>
          <w:position w:val="0"/>
          <w:sz w:val="18"/>
          <w:szCs w:val="18"/>
        </w:rPr>
        <w:t>19,623.61</w:t>
      </w:r>
      <w:r>
        <w:rPr>
          <w:b/>
          <w:bCs/>
          <w:color w:val="FFFFFF"/>
          <w:spacing w:val="0"/>
          <w:w w:val="100"/>
          <w:position w:val="0"/>
        </w:rPr>
        <w:t>万元，其中以前年度累计使用人民币</w:t>
      </w:r>
      <w:r>
        <w:rPr>
          <w:rFonts w:ascii="Times New Roman" w:eastAsia="Times New Roman" w:hAnsi="Times New Roman" w:cs="Times New Roman"/>
          <w:b/>
          <w:bCs/>
          <w:color w:val="FFFFFF"/>
          <w:spacing w:val="0"/>
          <w:w w:val="100"/>
          <w:position w:val="0"/>
          <w:sz w:val="18"/>
          <w:szCs w:val="18"/>
        </w:rPr>
        <w:t>11,247.71</w:t>
      </w:r>
      <w:r>
        <w:rPr>
          <w:b/>
          <w:bCs/>
          <w:color w:val="FFFFFF"/>
          <w:spacing w:val="0"/>
          <w:w w:val="100"/>
          <w:position w:val="0"/>
        </w:rPr>
        <w:t>万元，</w:t>
      </w: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 xml:space="preserve">年使用人民币 </w:t>
      </w:r>
      <w:r>
        <w:rPr>
          <w:rFonts w:ascii="Times New Roman" w:eastAsia="Times New Roman" w:hAnsi="Times New Roman" w:cs="Times New Roman"/>
          <w:b/>
          <w:bCs/>
          <w:color w:val="FFFFFF"/>
          <w:spacing w:val="0"/>
          <w:w w:val="100"/>
          <w:position w:val="0"/>
          <w:sz w:val="18"/>
          <w:szCs w:val="18"/>
        </w:rPr>
        <w:t>8,375.90</w:t>
      </w:r>
      <w:r>
        <w:rPr>
          <w:b/>
          <w:bCs/>
          <w:color w:val="FFFFFF"/>
          <w:spacing w:val="0"/>
          <w:w w:val="100"/>
          <w:position w:val="0"/>
        </w:rPr>
        <w:t>万元。募集资金账户余额计人民币</w:t>
      </w:r>
      <w:r>
        <w:rPr>
          <w:rFonts w:ascii="Times New Roman" w:eastAsia="Times New Roman" w:hAnsi="Times New Roman" w:cs="Times New Roman"/>
          <w:b/>
          <w:bCs/>
          <w:color w:val="FFFFFF"/>
          <w:spacing w:val="0"/>
          <w:w w:val="100"/>
          <w:position w:val="0"/>
          <w:sz w:val="18"/>
          <w:szCs w:val="18"/>
        </w:rPr>
        <w:t>1,977.61</w:t>
      </w:r>
      <w:r>
        <w:rPr>
          <w:b/>
          <w:bCs/>
          <w:color w:val="FFFFFF"/>
          <w:spacing w:val="0"/>
          <w:w w:val="100"/>
          <w:position w:val="0"/>
        </w:rPr>
        <w:t>万元(其中包含募集资金产生的利息收入扣除手续费净额、募集资金购 买结构性存款及银行理财产品取得的投资收益合计人民币</w:t>
      </w:r>
      <w:r>
        <w:rPr>
          <w:rFonts w:ascii="Times New Roman" w:eastAsia="Times New Roman" w:hAnsi="Times New Roman" w:cs="Times New Roman"/>
          <w:b/>
          <w:bCs/>
          <w:color w:val="FFFFFF"/>
          <w:spacing w:val="0"/>
          <w:w w:val="100"/>
          <w:position w:val="0"/>
          <w:sz w:val="18"/>
          <w:szCs w:val="18"/>
        </w:rPr>
        <w:t>629.31</w:t>
      </w:r>
      <w:r>
        <w:rPr>
          <w:b/>
          <w:bCs/>
          <w:color w:val="FFFFFF"/>
          <w:spacing w:val="0"/>
          <w:w w:val="100"/>
          <w:position w:val="0"/>
        </w:rPr>
        <w:t>万元)。</w:t>
      </w:r>
    </w:p>
    <w:p>
      <w:pPr>
        <w:pStyle w:val="Style69"/>
        <w:keepNext/>
        <w:keepLines/>
        <w:widowControl w:val="0"/>
        <w:numPr>
          <w:ilvl w:val="0"/>
          <w:numId w:val="7"/>
        </w:numPr>
        <w:shd w:val="clear" w:color="auto" w:fill="auto"/>
        <w:bidi w:val="0"/>
        <w:spacing w:before="0" w:line="240" w:lineRule="auto"/>
        <w:ind w:left="0" w:right="0" w:firstLine="14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募集资金承诺项目情况</w:t>
      </w:r>
      <w:bookmarkEnd w:id="209"/>
      <w:bookmarkEnd w:id="210"/>
      <w:bookmarkEnd w:id="212"/>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970"/>
        <w:gridCol w:w="773"/>
        <w:gridCol w:w="830"/>
        <w:gridCol w:w="850"/>
        <w:gridCol w:w="701"/>
        <w:gridCol w:w="830"/>
        <w:gridCol w:w="1579"/>
        <w:gridCol w:w="677"/>
        <w:gridCol w:w="874"/>
        <w:gridCol w:w="691"/>
        <w:gridCol w:w="893"/>
      </w:tblGrid>
      <w:tr>
        <w:trPr>
          <w:trHeight w:val="105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承诺投资项 目和超募资 金投向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center"/>
              <w:rPr>
                <w:sz w:val="19"/>
                <w:szCs w:val="19"/>
              </w:rPr>
            </w:pPr>
            <w:r>
              <w:rPr>
                <w:b/>
                <w:bCs/>
                <w:color w:val="FFFFFF"/>
                <w:spacing w:val="0"/>
                <w:w w:val="100"/>
                <w:position w:val="0"/>
                <w:sz w:val="15"/>
                <w:szCs w:val="15"/>
              </w:rPr>
              <w:t xml:space="preserve">是否已变 更项目 </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含部分 变更</w:t>
            </w:r>
            <w:r>
              <w:rPr>
                <w:b/>
                <w:bCs/>
                <w:color w:val="FFFFFF"/>
                <w:spacing w:val="0"/>
                <w:w w:val="100"/>
                <w:position w:val="0"/>
                <w:sz w:val="19"/>
                <w:szCs w:val="19"/>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募集资金 承诺投资 总额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调整后投</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b/>
                <w:bCs/>
                <w:color w:val="FFFFFF"/>
                <w:spacing w:val="0"/>
                <w:w w:val="100"/>
                <w:position w:val="0"/>
                <w:sz w:val="15"/>
                <w:szCs w:val="15"/>
              </w:rPr>
              <w:t>资总额</w:t>
            </w:r>
            <w:r>
              <w:rPr>
                <w:rFonts w:ascii="Times New Roman" w:eastAsia="Times New Roman" w:hAnsi="Times New Roman" w:cs="Times New Roman"/>
                <w:b/>
                <w:bCs/>
                <w:color w:val="FFFFFF"/>
                <w:spacing w:val="0"/>
                <w:w w:val="100"/>
                <w:position w:val="0"/>
                <w:sz w:val="18"/>
                <w:szCs w:val="18"/>
              </w:rPr>
              <w:t>(1)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本报告 期投入 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8" w:lineRule="exact"/>
              <w:ind w:left="0" w:right="0" w:firstLine="0"/>
              <w:jc w:val="center"/>
              <w:rPr>
                <w:sz w:val="18"/>
                <w:szCs w:val="18"/>
              </w:rPr>
            </w:pPr>
            <w:r>
              <w:rPr>
                <w:b/>
                <w:bCs/>
                <w:color w:val="FFFFFF"/>
                <w:spacing w:val="0"/>
                <w:w w:val="100"/>
                <w:position w:val="0"/>
                <w:sz w:val="15"/>
                <w:szCs w:val="15"/>
              </w:rPr>
              <w:t>截至期末 累计投入 金额</w:t>
            </w:r>
            <w:r>
              <w:rPr>
                <w:rFonts w:ascii="Times New Roman" w:eastAsia="Times New Roman" w:hAnsi="Times New Roman" w:cs="Times New Roman"/>
                <w:b/>
                <w:bCs/>
                <w:color w:val="FFFFFF"/>
                <w:spacing w:val="0"/>
                <w:w w:val="100"/>
                <w:position w:val="0"/>
                <w:sz w:val="18"/>
                <w:szCs w:val="18"/>
              </w:rPr>
              <w:t>(2)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exact"/>
              <w:ind w:left="0" w:right="0" w:firstLine="0"/>
              <w:jc w:val="center"/>
            </w:pPr>
            <w:r>
              <w:rPr>
                <w:b/>
                <w:bCs/>
                <w:color w:val="FFFFFF"/>
                <w:spacing w:val="0"/>
                <w:w w:val="100"/>
                <w:position w:val="0"/>
              </w:rPr>
              <w:t>截至期末项目达到 投资进度预定可使</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590" w:val="left"/>
              </w:tabs>
              <w:bidi w:val="0"/>
              <w:spacing w:before="0" w:after="0" w:line="240" w:lineRule="auto"/>
              <w:ind w:left="0" w:right="0" w:firstLine="0"/>
              <w:jc w:val="righ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w:t>
              <w:tab/>
              <w:t>用状态日</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26" w:val="left"/>
              </w:tabs>
              <w:bidi w:val="0"/>
              <w:spacing w:before="0" w:after="0" w:line="276" w:lineRule="auto"/>
              <w:ind w:left="0" w:right="0" w:firstLine="0"/>
              <w:jc w:val="left"/>
            </w:pPr>
            <w:r>
              <w:rPr>
                <w:rFonts w:ascii="Times New Roman" w:eastAsia="Times New Roman" w:hAnsi="Times New Roman" w:cs="Times New Roman"/>
                <w:b/>
                <w:bCs/>
                <w:color w:val="FFFFFF"/>
                <w:spacing w:val="0"/>
                <w:w w:val="100"/>
                <w:position w:val="0"/>
                <w:sz w:val="18"/>
                <w:szCs w:val="18"/>
              </w:rPr>
              <w:t>(2)/(1)</w:t>
              <w:tab/>
            </w:r>
            <w:r>
              <w:rPr>
                <w:b/>
                <w:bCs/>
                <w:color w:val="FFFFFF"/>
                <w:spacing w:val="0"/>
                <w:w w:val="100"/>
                <w:position w:val="0"/>
              </w:rPr>
              <w:t>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both"/>
            </w:pPr>
            <w:r>
              <w:rPr>
                <w:b/>
                <w:bCs/>
                <w:color w:val="FFFFFF"/>
                <w:spacing w:val="0"/>
                <w:w w:val="100"/>
                <w:position w:val="0"/>
              </w:rPr>
              <w:t>本报告 期实现 的效益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截止报告 期末累计 实现的效</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是否达 到预计 效益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项目可行 性是否发 生重大变</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化</w:t>
            </w:r>
          </w:p>
        </w:tc>
      </w:tr>
      <w:tr>
        <w:trPr>
          <w:trHeight w:val="322" w:hRule="exact"/>
        </w:trPr>
        <w:tc>
          <w:tcPr>
            <w:gridSpan w:val="11"/>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承诺投资项目</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8" w:lineRule="exact"/>
              <w:ind w:left="0" w:right="0" w:firstLine="0"/>
              <w:jc w:val="both"/>
            </w:pPr>
            <w:r>
              <w:rPr>
                <w:b/>
                <w:bCs/>
                <w:color w:val="FFFFFF"/>
                <w:spacing w:val="0"/>
                <w:w w:val="100"/>
                <w:position w:val="0"/>
              </w:rPr>
              <w:t>集约化管理 运营中心建 设项目</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4,087.00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一</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一</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rPr>
              <w:t>一</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-不适用</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both"/>
            </w:pPr>
            <w:r>
              <w:rPr>
                <w:b/>
                <w:bCs/>
                <w:color w:val="FFFFFF"/>
                <w:spacing w:val="0"/>
                <w:w w:val="100"/>
                <w:position w:val="0"/>
              </w:rPr>
              <w:t>百邦快修加 盟建设项目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55.33%2021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闪电蜂电子 商务平台优 化项目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3,777.61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438.63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438.63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信息化系统 改扩建项目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676.54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676.54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不适用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6" w:lineRule="exact"/>
              <w:ind w:left="0" w:right="0" w:firstLine="0"/>
              <w:jc w:val="both"/>
            </w:pPr>
            <w:r>
              <w:rPr>
                <w:b/>
                <w:bCs/>
                <w:color w:val="FFFFFF"/>
                <w:spacing w:val="0"/>
                <w:w w:val="100"/>
                <w:position w:val="0"/>
              </w:rPr>
              <w:t>补充流动资 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9,032.31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15,769.75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16247.05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103.03%</w:t>
            </w: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26" w:lineRule="exact"/>
        <w:ind w:left="0" w:right="0" w:firstLine="0"/>
        <w:jc w:val="both"/>
      </w:pPr>
      <w:r>
        <mc:AlternateContent>
          <mc:Choice Requires="wps">
            <w:drawing>
              <wp:anchor distT="6350" distB="7522210" distL="135890" distR="5194935" simplePos="0" relativeHeight="125829442" behindDoc="0" locked="0" layoutInCell="1" allowOverlap="1">
                <wp:simplePos x="0" y="0"/>
                <wp:positionH relativeFrom="page">
                  <wp:posOffset>690245</wp:posOffset>
                </wp:positionH>
                <wp:positionV relativeFrom="margin">
                  <wp:posOffset>146685</wp:posOffset>
                </wp:positionV>
                <wp:extent cx="1100455" cy="603250"/>
                <wp:wrapTopAndBottom/>
                <wp:docPr id="86" name="Shape 86"/>
                <a:graphic xmlns:a="http://schemas.openxmlformats.org/drawingml/2006/main">
                  <a:graphicData uri="http://schemas.microsoft.com/office/word/2010/wordprocessingShape">
                    <wps:wsp>
                      <wps:cNvSpPr txBox="1"/>
                      <wps:spPr>
                        <a:xfrm>
                          <a:ext cx="1100455" cy="6032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104" w:val="left"/>
                              </w:tabs>
                              <w:bidi w:val="0"/>
                              <w:spacing w:before="0" w:after="0" w:line="127" w:lineRule="exact"/>
                              <w:ind w:left="0" w:right="0" w:firstLine="0"/>
                              <w:jc w:val="left"/>
                              <w:rPr>
                                <w:sz w:val="19"/>
                                <w:szCs w:val="19"/>
                              </w:rPr>
                            </w:pPr>
                            <w:r>
                              <w:rPr>
                                <w:b/>
                                <w:bCs/>
                                <w:color w:val="FFFFFF"/>
                                <w:spacing w:val="0"/>
                                <w:w w:val="100"/>
                                <w:position w:val="0"/>
                                <w:sz w:val="15"/>
                                <w:szCs w:val="15"/>
                              </w:rPr>
                              <w:t>承诺投资项是否已变 承诺投资项审一 曰莉翻莫咨更项目 日和超募资，今</w:t>
                            </w:r>
                            <w:r>
                              <w:rPr>
                                <w:rFonts w:ascii="Times New Roman" w:eastAsia="Times New Roman" w:hAnsi="Times New Roman" w:cs="Times New Roman"/>
                                <w:b/>
                                <w:bCs/>
                                <w:color w:val="FFFFFF"/>
                                <w:spacing w:val="0"/>
                                <w:w w:val="100"/>
                                <w:position w:val="0"/>
                                <w:sz w:val="18"/>
                                <w:szCs w:val="18"/>
                                <w:u w:val="single"/>
                              </w:rPr>
                              <w:t xml:space="preserve">w </w:t>
                            </w:r>
                            <w:r>
                              <w:rPr>
                                <w:b/>
                                <w:bCs/>
                                <w:color w:val="FFFFFF"/>
                                <w:spacing w:val="0"/>
                                <w:w w:val="100"/>
                                <w:position w:val="0"/>
                                <w:sz w:val="15"/>
                                <w:szCs w:val="15"/>
                              </w:rPr>
                              <w:t>金投向</w:t>
                            </w:r>
                            <w:r>
                              <w:rPr>
                                <w:b/>
                                <w:bCs/>
                                <w:color w:val="FFFFFF"/>
                                <w:spacing w:val="0"/>
                                <w:w w:val="100"/>
                                <w:position w:val="0"/>
                                <w:sz w:val="15"/>
                                <w:szCs w:val="15"/>
                                <w:vertAlign w:val="superscript"/>
                              </w:rPr>
                              <w:t>(</w:t>
                            </w:r>
                            <w:r>
                              <w:rPr>
                                <w:b/>
                                <w:bCs/>
                                <w:color w:val="FFFFFF"/>
                                <w:spacing w:val="0"/>
                                <w:w w:val="100"/>
                                <w:position w:val="0"/>
                                <w:sz w:val="15"/>
                                <w:szCs w:val="15"/>
                              </w:rPr>
                              <w:t>含部分 投向</w:t>
                              <w:tab/>
                              <w:t>变更</w:t>
                            </w:r>
                            <w:r>
                              <w:rPr>
                                <w:b/>
                                <w:bCs/>
                                <w:color w:val="FFFFFF"/>
                                <w:spacing w:val="0"/>
                                <w:w w:val="100"/>
                                <w:position w:val="0"/>
                                <w:sz w:val="19"/>
                                <w:szCs w:val="19"/>
                              </w:rPr>
                              <w:t>)</w:t>
                            </w:r>
                          </w:p>
                        </w:txbxContent>
                      </wps:txbx>
                      <wps:bodyPr lIns="0" tIns="0" rIns="0" bIns="0">
                        <a:noAutoFit/>
                      </wps:bodyPr>
                    </wps:wsp>
                  </a:graphicData>
                </a:graphic>
              </wp:anchor>
            </w:drawing>
          </mc:Choice>
          <mc:Fallback>
            <w:pict>
              <v:shape id="_x0000_s1112" type="#_x0000_t202" style="position:absolute;margin-left:54.350000000000001pt;margin-top:11.550000000000001pt;width:86.650000000000006pt;height:47.5pt;z-index:-125829311;mso-wrap-distance-left:10.700000000000001pt;mso-wrap-distance-top:0.5pt;mso-wrap-distance-right:409.05000000000001pt;mso-wrap-distance-bottom:592.30000000000007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104" w:val="left"/>
                        </w:tabs>
                        <w:bidi w:val="0"/>
                        <w:spacing w:before="0" w:after="0" w:line="127" w:lineRule="exact"/>
                        <w:ind w:left="0" w:right="0" w:firstLine="0"/>
                        <w:jc w:val="left"/>
                        <w:rPr>
                          <w:sz w:val="19"/>
                          <w:szCs w:val="19"/>
                        </w:rPr>
                      </w:pPr>
                      <w:r>
                        <w:rPr>
                          <w:b/>
                          <w:bCs/>
                          <w:color w:val="FFFFFF"/>
                          <w:spacing w:val="0"/>
                          <w:w w:val="100"/>
                          <w:position w:val="0"/>
                          <w:sz w:val="15"/>
                          <w:szCs w:val="15"/>
                        </w:rPr>
                        <w:t>承诺投资项是否已变 承诺投资项审一 曰莉翻莫咨更项目 日和超募资，今</w:t>
                      </w:r>
                      <w:r>
                        <w:rPr>
                          <w:rFonts w:ascii="Times New Roman" w:eastAsia="Times New Roman" w:hAnsi="Times New Roman" w:cs="Times New Roman"/>
                          <w:b/>
                          <w:bCs/>
                          <w:color w:val="FFFFFF"/>
                          <w:spacing w:val="0"/>
                          <w:w w:val="100"/>
                          <w:position w:val="0"/>
                          <w:sz w:val="18"/>
                          <w:szCs w:val="18"/>
                          <w:u w:val="single"/>
                        </w:rPr>
                        <w:t xml:space="preserve">w </w:t>
                      </w:r>
                      <w:r>
                        <w:rPr>
                          <w:b/>
                          <w:bCs/>
                          <w:color w:val="FFFFFF"/>
                          <w:spacing w:val="0"/>
                          <w:w w:val="100"/>
                          <w:position w:val="0"/>
                          <w:sz w:val="15"/>
                          <w:szCs w:val="15"/>
                        </w:rPr>
                        <w:t>金投向</w:t>
                      </w:r>
                      <w:r>
                        <w:rPr>
                          <w:b/>
                          <w:bCs/>
                          <w:color w:val="FFFFFF"/>
                          <w:spacing w:val="0"/>
                          <w:w w:val="100"/>
                          <w:position w:val="0"/>
                          <w:sz w:val="15"/>
                          <w:szCs w:val="15"/>
                          <w:vertAlign w:val="superscript"/>
                        </w:rPr>
                        <w:t>(</w:t>
                      </w:r>
                      <w:r>
                        <w:rPr>
                          <w:b/>
                          <w:bCs/>
                          <w:color w:val="FFFFFF"/>
                          <w:spacing w:val="0"/>
                          <w:w w:val="100"/>
                          <w:position w:val="0"/>
                          <w:sz w:val="15"/>
                          <w:szCs w:val="15"/>
                        </w:rPr>
                        <w:t>含部分 投向</w:t>
                        <w:tab/>
                        <w:t>变更</w:t>
                      </w:r>
                      <w:r>
                        <w:rPr>
                          <w:b/>
                          <w:bCs/>
                          <w:color w:val="FFFFFF"/>
                          <w:spacing w:val="0"/>
                          <w:w w:val="100"/>
                          <w:position w:val="0"/>
                          <w:sz w:val="19"/>
                          <w:szCs w:val="19"/>
                        </w:rPr>
                        <w:t>)</w:t>
                      </w:r>
                    </w:p>
                  </w:txbxContent>
                </v:textbox>
                <w10:wrap type="topAndBottom" anchorx="page" anchory="margin"/>
              </v:shape>
            </w:pict>
          </mc:Fallback>
        </mc:AlternateContent>
      </w:r>
      <w:r>
        <mc:AlternateContent>
          <mc:Choice Requires="wps">
            <w:drawing>
              <wp:anchor distT="79375" distB="7610475" distL="1245235" distR="4171315" simplePos="0" relativeHeight="125829444" behindDoc="0" locked="0" layoutInCell="1" allowOverlap="1">
                <wp:simplePos x="0" y="0"/>
                <wp:positionH relativeFrom="page">
                  <wp:posOffset>1799590</wp:posOffset>
                </wp:positionH>
                <wp:positionV relativeFrom="margin">
                  <wp:posOffset>219710</wp:posOffset>
                </wp:positionV>
                <wp:extent cx="1014730" cy="441960"/>
                <wp:wrapTopAndBottom/>
                <wp:docPr id="88" name="Shape 88"/>
                <a:graphic xmlns:a="http://schemas.openxmlformats.org/drawingml/2006/main">
                  <a:graphicData uri="http://schemas.microsoft.com/office/word/2010/wordprocessingShape">
                    <wps:wsp>
                      <wps:cNvSpPr txBox="1"/>
                      <wps:spPr>
                        <a:xfrm>
                          <a:ext cx="1014730" cy="44196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募集资金调散户坍</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承诺额资资总额⑴</w:t>
                            </w:r>
                          </w:p>
                        </w:txbxContent>
                      </wps:txbx>
                      <wps:bodyPr lIns="0" tIns="0" rIns="0" bIns="0">
                        <a:noAutoFit/>
                      </wps:bodyPr>
                    </wps:wsp>
                  </a:graphicData>
                </a:graphic>
              </wp:anchor>
            </w:drawing>
          </mc:Choice>
          <mc:Fallback>
            <w:pict>
              <v:shape id="_x0000_s1114" type="#_x0000_t202" style="position:absolute;margin-left:141.70000000000002pt;margin-top:17.300000000000001pt;width:79.900000000000006pt;height:34.800000000000004pt;z-index:-125829309;mso-wrap-distance-left:98.049999999999997pt;mso-wrap-distance-top:6.25pt;mso-wrap-distance-right:328.44999999999999pt;mso-wrap-distance-bottom:599.2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募集资金调散户坍</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承诺额资资总额⑴</w:t>
                      </w:r>
                    </w:p>
                  </w:txbxContent>
                </v:textbox>
                <w10:wrap type="topAndBottom" anchorx="page" anchory="margin"/>
              </v:shape>
            </w:pict>
          </mc:Fallback>
        </mc:AlternateContent>
      </w:r>
      <w:r>
        <mc:AlternateContent>
          <mc:Choice Requires="wps">
            <w:drawing>
              <wp:anchor distT="8890" distB="7522210" distL="2312035" distR="2186940" simplePos="0" relativeHeight="125829446" behindDoc="0" locked="0" layoutInCell="1" allowOverlap="1">
                <wp:simplePos x="0" y="0"/>
                <wp:positionH relativeFrom="page">
                  <wp:posOffset>2866390</wp:posOffset>
                </wp:positionH>
                <wp:positionV relativeFrom="margin">
                  <wp:posOffset>149225</wp:posOffset>
                </wp:positionV>
                <wp:extent cx="1932305" cy="600710"/>
                <wp:wrapTopAndBottom/>
                <wp:docPr id="90" name="Shape 90"/>
                <a:graphic xmlns:a="http://schemas.openxmlformats.org/drawingml/2006/main">
                  <a:graphicData uri="http://schemas.microsoft.com/office/word/2010/wordprocessingShape">
                    <wps:wsp>
                      <wps:cNvSpPr txBox="1"/>
                      <wps:spPr>
                        <a:xfrm>
                          <a:ext cx="1932305" cy="6007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130" w:lineRule="exact"/>
                              <w:ind w:left="0" w:right="0" w:firstLine="0"/>
                              <w:jc w:val="right"/>
                            </w:pPr>
                            <w:r>
                              <w:rPr>
                                <w:b/>
                                <w:bCs/>
                                <w:color w:val="FFFFFF"/>
                                <w:spacing w:val="0"/>
                                <w:w w:val="100"/>
                                <w:position w:val="0"/>
                              </w:rPr>
                              <w:t>本报告截至期末截至期末项目达到 本报告截至期末投资进度预定可使</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605" w:val="left"/>
                              </w:tabs>
                              <w:bidi w:val="0"/>
                              <w:spacing w:before="0" w:after="0" w:line="151" w:lineRule="auto"/>
                              <w:ind w:left="0" w:right="0" w:firstLine="0"/>
                              <w:jc w:val="righ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w:t>
                              <w:tab/>
                              <w:t>用状态日</w:t>
                            </w:r>
                          </w:p>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26" w:val="left"/>
                              </w:tabs>
                              <w:bidi w:val="0"/>
                              <w:spacing w:before="0" w:after="0" w:line="151" w:lineRule="auto"/>
                              <w:ind w:left="0" w:right="280" w:firstLine="0"/>
                              <w:jc w:val="right"/>
                              <w:rPr>
                                <w:sz w:val="15"/>
                                <w:szCs w:val="15"/>
                              </w:rPr>
                            </w:pPr>
                            <w:r>
                              <w:rPr>
                                <w:b/>
                                <w:bCs/>
                                <w:color w:val="FFFFFF"/>
                                <w:spacing w:val="0"/>
                                <w:w w:val="100"/>
                                <w:position w:val="0"/>
                                <w:sz w:val="18"/>
                                <w:szCs w:val="18"/>
                              </w:rPr>
                              <w:t>(2)/(1)</w:t>
                              <w:tab/>
                            </w:r>
                            <w:r>
                              <w:rPr>
                                <w:rFonts w:ascii="SimSun" w:eastAsia="SimSun" w:hAnsi="SimSun" w:cs="SimSun"/>
                                <w:b/>
                                <w:bCs/>
                                <w:color w:val="FFFFFF"/>
                                <w:spacing w:val="0"/>
                                <w:w w:val="100"/>
                                <w:position w:val="0"/>
                                <w:sz w:val="15"/>
                                <w:szCs w:val="15"/>
                              </w:rPr>
                              <w:t>期</w:t>
                            </w:r>
                          </w:p>
                        </w:txbxContent>
                      </wps:txbx>
                      <wps:bodyPr lIns="0" tIns="0" rIns="0" bIns="0">
                        <a:noAutoFit/>
                      </wps:bodyPr>
                    </wps:wsp>
                  </a:graphicData>
                </a:graphic>
              </wp:anchor>
            </w:drawing>
          </mc:Choice>
          <mc:Fallback>
            <w:pict>
              <v:shape id="_x0000_s1116" type="#_x0000_t202" style="position:absolute;margin-left:225.70000000000002pt;margin-top:11.75pt;width:152.15000000000001pt;height:47.300000000000004pt;z-index:-125829307;mso-wrap-distance-left:182.05000000000001pt;mso-wrap-distance-top:0.70000000000000007pt;mso-wrap-distance-right:172.20000000000002pt;mso-wrap-distance-bottom:592.30000000000007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130" w:lineRule="exact"/>
                        <w:ind w:left="0" w:right="0" w:firstLine="0"/>
                        <w:jc w:val="right"/>
                      </w:pPr>
                      <w:r>
                        <w:rPr>
                          <w:b/>
                          <w:bCs/>
                          <w:color w:val="FFFFFF"/>
                          <w:spacing w:val="0"/>
                          <w:w w:val="100"/>
                          <w:position w:val="0"/>
                        </w:rPr>
                        <w:t>本报告截至期末截至期末项目达到 本报告截至期末投资进度预定可使</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605" w:val="left"/>
                        </w:tabs>
                        <w:bidi w:val="0"/>
                        <w:spacing w:before="0" w:after="0" w:line="151" w:lineRule="auto"/>
                        <w:ind w:left="0" w:right="0" w:firstLine="0"/>
                        <w:jc w:val="righ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w:t>
                        <w:tab/>
                        <w:t>用状态日</w:t>
                      </w:r>
                    </w:p>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26" w:val="left"/>
                        </w:tabs>
                        <w:bidi w:val="0"/>
                        <w:spacing w:before="0" w:after="0" w:line="151" w:lineRule="auto"/>
                        <w:ind w:left="0" w:right="280" w:firstLine="0"/>
                        <w:jc w:val="right"/>
                        <w:rPr>
                          <w:sz w:val="15"/>
                          <w:szCs w:val="15"/>
                        </w:rPr>
                      </w:pPr>
                      <w:r>
                        <w:rPr>
                          <w:b/>
                          <w:bCs/>
                          <w:color w:val="FFFFFF"/>
                          <w:spacing w:val="0"/>
                          <w:w w:val="100"/>
                          <w:position w:val="0"/>
                          <w:sz w:val="18"/>
                          <w:szCs w:val="18"/>
                        </w:rPr>
                        <w:t>(2)/(1)</w:t>
                        <w:tab/>
                      </w:r>
                      <w:r>
                        <w:rPr>
                          <w:rFonts w:ascii="SimSun" w:eastAsia="SimSun" w:hAnsi="SimSun" w:cs="SimSun"/>
                          <w:b/>
                          <w:bCs/>
                          <w:color w:val="FFFFFF"/>
                          <w:spacing w:val="0"/>
                          <w:w w:val="100"/>
                          <w:position w:val="0"/>
                          <w:sz w:val="15"/>
                          <w:szCs w:val="15"/>
                        </w:rPr>
                        <w:t>期</w:t>
                      </w:r>
                    </w:p>
                  </w:txbxContent>
                </v:textbox>
                <w10:wrap type="topAndBottom" anchorx="page" anchory="margin"/>
              </v:shape>
            </w:pict>
          </mc:Fallback>
        </mc:AlternateContent>
      </w:r>
      <w:r>
        <mc:AlternateContent>
          <mc:Choice Requires="wps">
            <w:drawing>
              <wp:anchor distT="225425" distB="7598410" distL="2312035" distR="3192780" simplePos="0" relativeHeight="125829448" behindDoc="0" locked="0" layoutInCell="1" allowOverlap="1">
                <wp:simplePos x="0" y="0"/>
                <wp:positionH relativeFrom="page">
                  <wp:posOffset>2866390</wp:posOffset>
                </wp:positionH>
                <wp:positionV relativeFrom="margin">
                  <wp:posOffset>365760</wp:posOffset>
                </wp:positionV>
                <wp:extent cx="926465" cy="307975"/>
                <wp:wrapTopAndBottom/>
                <wp:docPr id="92" name="Shape 92"/>
                <a:graphic xmlns:a="http://schemas.openxmlformats.org/drawingml/2006/main">
                  <a:graphicData uri="http://schemas.microsoft.com/office/word/2010/wordprocessingShape">
                    <wps:wsp>
                      <wps:cNvSpPr txBox="1"/>
                      <wps:spPr>
                        <a:xfrm>
                          <a:ext cx="926465" cy="30797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1" w:lineRule="exact"/>
                              <w:ind w:left="0" w:right="0" w:firstLine="0"/>
                              <w:jc w:val="center"/>
                              <w:rPr>
                                <w:sz w:val="18"/>
                                <w:szCs w:val="18"/>
                              </w:rPr>
                            </w:pPr>
                            <w:r>
                              <w:rPr>
                                <w:b/>
                                <w:bCs/>
                                <w:color w:val="FFFFFF"/>
                                <w:spacing w:val="0"/>
                                <w:w w:val="100"/>
                                <w:position w:val="0"/>
                                <w:sz w:val="15"/>
                                <w:szCs w:val="15"/>
                              </w:rPr>
                              <w:t>期投入累计投入</w:t>
                              <w:br/>
                              <w:t>金额金额</w:t>
                            </w:r>
                            <w:r>
                              <w:rPr>
                                <w:rFonts w:ascii="Times New Roman" w:eastAsia="Times New Roman" w:hAnsi="Times New Roman" w:cs="Times New Roman"/>
                                <w:b/>
                                <w:bCs/>
                                <w:color w:val="FFFFFF"/>
                                <w:spacing w:val="0"/>
                                <w:w w:val="100"/>
                                <w:position w:val="0"/>
                                <w:sz w:val="18"/>
                                <w:szCs w:val="18"/>
                              </w:rPr>
                              <w:t>(2)</w:t>
                            </w:r>
                          </w:p>
                        </w:txbxContent>
                      </wps:txbx>
                      <wps:bodyPr lIns="0" tIns="0" rIns="0" bIns="0">
                        <a:noAutoFit/>
                      </wps:bodyPr>
                    </wps:wsp>
                  </a:graphicData>
                </a:graphic>
              </wp:anchor>
            </w:drawing>
          </mc:Choice>
          <mc:Fallback>
            <w:pict>
              <v:shape id="_x0000_s1118" type="#_x0000_t202" style="position:absolute;margin-left:225.70000000000002pt;margin-top:28.800000000000001pt;width:72.950000000000003pt;height:24.25pt;z-index:-125829305;mso-wrap-distance-left:182.05000000000001pt;mso-wrap-distance-top:17.75pt;mso-wrap-distance-right:251.40000000000001pt;mso-wrap-distance-bottom:598.30000000000007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1" w:lineRule="exact"/>
                        <w:ind w:left="0" w:right="0" w:firstLine="0"/>
                        <w:jc w:val="center"/>
                        <w:rPr>
                          <w:sz w:val="18"/>
                          <w:szCs w:val="18"/>
                        </w:rPr>
                      </w:pPr>
                      <w:r>
                        <w:rPr>
                          <w:b/>
                          <w:bCs/>
                          <w:color w:val="FFFFFF"/>
                          <w:spacing w:val="0"/>
                          <w:w w:val="100"/>
                          <w:position w:val="0"/>
                          <w:sz w:val="15"/>
                          <w:szCs w:val="15"/>
                        </w:rPr>
                        <w:t>期投入累计投入</w:t>
                        <w:br/>
                        <w:t>金额金额</w:t>
                      </w:r>
                      <w:r>
                        <w:rPr>
                          <w:rFonts w:ascii="Times New Roman" w:eastAsia="Times New Roman" w:hAnsi="Times New Roman" w:cs="Times New Roman"/>
                          <w:b/>
                          <w:bCs/>
                          <w:color w:val="FFFFFF"/>
                          <w:spacing w:val="0"/>
                          <w:w w:val="100"/>
                          <w:position w:val="0"/>
                          <w:sz w:val="18"/>
                          <w:szCs w:val="18"/>
                        </w:rPr>
                        <w:t>(2)</w:t>
                      </w:r>
                    </w:p>
                  </w:txbxContent>
                </v:textbox>
                <w10:wrap type="topAndBottom" anchorx="page" anchory="margin"/>
              </v:shape>
            </w:pict>
          </mc:Fallback>
        </mc:AlternateContent>
      </w:r>
      <w:r>
        <mc:AlternateContent>
          <mc:Choice Requires="wps">
            <w:drawing>
              <wp:anchor distT="73025" distB="7604760" distL="4302125" distR="1754505" simplePos="0" relativeHeight="125829450" behindDoc="0" locked="0" layoutInCell="1" allowOverlap="1">
                <wp:simplePos x="0" y="0"/>
                <wp:positionH relativeFrom="page">
                  <wp:posOffset>4856480</wp:posOffset>
                </wp:positionH>
                <wp:positionV relativeFrom="margin">
                  <wp:posOffset>213360</wp:posOffset>
                </wp:positionV>
                <wp:extent cx="374650" cy="454025"/>
                <wp:wrapTopAndBottom/>
                <wp:docPr id="94" name="Shape 94"/>
                <a:graphic xmlns:a="http://schemas.openxmlformats.org/drawingml/2006/main">
                  <a:graphicData uri="http://schemas.microsoft.com/office/word/2010/wordprocessingShape">
                    <wps:wsp>
                      <wps:cNvSpPr txBox="1"/>
                      <wps:spPr>
                        <a:xfrm>
                          <a:ext cx="374650"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本报告 期实现 的效益</w:t>
                            </w:r>
                          </w:p>
                        </w:txbxContent>
                      </wps:txbx>
                      <wps:bodyPr lIns="0" tIns="0" rIns="0" bIns="0">
                        <a:noAutoFit/>
                      </wps:bodyPr>
                    </wps:wsp>
                  </a:graphicData>
                </a:graphic>
              </wp:anchor>
            </w:drawing>
          </mc:Choice>
          <mc:Fallback>
            <w:pict>
              <v:shape id="_x0000_s1120" type="#_x0000_t202" style="position:absolute;margin-left:382.40000000000003pt;margin-top:16.800000000000001pt;width:29.5pt;height:35.75pt;z-index:-125829303;mso-wrap-distance-left:338.75pt;mso-wrap-distance-top:5.75pt;mso-wrap-distance-right:138.15000000000001pt;mso-wrap-distance-bottom:598.80000000000007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本报告 期实现 的效益</w:t>
                      </w:r>
                    </w:p>
                  </w:txbxContent>
                </v:textbox>
                <w10:wrap type="topAndBottom" anchorx="page" anchory="margin"/>
              </v:shape>
            </w:pict>
          </mc:Fallback>
        </mc:AlternateContent>
      </w:r>
      <w:r>
        <mc:AlternateContent>
          <mc:Choice Requires="wps">
            <w:drawing>
              <wp:anchor distT="3175" distB="7537450" distL="4740910" distR="1199515" simplePos="0" relativeHeight="125829452" behindDoc="0" locked="0" layoutInCell="1" allowOverlap="1">
                <wp:simplePos x="0" y="0"/>
                <wp:positionH relativeFrom="page">
                  <wp:posOffset>5295265</wp:posOffset>
                </wp:positionH>
                <wp:positionV relativeFrom="margin">
                  <wp:posOffset>143510</wp:posOffset>
                </wp:positionV>
                <wp:extent cx="490855" cy="591185"/>
                <wp:wrapTopAndBottom/>
                <wp:docPr id="96" name="Shape 96"/>
                <a:graphic xmlns:a="http://schemas.openxmlformats.org/drawingml/2006/main">
                  <a:graphicData uri="http://schemas.microsoft.com/office/word/2010/wordprocessingShape">
                    <wps:wsp>
                      <wps:cNvSpPr txBox="1"/>
                      <wps:spPr>
                        <a:xfrm>
                          <a:ext cx="490855" cy="59118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7" w:lineRule="exact"/>
                              <w:ind w:left="0" w:right="0" w:firstLine="0"/>
                              <w:jc w:val="center"/>
                            </w:pPr>
                            <w:r>
                              <w:rPr>
                                <w:b/>
                                <w:bCs/>
                                <w:color w:val="FFFFFF"/>
                                <w:spacing w:val="0"/>
                                <w:w w:val="100"/>
                                <w:position w:val="0"/>
                              </w:rPr>
                              <w:t>截止报告</w:t>
                              <w:br/>
                              <w:t>期末累计</w:t>
                              <w:br/>
                              <w:t>实现的效</w:t>
                              <w:br/>
                              <w:t>益</w:t>
                            </w:r>
                          </w:p>
                        </w:txbxContent>
                      </wps:txbx>
                      <wps:bodyPr lIns="0" tIns="0" rIns="0" bIns="0">
                        <a:noAutoFit/>
                      </wps:bodyPr>
                    </wps:wsp>
                  </a:graphicData>
                </a:graphic>
              </wp:anchor>
            </w:drawing>
          </mc:Choice>
          <mc:Fallback>
            <w:pict>
              <v:shape id="_x0000_s1122" type="#_x0000_t202" style="position:absolute;margin-left:416.94999999999999pt;margin-top:11.300000000000001pt;width:38.649999999999999pt;height:46.550000000000004pt;z-index:-125829301;mso-wrap-distance-left:373.30000000000001pt;mso-wrap-distance-top:0.25pt;mso-wrap-distance-right:94.450000000000003pt;mso-wrap-distance-bottom:593.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7" w:lineRule="exact"/>
                        <w:ind w:left="0" w:right="0" w:firstLine="0"/>
                        <w:jc w:val="center"/>
                      </w:pPr>
                      <w:r>
                        <w:rPr>
                          <w:b/>
                          <w:bCs/>
                          <w:color w:val="FFFFFF"/>
                          <w:spacing w:val="0"/>
                          <w:w w:val="100"/>
                          <w:position w:val="0"/>
                        </w:rPr>
                        <w:t>截止报告</w:t>
                        <w:br/>
                        <w:t>期末累计</w:t>
                        <w:br/>
                        <w:t>实现的效</w:t>
                        <w:br/>
                        <w:t>益</w:t>
                      </w:r>
                    </w:p>
                  </w:txbxContent>
                </v:textbox>
                <w10:wrap type="topAndBottom" anchorx="page" anchory="margin"/>
              </v:shape>
            </w:pict>
          </mc:Fallback>
        </mc:AlternateContent>
      </w:r>
      <w:r>
        <mc:AlternateContent>
          <mc:Choice Requires="wps">
            <w:drawing>
              <wp:anchor distT="73025" distB="7607935" distL="5295900" distR="760730" simplePos="0" relativeHeight="125829454" behindDoc="0" locked="0" layoutInCell="1" allowOverlap="1">
                <wp:simplePos x="0" y="0"/>
                <wp:positionH relativeFrom="page">
                  <wp:posOffset>5850255</wp:posOffset>
                </wp:positionH>
                <wp:positionV relativeFrom="margin">
                  <wp:posOffset>213360</wp:posOffset>
                </wp:positionV>
                <wp:extent cx="374650" cy="450850"/>
                <wp:wrapTopAndBottom/>
                <wp:docPr id="98" name="Shape 98"/>
                <a:graphic xmlns:a="http://schemas.openxmlformats.org/drawingml/2006/main">
                  <a:graphicData uri="http://schemas.microsoft.com/office/word/2010/wordprocessingShape">
                    <wps:wsp>
                      <wps:cNvSpPr txBox="1"/>
                      <wps:spPr>
                        <a:xfrm>
                          <a:ext cx="374650" cy="4508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是否达</w:t>
                              <w:br/>
                              <w:t>到预计</w:t>
                              <w:br/>
                              <w:t>效益</w:t>
                            </w:r>
                          </w:p>
                        </w:txbxContent>
                      </wps:txbx>
                      <wps:bodyPr lIns="0" tIns="0" rIns="0" bIns="0">
                        <a:noAutoFit/>
                      </wps:bodyPr>
                    </wps:wsp>
                  </a:graphicData>
                </a:graphic>
              </wp:anchor>
            </w:drawing>
          </mc:Choice>
          <mc:Fallback>
            <w:pict>
              <v:shape id="_x0000_s1124" type="#_x0000_t202" style="position:absolute;margin-left:460.65000000000003pt;margin-top:16.800000000000001pt;width:29.5pt;height:35.5pt;z-index:-125829299;mso-wrap-distance-left:417.pt;mso-wrap-distance-top:5.75pt;mso-wrap-distance-right:59.899999999999999pt;mso-wrap-distance-bottom:599.05000000000007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是否达</w:t>
                        <w:br/>
                        <w:t>到预计</w:t>
                        <w:br/>
                        <w:t>效益</w:t>
                      </w:r>
                    </w:p>
                  </w:txbxContent>
                </v:textbox>
                <w10:wrap type="topAndBottom" anchorx="page" anchory="margin"/>
              </v:shape>
            </w:pict>
          </mc:Fallback>
        </mc:AlternateContent>
      </w:r>
      <w:r>
        <mc:AlternateContent>
          <mc:Choice Requires="wps">
            <w:drawing>
              <wp:anchor distT="0" distB="7531100" distL="5731510" distR="212090" simplePos="0" relativeHeight="125829456" behindDoc="0" locked="0" layoutInCell="1" allowOverlap="1">
                <wp:simplePos x="0" y="0"/>
                <wp:positionH relativeFrom="page">
                  <wp:posOffset>6285865</wp:posOffset>
                </wp:positionH>
                <wp:positionV relativeFrom="margin">
                  <wp:posOffset>140335</wp:posOffset>
                </wp:positionV>
                <wp:extent cx="487680" cy="600710"/>
                <wp:wrapTopAndBottom/>
                <wp:docPr id="100" name="Shape 100"/>
                <a:graphic xmlns:a="http://schemas.openxmlformats.org/drawingml/2006/main">
                  <a:graphicData uri="http://schemas.microsoft.com/office/word/2010/wordprocessingShape">
                    <wps:wsp>
                      <wps:cNvSpPr txBox="1"/>
                      <wps:spPr>
                        <a:xfrm>
                          <a:ext cx="487680" cy="6007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项目可行 性是否发 生重大变</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化</w:t>
                            </w:r>
                          </w:p>
                        </w:txbxContent>
                      </wps:txbx>
                      <wps:bodyPr lIns="0" tIns="0" rIns="0" bIns="0">
                        <a:noAutoFit/>
                      </wps:bodyPr>
                    </wps:wsp>
                  </a:graphicData>
                </a:graphic>
              </wp:anchor>
            </w:drawing>
          </mc:Choice>
          <mc:Fallback>
            <w:pict>
              <v:shape id="_x0000_s1126" type="#_x0000_t202" style="position:absolute;margin-left:494.94999999999999pt;margin-top:11.050000000000001pt;width:38.399999999999999pt;height:47.300000000000004pt;z-index:-125829297;mso-wrap-distance-left:451.30000000000001pt;mso-wrap-distance-right:16.699999999999999pt;mso-wrap-distance-bottom:593.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项目可行 性是否发 生重大变</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化</w:t>
                      </w:r>
                    </w:p>
                  </w:txbxContent>
                </v:textbox>
                <w10:wrap type="topAndBottom" anchorx="page" anchory="margin"/>
              </v:shape>
            </w:pict>
          </mc:Fallback>
        </mc:AlternateContent>
      </w:r>
      <w:r>
        <mc:AlternateContent>
          <mc:Choice Requires="wps">
            <w:drawing>
              <wp:anchor distT="648970" distB="7178040" distL="132715" distR="5670550" simplePos="0" relativeHeight="125829458" behindDoc="0" locked="0" layoutInCell="1" allowOverlap="1">
                <wp:simplePos x="0" y="0"/>
                <wp:positionH relativeFrom="page">
                  <wp:posOffset>687070</wp:posOffset>
                </wp:positionH>
                <wp:positionV relativeFrom="margin">
                  <wp:posOffset>789305</wp:posOffset>
                </wp:positionV>
                <wp:extent cx="628015" cy="304800"/>
                <wp:wrapTopAndBottom/>
                <wp:docPr id="102" name="Shape 102"/>
                <a:graphic xmlns:a="http://schemas.openxmlformats.org/drawingml/2006/main">
                  <a:graphicData uri="http://schemas.microsoft.com/office/word/2010/wordprocessingShape">
                    <wps:wsp>
                      <wps:cNvSpPr txBox="1"/>
                      <wps:spPr>
                        <a:xfrm>
                          <a:ext cx="628015" cy="3048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160"/>
                              <w:jc w:val="left"/>
                            </w:pPr>
                            <w:r>
                              <w:rPr>
                                <w:b/>
                                <w:bCs/>
                                <w:color w:val="FFFFFF"/>
                                <w:spacing w:val="0"/>
                                <w:w w:val="100"/>
                                <w:position w:val="0"/>
                              </w:rPr>
                              <w:t>.诺投资项 目小计</w:t>
                            </w:r>
                          </w:p>
                        </w:txbxContent>
                      </wps:txbx>
                      <wps:bodyPr lIns="0" tIns="0" rIns="0" bIns="0">
                        <a:noAutoFit/>
                      </wps:bodyPr>
                    </wps:wsp>
                  </a:graphicData>
                </a:graphic>
              </wp:anchor>
            </w:drawing>
          </mc:Choice>
          <mc:Fallback>
            <w:pict>
              <v:shape id="_x0000_s1128" type="#_x0000_t202" style="position:absolute;margin-left:54.100000000000001pt;margin-top:62.149999999999999pt;width:49.450000000000003pt;height:24.pt;z-index:-125829295;mso-wrap-distance-left:10.450000000000001pt;mso-wrap-distance-top:51.100000000000001pt;mso-wrap-distance-right:446.5pt;mso-wrap-distance-bottom:565.2000000000000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160"/>
                        <w:jc w:val="left"/>
                      </w:pPr>
                      <w:r>
                        <w:rPr>
                          <w:b/>
                          <w:bCs/>
                          <w:color w:val="FFFFFF"/>
                          <w:spacing w:val="0"/>
                          <w:w w:val="100"/>
                          <w:position w:val="0"/>
                        </w:rPr>
                        <w:t>.诺投资项 目小计</w:t>
                      </w:r>
                    </w:p>
                  </w:txbxContent>
                </v:textbox>
                <w10:wrap type="topAndBottom" anchorx="page" anchory="margin"/>
              </v:shape>
            </w:pict>
          </mc:Fallback>
        </mc:AlternateContent>
      </w:r>
      <w:r>
        <mc:AlternateContent>
          <mc:Choice Requires="wps">
            <w:drawing>
              <wp:anchor distT="737870" distB="7250430" distL="1360805" distR="3147060" simplePos="0" relativeHeight="125829460" behindDoc="0" locked="0" layoutInCell="1" allowOverlap="1">
                <wp:simplePos x="0" y="0"/>
                <wp:positionH relativeFrom="page">
                  <wp:posOffset>1915160</wp:posOffset>
                </wp:positionH>
                <wp:positionV relativeFrom="margin">
                  <wp:posOffset>878205</wp:posOffset>
                </wp:positionV>
                <wp:extent cx="1923415" cy="143510"/>
                <wp:wrapTopAndBottom/>
                <wp:docPr id="104" name="Shape 104"/>
                <a:graphic xmlns:a="http://schemas.openxmlformats.org/drawingml/2006/main">
                  <a:graphicData uri="http://schemas.microsoft.com/office/word/2010/wordprocessingShape">
                    <wps:wsp>
                      <wps:cNvSpPr txBox="1"/>
                      <wps:spPr>
                        <a:xfrm>
                          <a:ext cx="1923415" cy="143510"/>
                        </a:xfrm>
                        <a:prstGeom prst="rect"/>
                        <a:noFill/>
                      </wps:spPr>
                      <wps:txbx>
                        <w:txbxContent>
                          <w:p>
                            <w:pPr>
                              <w:pStyle w:val="Style34"/>
                              <w:keepNext w:val="0"/>
                              <w:keepLines w:val="0"/>
                              <w:widowControl w:val="0"/>
                              <w:shd w:val="clear" w:color="auto" w:fill="auto"/>
                              <w:tabs>
                                <w:tab w:pos="811" w:val="left"/>
                                <w:tab w:pos="1598" w:val="left"/>
                                <w:tab w:pos="2381" w:val="left"/>
                              </w:tabs>
                              <w:bidi w:val="0"/>
                              <w:spacing w:before="0" w:after="0" w:line="240" w:lineRule="auto"/>
                              <w:ind w:left="0" w:right="0" w:firstLine="0"/>
                              <w:jc w:val="left"/>
                            </w:pPr>
                            <w:r>
                              <w:rPr>
                                <w:color w:val="000000"/>
                                <w:spacing w:val="0"/>
                                <w:w w:val="100"/>
                                <w:position w:val="0"/>
                              </w:rPr>
                              <w:t>20,971.92</w:t>
                              <w:tab/>
                              <w:t>20,971.92</w:t>
                              <w:tab/>
                              <w:t>8,375.90</w:t>
                              <w:tab/>
                              <w:t>19,623.61</w:t>
                            </w:r>
                          </w:p>
                        </w:txbxContent>
                      </wps:txbx>
                      <wps:bodyPr wrap="none" lIns="0" tIns="0" rIns="0" bIns="0">
                        <a:noAutoFit/>
                      </wps:bodyPr>
                    </wps:wsp>
                  </a:graphicData>
                </a:graphic>
              </wp:anchor>
            </w:drawing>
          </mc:Choice>
          <mc:Fallback>
            <w:pict>
              <v:shape id="_x0000_s1130" type="#_x0000_t202" style="position:absolute;margin-left:150.80000000000001pt;margin-top:69.150000000000006pt;width:151.45000000000002pt;height:11.300000000000001pt;z-index:-125829293;mso-wrap-distance-left:107.15000000000001pt;mso-wrap-distance-top:58.100000000000001pt;mso-wrap-distance-right:247.80000000000001pt;mso-wrap-distance-bottom:570.89999999999998pt;mso-position-horizontal-relative:page;mso-position-vertical-relative:margin" filled="f" stroked="f">
                <v:textbox inset="0,0,0,0">
                  <w:txbxContent>
                    <w:p>
                      <w:pPr>
                        <w:pStyle w:val="Style34"/>
                        <w:keepNext w:val="0"/>
                        <w:keepLines w:val="0"/>
                        <w:widowControl w:val="0"/>
                        <w:shd w:val="clear" w:color="auto" w:fill="auto"/>
                        <w:tabs>
                          <w:tab w:pos="811" w:val="left"/>
                          <w:tab w:pos="1598" w:val="left"/>
                          <w:tab w:pos="2381" w:val="left"/>
                        </w:tabs>
                        <w:bidi w:val="0"/>
                        <w:spacing w:before="0" w:after="0" w:line="240" w:lineRule="auto"/>
                        <w:ind w:left="0" w:right="0" w:firstLine="0"/>
                        <w:jc w:val="left"/>
                      </w:pPr>
                      <w:r>
                        <w:rPr>
                          <w:color w:val="000000"/>
                          <w:spacing w:val="0"/>
                          <w:w w:val="100"/>
                          <w:position w:val="0"/>
                        </w:rPr>
                        <w:t>20,971.92</w:t>
                        <w:tab/>
                        <w:t>20,971.92</w:t>
                        <w:tab/>
                        <w:t>8,375.90</w:t>
                        <w:tab/>
                        <w:t>19,623.61</w:t>
                      </w:r>
                    </w:p>
                  </w:txbxContent>
                </v:textbox>
                <w10:wrap type="topAndBottom" anchorx="page" anchory="margin"/>
              </v:shape>
            </w:pict>
          </mc:Fallback>
        </mc:AlternateContent>
      </w:r>
      <w:r>
        <mc:AlternateContent>
          <mc:Choice Requires="wps">
            <w:drawing>
              <wp:anchor distT="1009015" distB="6732905" distL="117475" distR="5600700" simplePos="0" relativeHeight="125829462" behindDoc="0" locked="0" layoutInCell="1" allowOverlap="1">
                <wp:simplePos x="0" y="0"/>
                <wp:positionH relativeFrom="page">
                  <wp:posOffset>671830</wp:posOffset>
                </wp:positionH>
                <wp:positionV relativeFrom="margin">
                  <wp:posOffset>1149350</wp:posOffset>
                </wp:positionV>
                <wp:extent cx="713105" cy="389890"/>
                <wp:wrapTopAndBottom/>
                <wp:docPr id="106" name="Shape 106"/>
                <a:graphic xmlns:a="http://schemas.openxmlformats.org/drawingml/2006/main">
                  <a:graphicData uri="http://schemas.microsoft.com/office/word/2010/wordprocessingShape">
                    <wps:wsp>
                      <wps:cNvSpPr txBox="1"/>
                      <wps:spPr>
                        <a:xfrm>
                          <a:ext cx="713105" cy="38989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00" w:line="240" w:lineRule="auto"/>
                              <w:ind w:left="0" w:right="0" w:firstLine="160"/>
                              <w:jc w:val="left"/>
                            </w:pPr>
                            <w:r>
                              <w:rPr>
                                <w:b/>
                                <w:bCs/>
                                <w:color w:val="FFFFFF"/>
                                <w:spacing w:val="0"/>
                                <w:w w:val="100"/>
                                <w:position w:val="0"/>
                              </w:rPr>
                              <w:t>［募资金投向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I</w:t>
                            </w:r>
                            <w:r>
                              <w:rPr>
                                <w:b/>
                                <w:bCs/>
                                <w:color w:val="FFFFFF"/>
                                <w:spacing w:val="0"/>
                                <w:w w:val="100"/>
                                <w:position w:val="0"/>
                              </w:rPr>
                              <w:t>无</w:t>
                            </w:r>
                          </w:p>
                        </w:txbxContent>
                      </wps:txbx>
                      <wps:bodyPr lIns="0" tIns="0" rIns="0" bIns="0">
                        <a:noAutoFit/>
                      </wps:bodyPr>
                    </wps:wsp>
                  </a:graphicData>
                </a:graphic>
              </wp:anchor>
            </w:drawing>
          </mc:Choice>
          <mc:Fallback>
            <w:pict>
              <v:shape id="_x0000_s1132" type="#_x0000_t202" style="position:absolute;margin-left:52.899999999999999pt;margin-top:90.5pt;width:56.149999999999999pt;height:30.699999999999999pt;z-index:-125829291;mso-wrap-distance-left:9.25pt;mso-wrap-distance-top:79.450000000000003pt;mso-wrap-distance-right:441.pt;mso-wrap-distance-bottom:530.14999999999998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00" w:line="240" w:lineRule="auto"/>
                        <w:ind w:left="0" w:right="0" w:firstLine="160"/>
                        <w:jc w:val="left"/>
                      </w:pPr>
                      <w:r>
                        <w:rPr>
                          <w:b/>
                          <w:bCs/>
                          <w:color w:val="FFFFFF"/>
                          <w:spacing w:val="0"/>
                          <w:w w:val="100"/>
                          <w:position w:val="0"/>
                        </w:rPr>
                        <w:t>［募资金投向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I</w:t>
                      </w:r>
                      <w:r>
                        <w:rPr>
                          <w:b/>
                          <w:bCs/>
                          <w:color w:val="FFFFFF"/>
                          <w:spacing w:val="0"/>
                          <w:w w:val="100"/>
                          <w:position w:val="0"/>
                        </w:rPr>
                        <w:t>无</w:t>
                      </w:r>
                    </w:p>
                  </w:txbxContent>
                </v:textbox>
                <w10:wrap type="topAndBottom" anchorx="page" anchory="margin"/>
              </v:shape>
            </w:pict>
          </mc:Fallback>
        </mc:AlternateContent>
      </w:r>
      <w:r>
        <mc:AlternateContent>
          <mc:Choice Requires="wps">
            <w:drawing>
              <wp:anchor distT="1423670" distB="6562090" distL="117475" distR="6057900" simplePos="0" relativeHeight="125829464" behindDoc="0" locked="0" layoutInCell="1" allowOverlap="1">
                <wp:simplePos x="0" y="0"/>
                <wp:positionH relativeFrom="page">
                  <wp:posOffset>671830</wp:posOffset>
                </wp:positionH>
                <wp:positionV relativeFrom="margin">
                  <wp:posOffset>1564005</wp:posOffset>
                </wp:positionV>
                <wp:extent cx="255905" cy="146050"/>
                <wp:wrapTopAndBottom/>
                <wp:docPr id="108" name="Shape 108"/>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color w:val="FFFFFF"/>
                                <w:spacing w:val="0"/>
                                <w:w w:val="100"/>
                                <w:position w:val="0"/>
                              </w:rPr>
                              <w:t>合计</w:t>
                            </w:r>
                          </w:p>
                        </w:txbxContent>
                      </wps:txbx>
                      <wps:bodyPr wrap="none" lIns="0" tIns="0" rIns="0" bIns="0">
                        <a:noAutoFit/>
                      </wps:bodyPr>
                    </wps:wsp>
                  </a:graphicData>
                </a:graphic>
              </wp:anchor>
            </w:drawing>
          </mc:Choice>
          <mc:Fallback>
            <w:pict>
              <v:shape id="_x0000_s1134" type="#_x0000_t202" style="position:absolute;margin-left:52.899999999999999pt;margin-top:123.15000000000001pt;width:20.150000000000002pt;height:11.5pt;z-index:-125829289;mso-wrap-distance-left:9.25pt;mso-wrap-distance-top:112.10000000000001pt;mso-wrap-distance-right:477.pt;mso-wrap-distance-bottom:516.7000000000000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color w:val="FFFFFF"/>
                          <w:spacing w:val="0"/>
                          <w:w w:val="100"/>
                          <w:position w:val="0"/>
                        </w:rPr>
                        <w:t>合计</w:t>
                      </w:r>
                    </w:p>
                  </w:txbxContent>
                </v:textbox>
                <w10:wrap type="topAndBottom" anchorx="page" anchory="margin"/>
              </v:shape>
            </w:pict>
          </mc:Fallback>
        </mc:AlternateContent>
      </w:r>
      <w:r>
        <mc:AlternateContent>
          <mc:Choice Requires="wps">
            <w:drawing>
              <wp:anchor distT="1426210" distB="6562090" distL="1360805" distR="3147060" simplePos="0" relativeHeight="125829466" behindDoc="0" locked="0" layoutInCell="1" allowOverlap="1">
                <wp:simplePos x="0" y="0"/>
                <wp:positionH relativeFrom="page">
                  <wp:posOffset>1915160</wp:posOffset>
                </wp:positionH>
                <wp:positionV relativeFrom="margin">
                  <wp:posOffset>1566545</wp:posOffset>
                </wp:positionV>
                <wp:extent cx="1923415" cy="143510"/>
                <wp:wrapTopAndBottom/>
                <wp:docPr id="110" name="Shape 110"/>
                <a:graphic xmlns:a="http://schemas.openxmlformats.org/drawingml/2006/main">
                  <a:graphicData uri="http://schemas.microsoft.com/office/word/2010/wordprocessingShape">
                    <wps:wsp>
                      <wps:cNvSpPr txBox="1"/>
                      <wps:spPr>
                        <a:xfrm>
                          <a:ext cx="1923415" cy="1435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792" w:val="left"/>
                                <w:tab w:pos="1613" w:val="left"/>
                                <w:tab w:pos="2376" w:val="left"/>
                              </w:tabs>
                              <w:bidi w:val="0"/>
                              <w:spacing w:before="0" w:after="0" w:line="240" w:lineRule="auto"/>
                              <w:ind w:left="0" w:right="0" w:firstLine="0"/>
                              <w:jc w:val="left"/>
                            </w:pPr>
                            <w:r>
                              <w:rPr>
                                <w:color w:val="FFFFFF"/>
                                <w:spacing w:val="0"/>
                                <w:w w:val="100"/>
                                <w:position w:val="0"/>
                              </w:rPr>
                              <w:t>20,971.92</w:t>
                              <w:tab/>
                              <w:t>20,971.92</w:t>
                              <w:tab/>
                              <w:t>8,375.90</w:t>
                              <w:tab/>
                              <w:t>19.623.61</w:t>
                            </w:r>
                          </w:p>
                        </w:txbxContent>
                      </wps:txbx>
                      <wps:bodyPr wrap="none" lIns="0" tIns="0" rIns="0" bIns="0">
                        <a:noAutoFit/>
                      </wps:bodyPr>
                    </wps:wsp>
                  </a:graphicData>
                </a:graphic>
              </wp:anchor>
            </w:drawing>
          </mc:Choice>
          <mc:Fallback>
            <w:pict>
              <v:shape id="_x0000_s1136" type="#_x0000_t202" style="position:absolute;margin-left:150.80000000000001pt;margin-top:123.35000000000001pt;width:151.45000000000002pt;height:11.300000000000001pt;z-index:-125829287;mso-wrap-distance-left:107.15000000000001pt;mso-wrap-distance-top:112.3pt;mso-wrap-distance-right:247.80000000000001pt;mso-wrap-distance-bottom:516.70000000000005pt;mso-position-horizontal-relative:page;mso-position-vertical-relative:margin"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792" w:val="left"/>
                          <w:tab w:pos="1613" w:val="left"/>
                          <w:tab w:pos="2376" w:val="left"/>
                        </w:tabs>
                        <w:bidi w:val="0"/>
                        <w:spacing w:before="0" w:after="0" w:line="240" w:lineRule="auto"/>
                        <w:ind w:left="0" w:right="0" w:firstLine="0"/>
                        <w:jc w:val="left"/>
                      </w:pPr>
                      <w:r>
                        <w:rPr>
                          <w:color w:val="FFFFFF"/>
                          <w:spacing w:val="0"/>
                          <w:w w:val="100"/>
                          <w:position w:val="0"/>
                        </w:rPr>
                        <w:t>20,971.92</w:t>
                        <w:tab/>
                        <w:t>20,971.92</w:t>
                        <w:tab/>
                        <w:t>8,375.90</w:t>
                        <w:tab/>
                        <w:t>19.623.61</w:t>
                      </w:r>
                    </w:p>
                  </w:txbxContent>
                </v:textbox>
                <w10:wrap type="topAndBottom" anchorx="page" anchory="margin"/>
              </v:shape>
            </w:pict>
          </mc:Fallback>
        </mc:AlternateContent>
      </w:r>
      <w:r>
        <mc:AlternateContent>
          <mc:Choice Requires="wps">
            <w:drawing>
              <wp:anchor distT="1615440" distB="5915660" distL="117475" distR="5670550" simplePos="0" relativeHeight="125829468" behindDoc="0" locked="0" layoutInCell="1" allowOverlap="1">
                <wp:simplePos x="0" y="0"/>
                <wp:positionH relativeFrom="page">
                  <wp:posOffset>671830</wp:posOffset>
                </wp:positionH>
                <wp:positionV relativeFrom="margin">
                  <wp:posOffset>1755775</wp:posOffset>
                </wp:positionV>
                <wp:extent cx="643255" cy="600710"/>
                <wp:wrapTopAndBottom/>
                <wp:docPr id="112" name="Shape 112"/>
                <a:graphic xmlns:a="http://schemas.openxmlformats.org/drawingml/2006/main">
                  <a:graphicData uri="http://schemas.microsoft.com/office/word/2010/wordprocessingShape">
                    <wps:wsp>
                      <wps:cNvSpPr txBox="1"/>
                      <wps:spPr>
                        <a:xfrm>
                          <a:ext cx="643255" cy="6007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both"/>
                            </w:pPr>
                            <w:r>
                              <w:rPr>
                                <w:b/>
                                <w:bCs/>
                                <w:color w:val="FFFFFF"/>
                                <w:spacing w:val="0"/>
                                <w:w w:val="100"/>
                                <w:position w:val="0"/>
                              </w:rPr>
                              <w:t>未达到计划 进度或预计 收益的情况 和原因</w:t>
                            </w:r>
                          </w:p>
                        </w:txbxContent>
                      </wps:txbx>
                      <wps:bodyPr lIns="0" tIns="0" rIns="0" bIns="0">
                        <a:noAutoFit/>
                      </wps:bodyPr>
                    </wps:wsp>
                  </a:graphicData>
                </a:graphic>
              </wp:anchor>
            </w:drawing>
          </mc:Choice>
          <mc:Fallback>
            <w:pict>
              <v:shape id="_x0000_s1138" type="#_x0000_t202" style="position:absolute;margin-left:52.899999999999999pt;margin-top:138.25pt;width:50.649999999999999pt;height:47.300000000000004pt;z-index:-125829285;mso-wrap-distance-left:9.25pt;mso-wrap-distance-top:127.2pt;mso-wrap-distance-right:446.5pt;mso-wrap-distance-bottom:465.80000000000001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both"/>
                      </w:pPr>
                      <w:r>
                        <w:rPr>
                          <w:b/>
                          <w:bCs/>
                          <w:color w:val="FFFFFF"/>
                          <w:spacing w:val="0"/>
                          <w:w w:val="100"/>
                          <w:position w:val="0"/>
                        </w:rPr>
                        <w:t>未达到计划 进度或预计 收益的情况 和原因</w:t>
                      </w:r>
                    </w:p>
                  </w:txbxContent>
                </v:textbox>
                <w10:wrap type="topAndBottom" anchorx="page" anchory="margin"/>
              </v:shape>
            </w:pict>
          </mc:Fallback>
        </mc:AlternateContent>
      </w:r>
      <w:r>
        <mc:AlternateContent>
          <mc:Choice Requires="wps">
            <w:drawing>
              <wp:anchor distT="1703705" distB="5989320" distL="732790" distR="172720" simplePos="0" relativeHeight="125829470" behindDoc="0" locked="0" layoutInCell="1" allowOverlap="1">
                <wp:simplePos x="0" y="0"/>
                <wp:positionH relativeFrom="page">
                  <wp:posOffset>1287145</wp:posOffset>
                </wp:positionH>
                <wp:positionV relativeFrom="margin">
                  <wp:posOffset>1844040</wp:posOffset>
                </wp:positionV>
                <wp:extent cx="5525770" cy="438785"/>
                <wp:wrapTopAndBottom/>
                <wp:docPr id="114" name="Shape 114"/>
                <a:graphic xmlns:a="http://schemas.openxmlformats.org/drawingml/2006/main">
                  <a:graphicData uri="http://schemas.microsoft.com/office/word/2010/wordprocessingShape">
                    <wps:wsp>
                      <wps:cNvSpPr txBox="1"/>
                      <wps:spPr>
                        <a:xfrm>
                          <a:ext cx="5525770" cy="438785"/>
                        </a:xfrm>
                        <a:prstGeom prst="rect"/>
                        <a:noFill/>
                      </wps:spPr>
                      <wps:txbx>
                        <w:txbxContent>
                          <w:p>
                            <w:pPr>
                              <w:pStyle w:val="Style31"/>
                              <w:keepNext w:val="0"/>
                              <w:keepLines w:val="0"/>
                              <w:widowControl w:val="0"/>
                              <w:pBdr>
                                <w:bottom w:val="single" w:sz="4" w:space="0" w:color="auto"/>
                              </w:pBdr>
                              <w:shd w:val="clear" w:color="auto" w:fill="auto"/>
                              <w:bidi w:val="0"/>
                              <w:spacing w:before="0" w:after="0" w:line="23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：百邦快修加盟建设项目，在推进过程中，遇到了新冠疫情等不可抗力因素的影响，同时公司管理层和项 目负责人根据加盟业务的发展进度，主动调整了项目投入速度，夯实业务基础，避免超前投入和低效投入。因 此，截止目前，项目投入低于预计进度，项目效益尚未达到预期。</w:t>
                            </w:r>
                          </w:p>
                        </w:txbxContent>
                      </wps:txbx>
                      <wps:bodyPr lIns="0" tIns="0" rIns="0" bIns="0">
                        <a:noAutoFit/>
                      </wps:bodyPr>
                    </wps:wsp>
                  </a:graphicData>
                </a:graphic>
              </wp:anchor>
            </w:drawing>
          </mc:Choice>
          <mc:Fallback>
            <w:pict>
              <v:shape id="_x0000_s1140" type="#_x0000_t202" style="position:absolute;margin-left:101.35000000000001pt;margin-top:145.20000000000002pt;width:435.10000000000002pt;height:34.550000000000004pt;z-index:-125829283;mso-wrap-distance-left:57.700000000000003pt;mso-wrap-distance-top:134.15000000000001pt;mso-wrap-distance-right:13.6pt;mso-wrap-distance-bottom:471.60000000000002pt;mso-position-horizontal-relative:page;mso-position-vertical-relative:margin" filled="f" stroked="f">
                <v:textbox inset="0,0,0,0">
                  <w:txbxContent>
                    <w:p>
                      <w:pPr>
                        <w:pStyle w:val="Style31"/>
                        <w:keepNext w:val="0"/>
                        <w:keepLines w:val="0"/>
                        <w:widowControl w:val="0"/>
                        <w:pBdr>
                          <w:bottom w:val="single" w:sz="4" w:space="0" w:color="auto"/>
                        </w:pBdr>
                        <w:shd w:val="clear" w:color="auto" w:fill="auto"/>
                        <w:bidi w:val="0"/>
                        <w:spacing w:before="0" w:after="0" w:line="23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：百邦快修加盟建设项目，在推进过程中，遇到了新冠疫情等不可抗力因素的影响，同时公司管理层和项 目负责人根据加盟业务的发展进度，主动调整了项目投入速度，夯实业务基础，避免超前投入和低效投入。因 此，截止目前，项目投入低于预计进度，项目效益尚未达到预期。</w:t>
                      </w:r>
                    </w:p>
                  </w:txbxContent>
                </v:textbox>
                <w10:wrap type="topAndBottom" anchorx="page" anchory="margin"/>
              </v:shape>
            </w:pict>
          </mc:Fallback>
        </mc:AlternateContent>
      </w:r>
      <w:r>
        <mc:AlternateContent>
          <mc:Choice Requires="wps">
            <w:drawing>
              <wp:anchor distT="2270760" distB="4467860" distL="388620" distR="114300" simplePos="0" relativeHeight="125829472" behindDoc="0" locked="0" layoutInCell="1" allowOverlap="1">
                <wp:simplePos x="0" y="0"/>
                <wp:positionH relativeFrom="page">
                  <wp:posOffset>942975</wp:posOffset>
                </wp:positionH>
                <wp:positionV relativeFrom="margin">
                  <wp:posOffset>2411095</wp:posOffset>
                </wp:positionV>
                <wp:extent cx="5928360" cy="1393190"/>
                <wp:wrapTopAndBottom/>
                <wp:docPr id="116" name="Shape 116"/>
                <a:graphic xmlns:a="http://schemas.openxmlformats.org/drawingml/2006/main">
                  <a:graphicData uri="http://schemas.microsoft.com/office/word/2010/wordprocessingShape">
                    <wps:wsp>
                      <wps:cNvSpPr txBox="1"/>
                      <wps:spPr>
                        <a:xfrm>
                          <a:ext cx="5928360" cy="1393190"/>
                        </a:xfrm>
                        <a:prstGeom prst="rect"/>
                        <a:noFill/>
                      </wps:spPr>
                      <wps:txbx>
                        <w:txbxContent>
                          <w:p>
                            <w:pPr>
                              <w:pStyle w:val="Style31"/>
                              <w:keepNext w:val="0"/>
                              <w:keepLines w:val="0"/>
                              <w:widowControl w:val="0"/>
                              <w:shd w:val="clear" w:color="auto" w:fill="auto"/>
                              <w:tabs>
                                <w:tab w:pos="586" w:val="left"/>
                              </w:tabs>
                              <w:bidi w:val="0"/>
                              <w:spacing w:before="0" w:after="0" w:line="238" w:lineRule="exact"/>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集约化管理运营中心建设项目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年，目前公司面临的市场环境、行业政策、主要客 户变化情况已经发生了重大变化，该募投项目收益前景存在较大不确定性，出于谨慎性考虑，同时为了提高募 </w:t>
                            </w:r>
                            <w:r>
                              <w:rPr>
                                <w:rFonts w:ascii="Times New Roman" w:eastAsia="Times New Roman" w:hAnsi="Times New Roman" w:cs="Times New Roman"/>
                                <w:color w:val="AAAAAA"/>
                                <w:spacing w:val="0"/>
                                <w:w w:val="100"/>
                                <w:position w:val="0"/>
                                <w:sz w:val="18"/>
                                <w:szCs w:val="18"/>
                              </w:rPr>
                              <w:t>W.</w:t>
                              <w:tab/>
                            </w:r>
                            <w:r>
                              <w:rPr>
                                <w:color w:val="000000"/>
                                <w:spacing w:val="0"/>
                                <w:w w:val="100"/>
                                <w:position w:val="0"/>
                              </w:rPr>
                              <w:t>集资金使用效率，公司董事会决定终止原募投项目，并将其变更为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百邦快修加盟建设项目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40" w:line="240" w:lineRule="exact"/>
                              <w:ind w:left="56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闪电蜂电子商务平台优化项目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年，目前公司面临的市场环境已经发生了重大变 化，公司经营战略也做了相应调整，继续在该募投项目上投入难以获得相应的收益。出于谨慎性考虑，同时为 了提高募集资金使用效率，公司董事会决定终止该募投项目，并将其变更为永久补充流动资金。</w:t>
                            </w:r>
                          </w:p>
                          <w:p>
                            <w:pPr>
                              <w:pStyle w:val="Style31"/>
                              <w:keepNext w:val="0"/>
                              <w:keepLines w:val="0"/>
                              <w:widowControl w:val="0"/>
                              <w:pBdr>
                                <w:bottom w:val="single" w:sz="4" w:space="0" w:color="auto"/>
                              </w:pBdr>
                              <w:shd w:val="clear" w:color="auto" w:fill="auto"/>
                              <w:bidi w:val="0"/>
                              <w:spacing w:before="0" w:after="0" w:line="238" w:lineRule="exact"/>
                              <w:ind w:left="56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信息化系统改扩建项目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年市场和公司经营情况做出的信息系统建设规划，相关设备、技术投 入已经不能适用于当前的信息化建设需求。为了提高募集资金使用效率，灵活应对公司信息化建设需求的变化, 公司董事会决定终止该募投项目，并将其变更为永久补充流动资金。</w:t>
                            </w:r>
                          </w:p>
                        </w:txbxContent>
                      </wps:txbx>
                      <wps:bodyPr lIns="0" tIns="0" rIns="0" bIns="0">
                        <a:noAutoFit/>
                      </wps:bodyPr>
                    </wps:wsp>
                  </a:graphicData>
                </a:graphic>
              </wp:anchor>
            </w:drawing>
          </mc:Choice>
          <mc:Fallback>
            <w:pict>
              <v:shape id="_x0000_s1142" type="#_x0000_t202" style="position:absolute;margin-left:74.25pt;margin-top:189.84999999999999pt;width:466.80000000000001pt;height:109.7pt;z-index:-125829281;mso-wrap-distance-left:30.600000000000001pt;mso-wrap-distance-top:178.80000000000001pt;mso-wrap-distance-right:9.pt;mso-wrap-distance-bottom:351.80000000000001pt;mso-position-horizontal-relative:page;mso-position-vertical-relative:margin" filled="f" stroked="f">
                <v:textbox inset="0,0,0,0">
                  <w:txbxContent>
                    <w:p>
                      <w:pPr>
                        <w:pStyle w:val="Style31"/>
                        <w:keepNext w:val="0"/>
                        <w:keepLines w:val="0"/>
                        <w:widowControl w:val="0"/>
                        <w:shd w:val="clear" w:color="auto" w:fill="auto"/>
                        <w:tabs>
                          <w:tab w:pos="586" w:val="left"/>
                        </w:tabs>
                        <w:bidi w:val="0"/>
                        <w:spacing w:before="0" w:after="0" w:line="238" w:lineRule="exact"/>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集约化管理运营中心建设项目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年，目前公司面临的市场环境、行业政策、主要客 户变化情况已经发生了重大变化，该募投项目收益前景存在较大不确定性，出于谨慎性考虑，同时为了提高募 </w:t>
                      </w:r>
                      <w:r>
                        <w:rPr>
                          <w:rFonts w:ascii="Times New Roman" w:eastAsia="Times New Roman" w:hAnsi="Times New Roman" w:cs="Times New Roman"/>
                          <w:color w:val="AAAAAA"/>
                          <w:spacing w:val="0"/>
                          <w:w w:val="100"/>
                          <w:position w:val="0"/>
                          <w:sz w:val="18"/>
                          <w:szCs w:val="18"/>
                        </w:rPr>
                        <w:t>W.</w:t>
                        <w:tab/>
                      </w:r>
                      <w:r>
                        <w:rPr>
                          <w:color w:val="000000"/>
                          <w:spacing w:val="0"/>
                          <w:w w:val="100"/>
                          <w:position w:val="0"/>
                        </w:rPr>
                        <w:t>集资金使用效率，公司董事会决定终止原募投项目，并将其变更为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百邦快修加盟建设项目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40" w:line="240" w:lineRule="exact"/>
                        <w:ind w:left="56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闪电蜂电子商务平台优化项目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年，目前公司面临的市场环境已经发生了重大变 化，公司经营战略也做了相应调整，继续在该募投项目上投入难以获得相应的收益。出于谨慎性考虑，同时为 了提高募集资金使用效率，公司董事会决定终止该募投项目，并将其变更为永久补充流动资金。</w:t>
                      </w:r>
                    </w:p>
                    <w:p>
                      <w:pPr>
                        <w:pStyle w:val="Style31"/>
                        <w:keepNext w:val="0"/>
                        <w:keepLines w:val="0"/>
                        <w:widowControl w:val="0"/>
                        <w:pBdr>
                          <w:bottom w:val="single" w:sz="4" w:space="0" w:color="auto"/>
                        </w:pBdr>
                        <w:shd w:val="clear" w:color="auto" w:fill="auto"/>
                        <w:bidi w:val="0"/>
                        <w:spacing w:before="0" w:after="0" w:line="238" w:lineRule="exact"/>
                        <w:ind w:left="56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信息化系统改扩建项目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年市场和公司经营情况做出的信息系统建设规划，相关设备、技术投 入已经不能适用于当前的信息化建设需求。为了提高募集资金使用效率，灵活应对公司信息化建设需求的变化, 公司董事会决定终止该募投项目，并将其变更为永久补充流动资金。</w:t>
                      </w:r>
                    </w:p>
                  </w:txbxContent>
                </v:textbox>
                <w10:wrap type="topAndBottom" anchorx="page" anchory="margin"/>
              </v:shape>
            </w:pict>
          </mc:Fallback>
        </mc:AlternateContent>
      </w:r>
      <w:r>
        <mc:AlternateContent>
          <mc:Choice Requires="wps">
            <w:drawing>
              <wp:anchor distT="2648585" distB="4873625" distL="117475" distR="5615940" simplePos="0" relativeHeight="125829474" behindDoc="0" locked="0" layoutInCell="1" allowOverlap="1">
                <wp:simplePos x="0" y="0"/>
                <wp:positionH relativeFrom="page">
                  <wp:posOffset>671830</wp:posOffset>
                </wp:positionH>
                <wp:positionV relativeFrom="margin">
                  <wp:posOffset>2788920</wp:posOffset>
                </wp:positionV>
                <wp:extent cx="697865" cy="609600"/>
                <wp:wrapTopAndBottom/>
                <wp:docPr id="118" name="Shape 118"/>
                <a:graphic xmlns:a="http://schemas.openxmlformats.org/drawingml/2006/main">
                  <a:graphicData uri="http://schemas.microsoft.com/office/word/2010/wordprocessingShape">
                    <wps:wsp>
                      <wps:cNvSpPr txBox="1"/>
                      <wps:spPr>
                        <a:xfrm>
                          <a:ext cx="697865" cy="6096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项目可行.， 发生重大变</w:t>
                            </w:r>
                            <w:r>
                              <w:rPr>
                                <w:b/>
                                <w:bCs/>
                                <w:color w:val="000000"/>
                                <w:spacing w:val="0"/>
                                <w:w w:val="100"/>
                                <w:position w:val="0"/>
                              </w:rPr>
                              <w:t xml:space="preserve">| </w:t>
                            </w:r>
                            <w:r>
                              <w:rPr>
                                <w:b/>
                                <w:bCs/>
                                <w:color w:val="FFFFFF"/>
                                <w:spacing w:val="0"/>
                                <w:w w:val="100"/>
                                <w:position w:val="0"/>
                              </w:rPr>
                              <w:t>化的情况说 明</w:t>
                            </w:r>
                          </w:p>
                        </w:txbxContent>
                      </wps:txbx>
                      <wps:bodyPr lIns="0" tIns="0" rIns="0" bIns="0">
                        <a:noAutoFit/>
                      </wps:bodyPr>
                    </wps:wsp>
                  </a:graphicData>
                </a:graphic>
              </wp:anchor>
            </w:drawing>
          </mc:Choice>
          <mc:Fallback>
            <w:pict>
              <v:shape id="_x0000_s1144" type="#_x0000_t202" style="position:absolute;margin-left:52.899999999999999pt;margin-top:219.59999999999999pt;width:54.950000000000003pt;height:48.pt;z-index:-125829279;mso-wrap-distance-left:9.25pt;mso-wrap-distance-top:208.55000000000001pt;mso-wrap-distance-right:442.19999999999999pt;mso-wrap-distance-bottom:383.7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项目可行.， 发生重大变</w:t>
                      </w:r>
                      <w:r>
                        <w:rPr>
                          <w:b/>
                          <w:bCs/>
                          <w:color w:val="000000"/>
                          <w:spacing w:val="0"/>
                          <w:w w:val="100"/>
                          <w:position w:val="0"/>
                        </w:rPr>
                        <w:t xml:space="preserve">| </w:t>
                      </w:r>
                      <w:r>
                        <w:rPr>
                          <w:b/>
                          <w:bCs/>
                          <w:color w:val="FFFFFF"/>
                          <w:spacing w:val="0"/>
                          <w:w w:val="100"/>
                          <w:position w:val="0"/>
                        </w:rPr>
                        <w:t>化的情况说 明</w:t>
                      </w:r>
                    </w:p>
                  </w:txbxContent>
                </v:textbox>
                <w10:wrap type="topAndBottom" anchorx="page" anchory="margin"/>
              </v:shape>
            </w:pict>
          </mc:Fallback>
        </mc:AlternateContent>
      </w:r>
      <w:r>
        <w:drawing>
          <wp:anchor distT="3108960" distB="4443730" distL="403860" distR="5680075" simplePos="0" relativeHeight="125829476" behindDoc="0" locked="0" layoutInCell="1" allowOverlap="1">
            <wp:simplePos x="0" y="0"/>
            <wp:positionH relativeFrom="page">
              <wp:posOffset>958215</wp:posOffset>
            </wp:positionH>
            <wp:positionV relativeFrom="margin">
              <wp:posOffset>3249295</wp:posOffset>
            </wp:positionV>
            <wp:extent cx="347345" cy="579120"/>
            <wp:wrapTopAndBottom/>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17"/>
                    <a:stretch/>
                  </pic:blipFill>
                  <pic:spPr>
                    <a:xfrm>
                      <a:ext cx="347345" cy="579120"/>
                    </a:xfrm>
                    <a:prstGeom prst="rect"/>
                  </pic:spPr>
                </pic:pic>
              </a:graphicData>
            </a:graphic>
          </wp:anchor>
        </w:drawing>
      </w:r>
      <w:r>
        <mc:AlternateContent>
          <mc:Choice Requires="wps">
            <w:drawing>
              <wp:anchor distT="3691255" distB="3837305" distL="114300" distR="5658485" simplePos="0" relativeHeight="125829477" behindDoc="0" locked="0" layoutInCell="1" allowOverlap="1">
                <wp:simplePos x="0" y="0"/>
                <wp:positionH relativeFrom="page">
                  <wp:posOffset>668655</wp:posOffset>
                </wp:positionH>
                <wp:positionV relativeFrom="margin">
                  <wp:posOffset>3831590</wp:posOffset>
                </wp:positionV>
                <wp:extent cx="658495" cy="603250"/>
                <wp:wrapTopAndBottom/>
                <wp:docPr id="122" name="Shape 122"/>
                <a:graphic xmlns:a="http://schemas.openxmlformats.org/drawingml/2006/main">
                  <a:graphicData uri="http://schemas.microsoft.com/office/word/2010/wordprocessingShape">
                    <wps:wsp>
                      <wps:cNvSpPr txBox="1"/>
                      <wps:spPr>
                        <a:xfrm>
                          <a:ext cx="658495" cy="6032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left"/>
                            </w:pPr>
                            <w:r>
                              <w:rPr>
                                <w:b/>
                                <w:bCs/>
                                <w:color w:val="FFFFFF"/>
                                <w:spacing w:val="0"/>
                                <w:w w:val="100"/>
                                <w:position w:val="0"/>
                              </w:rPr>
                              <w:t>超募资金的| 金额 及使用进展 情况</w:t>
                            </w:r>
                          </w:p>
                        </w:txbxContent>
                      </wps:txbx>
                      <wps:bodyPr lIns="0" tIns="0" rIns="0" bIns="0">
                        <a:noAutoFit/>
                      </wps:bodyPr>
                    </wps:wsp>
                  </a:graphicData>
                </a:graphic>
              </wp:anchor>
            </w:drawing>
          </mc:Choice>
          <mc:Fallback>
            <w:pict>
              <v:shape id="_x0000_s1148" type="#_x0000_t202" style="position:absolute;margin-left:52.649999999999999pt;margin-top:301.69999999999999pt;width:51.850000000000001pt;height:47.5pt;z-index:-125829276;mso-wrap-distance-left:9.pt;mso-wrap-distance-top:290.65000000000003pt;mso-wrap-distance-right:445.55000000000001pt;mso-wrap-distance-bottom:302.15000000000003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left"/>
                      </w:pPr>
                      <w:r>
                        <w:rPr>
                          <w:b/>
                          <w:bCs/>
                          <w:color w:val="FFFFFF"/>
                          <w:spacing w:val="0"/>
                          <w:w w:val="100"/>
                          <w:position w:val="0"/>
                        </w:rPr>
                        <w:t>超募资金的| 金额 及使用进展 情况</w:t>
                      </w:r>
                    </w:p>
                  </w:txbxContent>
                </v:textbox>
                <w10:wrap type="topAndBottom" anchorx="page" anchory="margin"/>
              </v:shape>
            </w:pict>
          </mc:Fallback>
        </mc:AlternateContent>
      </w:r>
      <w:r>
        <mc:AlternateContent>
          <mc:Choice Requires="wps">
            <w:drawing>
              <wp:anchor distT="3831590" distB="4129405" distL="382270" distR="5664835" simplePos="0" relativeHeight="125829479" behindDoc="0" locked="0" layoutInCell="1" allowOverlap="1">
                <wp:simplePos x="0" y="0"/>
                <wp:positionH relativeFrom="page">
                  <wp:posOffset>936625</wp:posOffset>
                </wp:positionH>
                <wp:positionV relativeFrom="margin">
                  <wp:posOffset>3971925</wp:posOffset>
                </wp:positionV>
                <wp:extent cx="384175" cy="170815"/>
                <wp:wrapTopAndBottom/>
                <wp:docPr id="124" name="Shape 124"/>
                <a:graphic xmlns:a="http://schemas.openxmlformats.org/drawingml/2006/main">
                  <a:graphicData uri="http://schemas.microsoft.com/office/word/2010/wordprocessingShape">
                    <wps:wsp>
                      <wps:cNvSpPr txBox="1"/>
                      <wps:spPr>
                        <a:xfrm>
                          <a:ext cx="384175" cy="1708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b/>
                                <w:bCs/>
                                <w:color w:val="EBEBEB"/>
                                <w:spacing w:val="0"/>
                                <w:w w:val="100"/>
                                <w:position w:val="0"/>
                              </w:rPr>
                              <w:t>、用途</w:t>
                            </w:r>
                          </w:p>
                        </w:txbxContent>
                      </wps:txbx>
                      <wps:bodyPr wrap="none" lIns="0" tIns="0" rIns="0" bIns="0">
                        <a:noAutoFit/>
                      </wps:bodyPr>
                    </wps:wsp>
                  </a:graphicData>
                </a:graphic>
              </wp:anchor>
            </w:drawing>
          </mc:Choice>
          <mc:Fallback>
            <w:pict>
              <v:shape id="_x0000_s1150" type="#_x0000_t202" style="position:absolute;margin-left:73.75pt;margin-top:312.75pt;width:30.25pt;height:13.450000000000001pt;z-index:-125829274;mso-wrap-distance-left:30.100000000000001pt;mso-wrap-distance-top:301.69999999999999pt;mso-wrap-distance-right:446.05000000000001pt;mso-wrap-distance-bottom:325.15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b/>
                          <w:bCs/>
                          <w:color w:val="EBEBEB"/>
                          <w:spacing w:val="0"/>
                          <w:w w:val="100"/>
                          <w:position w:val="0"/>
                        </w:rPr>
                        <w:t>、用途</w:t>
                      </w:r>
                    </w:p>
                  </w:txbxContent>
                </v:textbox>
                <w10:wrap type="topAndBottom" anchorx="page" anchory="margin"/>
              </v:shape>
            </w:pict>
          </mc:Fallback>
        </mc:AlternateContent>
      </w:r>
      <w:r>
        <mc:AlternateContent>
          <mc:Choice Requires="wps">
            <w:drawing>
              <wp:anchor distT="3916680" distB="4069080" distL="735965" distR="5329555" simplePos="0" relativeHeight="125829481" behindDoc="0" locked="0" layoutInCell="1" allowOverlap="1">
                <wp:simplePos x="0" y="0"/>
                <wp:positionH relativeFrom="page">
                  <wp:posOffset>1290320</wp:posOffset>
                </wp:positionH>
                <wp:positionV relativeFrom="margin">
                  <wp:posOffset>4057015</wp:posOffset>
                </wp:positionV>
                <wp:extent cx="365760" cy="146050"/>
                <wp:wrapTopAndBottom/>
                <wp:docPr id="126" name="Shape 126"/>
                <a:graphic xmlns:a="http://schemas.openxmlformats.org/drawingml/2006/main">
                  <a:graphicData uri="http://schemas.microsoft.com/office/word/2010/wordprocessingShape">
                    <wps:wsp>
                      <wps:cNvSpPr txBox="1"/>
                      <wps:spPr>
                        <a:xfrm>
                          <a:ext cx="365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152" type="#_x0000_t202" style="position:absolute;margin-left:101.60000000000001pt;margin-top:319.44999999999999pt;width:28.800000000000001pt;height:11.5pt;z-index:-125829272;mso-wrap-distance-left:57.950000000000003pt;mso-wrap-distance-top:308.40000000000003pt;mso-wrap-distance-right:419.65000000000003pt;mso-wrap-distance-bottom:320.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anchory="margin"/>
              </v:shape>
            </w:pict>
          </mc:Fallback>
        </mc:AlternateContent>
      </w:r>
      <w:r>
        <mc:AlternateContent>
          <mc:Choice Requires="wps">
            <w:drawing>
              <wp:anchor distT="4483735" distB="3194050" distL="117475" distR="5670550" simplePos="0" relativeHeight="125829483" behindDoc="0" locked="0" layoutInCell="1" allowOverlap="1">
                <wp:simplePos x="0" y="0"/>
                <wp:positionH relativeFrom="page">
                  <wp:posOffset>671830</wp:posOffset>
                </wp:positionH>
                <wp:positionV relativeFrom="margin">
                  <wp:posOffset>4624070</wp:posOffset>
                </wp:positionV>
                <wp:extent cx="643255" cy="454025"/>
                <wp:wrapTopAndBottom/>
                <wp:docPr id="128" name="Shape 128"/>
                <a:graphic xmlns:a="http://schemas.openxmlformats.org/drawingml/2006/main">
                  <a:graphicData uri="http://schemas.microsoft.com/office/word/2010/wordprocessingShape">
                    <wps:wsp>
                      <wps:cNvSpPr txBox="1"/>
                      <wps:spPr>
                        <a:xfrm>
                          <a:ext cx="643255"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资项目实施 地点变更情 况</w:t>
                            </w:r>
                          </w:p>
                        </w:txbxContent>
                      </wps:txbx>
                      <wps:bodyPr lIns="0" tIns="0" rIns="0" bIns="0">
                        <a:noAutoFit/>
                      </wps:bodyPr>
                    </wps:wsp>
                  </a:graphicData>
                </a:graphic>
              </wp:anchor>
            </w:drawing>
          </mc:Choice>
          <mc:Fallback>
            <w:pict>
              <v:shape id="_x0000_s1154" type="#_x0000_t202" style="position:absolute;margin-left:52.899999999999999pt;margin-top:364.10000000000002pt;width:50.649999999999999pt;height:35.75pt;z-index:-125829270;mso-wrap-distance-left:9.25pt;mso-wrap-distance-top:353.05000000000001pt;mso-wrap-distance-right:446.5pt;mso-wrap-distance-bottom:251.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资项目实施 地点变更情 况</w:t>
                      </w:r>
                    </w:p>
                  </w:txbxContent>
                </v:textbox>
                <w10:wrap type="topAndBottom" anchorx="page" anchory="margin"/>
              </v:shape>
            </w:pict>
          </mc:Fallback>
        </mc:AlternateContent>
      </w:r>
      <w:r>
        <mc:AlternateContent>
          <mc:Choice Requires="wps">
            <w:drawing>
              <wp:anchor distT="4568825" distB="3416935" distL="751205" distR="5329555" simplePos="0" relativeHeight="125829485" behindDoc="0" locked="0" layoutInCell="1" allowOverlap="1">
                <wp:simplePos x="0" y="0"/>
                <wp:positionH relativeFrom="page">
                  <wp:posOffset>1305560</wp:posOffset>
                </wp:positionH>
                <wp:positionV relativeFrom="margin">
                  <wp:posOffset>4709160</wp:posOffset>
                </wp:positionV>
                <wp:extent cx="350520" cy="146050"/>
                <wp:wrapTopAndBottom/>
                <wp:docPr id="130" name="Shape 130"/>
                <a:graphic xmlns:a="http://schemas.openxmlformats.org/drawingml/2006/main">
                  <a:graphicData uri="http://schemas.microsoft.com/office/word/2010/wordprocessingShape">
                    <wps:wsp>
                      <wps:cNvSpPr txBox="1"/>
                      <wps:spPr>
                        <a:xfrm>
                          <a:ext cx="35052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156" type="#_x0000_t202" style="position:absolute;margin-left:102.8pt;margin-top:370.80000000000001pt;width:27.600000000000001pt;height:11.5pt;z-index:-125829268;mso-wrap-distance-left:59.149999999999999pt;mso-wrap-distance-top:359.75pt;mso-wrap-distance-right:419.65000000000003pt;mso-wrap-distance-bottom:269.05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anchory="margin"/>
              </v:shape>
            </w:pict>
          </mc:Fallback>
        </mc:AlternateContent>
      </w:r>
      <w:r>
        <w:drawing>
          <wp:anchor distT="5005070" distB="2227580" distL="120650" distR="5630545" simplePos="0" relativeHeight="125829487" behindDoc="0" locked="0" layoutInCell="1" allowOverlap="1">
            <wp:simplePos x="0" y="0"/>
            <wp:positionH relativeFrom="page">
              <wp:posOffset>675005</wp:posOffset>
            </wp:positionH>
            <wp:positionV relativeFrom="margin">
              <wp:posOffset>5145405</wp:posOffset>
            </wp:positionV>
            <wp:extent cx="682625" cy="902335"/>
            <wp:wrapTopAndBottom/>
            <wp:docPr id="132" name="Shape 132"/>
            <a:graphic xmlns:a="http://schemas.openxmlformats.org/drawingml/2006/main">
              <a:graphicData uri="http://schemas.openxmlformats.org/drawingml/2006/picture">
                <pic:pic xmlns:pic="http://schemas.openxmlformats.org/drawingml/2006/picture">
                  <pic:nvPicPr>
                    <pic:cNvPr id="133" name="Picture box 133"/>
                    <pic:cNvPicPr/>
                  </pic:nvPicPr>
                  <pic:blipFill>
                    <a:blip r:embed="rId19"/>
                    <a:stretch/>
                  </pic:blipFill>
                  <pic:spPr>
                    <a:xfrm>
                      <a:ext cx="682625" cy="9023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1287780</wp:posOffset>
                </wp:positionH>
                <wp:positionV relativeFrom="margin">
                  <wp:posOffset>5358765</wp:posOffset>
                </wp:positionV>
                <wp:extent cx="368935" cy="146050"/>
                <wp:wrapNone/>
                <wp:docPr id="134" name="Shape 134"/>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lIns="0" tIns="0" rIns="0" bIns="0">
                        <a:noAutoFit/>
                      </wps:bodyPr>
                    </wps:wsp>
                  </a:graphicData>
                </a:graphic>
              </wp:anchor>
            </w:drawing>
          </mc:Choice>
          <mc:Fallback>
            <w:pict>
              <v:shape id="_x0000_s1160" type="#_x0000_t202" style="position:absolute;margin-left:101.40000000000001pt;margin-top:421.94999999999999pt;width:29.050000000000001pt;height:11.5pt;z-index:251657729;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anchorx="page" anchory="margin"/>
              </v:shape>
            </w:pict>
          </mc:Fallback>
        </mc:AlternateContent>
      </w:r>
      <w:r>
        <mc:AlternateContent>
          <mc:Choice Requires="wps">
            <w:drawing>
              <wp:anchor distT="5632450" distB="1597025" distL="400685" distR="169545" simplePos="0" relativeHeight="125829488" behindDoc="0" locked="0" layoutInCell="1" allowOverlap="1">
                <wp:simplePos x="0" y="0"/>
                <wp:positionH relativeFrom="page">
                  <wp:posOffset>955040</wp:posOffset>
                </wp:positionH>
                <wp:positionV relativeFrom="margin">
                  <wp:posOffset>5772785</wp:posOffset>
                </wp:positionV>
                <wp:extent cx="5861050" cy="902335"/>
                <wp:wrapTopAndBottom/>
                <wp:docPr id="136" name="Shape 136"/>
                <a:graphic xmlns:a="http://schemas.openxmlformats.org/drawingml/2006/main">
                  <a:graphicData uri="http://schemas.microsoft.com/office/word/2010/wordprocessingShape">
                    <wps:wsp>
                      <wps:cNvSpPr txBox="1"/>
                      <wps:spPr>
                        <a:xfrm>
                          <a:ext cx="5861050" cy="902335"/>
                        </a:xfrm>
                        <a:prstGeom prst="rect"/>
                        <a:noFill/>
                      </wps:spPr>
                      <wps:txbx>
                        <w:txbxContent>
                          <w:p>
                            <w:pPr>
                              <w:pStyle w:val="Style31"/>
                              <w:keepNext w:val="0"/>
                              <w:keepLines w:val="0"/>
                              <w:widowControl w:val="0"/>
                              <w:shd w:val="clear" w:color="auto" w:fill="auto"/>
                              <w:bidi w:val="0"/>
                              <w:spacing w:before="0" w:after="0" w:line="234" w:lineRule="exact"/>
                              <w:ind w:left="0" w:right="0" w:firstLine="620"/>
                              <w:jc w:val="both"/>
                            </w:pP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日，公司召开第二届董事会第二十一次会议和第二届监事会第十三次会议，审议通过了《关于 </w:t>
                            </w:r>
                            <w:r>
                              <w:rPr>
                                <w:b/>
                                <w:bCs/>
                                <w:color w:val="AAAAAA"/>
                                <w:spacing w:val="0"/>
                                <w:w w:val="100"/>
                                <w:position w:val="0"/>
                              </w:rPr>
                              <w:t>嚣</w:t>
                            </w:r>
                            <w:r>
                              <w:rPr>
                                <w:b/>
                                <w:bCs/>
                                <w:color w:val="EBEBEB"/>
                                <w:spacing w:val="0"/>
                                <w:w w:val="100"/>
                                <w:position w:val="0"/>
                              </w:rPr>
                              <w:t>金投</w:t>
                            </w:r>
                            <w:r>
                              <w:rPr>
                                <w:color w:val="000000"/>
                                <w:spacing w:val="0"/>
                                <w:w w:val="100"/>
                                <w:position w:val="0"/>
                              </w:rPr>
                              <w:t>使用募集资金置换先期投入自有资金的议案》，同意公司以募集资金置换已预先投入募集资金投资项目的自筹 资金人民币</w:t>
                            </w:r>
                            <w:r>
                              <w:rPr>
                                <w:rFonts w:ascii="Times New Roman" w:eastAsia="Times New Roman" w:hAnsi="Times New Roman" w:cs="Times New Roman"/>
                                <w:color w:val="000000"/>
                                <w:spacing w:val="0"/>
                                <w:w w:val="100"/>
                                <w:position w:val="0"/>
                                <w:sz w:val="18"/>
                                <w:szCs w:val="18"/>
                              </w:rPr>
                              <w:t>11,151,698.36</w:t>
                            </w:r>
                            <w:r>
                              <w:rPr>
                                <w:color w:val="000000"/>
                                <w:spacing w:val="0"/>
                                <w:w w:val="100"/>
                                <w:position w:val="0"/>
                              </w:rPr>
                              <w:t>元。普华永道中天会计师事务所(特殊普通合伙)对公司以募集资金置换预先已投入 自筹资金情况进行了专项审核，并出具普华永道中天特审字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rPr>
                              <w:t>号《北京百华悦邦科技股份有限公司 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日止以自筹资金预先投入募集资金投资项目情况报告及鉴证报告》。公司独立董事、保荐 机构均对该事项发表了同意的意见。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日，上述累计支出已经置换入自有资金账户。</w:t>
                            </w:r>
                          </w:p>
                        </w:txbxContent>
                      </wps:txbx>
                      <wps:bodyPr lIns="0" tIns="0" rIns="0" bIns="0">
                        <a:noAutoFit/>
                      </wps:bodyPr>
                    </wps:wsp>
                  </a:graphicData>
                </a:graphic>
              </wp:anchor>
            </w:drawing>
          </mc:Choice>
          <mc:Fallback>
            <w:pict>
              <v:shape id="_x0000_s1162" type="#_x0000_t202" style="position:absolute;margin-left:75.200000000000003pt;margin-top:454.55000000000001pt;width:461.5pt;height:71.049999999999997pt;z-index:-125829265;mso-wrap-distance-left:31.550000000000001pt;mso-wrap-distance-top:443.5pt;mso-wrap-distance-right:13.35pt;mso-wrap-distance-bottom:125.7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34" w:lineRule="exact"/>
                        <w:ind w:left="0" w:right="0" w:firstLine="620"/>
                        <w:jc w:val="both"/>
                      </w:pP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日，公司召开第二届董事会第二十一次会议和第二届监事会第十三次会议，审议通过了《关于 </w:t>
                      </w:r>
                      <w:r>
                        <w:rPr>
                          <w:b/>
                          <w:bCs/>
                          <w:color w:val="AAAAAA"/>
                          <w:spacing w:val="0"/>
                          <w:w w:val="100"/>
                          <w:position w:val="0"/>
                        </w:rPr>
                        <w:t>嚣</w:t>
                      </w:r>
                      <w:r>
                        <w:rPr>
                          <w:b/>
                          <w:bCs/>
                          <w:color w:val="EBEBEB"/>
                          <w:spacing w:val="0"/>
                          <w:w w:val="100"/>
                          <w:position w:val="0"/>
                        </w:rPr>
                        <w:t>金投</w:t>
                      </w:r>
                      <w:r>
                        <w:rPr>
                          <w:color w:val="000000"/>
                          <w:spacing w:val="0"/>
                          <w:w w:val="100"/>
                          <w:position w:val="0"/>
                        </w:rPr>
                        <w:t>使用募集资金置换先期投入自有资金的议案》，同意公司以募集资金置换已预先投入募集资金投资项目的自筹 资金人民币</w:t>
                      </w:r>
                      <w:r>
                        <w:rPr>
                          <w:rFonts w:ascii="Times New Roman" w:eastAsia="Times New Roman" w:hAnsi="Times New Roman" w:cs="Times New Roman"/>
                          <w:color w:val="000000"/>
                          <w:spacing w:val="0"/>
                          <w:w w:val="100"/>
                          <w:position w:val="0"/>
                          <w:sz w:val="18"/>
                          <w:szCs w:val="18"/>
                        </w:rPr>
                        <w:t>11,151,698.36</w:t>
                      </w:r>
                      <w:r>
                        <w:rPr>
                          <w:color w:val="000000"/>
                          <w:spacing w:val="0"/>
                          <w:w w:val="100"/>
                          <w:position w:val="0"/>
                        </w:rPr>
                        <w:t>元。普华永道中天会计师事务所(特殊普通合伙)对公司以募集资金置换预先已投入 自筹资金情况进行了专项审核，并出具普华永道中天特审字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rPr>
                        <w:t>号《北京百华悦邦科技股份有限公司 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日止以自筹资金预先投入募集资金投资项目情况报告及鉴证报告》。公司独立董事、保荐 机构均对该事项发表了同意的意见。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日，上述累计支出已经置换入自有资金账户。</w:t>
                      </w:r>
                    </w:p>
                  </w:txbxContent>
                </v:textbox>
                <w10:wrap type="topAndBottom" anchorx="page" anchory="margin"/>
              </v:shape>
            </w:pict>
          </mc:Fallback>
        </mc:AlternateContent>
      </w:r>
      <w:r>
        <mc:AlternateContent>
          <mc:Choice Requires="wps">
            <w:drawing>
              <wp:anchor distT="5919470" distB="1743075" distL="117475" distR="5670550" simplePos="0" relativeHeight="125829490" behindDoc="0" locked="0" layoutInCell="1" allowOverlap="1">
                <wp:simplePos x="0" y="0"/>
                <wp:positionH relativeFrom="page">
                  <wp:posOffset>671830</wp:posOffset>
                </wp:positionH>
                <wp:positionV relativeFrom="margin">
                  <wp:posOffset>6059805</wp:posOffset>
                </wp:positionV>
                <wp:extent cx="643255" cy="469265"/>
                <wp:wrapTopAndBottom/>
                <wp:docPr id="138" name="Shape 138"/>
                <a:graphic xmlns:a="http://schemas.openxmlformats.org/drawingml/2006/main">
                  <a:graphicData uri="http://schemas.microsoft.com/office/word/2010/wordprocessingShape">
                    <wps:wsp>
                      <wps:cNvSpPr txBox="1"/>
                      <wps:spPr>
                        <a:xfrm>
                          <a:ext cx="643255" cy="46926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资项目先期 投入及置换 情况</w:t>
                            </w:r>
                          </w:p>
                        </w:txbxContent>
                      </wps:txbx>
                      <wps:bodyPr lIns="0" tIns="0" rIns="0" bIns="0">
                        <a:noAutoFit/>
                      </wps:bodyPr>
                    </wps:wsp>
                  </a:graphicData>
                </a:graphic>
              </wp:anchor>
            </w:drawing>
          </mc:Choice>
          <mc:Fallback>
            <w:pict>
              <v:shape id="_x0000_s1164" type="#_x0000_t202" style="position:absolute;margin-left:52.899999999999999pt;margin-top:477.15000000000003pt;width:50.649999999999999pt;height:36.950000000000003pt;z-index:-125829263;mso-wrap-distance-left:9.25pt;mso-wrap-distance-top:466.10000000000002pt;mso-wrap-distance-right:446.5pt;mso-wrap-distance-bottom:137.2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资项目先期 投入及置换 情况</w:t>
                      </w:r>
                    </w:p>
                  </w:txbxContent>
                </v:textbox>
                <w10:wrap type="topAndBottom" anchorx="page" anchory="margin"/>
              </v:shape>
            </w:pict>
          </mc:Fallback>
        </mc:AlternateContent>
      </w:r>
      <w:r>
        <mc:AlternateContent>
          <mc:Choice Requires="wps">
            <w:drawing>
              <wp:anchor distT="6732905" distB="795655" distL="117475" distR="5667375" simplePos="0" relativeHeight="125829492" behindDoc="0" locked="0" layoutInCell="1" allowOverlap="1">
                <wp:simplePos x="0" y="0"/>
                <wp:positionH relativeFrom="page">
                  <wp:posOffset>671830</wp:posOffset>
                </wp:positionH>
                <wp:positionV relativeFrom="margin">
                  <wp:posOffset>6873240</wp:posOffset>
                </wp:positionV>
                <wp:extent cx="646430" cy="603250"/>
                <wp:wrapTopAndBottom/>
                <wp:docPr id="140" name="Shape 140"/>
                <a:graphic xmlns:a="http://schemas.openxmlformats.org/drawingml/2006/main">
                  <a:graphicData uri="http://schemas.microsoft.com/office/word/2010/wordprocessingShape">
                    <wps:wsp>
                      <wps:cNvSpPr txBox="1"/>
                      <wps:spPr>
                        <a:xfrm>
                          <a:ext cx="646430" cy="6032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both"/>
                            </w:pPr>
                            <w:r>
                              <w:rPr>
                                <w:b/>
                                <w:bCs/>
                                <w:color w:val="FFFFFF"/>
                                <w:spacing w:val="0"/>
                                <w:w w:val="100"/>
                                <w:position w:val="0"/>
                              </w:rPr>
                              <w:t>用闲置募集 资金暂时补 充流动资金 情况</w:t>
                            </w:r>
                          </w:p>
                        </w:txbxContent>
                      </wps:txbx>
                      <wps:bodyPr lIns="0" tIns="0" rIns="0" bIns="0">
                        <a:noAutoFit/>
                      </wps:bodyPr>
                    </wps:wsp>
                  </a:graphicData>
                </a:graphic>
              </wp:anchor>
            </w:drawing>
          </mc:Choice>
          <mc:Fallback>
            <w:pict>
              <v:shape id="_x0000_s1166" type="#_x0000_t202" style="position:absolute;margin-left:52.899999999999999pt;margin-top:541.20000000000005pt;width:50.899999999999999pt;height:47.5pt;z-index:-125829261;mso-wrap-distance-left:9.25pt;mso-wrap-distance-top:530.14999999999998pt;mso-wrap-distance-right:446.25pt;mso-wrap-distance-bottom:62.649999999999999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both"/>
                      </w:pPr>
                      <w:r>
                        <w:rPr>
                          <w:b/>
                          <w:bCs/>
                          <w:color w:val="FFFFFF"/>
                          <w:spacing w:val="0"/>
                          <w:w w:val="100"/>
                          <w:position w:val="0"/>
                        </w:rPr>
                        <w:t>用闲置募集 资金暂时补 充流动资金 情况</w:t>
                      </w:r>
                    </w:p>
                  </w:txbxContent>
                </v:textbox>
                <w10:wrap type="topAndBottom" anchorx="page" anchory="margin"/>
              </v:shape>
            </w:pict>
          </mc:Fallback>
        </mc:AlternateContent>
      </w:r>
      <w:r>
        <mc:AlternateContent>
          <mc:Choice Requires="wps">
            <w:drawing>
              <wp:anchor distT="6580505" distB="655320" distL="696595" distR="172085" simplePos="0" relativeHeight="125829494" behindDoc="0" locked="0" layoutInCell="1" allowOverlap="1">
                <wp:simplePos x="0" y="0"/>
                <wp:positionH relativeFrom="page">
                  <wp:posOffset>1250950</wp:posOffset>
                </wp:positionH>
                <wp:positionV relativeFrom="margin">
                  <wp:posOffset>6720840</wp:posOffset>
                </wp:positionV>
                <wp:extent cx="5562600" cy="895985"/>
                <wp:wrapTopAndBottom/>
                <wp:docPr id="142" name="Shape 142"/>
                <a:graphic xmlns:a="http://schemas.openxmlformats.org/drawingml/2006/main">
                  <a:graphicData uri="http://schemas.microsoft.com/office/word/2010/wordprocessingShape">
                    <wps:wsp>
                      <wps:cNvSpPr txBox="1"/>
                      <wps:spPr>
                        <a:xfrm>
                          <a:ext cx="5562600" cy="895985"/>
                        </a:xfrm>
                        <a:prstGeom prst="rect"/>
                        <a:noFill/>
                      </wps:spPr>
                      <wps:txbx>
                        <w:txbxContent>
                          <w:p>
                            <w:pPr>
                              <w:pStyle w:val="Style31"/>
                              <w:keepNext w:val="0"/>
                              <w:keepLines w:val="0"/>
                              <w:widowControl w:val="0"/>
                              <w:pBdr>
                                <w:bottom w:val="single" w:sz="4" w:space="0" w:color="auto"/>
                              </w:pBdr>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日，公司召开第二届董事会第二十二次会议和第二届监事会第十四次会议，审议通过了《关于 使用部分闲置募集资金暂时补充流动资金的议案》，同意公司将闲置募集资金中的人民币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亿元暂时用于补充 流动资金，使用期限为自董事会批准之日起不超过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个月，到期将归还至募集资金专户。公司实际使用募集资 金用于补充流动资金合计人民币</w:t>
                            </w:r>
                            <w:r>
                              <w:rPr>
                                <w:rFonts w:ascii="Times New Roman" w:eastAsia="Times New Roman" w:hAnsi="Times New Roman" w:cs="Times New Roman"/>
                                <w:color w:val="000000"/>
                                <w:spacing w:val="0"/>
                                <w:w w:val="100"/>
                                <w:position w:val="0"/>
                                <w:sz w:val="18"/>
                                <w:szCs w:val="18"/>
                              </w:rPr>
                              <w:t>70,377,301.63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日，公司已将上述补充流动资金款全部 提前归还至公司募集资金专户，使用期限自公司董事会审议通过之日起未超过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个月，公司已将上述募集资金 的归还情况通知了保荐机构中信建投证券股份有限公司及保荐代表人。</w:t>
                            </w:r>
                          </w:p>
                        </w:txbxContent>
                      </wps:txbx>
                      <wps:bodyPr lIns="0" tIns="0" rIns="0" bIns="0">
                        <a:noAutoFit/>
                      </wps:bodyPr>
                    </wps:wsp>
                  </a:graphicData>
                </a:graphic>
              </wp:anchor>
            </w:drawing>
          </mc:Choice>
          <mc:Fallback>
            <w:pict>
              <v:shape id="_x0000_s1168" type="#_x0000_t202" style="position:absolute;margin-left:98.5pt;margin-top:529.20000000000005pt;width:438.pt;height:70.549999999999997pt;z-index:-125829259;mso-wrap-distance-left:54.850000000000001pt;mso-wrap-distance-top:518.14999999999998pt;mso-wrap-distance-right:13.550000000000001pt;mso-wrap-distance-bottom:51.600000000000001pt;mso-position-horizontal-relative:page;mso-position-vertical-relative:margin" filled="f" stroked="f">
                <v:textbox inset="0,0,0,0">
                  <w:txbxContent>
                    <w:p>
                      <w:pPr>
                        <w:pStyle w:val="Style31"/>
                        <w:keepNext w:val="0"/>
                        <w:keepLines w:val="0"/>
                        <w:widowControl w:val="0"/>
                        <w:pBdr>
                          <w:bottom w:val="single" w:sz="4" w:space="0" w:color="auto"/>
                        </w:pBdr>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日，公司召开第二届董事会第二十二次会议和第二届监事会第十四次会议，审议通过了《关于 使用部分闲置募集资金暂时补充流动资金的议案》，同意公司将闲置募集资金中的人民币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亿元暂时用于补充 流动资金，使用期限为自董事会批准之日起不超过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个月，到期将归还至募集资金专户。公司实际使用募集资 金用于补充流动资金合计人民币</w:t>
                      </w:r>
                      <w:r>
                        <w:rPr>
                          <w:rFonts w:ascii="Times New Roman" w:eastAsia="Times New Roman" w:hAnsi="Times New Roman" w:cs="Times New Roman"/>
                          <w:color w:val="000000"/>
                          <w:spacing w:val="0"/>
                          <w:w w:val="100"/>
                          <w:position w:val="0"/>
                          <w:sz w:val="18"/>
                          <w:szCs w:val="18"/>
                        </w:rPr>
                        <w:t>70,377,301.63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日，公司已将上述补充流动资金款全部 提前归还至公司募集资金专户，使用期限自公司董事会审议通过之日起未超过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个月，公司已将上述募集资金 的归还情况通知了保荐机构中信建投证券股份有限公司及保荐代表人。</w:t>
                      </w:r>
                    </w:p>
                  </w:txbxContent>
                </v:textbox>
                <w10:wrap type="topAndBottom" anchorx="page" anchory="margin"/>
              </v:shape>
            </w:pict>
          </mc:Fallback>
        </mc:AlternateContent>
      </w:r>
      <w:r>
        <mc:AlternateContent>
          <mc:Choice Requires="wps">
            <w:drawing>
              <wp:anchor distT="7537450" distB="445135" distL="117475" distR="5680075" simplePos="0" relativeHeight="125829496" behindDoc="0" locked="0" layoutInCell="1" allowOverlap="1">
                <wp:simplePos x="0" y="0"/>
                <wp:positionH relativeFrom="page">
                  <wp:posOffset>671830</wp:posOffset>
                </wp:positionH>
                <wp:positionV relativeFrom="margin">
                  <wp:posOffset>7677785</wp:posOffset>
                </wp:positionV>
                <wp:extent cx="633730" cy="149225"/>
                <wp:wrapTopAndBottom/>
                <wp:docPr id="144" name="Shape 144"/>
                <a:graphic xmlns:a="http://schemas.openxmlformats.org/drawingml/2006/main">
                  <a:graphicData uri="http://schemas.microsoft.com/office/word/2010/wordprocessingShape">
                    <wps:wsp>
                      <wps:cNvSpPr txBox="1"/>
                      <wps:spPr>
                        <a:xfrm>
                          <a:ext cx="633730"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项目实施出</w:t>
                            </w:r>
                          </w:p>
                        </w:txbxContent>
                      </wps:txbx>
                      <wps:bodyPr wrap="none" lIns="0" tIns="0" rIns="0" bIns="0">
                        <a:noAutoFit/>
                      </wps:bodyPr>
                    </wps:wsp>
                  </a:graphicData>
                </a:graphic>
              </wp:anchor>
            </w:drawing>
          </mc:Choice>
          <mc:Fallback>
            <w:pict>
              <v:shape id="_x0000_s1170" type="#_x0000_t202" style="position:absolute;margin-left:52.899999999999999pt;margin-top:604.55000000000007pt;width:49.899999999999999pt;height:11.75pt;z-index:-125829257;mso-wrap-distance-left:9.25pt;mso-wrap-distance-top:593.5pt;mso-wrap-distance-right:447.25pt;mso-wrap-distance-bottom:35.050000000000004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项目实施出</w:t>
                      </w:r>
                    </w:p>
                  </w:txbxContent>
                </v:textbox>
                <w10:wrap type="topAndBottom" anchorx="page" anchory="margin"/>
              </v:shape>
            </w:pict>
          </mc:Fallback>
        </mc:AlternateContent>
      </w:r>
      <w:r>
        <mc:AlternateContent>
          <mc:Choice Requires="wps">
            <w:drawing>
              <wp:anchor distT="7674610" distB="152400" distL="114300" distR="5326380" simplePos="0" relativeHeight="125829498" behindDoc="0" locked="0" layoutInCell="1" allowOverlap="1">
                <wp:simplePos x="0" y="0"/>
                <wp:positionH relativeFrom="page">
                  <wp:posOffset>668655</wp:posOffset>
                </wp:positionH>
                <wp:positionV relativeFrom="margin">
                  <wp:posOffset>7814945</wp:posOffset>
                </wp:positionV>
                <wp:extent cx="990600" cy="304800"/>
                <wp:wrapTopAndBottom/>
                <wp:docPr id="146" name="Shape 146"/>
                <a:graphic xmlns:a="http://schemas.openxmlformats.org/drawingml/2006/main">
                  <a:graphicData uri="http://schemas.microsoft.com/office/word/2010/wordprocessingShape">
                    <wps:wsp>
                      <wps:cNvSpPr txBox="1"/>
                      <wps:spPr>
                        <a:xfrm>
                          <a:ext cx="990600" cy="304800"/>
                        </a:xfrm>
                        <a:prstGeom prst="rect"/>
                        <a:noFill/>
                      </wps:spPr>
                      <wps:txbx>
                        <w:txbxContent>
                          <w:p>
                            <w:pPr>
                              <w:pStyle w:val="Style31"/>
                              <w:keepNext w:val="0"/>
                              <w:keepLines w:val="0"/>
                              <w:widowControl w:val="0"/>
                              <w:shd w:val="clear" w:color="auto" w:fill="auto"/>
                              <w:bidi w:val="0"/>
                              <w:spacing w:before="0" w:after="0" w:line="0" w:lineRule="atLeast"/>
                              <w:ind w:left="0" w:right="0" w:firstLine="0"/>
                              <w:jc w:val="center"/>
                            </w:pPr>
                            <w:r>
                              <w:rPr>
                                <w:b/>
                                <w:bCs/>
                                <w:color w:val="EBEBEB"/>
                                <w:spacing w:val="0"/>
                                <w:w w:val="100"/>
                                <w:position w:val="0"/>
                              </w:rPr>
                              <w:t>现募集资金</w:t>
                            </w:r>
                            <w:r>
                              <w:rPr>
                                <w:b/>
                                <w:bCs/>
                                <w:color w:val="E3DADF"/>
                                <w:spacing w:val="0"/>
                                <w:w w:val="100"/>
                                <w:position w:val="0"/>
                              </w:rPr>
                              <w:t>!</w:t>
                            </w:r>
                            <w:r>
                              <w:rPr>
                                <w:rFonts w:ascii="Arial" w:eastAsia="Arial" w:hAnsi="Arial" w:cs="Arial"/>
                                <w:color w:val="E3DADF"/>
                                <w:spacing w:val="0"/>
                                <w:w w:val="100"/>
                                <w:position w:val="0"/>
                                <w:sz w:val="54"/>
                                <w:szCs w:val="54"/>
                              </w:rPr>
                              <w:t>sm</w:t>
                              <w:br/>
                            </w:r>
                            <w:r>
                              <w:rPr>
                                <w:b/>
                                <w:bCs/>
                                <w:color w:val="EBEBEB"/>
                                <w:spacing w:val="0"/>
                                <w:w w:val="100"/>
                                <w:position w:val="0"/>
                              </w:rPr>
                              <w:t>结余的金额</w:t>
                            </w:r>
                            <w:r>
                              <w:rPr>
                                <w:color w:val="000000"/>
                                <w:spacing w:val="0"/>
                                <w:w w:val="100"/>
                                <w:position w:val="0"/>
                              </w:rPr>
                              <w:t>不适用</w:t>
                            </w:r>
                          </w:p>
                        </w:txbxContent>
                      </wps:txbx>
                      <wps:bodyPr lIns="0" tIns="0" rIns="0" bIns="0">
                        <a:noAutoFit/>
                      </wps:bodyPr>
                    </wps:wsp>
                  </a:graphicData>
                </a:graphic>
              </wp:anchor>
            </w:drawing>
          </mc:Choice>
          <mc:Fallback>
            <w:pict>
              <v:shape id="_x0000_s1172" type="#_x0000_t202" style="position:absolute;margin-left:52.649999999999999pt;margin-top:615.35000000000002pt;width:78.pt;height:24.pt;z-index:-125829255;mso-wrap-distance-left:9.pt;mso-wrap-distance-top:604.30000000000007pt;mso-wrap-distance-right:419.40000000000003pt;mso-wrap-distance-bottom:12.pt;mso-position-horizontal-relative:page;mso-position-vertical-relative:margin" filled="f" stroked="f">
                <v:textbox inset="0,0,0,0">
                  <w:txbxContent>
                    <w:p>
                      <w:pPr>
                        <w:pStyle w:val="Style31"/>
                        <w:keepNext w:val="0"/>
                        <w:keepLines w:val="0"/>
                        <w:widowControl w:val="0"/>
                        <w:shd w:val="clear" w:color="auto" w:fill="auto"/>
                        <w:bidi w:val="0"/>
                        <w:spacing w:before="0" w:after="0" w:line="0" w:lineRule="atLeast"/>
                        <w:ind w:left="0" w:right="0" w:firstLine="0"/>
                        <w:jc w:val="center"/>
                      </w:pPr>
                      <w:r>
                        <w:rPr>
                          <w:b/>
                          <w:bCs/>
                          <w:color w:val="EBEBEB"/>
                          <w:spacing w:val="0"/>
                          <w:w w:val="100"/>
                          <w:position w:val="0"/>
                        </w:rPr>
                        <w:t>现募集资金</w:t>
                      </w:r>
                      <w:r>
                        <w:rPr>
                          <w:b/>
                          <w:bCs/>
                          <w:color w:val="E3DADF"/>
                          <w:spacing w:val="0"/>
                          <w:w w:val="100"/>
                          <w:position w:val="0"/>
                        </w:rPr>
                        <w:t>!</w:t>
                      </w:r>
                      <w:r>
                        <w:rPr>
                          <w:rFonts w:ascii="Arial" w:eastAsia="Arial" w:hAnsi="Arial" w:cs="Arial"/>
                          <w:color w:val="E3DADF"/>
                          <w:spacing w:val="0"/>
                          <w:w w:val="100"/>
                          <w:position w:val="0"/>
                          <w:sz w:val="54"/>
                          <w:szCs w:val="54"/>
                        </w:rPr>
                        <w:t>sm</w:t>
                        <w:br/>
                      </w:r>
                      <w:r>
                        <w:rPr>
                          <w:b/>
                          <w:bCs/>
                          <w:color w:val="EBEBEB"/>
                          <w:spacing w:val="0"/>
                          <w:w w:val="100"/>
                          <w:position w:val="0"/>
                        </w:rPr>
                        <w:t>结余的金额</w:t>
                      </w:r>
                      <w:r>
                        <w:rPr>
                          <w:color w:val="000000"/>
                          <w:spacing w:val="0"/>
                          <w:w w:val="100"/>
                          <w:position w:val="0"/>
                        </w:rPr>
                        <w:t>不适用</w:t>
                      </w:r>
                    </w:p>
                  </w:txbxContent>
                </v:textbox>
                <w10:wrap type="topAndBottom" anchorx="page" anchory="margin"/>
              </v:shape>
            </w:pict>
          </mc:Fallback>
        </mc:AlternateContent>
      </w:r>
      <w:r>
        <mc:AlternateContent>
          <mc:Choice Requires="wps">
            <w:drawing>
              <wp:anchor distT="7821295" distB="0" distL="114300" distR="5701030" simplePos="0" relativeHeight="125829500" behindDoc="0" locked="0" layoutInCell="1" allowOverlap="1">
                <wp:simplePos x="0" y="0"/>
                <wp:positionH relativeFrom="page">
                  <wp:posOffset>668655</wp:posOffset>
                </wp:positionH>
                <wp:positionV relativeFrom="margin">
                  <wp:posOffset>7961630</wp:posOffset>
                </wp:positionV>
                <wp:extent cx="615950" cy="311150"/>
                <wp:wrapTopAndBottom/>
                <wp:docPr id="148" name="Shape 148"/>
                <a:graphic xmlns:a="http://schemas.openxmlformats.org/drawingml/2006/main">
                  <a:graphicData uri="http://schemas.microsoft.com/office/word/2010/wordprocessingShape">
                    <wps:wsp>
                      <wps:cNvSpPr txBox="1"/>
                      <wps:spPr>
                        <a:xfrm>
                          <a:ext cx="615950" cy="3111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结余的金额 及原因</w:t>
                            </w:r>
                          </w:p>
                        </w:txbxContent>
                      </wps:txbx>
                      <wps:bodyPr lIns="0" tIns="0" rIns="0" bIns="0">
                        <a:noAutoFit/>
                      </wps:bodyPr>
                    </wps:wsp>
                  </a:graphicData>
                </a:graphic>
              </wp:anchor>
            </w:drawing>
          </mc:Choice>
          <mc:Fallback>
            <w:pict>
              <v:shape id="_x0000_s1174" type="#_x0000_t202" style="position:absolute;margin-left:52.649999999999999pt;margin-top:626.89999999999998pt;width:48.5pt;height:24.5pt;z-index:-125829253;mso-wrap-distance-left:9.pt;mso-wrap-distance-top:615.85000000000002pt;mso-wrap-distance-right:448.90000000000003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结余的金额 及原因</w:t>
                      </w:r>
                    </w:p>
                  </w:txbxContent>
                </v:textbox>
                <w10:wrap type="topAndBottom" anchorx="page" anchory="margin"/>
              </v:shape>
            </w:pict>
          </mc:Fallback>
        </mc:AlternateContent>
      </w:r>
      <w:r>
        <mc:AlternateContent>
          <mc:Choice Requires="wps">
            <w:drawing>
              <wp:anchor distT="0" distB="0" distL="0" distR="0" simplePos="0" relativeHeight="125829502" behindDoc="0" locked="0" layoutInCell="1" allowOverlap="1">
                <wp:simplePos x="0" y="0"/>
                <wp:positionH relativeFrom="page">
                  <wp:posOffset>683895</wp:posOffset>
                </wp:positionH>
                <wp:positionV relativeFrom="margin">
                  <wp:posOffset>8394065</wp:posOffset>
                </wp:positionV>
                <wp:extent cx="631190" cy="454025"/>
                <wp:wrapSquare wrapText="right"/>
                <wp:docPr id="150" name="Shape 150"/>
                <a:graphic xmlns:a="http://schemas.openxmlformats.org/drawingml/2006/main">
                  <a:graphicData uri="http://schemas.microsoft.com/office/word/2010/wordprocessingShape">
                    <wps:wsp>
                      <wps:cNvSpPr txBox="1"/>
                      <wps:spPr>
                        <a:xfrm>
                          <a:ext cx="631190"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right"/>
                            </w:pPr>
                            <w:r>
                              <w:rPr>
                                <w:b/>
                                <w:bCs/>
                                <w:color w:val="FFFFFF"/>
                                <w:spacing w:val="0"/>
                                <w:w w:val="100"/>
                                <w:position w:val="0"/>
                              </w:rPr>
                              <w:t>|尚未使用的 集资金用 金及去向</w:t>
                            </w:r>
                          </w:p>
                        </w:txbxContent>
                      </wps:txbx>
                      <wps:bodyPr lIns="0" tIns="0" rIns="0" bIns="0">
                        <a:noAutoFit/>
                      </wps:bodyPr>
                    </wps:wsp>
                  </a:graphicData>
                </a:graphic>
              </wp:anchor>
            </w:drawing>
          </mc:Choice>
          <mc:Fallback>
            <w:pict>
              <v:shape id="_x0000_s1176" type="#_x0000_t202" style="position:absolute;margin-left:53.850000000000001pt;margin-top:660.95000000000005pt;width:49.700000000000003pt;height:35.75pt;z-index:-125829251;mso-wrap-distance-left:0;mso-wrap-distance-right:0;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right"/>
                      </w:pPr>
                      <w:r>
                        <w:rPr>
                          <w:b/>
                          <w:bCs/>
                          <w:color w:val="FFFFFF"/>
                          <w:spacing w:val="0"/>
                          <w:w w:val="100"/>
                          <w:position w:val="0"/>
                        </w:rPr>
                        <w:t>|尚未使用的 集资金用 金及去向</w:t>
                      </w:r>
                    </w:p>
                  </w:txbxContent>
                </v:textbox>
                <w10:wrap type="square" side="right" anchorx="page" anchory="margin"/>
              </v:shape>
            </w:pict>
          </mc:Fallback>
        </mc:AlternateContent>
      </w:r>
      <w:r>
        <w:rPr>
          <w:color w:val="000000"/>
          <w:spacing w:val="0"/>
          <w:w w:val="100"/>
          <w:position w:val="0"/>
        </w:rPr>
        <w:t>公司募集资金均在按照募集资金项目和变更后的募集资金投资项目规划使用中，部分闲置募集资金用于购买短 期银行理财。</w:t>
      </w:r>
    </w:p>
    <w:p>
      <w:pPr>
        <w:pStyle w:val="Style31"/>
        <w:keepNext w:val="0"/>
        <w:keepLines w:val="0"/>
        <w:widowControl w:val="0"/>
        <w:pBdr>
          <w:bottom w:val="single" w:sz="4" w:space="0" w:color="auto"/>
        </w:pBdr>
        <w:shd w:val="clear" w:color="auto" w:fill="auto"/>
        <w:bidi w:val="0"/>
        <w:spacing w:before="0" w:after="0" w:line="235" w:lineRule="exact"/>
        <w:ind w:left="0" w:right="0" w:firstLine="0"/>
        <w:jc w:val="both"/>
        <w:sectPr>
          <w:footnotePr>
            <w:pos w:val="pageBottom"/>
            <w:numFmt w:val="decimal"/>
            <w:numRestart w:val="continuous"/>
          </w:footnotePr>
          <w:pgSz w:w="11966" w:h="17375"/>
          <w:pgMar w:top="1550" w:right="1102" w:bottom="1717" w:left="1010" w:header="0" w:footer="3" w:gutter="0"/>
          <w:cols w:space="720"/>
          <w:noEndnote/>
          <w:rtlGutter w:val="0"/>
          <w:docGrid w:linePitch="360"/>
        </w:sectPr>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日召开第三届董事会第十五次会议、第三届监事会第十五次会 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年第一次临时股东大会，审议通过了《关于使用部分闲置募集资金和自有资金购买保本型银行理财产</w:t>
      </w:r>
    </w:p>
    <w:tbl>
      <w:tblPr>
        <w:tblOverlap w:val="never"/>
        <w:jc w:val="center"/>
        <w:tblLayout w:type="fixed"/>
      </w:tblPr>
      <w:tblGrid>
        <w:gridCol w:w="1747"/>
        <w:gridCol w:w="7037"/>
        <w:gridCol w:w="850"/>
      </w:tblGrid>
      <w:tr>
        <w:trPr>
          <w:trHeight w:val="10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104" w:val="left"/>
              </w:tabs>
              <w:bidi w:val="0"/>
              <w:spacing w:before="0" w:after="0" w:line="127" w:lineRule="exact"/>
              <w:ind w:left="0" w:right="0" w:firstLine="0"/>
              <w:jc w:val="center"/>
              <w:rPr>
                <w:sz w:val="19"/>
                <w:szCs w:val="19"/>
              </w:rPr>
            </w:pPr>
            <w:r>
              <w:rPr>
                <w:b/>
                <w:bCs/>
                <w:color w:val="FFFFFF"/>
                <w:spacing w:val="0"/>
                <w:w w:val="100"/>
                <w:position w:val="0"/>
                <w:sz w:val="15"/>
                <w:szCs w:val="15"/>
              </w:rPr>
              <w:t>承诺投资项是否已变 承诺投资项审负曰 曰莉翻莫咨更项目 日和超募资</w:t>
            </w:r>
            <w:r>
              <w:rPr>
                <w:rFonts w:ascii="Times New Roman" w:eastAsia="Times New Roman" w:hAnsi="Times New Roman" w:cs="Times New Roman"/>
                <w:b/>
                <w:bCs/>
                <w:color w:val="FFFFFF"/>
                <w:spacing w:val="0"/>
                <w:w w:val="100"/>
                <w:position w:val="0"/>
                <w:sz w:val="18"/>
                <w:szCs w:val="18"/>
                <w:u w:val="single"/>
              </w:rPr>
              <w:t xml:space="preserve">w </w:t>
            </w:r>
            <w:r>
              <w:rPr>
                <w:b/>
                <w:bCs/>
                <w:color w:val="FFFFFF"/>
                <w:spacing w:val="0"/>
                <w:w w:val="100"/>
                <w:position w:val="0"/>
                <w:sz w:val="15"/>
                <w:szCs w:val="15"/>
              </w:rPr>
              <w:t>金投向</w:t>
            </w:r>
            <w:r>
              <w:rPr>
                <w:rFonts w:ascii="Times New Roman" w:eastAsia="Times New Roman" w:hAnsi="Times New Roman" w:cs="Times New Roman"/>
                <w:b/>
                <w:bCs/>
                <w:color w:val="FFFFFF"/>
                <w:spacing w:val="0"/>
                <w:w w:val="100"/>
                <w:position w:val="0"/>
                <w:sz w:val="18"/>
                <w:szCs w:val="18"/>
                <w:vertAlign w:val="superscript"/>
              </w:rPr>
              <w:t>(</w:t>
            </w:r>
            <w:r>
              <w:rPr>
                <w:b/>
                <w:bCs/>
                <w:color w:val="FFFFFF"/>
                <w:spacing w:val="0"/>
                <w:w w:val="100"/>
                <w:position w:val="0"/>
                <w:sz w:val="15"/>
                <w:szCs w:val="15"/>
              </w:rPr>
              <w:t>含部分 投向</w:t>
              <w:tab/>
              <w:t>变更</w:t>
            </w:r>
            <w:r>
              <w:rPr>
                <w:b/>
                <w:bCs/>
                <w:color w:val="FFFFFF"/>
                <w:spacing w:val="0"/>
                <w:w w:val="100"/>
                <w:position w:val="0"/>
                <w:sz w:val="19"/>
                <w:szCs w:val="19"/>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646" w:val="left"/>
              </w:tabs>
              <w:bidi w:val="0"/>
              <w:spacing w:before="0" w:after="0" w:line="240" w:lineRule="auto"/>
              <w:ind w:left="0" w:right="0" w:firstLine="0"/>
              <w:jc w:val="left"/>
            </w:pPr>
            <w:r>
              <w:rPr>
                <w:b/>
                <w:bCs/>
                <w:color w:val="FFFFFF"/>
                <w:spacing w:val="0"/>
                <w:w w:val="100"/>
                <w:position w:val="0"/>
              </w:rPr>
              <w:t>募集资金</w:t>
              <w:tab/>
              <w:t>本报告截至期末截至期末项目达到本报告截止报告是否达</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656" w:val="left"/>
                <w:tab w:pos="2342" w:val="left"/>
                <w:tab w:pos="4776" w:val="left"/>
                <w:tab w:pos="6336" w:val="left"/>
              </w:tabs>
              <w:bidi w:val="0"/>
              <w:spacing w:before="0" w:after="0" w:line="240" w:lineRule="auto"/>
              <w:ind w:left="0" w:right="0" w:firstLine="0"/>
              <w:jc w:val="left"/>
            </w:pPr>
            <w:r>
              <w:rPr>
                <w:b/>
                <w:bCs/>
                <w:color w:val="FFFFFF"/>
                <w:spacing w:val="0"/>
                <w:w w:val="100"/>
                <w:position w:val="0"/>
              </w:rPr>
              <w:t>募集资金</w:t>
              <w:tab/>
              <w:t>本■报告</w:t>
              <w:tab/>
              <w:t>截至期末</w:t>
              <w:tab/>
              <w:t>本■报告</w:t>
              <w:tab/>
              <w:t>是口达</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309" w:val="left"/>
                <w:tab w:pos="4651" w:val="left"/>
              </w:tabs>
              <w:bidi w:val="0"/>
              <w:spacing w:before="0" w:after="0" w:line="240" w:lineRule="auto"/>
              <w:ind w:left="0" w:right="0" w:firstLine="0"/>
              <w:jc w:val="right"/>
            </w:pPr>
            <w:r>
              <w:rPr>
                <w:b/>
                <w:bCs/>
                <w:color w:val="FFFFFF"/>
                <w:spacing w:val="0"/>
                <w:w w:val="100"/>
                <w:position w:val="0"/>
              </w:rPr>
              <w:t>倜整后投</w:t>
              <w:tab/>
              <w:t>投资进度预定可使</w:t>
              <w:tab/>
              <w:t>期末累计至［新片</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651" w:val="left"/>
                <w:tab w:pos="4771" w:val="left"/>
                <w:tab w:pos="6331" w:val="left"/>
              </w:tabs>
              <w:bidi w:val="0"/>
              <w:spacing w:before="0" w:after="0" w:line="240" w:lineRule="auto"/>
              <w:ind w:left="0" w:right="0" w:firstLine="0"/>
              <w:jc w:val="left"/>
            </w:pPr>
            <w:r>
              <w:rPr>
                <w:b/>
                <w:bCs/>
                <w:color w:val="FFFFFF"/>
                <w:spacing w:val="0"/>
                <w:w w:val="100"/>
                <w:position w:val="0"/>
              </w:rPr>
              <w:t>承诺投资</w:t>
              <w:tab/>
              <w:t>期投入累计投入</w:t>
              <w:tab/>
              <w:t>期实现</w:t>
              <w:tab/>
              <w:t>到预计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总额资总额⑴金额金额</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(需用状态日的效益实现的效效益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项目可行 性是否发 生重大变</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化</w:t>
            </w:r>
          </w:p>
        </w:tc>
      </w:tr>
      <w:tr>
        <w:trPr>
          <w:trHeight w:val="307"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品的议案》，同意公司在不影响募集资金项目建设和正常经营的情况下，使用不超过人民币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亿元的闲置募</w:t>
            </w:r>
          </w:p>
        </w:tc>
      </w:tr>
    </w:tbl>
    <w:p>
      <w:pPr>
        <w:pStyle w:val="Style45"/>
        <w:keepNext w:val="0"/>
        <w:keepLines w:val="0"/>
        <w:widowControl w:val="0"/>
        <w:shd w:val="clear" w:color="auto" w:fill="auto"/>
        <w:tabs>
          <w:tab w:leader="underscore" w:pos="1008" w:val="left"/>
        </w:tabs>
        <w:bidi w:val="0"/>
        <w:spacing w:before="0" w:after="0"/>
        <w:ind w:left="0" w:right="0" w:firstLine="0"/>
        <w:jc w:val="distribute"/>
      </w:pPr>
      <w:r>
        <w:rPr>
          <w:color w:val="000000"/>
          <w:spacing w:val="0"/>
          <w:w w:val="100"/>
          <w:position w:val="0"/>
        </w:rPr>
        <w:t>集资金和最高额度不超过人民币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亿元的闲置自有资金购买保本型银行理财产品。在上述额度内，购买保本型 银行理财产品资金可滚动使用，有效期为自股东大会审议通过之日起十二个月。截至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 司已将使用闲置募集资金所购保本型银行理财产品全部赎回，募集资金用于购买理财的余额为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公司使用闲置募集资金购买银行理财产品取得投资收益人民币</w:t>
      </w:r>
      <w:r>
        <w:rPr>
          <w:rFonts w:ascii="Times New Roman" w:eastAsia="Times New Roman" w:hAnsi="Times New Roman" w:cs="Times New Roman"/>
          <w:color w:val="000000"/>
          <w:spacing w:val="0"/>
          <w:w w:val="100"/>
          <w:position w:val="0"/>
          <w:sz w:val="18"/>
          <w:szCs w:val="18"/>
        </w:rPr>
        <w:t>416,712.33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日止，公司 </w:t>
        <w:tab/>
      </w:r>
      <w:r>
        <w:rPr>
          <w:color w:val="000000"/>
          <w:spacing w:val="0"/>
          <w:w w:val="100"/>
          <w:position w:val="0"/>
          <w:u w:val="single"/>
        </w:rPr>
        <w:t>尚未使用的募集资金为人民币</w:t>
      </w:r>
      <w:r>
        <w:rPr>
          <w:rFonts w:ascii="Times New Roman" w:eastAsia="Times New Roman" w:hAnsi="Times New Roman" w:cs="Times New Roman"/>
          <w:color w:val="000000"/>
          <w:spacing w:val="0"/>
          <w:w w:val="100"/>
          <w:position w:val="0"/>
          <w:sz w:val="18"/>
          <w:szCs w:val="18"/>
          <w:u w:val="single"/>
        </w:rPr>
        <w:t>13,483,067.15</w:t>
      </w:r>
      <w:r>
        <w:rPr>
          <w:color w:val="000000"/>
          <w:spacing w:val="0"/>
          <w:w w:val="100"/>
          <w:position w:val="0"/>
          <w:u w:val="single"/>
        </w:rPr>
        <w:t>元，存放于公司的募集资金专户中，占所募集资金总额的</w:t>
      </w:r>
      <w:r>
        <w:rPr>
          <w:rFonts w:ascii="Times New Roman" w:eastAsia="Times New Roman" w:hAnsi="Times New Roman" w:cs="Times New Roman"/>
          <w:color w:val="000000"/>
          <w:spacing w:val="0"/>
          <w:w w:val="100"/>
          <w:position w:val="0"/>
          <w:sz w:val="18"/>
          <w:szCs w:val="18"/>
          <w:u w:val="single"/>
        </w:rPr>
        <w:t>6.43</w:t>
      </w:r>
      <w:r>
        <w:rPr>
          <w:color w:val="000000"/>
          <w:spacing w:val="0"/>
          <w:w w:val="100"/>
          <w:position w:val="0"/>
          <w:u w:val="single"/>
        </w:rPr>
        <w:t>%。</w:t>
      </w:r>
    </w:p>
    <w:p>
      <w:pPr>
        <w:widowControl w:val="0"/>
        <w:spacing w:after="179" w:line="1" w:lineRule="exact"/>
      </w:pP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0" w:line="233" w:lineRule="exact"/>
        <w:ind w:left="0" w:right="0" w:firstLine="0"/>
        <w:jc w:val="left"/>
      </w:pPr>
      <w:r>
        <mc:AlternateContent>
          <mc:Choice Requires="wps">
            <w:drawing>
              <wp:anchor distT="0" distB="0" distL="0" distR="0" simplePos="0" relativeHeight="125829504" behindDoc="0" locked="0" layoutInCell="1" allowOverlap="1">
                <wp:simplePos x="0" y="0"/>
                <wp:positionH relativeFrom="page">
                  <wp:posOffset>1168400</wp:posOffset>
                </wp:positionH>
                <wp:positionV relativeFrom="paragraph">
                  <wp:posOffset>88900</wp:posOffset>
                </wp:positionV>
                <wp:extent cx="240665" cy="213360"/>
                <wp:wrapSquare wrapText="left"/>
                <wp:docPr id="152" name="Shape 152"/>
                <a:graphic xmlns:a="http://schemas.openxmlformats.org/drawingml/2006/main">
                  <a:graphicData uri="http://schemas.microsoft.com/office/word/2010/wordprocessingShape">
                    <wps:wsp>
                      <wps:cNvSpPr txBox="1"/>
                      <wps:spPr>
                        <a:xfrm>
                          <a:ext cx="240665" cy="2133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b/>
                                <w:bCs/>
                                <w:color w:val="EBEBEB"/>
                                <w:spacing w:val="0"/>
                                <w:w w:val="100"/>
                                <w:position w:val="0"/>
                              </w:rPr>
                              <w:t>题</w:t>
                            </w:r>
                            <w:r>
                              <w:rPr>
                                <w:color w:val="000000"/>
                                <w:spacing w:val="0"/>
                                <w:w w:val="100"/>
                                <w:position w:val="0"/>
                              </w:rPr>
                              <w:t>无</w:t>
                            </w:r>
                          </w:p>
                        </w:txbxContent>
                      </wps:txbx>
                      <wps:bodyPr wrap="none" lIns="0" tIns="0" rIns="0" bIns="0">
                        <a:noAutoFit/>
                      </wps:bodyPr>
                    </wps:wsp>
                  </a:graphicData>
                </a:graphic>
              </wp:anchor>
            </w:drawing>
          </mc:Choice>
          <mc:Fallback>
            <w:pict>
              <v:shape id="_x0000_s1178" type="#_x0000_t202" style="position:absolute;margin-left:92.pt;margin-top:7.pt;width:18.949999999999999pt;height:16.800000000000001pt;z-index:-12582924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b/>
                          <w:bCs/>
                          <w:color w:val="EBEBEB"/>
                          <w:spacing w:val="0"/>
                          <w:w w:val="100"/>
                          <w:position w:val="0"/>
                        </w:rPr>
                        <w:t>题</w:t>
                      </w:r>
                      <w:r>
                        <w:rPr>
                          <w:color w:val="000000"/>
                          <w:spacing w:val="0"/>
                          <w:w w:val="100"/>
                          <w:position w:val="0"/>
                        </w:rPr>
                        <w:t>无</w:t>
                      </w:r>
                    </w:p>
                  </w:txbxContent>
                </v:textbox>
                <w10:wrap type="square" side="left" anchorx="page"/>
              </v:shape>
            </w:pict>
          </mc:Fallback>
        </mc:AlternateContent>
      </w:r>
      <w:r>
        <w:rPr>
          <w:rFonts w:ascii="Times New Roman" w:eastAsia="Times New Roman" w:hAnsi="Times New Roman" w:cs="Times New Roman"/>
          <w:color w:val="FFFFFF"/>
          <w:spacing w:val="0"/>
          <w:w w:val="100"/>
          <w:position w:val="0"/>
          <w:sz w:val="32"/>
          <w:szCs w:val="32"/>
        </w:rPr>
        <w:t>I</w:t>
      </w:r>
      <w:r>
        <w:rPr>
          <w:b/>
          <w:bCs/>
          <w:color w:val="FFFFFF"/>
          <w:spacing w:val="0"/>
          <w:w w:val="100"/>
          <w:position w:val="0"/>
        </w:rPr>
        <w:t>用及披露中 手在的问题 戈其他情况</w:t>
      </w:r>
    </w:p>
    <w:p>
      <w:pPr>
        <w:pStyle w:val="Style69"/>
        <w:keepNext/>
        <w:keepLines/>
        <w:widowControl w:val="0"/>
        <w:numPr>
          <w:ilvl w:val="0"/>
          <w:numId w:val="7"/>
        </w:numPr>
        <w:shd w:val="clear" w:color="auto" w:fill="auto"/>
        <w:bidi w:val="0"/>
        <w:spacing w:before="0" w:after="40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募集资金变更项目情况</w:t>
      </w:r>
      <w:bookmarkEnd w:id="213"/>
      <w:bookmarkEnd w:id="214"/>
      <w:bookmarkEnd w:id="216"/>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单位：万元</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5246" w:val="left"/>
          <w:tab w:pos="6499" w:val="left"/>
          <w:tab w:pos="7778" w:val="left"/>
        </w:tabs>
        <w:bidi w:val="0"/>
        <w:spacing w:before="0" w:after="0" w:line="106" w:lineRule="exact"/>
        <w:ind w:left="0" w:right="0" w:firstLine="0"/>
        <w:jc w:val="left"/>
      </w:pPr>
      <w:r>
        <w:rPr>
          <w:b/>
          <w:bCs/>
          <w:color w:val="FFFFFF"/>
          <w:spacing w:val="0"/>
          <w:w w:val="100"/>
          <w:position w:val="0"/>
        </w:rPr>
        <w:t>变更后的对应的原承变更后项目本报告期实截至期末实截至期末投资项目达到预本报告期是否达到变更后的项目 变更后的 飞对应的</w:t>
      </w:r>
      <w:r>
        <w:rPr>
          <w:rFonts w:ascii="Times New Roman" w:eastAsia="Times New Roman" w:hAnsi="Times New Roman" w:cs="Times New Roman"/>
          <w:b/>
          <w:bCs/>
          <w:color w:val="FFFFFF"/>
          <w:spacing w:val="0"/>
          <w:w w:val="100"/>
          <w:position w:val="0"/>
          <w:sz w:val="18"/>
          <w:szCs w:val="18"/>
        </w:rPr>
        <w:t>J</w:t>
      </w:r>
      <w:r>
        <w:rPr>
          <w:b/>
          <w:bCs/>
          <w:color w:val="FFFFFF"/>
          <w:spacing w:val="0"/>
          <w:w w:val="100"/>
          <w:position w:val="0"/>
        </w:rPr>
        <w:t>原承公.由.本报告期实亿■国</w:t>
      </w:r>
      <w:r>
        <w:rPr>
          <w:b/>
          <w:bCs/>
          <w:color w:val="FFFFFF"/>
          <w:spacing w:val="0"/>
          <w:w w:val="100"/>
          <w:position w:val="0"/>
        </w:rPr>
        <w:t>.S ■</w:t>
        <w:tab/>
      </w:r>
      <w:r>
        <w:rPr>
          <w:rFonts w:ascii="Times New Roman" w:eastAsia="Times New Roman" w:hAnsi="Times New Roman" w:cs="Times New Roman"/>
          <w:b/>
          <w:bCs/>
          <w:color w:val="FFFFFF"/>
          <w:spacing w:val="0"/>
          <w:w w:val="100"/>
          <w:position w:val="0"/>
          <w:sz w:val="18"/>
          <w:szCs w:val="18"/>
        </w:rPr>
        <w:t>m</w:t>
        <w:tab/>
      </w:r>
      <w:r>
        <w:rPr>
          <w:rFonts w:ascii="Times New Roman" w:eastAsia="Times New Roman" w:hAnsi="Times New Roman" w:cs="Times New Roman"/>
          <w:b/>
          <w:bCs/>
          <w:color w:val="FFFFFF"/>
          <w:spacing w:val="0"/>
          <w:w w:val="100"/>
          <w:position w:val="0"/>
          <w:sz w:val="18"/>
          <w:szCs w:val="18"/>
          <w:u w:val="single"/>
        </w:rPr>
        <w:t>E</w:t>
      </w: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u</w:t>
      </w:r>
      <w:r>
        <w:rPr>
          <w:b/>
          <w:bCs/>
          <w:color w:val="FFFFFF"/>
          <w:spacing w:val="0"/>
          <w:w w:val="100"/>
          <w:position w:val="0"/>
        </w:rPr>
        <w:t>、</w:t>
        <w:tab/>
      </w:r>
      <w:r>
        <w:rPr>
          <w:b/>
          <w:bCs/>
          <w:color w:val="FFFFFF"/>
          <w:spacing w:val="0"/>
          <w:w w:val="100"/>
          <w:position w:val="0"/>
        </w:rPr>
        <w:t>是否达到</w:t>
      </w:r>
      <w:r>
        <w:rPr>
          <w:rFonts w:ascii="Times New Roman" w:eastAsia="Times New Roman" w:hAnsi="Times New Roman" w:cs="Times New Roman"/>
          <w:b/>
          <w:bCs/>
          <w:color w:val="FFFFFF"/>
          <w:spacing w:val="0"/>
          <w:w w:val="100"/>
          <w:position w:val="0"/>
          <w:sz w:val="18"/>
          <w:szCs w:val="18"/>
        </w:rPr>
        <w:t xml:space="preserve">J </w:t>
      </w:r>
      <w:r>
        <w:rPr>
          <w:rFonts w:ascii="Arial" w:eastAsia="Arial" w:hAnsi="Arial" w:cs="Arial"/>
          <w:smallCaps/>
          <w:color w:val="FFFFFF"/>
          <w:spacing w:val="0"/>
          <w:w w:val="100"/>
          <w:position w:val="0"/>
          <w:sz w:val="11"/>
          <w:szCs w:val="11"/>
        </w:rPr>
        <w:t>ttt</w:t>
      </w:r>
      <w:r>
        <w:rPr>
          <w:b/>
          <w:bCs/>
          <w:color w:val="FFFFFF"/>
          <w:spacing w:val="0"/>
          <w:w w:val="100"/>
          <w:position w:val="0"/>
        </w:rPr>
        <w:t>■二曰</w:t>
      </w:r>
      <w:r>
        <w:rPr>
          <w:rFonts w:ascii="Arial" w:eastAsia="Arial" w:hAnsi="Arial" w:cs="Arial"/>
          <w:smallCaps/>
          <w:color w:val="FFFFFF"/>
          <w:spacing w:val="0"/>
          <w:w w:val="100"/>
          <w:position w:val="0"/>
          <w:sz w:val="11"/>
          <w:szCs w:val="11"/>
        </w:rPr>
        <w:t>tfc</w:t>
      </w:r>
      <w:r>
        <w:rPr>
          <w:b/>
          <w:bCs/>
          <w:color w:val="FFFFFF"/>
          <w:spacing w:val="0"/>
          <w:w w:val="100"/>
          <w:position w:val="0"/>
        </w:rPr>
        <w:t>尖-</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16" w:val="left"/>
          <w:tab w:pos="5246" w:val="left"/>
          <w:tab w:pos="5926" w:val="left"/>
        </w:tabs>
        <w:bidi w:val="0"/>
        <w:spacing w:before="0" w:after="0" w:line="106" w:lineRule="exact"/>
        <w:ind w:left="0" w:right="0" w:firstLine="200"/>
        <w:jc w:val="left"/>
      </w:pPr>
      <w:r>
        <w:rPr>
          <w:b/>
          <w:bCs/>
          <w:color w:val="FFFFFF"/>
          <w:spacing w:val="0"/>
          <w:w w:val="100"/>
          <w:position w:val="0"/>
        </w:rPr>
        <w:t>谪曰</w:t>
        <w:tab/>
        <w:t>,谪曰 拟投入募集阡坷入全</w:t>
      </w:r>
      <w:r>
        <w:rPr>
          <w:b/>
          <w:bCs/>
          <w:color w:val="FFFFFF"/>
          <w:spacing w:val="0"/>
          <w:w w:val="100"/>
          <w:position w:val="0"/>
        </w:rPr>
        <w:t>■</w:t>
      </w:r>
      <w:r>
        <w:rPr>
          <w:b/>
          <w:bCs/>
          <w:color w:val="FFFFFF"/>
          <w:spacing w:val="0"/>
          <w:w w:val="100"/>
          <w:position w:val="0"/>
        </w:rPr>
        <w:t>际累计投入</w:t>
        <w:tab/>
        <w:t>进度</w:t>
        <w:tab/>
        <w:t>定可使用状实现的效福;+祐云可仃性是否发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16" w:val="left"/>
          <w:tab w:pos="4933" w:val="left"/>
          <w:tab w:pos="7232" w:val="left"/>
          <w:tab w:pos="7778" w:val="left"/>
        </w:tabs>
        <w:bidi w:val="0"/>
        <w:spacing w:before="0" w:after="0" w:line="106" w:lineRule="exact"/>
        <w:ind w:left="0" w:right="0" w:firstLine="200"/>
        <w:jc w:val="left"/>
      </w:pPr>
      <w:r>
        <w:rPr>
          <w:b/>
          <w:bCs/>
          <w:color w:val="FFFFFF"/>
          <w:spacing w:val="0"/>
          <w:w w:val="100"/>
          <w:position w:val="0"/>
        </w:rPr>
        <w:t>项目</w:t>
        <w:tab/>
        <w:t>诺项目资金总额</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际投入金额金额</w:t>
      </w:r>
      <w:r>
        <w:rPr>
          <w:b/>
          <w:bCs/>
          <w:color w:val="FFFFFF"/>
          <w:spacing w:val="0"/>
          <w:w w:val="100"/>
          <w:position w:val="0"/>
          <w:sz w:val="19"/>
          <w:szCs w:val="19"/>
        </w:rPr>
        <w:t>(</w:t>
      </w:r>
      <w:r>
        <w:rPr>
          <w:rFonts w:ascii="Times New Roman" w:eastAsia="Times New Roman" w:hAnsi="Times New Roman" w:cs="Times New Roman"/>
          <w:b/>
          <w:bCs/>
          <w:color w:val="FFFFFF"/>
          <w:spacing w:val="0"/>
          <w:w w:val="100"/>
          <w:position w:val="0"/>
          <w:sz w:val="18"/>
          <w:szCs w:val="18"/>
        </w:rPr>
        <w:t>2)</w:t>
        <w:tab/>
        <w:t>(3)=(2)/(1)</w:t>
      </w:r>
      <w:r>
        <w:rPr>
          <w:b/>
          <w:bCs/>
          <w:color w:val="FFFFFF"/>
          <w:spacing w:val="0"/>
          <w:w w:val="100"/>
          <w:position w:val="0"/>
        </w:rPr>
        <w:t>态日期</w:t>
        <w:tab/>
        <w:t>益</w:t>
        <w:tab/>
        <w:t>预计效益生重大变化</w:t>
      </w:r>
    </w:p>
    <w:p>
      <w:pPr>
        <w:widowControl w:val="0"/>
        <w:spacing w:line="1" w:lineRule="exact"/>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66" w:h="17375"/>
          <w:pgMar w:top="1550" w:right="1102" w:bottom="1717" w:left="1010" w:header="0" w:footer="3" w:gutter="0"/>
          <w:cols w:space="720"/>
          <w:noEndnote/>
          <w:titlePg/>
          <w:rtlGutter w:val="0"/>
          <w:docGrid w:linePitch="360"/>
        </w:sectPr>
      </w:pPr>
      <w:r>
        <mc:AlternateContent>
          <mc:Choice Requires="wps">
            <w:drawing>
              <wp:anchor distT="27305" distB="1064260" distL="0" distR="0" simplePos="0" relativeHeight="125829506" behindDoc="0" locked="0" layoutInCell="1" allowOverlap="1">
                <wp:simplePos x="0" y="0"/>
                <wp:positionH relativeFrom="page">
                  <wp:posOffset>604520</wp:posOffset>
                </wp:positionH>
                <wp:positionV relativeFrom="paragraph">
                  <wp:posOffset>27305</wp:posOffset>
                </wp:positionV>
                <wp:extent cx="490855" cy="454025"/>
                <wp:wrapTopAndBottom/>
                <wp:docPr id="172" name="Shape 172"/>
                <a:graphic xmlns:a="http://schemas.openxmlformats.org/drawingml/2006/main">
                  <a:graphicData uri="http://schemas.microsoft.com/office/word/2010/wordprocessingShape">
                    <wps:wsp>
                      <wps:cNvSpPr txBox="1"/>
                      <wps:spPr>
                        <a:xfrm>
                          <a:ext cx="490855"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百邦快修 加盟建设 项目</w:t>
                            </w:r>
                          </w:p>
                        </w:txbxContent>
                      </wps:txbx>
                      <wps:bodyPr lIns="0" tIns="0" rIns="0" bIns="0">
                        <a:noAutoFit/>
                      </wps:bodyPr>
                    </wps:wsp>
                  </a:graphicData>
                </a:graphic>
              </wp:anchor>
            </w:drawing>
          </mc:Choice>
          <mc:Fallback>
            <w:pict>
              <v:shape id="_x0000_s1198" type="#_x0000_t202" style="position:absolute;margin-left:47.600000000000001pt;margin-top:2.1499999999999999pt;width:38.649999999999999pt;height:35.75pt;z-index:-125829247;mso-wrap-distance-left:0;mso-wrap-distance-top:2.1499999999999999pt;mso-wrap-distance-right:0;mso-wrap-distance-bottom:83.799999999999997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百邦快修 加盟建设 项目</w:t>
                      </w:r>
                    </w:p>
                  </w:txbxContent>
                </v:textbox>
                <w10:wrap type="topAndBottom" anchorx="page"/>
              </v:shape>
            </w:pict>
          </mc:Fallback>
        </mc:AlternateContent>
      </w:r>
      <w:r>
        <mc:AlternateContent>
          <mc:Choice Requires="wps">
            <w:drawing>
              <wp:anchor distT="603250" distB="637540" distL="0" distR="0" simplePos="0" relativeHeight="125829508" behindDoc="0" locked="0" layoutInCell="1" allowOverlap="1">
                <wp:simplePos x="0" y="0"/>
                <wp:positionH relativeFrom="page">
                  <wp:posOffset>604520</wp:posOffset>
                </wp:positionH>
                <wp:positionV relativeFrom="paragraph">
                  <wp:posOffset>603250</wp:posOffset>
                </wp:positionV>
                <wp:extent cx="487680" cy="304800"/>
                <wp:wrapTopAndBottom/>
                <wp:docPr id="174" name="Shape 174"/>
                <a:graphic xmlns:a="http://schemas.openxmlformats.org/drawingml/2006/main">
                  <a:graphicData uri="http://schemas.microsoft.com/office/word/2010/wordprocessingShape">
                    <wps:wsp>
                      <wps:cNvSpPr txBox="1"/>
                      <wps:spPr>
                        <a:xfrm>
                          <a:ext cx="487680" cy="3048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补充流动 资金</w:t>
                            </w:r>
                          </w:p>
                        </w:txbxContent>
                      </wps:txbx>
                      <wps:bodyPr lIns="0" tIns="0" rIns="0" bIns="0">
                        <a:noAutoFit/>
                      </wps:bodyPr>
                    </wps:wsp>
                  </a:graphicData>
                </a:graphic>
              </wp:anchor>
            </w:drawing>
          </mc:Choice>
          <mc:Fallback>
            <w:pict>
              <v:shape id="_x0000_s1200" type="#_x0000_t202" style="position:absolute;margin-left:47.600000000000001pt;margin-top:47.5pt;width:38.399999999999999pt;height:24.pt;z-index:-125829245;mso-wrap-distance-left:0;mso-wrap-distance-top:47.5pt;mso-wrap-distance-right:0;mso-wrap-distance-bottom:50.200000000000003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补充流动 资金</w:t>
                      </w:r>
                    </w:p>
                  </w:txbxContent>
                </v:textbox>
                <w10:wrap type="topAndBottom" anchorx="page"/>
              </v:shape>
            </w:pict>
          </mc:Fallback>
        </mc:AlternateContent>
      </w:r>
      <w:r>
        <mc:AlternateContent>
          <mc:Choice Requires="wps">
            <w:drawing>
              <wp:anchor distT="0" distB="563880" distL="0" distR="0" simplePos="0" relativeHeight="125829510" behindDoc="0" locked="0" layoutInCell="1" allowOverlap="1">
                <wp:simplePos x="0" y="0"/>
                <wp:positionH relativeFrom="page">
                  <wp:posOffset>1119505</wp:posOffset>
                </wp:positionH>
                <wp:positionV relativeFrom="paragraph">
                  <wp:posOffset>0</wp:posOffset>
                </wp:positionV>
                <wp:extent cx="2572385" cy="981710"/>
                <wp:wrapTopAndBottom/>
                <wp:docPr id="176" name="Shape 176"/>
                <a:graphic xmlns:a="http://schemas.openxmlformats.org/drawingml/2006/main">
                  <a:graphicData uri="http://schemas.microsoft.com/office/word/2010/wordprocessingShape">
                    <wps:wsp>
                      <wps:cNvSpPr txBox="1"/>
                      <wps:spPr>
                        <a:xfrm>
                          <a:ext cx="2572385" cy="981710"/>
                        </a:xfrm>
                        <a:prstGeom prst="rect"/>
                        <a:noFill/>
                      </wps:spPr>
                      <wps:txbx>
                        <w:txbxContent>
                          <w:p>
                            <w:pPr>
                              <w:pStyle w:val="Style31"/>
                              <w:keepNext w:val="0"/>
                              <w:keepLines w:val="0"/>
                              <w:widowControl w:val="0"/>
                              <w:shd w:val="clear" w:color="auto" w:fill="auto"/>
                              <w:tabs>
                                <w:tab w:pos="1349" w:val="left"/>
                                <w:tab w:pos="2342" w:val="left"/>
                                <w:tab w:pos="3336" w:val="left"/>
                              </w:tabs>
                              <w:bidi w:val="0"/>
                              <w:spacing w:before="0" w:after="0" w:line="256" w:lineRule="exact"/>
                              <w:ind w:left="0" w:right="0" w:firstLine="0"/>
                              <w:jc w:val="left"/>
                              <w:rPr>
                                <w:sz w:val="18"/>
                                <w:szCs w:val="18"/>
                              </w:rPr>
                            </w:pPr>
                            <w:r>
                              <w:rPr>
                                <w:color w:val="000000"/>
                                <w:spacing w:val="0"/>
                                <w:w w:val="100"/>
                                <w:position w:val="0"/>
                                <w:sz w:val="15"/>
                                <w:szCs w:val="15"/>
                              </w:rPr>
                              <w:t>集约化管理 运营中心建 设项目 闪电蜂电子 商务平台优</w:t>
                              <w:tab/>
                            </w:r>
                            <w:r>
                              <w:rPr>
                                <w:rFonts w:ascii="Times New Roman" w:eastAsia="Times New Roman" w:hAnsi="Times New Roman" w:cs="Times New Roman"/>
                                <w:color w:val="000000"/>
                                <w:spacing w:val="0"/>
                                <w:w w:val="100"/>
                                <w:position w:val="0"/>
                                <w:sz w:val="18"/>
                                <w:szCs w:val="18"/>
                              </w:rPr>
                              <w:t>3,338.98</w:t>
                              <w:tab/>
                              <w:t>3,473.29</w:t>
                              <w:tab/>
                              <w:t>3,473.29</w:t>
                            </w:r>
                          </w:p>
                          <w:p>
                            <w:pPr>
                              <w:pStyle w:val="Style31"/>
                              <w:keepNext w:val="0"/>
                              <w:keepLines w:val="0"/>
                              <w:widowControl w:val="0"/>
                              <w:pBdr>
                                <w:bottom w:val="single" w:sz="4" w:space="0" w:color="auto"/>
                              </w:pBdr>
                              <w:shd w:val="clear" w:color="auto" w:fill="auto"/>
                              <w:bidi w:val="0"/>
                              <w:spacing w:before="0" w:after="0" w:line="256" w:lineRule="exact"/>
                              <w:ind w:left="0" w:right="0" w:firstLine="0"/>
                              <w:jc w:val="left"/>
                            </w:pPr>
                            <w:r>
                              <w:rPr>
                                <w:color w:val="000000"/>
                                <w:spacing w:val="0"/>
                                <w:w w:val="100"/>
                                <w:position w:val="0"/>
                              </w:rPr>
                              <w:t>化项目</w:t>
                            </w:r>
                          </w:p>
                        </w:txbxContent>
                      </wps:txbx>
                      <wps:bodyPr lIns="0" tIns="0" rIns="0" bIns="0">
                        <a:noAutoFit/>
                      </wps:bodyPr>
                    </wps:wsp>
                  </a:graphicData>
                </a:graphic>
              </wp:anchor>
            </w:drawing>
          </mc:Choice>
          <mc:Fallback>
            <w:pict>
              <v:shape id="_x0000_s1202" type="#_x0000_t202" style="position:absolute;margin-left:88.150000000000006pt;margin-top:0;width:202.55000000000001pt;height:77.299999999999997pt;z-index:-125829243;mso-wrap-distance-left:0;mso-wrap-distance-right:0;mso-wrap-distance-bottom:44.399999999999999pt;mso-position-horizontal-relative:page" filled="f" stroked="f">
                <v:textbox inset="0,0,0,0">
                  <w:txbxContent>
                    <w:p>
                      <w:pPr>
                        <w:pStyle w:val="Style31"/>
                        <w:keepNext w:val="0"/>
                        <w:keepLines w:val="0"/>
                        <w:widowControl w:val="0"/>
                        <w:shd w:val="clear" w:color="auto" w:fill="auto"/>
                        <w:tabs>
                          <w:tab w:pos="1349" w:val="left"/>
                          <w:tab w:pos="2342" w:val="left"/>
                          <w:tab w:pos="3336" w:val="left"/>
                        </w:tabs>
                        <w:bidi w:val="0"/>
                        <w:spacing w:before="0" w:after="0" w:line="256" w:lineRule="exact"/>
                        <w:ind w:left="0" w:right="0" w:firstLine="0"/>
                        <w:jc w:val="left"/>
                        <w:rPr>
                          <w:sz w:val="18"/>
                          <w:szCs w:val="18"/>
                        </w:rPr>
                      </w:pPr>
                      <w:r>
                        <w:rPr>
                          <w:color w:val="000000"/>
                          <w:spacing w:val="0"/>
                          <w:w w:val="100"/>
                          <w:position w:val="0"/>
                          <w:sz w:val="15"/>
                          <w:szCs w:val="15"/>
                        </w:rPr>
                        <w:t>集约化管理 运营中心建 设项目 闪电蜂电子 商务平台优</w:t>
                        <w:tab/>
                      </w:r>
                      <w:r>
                        <w:rPr>
                          <w:rFonts w:ascii="Times New Roman" w:eastAsia="Times New Roman" w:hAnsi="Times New Roman" w:cs="Times New Roman"/>
                          <w:color w:val="000000"/>
                          <w:spacing w:val="0"/>
                          <w:w w:val="100"/>
                          <w:position w:val="0"/>
                          <w:sz w:val="18"/>
                          <w:szCs w:val="18"/>
                        </w:rPr>
                        <w:t>3,338.98</w:t>
                        <w:tab/>
                        <w:t>3,473.29</w:t>
                        <w:tab/>
                        <w:t>3,473.29</w:t>
                      </w:r>
                    </w:p>
                    <w:p>
                      <w:pPr>
                        <w:pStyle w:val="Style31"/>
                        <w:keepNext w:val="0"/>
                        <w:keepLines w:val="0"/>
                        <w:widowControl w:val="0"/>
                        <w:pBdr>
                          <w:bottom w:val="single" w:sz="4" w:space="0" w:color="auto"/>
                        </w:pBdr>
                        <w:shd w:val="clear" w:color="auto" w:fill="auto"/>
                        <w:bidi w:val="0"/>
                        <w:spacing w:before="0" w:after="0" w:line="256" w:lineRule="exact"/>
                        <w:ind w:left="0" w:right="0" w:firstLine="0"/>
                        <w:jc w:val="left"/>
                      </w:pPr>
                      <w:r>
                        <w:rPr>
                          <w:color w:val="000000"/>
                          <w:spacing w:val="0"/>
                          <w:w w:val="100"/>
                          <w:position w:val="0"/>
                        </w:rPr>
                        <w:t>化项目</w:t>
                      </w:r>
                    </w:p>
                  </w:txbxContent>
                </v:textbox>
                <w10:wrap type="topAndBottom" anchorx="page"/>
              </v:shape>
            </w:pict>
          </mc:Fallback>
        </mc:AlternateContent>
      </w:r>
      <w:r>
        <mc:AlternateContent>
          <mc:Choice Requires="wps">
            <w:drawing>
              <wp:anchor distT="189230" distB="1212850" distL="0" distR="0" simplePos="0" relativeHeight="125829512" behindDoc="0" locked="0" layoutInCell="1" allowOverlap="1">
                <wp:simplePos x="0" y="0"/>
                <wp:positionH relativeFrom="page">
                  <wp:posOffset>2140585</wp:posOffset>
                </wp:positionH>
                <wp:positionV relativeFrom="paragraph">
                  <wp:posOffset>189230</wp:posOffset>
                </wp:positionV>
                <wp:extent cx="1551305" cy="143510"/>
                <wp:wrapTopAndBottom/>
                <wp:docPr id="178" name="Shape 178"/>
                <a:graphic xmlns:a="http://schemas.openxmlformats.org/drawingml/2006/main">
                  <a:graphicData uri="http://schemas.microsoft.com/office/word/2010/wordprocessingShape">
                    <wps:wsp>
                      <wps:cNvSpPr txBox="1"/>
                      <wps:spPr>
                        <a:xfrm>
                          <a:ext cx="1551305" cy="143510"/>
                        </a:xfrm>
                        <a:prstGeom prst="rect"/>
                        <a:noFill/>
                      </wps:spPr>
                      <wps:txbx>
                        <w:txbxContent>
                          <w:p>
                            <w:pPr>
                              <w:pStyle w:val="Style34"/>
                              <w:keepNext w:val="0"/>
                              <w:keepLines w:val="0"/>
                              <w:widowControl w:val="0"/>
                              <w:shd w:val="clear" w:color="auto" w:fill="auto"/>
                              <w:tabs>
                                <w:tab w:pos="782" w:val="left"/>
                                <w:tab w:pos="1757" w:val="left"/>
                              </w:tabs>
                              <w:bidi w:val="0"/>
                              <w:spacing w:before="0" w:after="0" w:line="240" w:lineRule="auto"/>
                              <w:ind w:left="0" w:right="0" w:firstLine="0"/>
                              <w:jc w:val="left"/>
                            </w:pPr>
                            <w:r>
                              <w:rPr>
                                <w:color w:val="000000"/>
                                <w:spacing w:val="0"/>
                                <w:w w:val="100"/>
                                <w:position w:val="0"/>
                              </w:rPr>
                              <w:t>4,087</w:t>
                              <w:tab/>
                            </w:r>
                            <w:r>
                              <w:rPr>
                                <w:color w:val="000000"/>
                                <w:spacing w:val="0"/>
                                <w:w w:val="100"/>
                                <w:position w:val="0"/>
                              </w:rPr>
                              <w:t>1,161.16</w:t>
                              <w:tab/>
                              <w:t>2,261.39</w:t>
                            </w:r>
                          </w:p>
                        </w:txbxContent>
                      </wps:txbx>
                      <wps:bodyPr wrap="none" lIns="0" tIns="0" rIns="0" bIns="0">
                        <a:noAutoFit/>
                      </wps:bodyPr>
                    </wps:wsp>
                  </a:graphicData>
                </a:graphic>
              </wp:anchor>
            </w:drawing>
          </mc:Choice>
          <mc:Fallback>
            <w:pict>
              <v:shape id="_x0000_s1204" type="#_x0000_t202" style="position:absolute;margin-left:168.55000000000001pt;margin-top:14.9pt;width:122.15000000000001pt;height:11.300000000000001pt;z-index:-125829241;mso-wrap-distance-left:0;mso-wrap-distance-top:14.9pt;mso-wrap-distance-right:0;mso-wrap-distance-bottom:95.5pt;mso-position-horizontal-relative:page" filled="f" stroked="f">
                <v:textbox inset="0,0,0,0">
                  <w:txbxContent>
                    <w:p>
                      <w:pPr>
                        <w:pStyle w:val="Style34"/>
                        <w:keepNext w:val="0"/>
                        <w:keepLines w:val="0"/>
                        <w:widowControl w:val="0"/>
                        <w:shd w:val="clear" w:color="auto" w:fill="auto"/>
                        <w:tabs>
                          <w:tab w:pos="782" w:val="left"/>
                          <w:tab w:pos="1757" w:val="left"/>
                        </w:tabs>
                        <w:bidi w:val="0"/>
                        <w:spacing w:before="0" w:after="0" w:line="240" w:lineRule="auto"/>
                        <w:ind w:left="0" w:right="0" w:firstLine="0"/>
                        <w:jc w:val="left"/>
                      </w:pPr>
                      <w:r>
                        <w:rPr>
                          <w:color w:val="000000"/>
                          <w:spacing w:val="0"/>
                          <w:w w:val="100"/>
                          <w:position w:val="0"/>
                        </w:rPr>
                        <w:t>4,087</w:t>
                        <w:tab/>
                      </w:r>
                      <w:r>
                        <w:rPr>
                          <w:color w:val="000000"/>
                          <w:spacing w:val="0"/>
                          <w:w w:val="100"/>
                          <w:position w:val="0"/>
                        </w:rPr>
                        <w:t>1,161.16</w:t>
                        <w:tab/>
                        <w:t>2,261.39</w:t>
                      </w:r>
                    </w:p>
                  </w:txbxContent>
                </v:textbox>
                <w10:wrap type="topAndBottom" anchorx="page"/>
              </v:shape>
            </w:pict>
          </mc:Fallback>
        </mc:AlternateContent>
      </w:r>
      <w:r>
        <mc:AlternateContent>
          <mc:Choice Requires="wps">
            <w:drawing>
              <wp:anchor distT="186055" distB="1210310" distL="0" distR="0" simplePos="0" relativeHeight="125829514" behindDoc="0" locked="0" layoutInCell="1" allowOverlap="1">
                <wp:simplePos x="0" y="0"/>
                <wp:positionH relativeFrom="page">
                  <wp:posOffset>4033520</wp:posOffset>
                </wp:positionH>
                <wp:positionV relativeFrom="paragraph">
                  <wp:posOffset>186055</wp:posOffset>
                </wp:positionV>
                <wp:extent cx="1380490" cy="149225"/>
                <wp:wrapTopAndBottom/>
                <wp:docPr id="180" name="Shape 180"/>
                <a:graphic xmlns:a="http://schemas.openxmlformats.org/drawingml/2006/main">
                  <a:graphicData uri="http://schemas.microsoft.com/office/word/2010/wordprocessingShape">
                    <wps:wsp>
                      <wps:cNvSpPr txBox="1"/>
                      <wps:spPr>
                        <a:xfrm>
                          <a:ext cx="138049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55.33%2021 </w:t>
                            </w:r>
                            <w:r>
                              <w:rPr>
                                <w:rFonts w:ascii="SimSun" w:eastAsia="SimSun" w:hAnsi="SimSun" w:cs="SimSun"/>
                                <w:color w:val="000000"/>
                                <w:spacing w:val="0"/>
                                <w:w w:val="100"/>
                                <w:position w:val="0"/>
                                <w:sz w:val="15"/>
                                <w:szCs w:val="15"/>
                              </w:rPr>
                              <w:t xml:space="preserve">年 </w:t>
                            </w:r>
                            <w:r>
                              <w:rPr>
                                <w:color w:val="000000"/>
                                <w:spacing w:val="0"/>
                                <w:w w:val="100"/>
                                <w:position w:val="0"/>
                              </w:rPr>
                              <w:t xml:space="preserve">5 </w:t>
                            </w:r>
                            <w:r>
                              <w:rPr>
                                <w:rFonts w:ascii="SimSun" w:eastAsia="SimSun" w:hAnsi="SimSun" w:cs="SimSun"/>
                                <w:color w:val="000000"/>
                                <w:spacing w:val="0"/>
                                <w:w w:val="100"/>
                                <w:position w:val="0"/>
                                <w:sz w:val="15"/>
                                <w:szCs w:val="15"/>
                              </w:rPr>
                              <w:t xml:space="preserve">月 注 </w:t>
                            </w:r>
                            <w:r>
                              <w:rPr>
                                <w:color w:val="000000"/>
                                <w:spacing w:val="0"/>
                                <w:w w:val="100"/>
                                <w:position w:val="0"/>
                              </w:rPr>
                              <w:t>1</w:t>
                            </w:r>
                          </w:p>
                        </w:txbxContent>
                      </wps:txbx>
                      <wps:bodyPr wrap="none" lIns="0" tIns="0" rIns="0" bIns="0">
                        <a:noAutoFit/>
                      </wps:bodyPr>
                    </wps:wsp>
                  </a:graphicData>
                </a:graphic>
              </wp:anchor>
            </w:drawing>
          </mc:Choice>
          <mc:Fallback>
            <w:pict>
              <v:shape id="_x0000_s1206" type="#_x0000_t202" style="position:absolute;margin-left:317.60000000000002pt;margin-top:14.65pt;width:108.7pt;height:11.75pt;z-index:-125829239;mso-wrap-distance-left:0;mso-wrap-distance-top:14.65pt;mso-wrap-distance-right:0;mso-wrap-distance-bottom:95.299999999999997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55.33%2021 </w:t>
                      </w:r>
                      <w:r>
                        <w:rPr>
                          <w:rFonts w:ascii="SimSun" w:eastAsia="SimSun" w:hAnsi="SimSun" w:cs="SimSun"/>
                          <w:color w:val="000000"/>
                          <w:spacing w:val="0"/>
                          <w:w w:val="100"/>
                          <w:position w:val="0"/>
                          <w:sz w:val="15"/>
                          <w:szCs w:val="15"/>
                        </w:rPr>
                        <w:t xml:space="preserve">年 </w:t>
                      </w:r>
                      <w:r>
                        <w:rPr>
                          <w:color w:val="000000"/>
                          <w:spacing w:val="0"/>
                          <w:w w:val="100"/>
                          <w:position w:val="0"/>
                        </w:rPr>
                        <w:t xml:space="preserve">5 </w:t>
                      </w:r>
                      <w:r>
                        <w:rPr>
                          <w:rFonts w:ascii="SimSun" w:eastAsia="SimSun" w:hAnsi="SimSun" w:cs="SimSun"/>
                          <w:color w:val="000000"/>
                          <w:spacing w:val="0"/>
                          <w:w w:val="100"/>
                          <w:position w:val="0"/>
                          <w:sz w:val="15"/>
                          <w:szCs w:val="15"/>
                        </w:rPr>
                        <w:t xml:space="preserve">月 注 </w:t>
                      </w:r>
                      <w:r>
                        <w:rPr>
                          <w:color w:val="000000"/>
                          <w:spacing w:val="0"/>
                          <w:w w:val="100"/>
                          <w:position w:val="0"/>
                        </w:rPr>
                        <w:t>1</w:t>
                      </w:r>
                    </w:p>
                  </w:txbxContent>
                </v:textbox>
                <w10:wrap type="topAndBottom" anchorx="page"/>
              </v:shape>
            </w:pict>
          </mc:Fallback>
        </mc:AlternateContent>
      </w:r>
      <w:r>
        <mc:AlternateContent>
          <mc:Choice Requires="wps">
            <w:drawing>
              <wp:anchor distT="692150" distB="709930" distL="0" distR="0" simplePos="0" relativeHeight="125829516" behindDoc="0" locked="0" layoutInCell="1" allowOverlap="1">
                <wp:simplePos x="0" y="0"/>
                <wp:positionH relativeFrom="page">
                  <wp:posOffset>3981450</wp:posOffset>
                </wp:positionH>
                <wp:positionV relativeFrom="paragraph">
                  <wp:posOffset>692150</wp:posOffset>
                </wp:positionV>
                <wp:extent cx="433070" cy="143510"/>
                <wp:wrapTopAndBottom/>
                <wp:docPr id="182" name="Shape 182"/>
                <a:graphic xmlns:a="http://schemas.openxmlformats.org/drawingml/2006/main">
                  <a:graphicData uri="http://schemas.microsoft.com/office/word/2010/wordprocessingShape">
                    <wps:wsp>
                      <wps:cNvSpPr txBox="1"/>
                      <wps:spPr>
                        <a:xfrm>
                          <a:ext cx="43307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104.02%</w:t>
                            </w:r>
                          </w:p>
                        </w:txbxContent>
                      </wps:txbx>
                      <wps:bodyPr wrap="none" lIns="0" tIns="0" rIns="0" bIns="0">
                        <a:noAutoFit/>
                      </wps:bodyPr>
                    </wps:wsp>
                  </a:graphicData>
                </a:graphic>
              </wp:anchor>
            </w:drawing>
          </mc:Choice>
          <mc:Fallback>
            <w:pict>
              <v:shape id="_x0000_s1208" type="#_x0000_t202" style="position:absolute;margin-left:313.5pt;margin-top:54.5pt;width:34.100000000000001pt;height:11.300000000000001pt;z-index:-125829237;mso-wrap-distance-left:0;mso-wrap-distance-top:54.5pt;mso-wrap-distance-right:0;mso-wrap-distance-bottom:55.89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104.02%</w:t>
                      </w:r>
                    </w:p>
                  </w:txbxContent>
                </v:textbox>
                <w10:wrap type="topAndBottom" anchorx="page"/>
              </v:shape>
            </w:pict>
          </mc:Fallback>
        </mc:AlternateContent>
      </w:r>
      <w:r>
        <mc:AlternateContent>
          <mc:Choice Requires="wps">
            <w:drawing>
              <wp:anchor distT="688975" distB="713105" distL="0" distR="0" simplePos="0" relativeHeight="125829518" behindDoc="0" locked="0" layoutInCell="1" allowOverlap="1">
                <wp:simplePos x="0" y="0"/>
                <wp:positionH relativeFrom="page">
                  <wp:posOffset>5115560</wp:posOffset>
                </wp:positionH>
                <wp:positionV relativeFrom="paragraph">
                  <wp:posOffset>688975</wp:posOffset>
                </wp:positionV>
                <wp:extent cx="908050" cy="143510"/>
                <wp:wrapTopAndBottom/>
                <wp:docPr id="184" name="Shape 184"/>
                <a:graphic xmlns:a="http://schemas.openxmlformats.org/drawingml/2006/main">
                  <a:graphicData uri="http://schemas.microsoft.com/office/word/2010/wordprocessingShape">
                    <wps:wsp>
                      <wps:cNvSpPr txBox="1"/>
                      <wps:spPr>
                        <a:xfrm>
                          <a:ext cx="90805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 不适用</w:t>
                            </w:r>
                          </w:p>
                        </w:txbxContent>
                      </wps:txbx>
                      <wps:bodyPr wrap="none" lIns="0" tIns="0" rIns="0" bIns="0">
                        <a:noAutoFit/>
                      </wps:bodyPr>
                    </wps:wsp>
                  </a:graphicData>
                </a:graphic>
              </wp:anchor>
            </w:drawing>
          </mc:Choice>
          <mc:Fallback>
            <w:pict>
              <v:shape id="_x0000_s1210" type="#_x0000_t202" style="position:absolute;margin-left:402.80000000000001pt;margin-top:54.25pt;width:71.5pt;height:11.300000000000001pt;z-index:-125829235;mso-wrap-distance-left:0;mso-wrap-distance-top:54.25pt;mso-wrap-distance-right:0;mso-wrap-distance-bottom:56.14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 不适用</w:t>
                      </w:r>
                    </w:p>
                  </w:txbxContent>
                </v:textbox>
                <w10:wrap type="topAndBottom" anchorx="page"/>
              </v:shape>
            </w:pict>
          </mc:Fallback>
        </mc:AlternateContent>
      </w:r>
      <w:r>
        <mc:AlternateContent>
          <mc:Choice Requires="wps">
            <w:drawing>
              <wp:anchor distT="1029970" distB="3810" distL="0" distR="0" simplePos="0" relativeHeight="125829520" behindDoc="0" locked="0" layoutInCell="1" allowOverlap="1">
                <wp:simplePos x="0" y="0"/>
                <wp:positionH relativeFrom="page">
                  <wp:posOffset>604520</wp:posOffset>
                </wp:positionH>
                <wp:positionV relativeFrom="paragraph">
                  <wp:posOffset>1029970</wp:posOffset>
                </wp:positionV>
                <wp:extent cx="487680" cy="511810"/>
                <wp:wrapTopAndBottom/>
                <wp:docPr id="186" name="Shape 186"/>
                <a:graphic xmlns:a="http://schemas.openxmlformats.org/drawingml/2006/main">
                  <a:graphicData uri="http://schemas.microsoft.com/office/word/2010/wordprocessingShape">
                    <wps:wsp>
                      <wps:cNvSpPr txBox="1"/>
                      <wps:spPr>
                        <a:xfrm>
                          <a:ext cx="487680" cy="5118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80" w:line="230" w:lineRule="exact"/>
                              <w:ind w:left="0" w:right="0" w:firstLine="0"/>
                              <w:jc w:val="left"/>
                            </w:pPr>
                            <w:r>
                              <w:rPr>
                                <w:b/>
                                <w:bCs/>
                                <w:color w:val="FFFFFF"/>
                                <w:spacing w:val="0"/>
                                <w:w w:val="100"/>
                                <w:position w:val="0"/>
                              </w:rPr>
                              <w:t>补充流动 资金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合计</w:t>
                            </w:r>
                          </w:p>
                        </w:txbxContent>
                      </wps:txbx>
                      <wps:bodyPr lIns="0" tIns="0" rIns="0" bIns="0">
                        <a:noAutoFit/>
                      </wps:bodyPr>
                    </wps:wsp>
                  </a:graphicData>
                </a:graphic>
              </wp:anchor>
            </w:drawing>
          </mc:Choice>
          <mc:Fallback>
            <w:pict>
              <v:shape id="_x0000_s1212" type="#_x0000_t202" style="position:absolute;margin-left:47.600000000000001pt;margin-top:81.100000000000009pt;width:38.399999999999999pt;height:40.300000000000004pt;z-index:-125829233;mso-wrap-distance-left:0;mso-wrap-distance-top:81.100000000000009pt;mso-wrap-distance-right:0;mso-wrap-distance-bottom:0.29999999999999999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80" w:line="230" w:lineRule="exact"/>
                        <w:ind w:left="0" w:right="0" w:firstLine="0"/>
                        <w:jc w:val="left"/>
                      </w:pPr>
                      <w:r>
                        <w:rPr>
                          <w:b/>
                          <w:bCs/>
                          <w:color w:val="FFFFFF"/>
                          <w:spacing w:val="0"/>
                          <w:w w:val="100"/>
                          <w:position w:val="0"/>
                        </w:rPr>
                        <w:t>补充流动 资金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合计</w:t>
                      </w:r>
                    </w:p>
                  </w:txbxContent>
                </v:textbox>
                <w10:wrap type="topAndBottom" anchorx="page"/>
              </v:shape>
            </w:pict>
          </mc:Fallback>
        </mc:AlternateContent>
      </w:r>
      <w:r>
        <mc:AlternateContent>
          <mc:Choice Requires="wps">
            <w:drawing>
              <wp:anchor distT="1033145" distB="213995" distL="0" distR="0" simplePos="0" relativeHeight="125829522" behindDoc="0" locked="0" layoutInCell="1" allowOverlap="1">
                <wp:simplePos x="0" y="0"/>
                <wp:positionH relativeFrom="page">
                  <wp:posOffset>1144270</wp:posOffset>
                </wp:positionH>
                <wp:positionV relativeFrom="paragraph">
                  <wp:posOffset>1033145</wp:posOffset>
                </wp:positionV>
                <wp:extent cx="2545080" cy="298450"/>
                <wp:wrapTopAndBottom/>
                <wp:docPr id="188" name="Shape 188"/>
                <a:graphic xmlns:a="http://schemas.openxmlformats.org/drawingml/2006/main">
                  <a:graphicData uri="http://schemas.microsoft.com/office/word/2010/wordprocessingShape">
                    <wps:wsp>
                      <wps:cNvSpPr txBox="1"/>
                      <wps:spPr>
                        <a:xfrm>
                          <a:ext cx="2545080" cy="298450"/>
                        </a:xfrm>
                        <a:prstGeom prst="rect"/>
                        <a:noFill/>
                      </wps:spPr>
                      <wps:txbx>
                        <w:txbxContent>
                          <w:p>
                            <w:pPr>
                              <w:pStyle w:val="Style34"/>
                              <w:keepNext w:val="0"/>
                              <w:keepLines w:val="0"/>
                              <w:widowControl w:val="0"/>
                              <w:shd w:val="clear" w:color="auto" w:fill="auto"/>
                              <w:tabs>
                                <w:tab w:pos="1310" w:val="left"/>
                                <w:tab w:pos="2309" w:val="left"/>
                                <w:tab w:pos="3307" w:val="left"/>
                              </w:tabs>
                              <w:bidi w:val="0"/>
                              <w:spacing w:before="0" w:after="0" w:line="240" w:lineRule="auto"/>
                              <w:ind w:left="0" w:right="0" w:firstLine="0"/>
                              <w:jc w:val="left"/>
                            </w:pPr>
                            <w:r>
                              <w:rPr>
                                <w:rFonts w:ascii="SimSun" w:eastAsia="SimSun" w:hAnsi="SimSun" w:cs="SimSun"/>
                                <w:color w:val="000000"/>
                                <w:spacing w:val="0"/>
                                <w:w w:val="100"/>
                                <w:position w:val="0"/>
                                <w:sz w:val="30"/>
                                <w:szCs w:val="30"/>
                                <w:vertAlign w:val="superscript"/>
                              </w:rPr>
                              <w:t>信息化系统</w:t>
                            </w:r>
                            <w:r>
                              <w:rPr>
                                <w:rFonts w:ascii="SimSun" w:eastAsia="SimSun" w:hAnsi="SimSun" w:cs="SimSun"/>
                                <w:color w:val="000000"/>
                                <w:spacing w:val="0"/>
                                <w:w w:val="100"/>
                                <w:position w:val="0"/>
                                <w:sz w:val="30"/>
                                <w:szCs w:val="30"/>
                              </w:rPr>
                              <w:tab/>
                            </w:r>
                            <w:r>
                              <w:rPr>
                                <w:color w:val="000000"/>
                                <w:spacing w:val="0"/>
                                <w:w w:val="100"/>
                                <w:position w:val="0"/>
                              </w:rPr>
                              <w:t>3 398 46</w:t>
                              <w:tab/>
                              <w:t>3 741 45</w:t>
                              <w:tab/>
                              <w:t>3 741 45</w:t>
                            </w:r>
                          </w:p>
                          <w:p>
                            <w:pPr>
                              <w:pStyle w:val="Style2"/>
                              <w:keepNext w:val="0"/>
                              <w:keepLines w:val="0"/>
                              <w:widowControl w:val="0"/>
                              <w:pBdr>
                                <w:bottom w:val="single" w:sz="4" w:space="0" w:color="auto"/>
                              </w:pBdr>
                              <w:shd w:val="clear" w:color="auto" w:fill="auto"/>
                              <w:tabs>
                                <w:tab w:pos="1306" w:val="left"/>
                                <w:tab w:pos="2304" w:val="left"/>
                                <w:tab w:pos="3302" w:val="left"/>
                              </w:tabs>
                              <w:bidi w:val="0"/>
                              <w:spacing w:before="0" w:after="0" w:line="240" w:lineRule="auto"/>
                              <w:ind w:left="0" w:right="0" w:firstLine="0"/>
                              <w:jc w:val="left"/>
                              <w:rPr>
                                <w:sz w:val="12"/>
                                <w:szCs w:val="12"/>
                              </w:rPr>
                            </w:pPr>
                            <w:r>
                              <w:rPr>
                                <w:color w:val="000000"/>
                                <w:spacing w:val="0"/>
                                <w:w w:val="100"/>
                                <w:position w:val="0"/>
                                <w:sz w:val="15"/>
                                <w:szCs w:val="15"/>
                              </w:rPr>
                              <w:t>改扩建项目</w:t>
                              <w:tab/>
                            </w:r>
                            <w:r>
                              <w:rPr>
                                <w:rFonts w:ascii="Times New Roman" w:eastAsia="Times New Roman" w:hAnsi="Times New Roman" w:cs="Times New Roman"/>
                                <w:color w:val="000000"/>
                                <w:spacing w:val="0"/>
                                <w:w w:val="100"/>
                                <w:position w:val="0"/>
                                <w:sz w:val="12"/>
                                <w:szCs w:val="12"/>
                                <w:vertAlign w:val="superscript"/>
                              </w:rPr>
                              <w:t>3,398.46</w:t>
                              <w:tab/>
                            </w:r>
                            <w:r>
                              <w:rPr>
                                <w:rFonts w:ascii="Times New Roman" w:eastAsia="Times New Roman" w:hAnsi="Times New Roman" w:cs="Times New Roman"/>
                                <w:color w:val="000000"/>
                                <w:spacing w:val="0"/>
                                <w:w w:val="100"/>
                                <w:position w:val="0"/>
                                <w:sz w:val="12"/>
                                <w:szCs w:val="12"/>
                                <w:vertAlign w:val="superscript"/>
                              </w:rPr>
                              <w:t>3,/41.45</w:t>
                              <w:tab/>
                              <w:t>3,/41.45</w:t>
                            </w:r>
                          </w:p>
                        </w:txbxContent>
                      </wps:txbx>
                      <wps:bodyPr lIns="0" tIns="0" rIns="0" bIns="0">
                        <a:noAutoFit/>
                      </wps:bodyPr>
                    </wps:wsp>
                  </a:graphicData>
                </a:graphic>
              </wp:anchor>
            </w:drawing>
          </mc:Choice>
          <mc:Fallback>
            <w:pict>
              <v:shape id="_x0000_s1214" type="#_x0000_t202" style="position:absolute;margin-left:90.100000000000009pt;margin-top:81.350000000000009pt;width:200.40000000000001pt;height:23.5pt;z-index:-125829231;mso-wrap-distance-left:0;mso-wrap-distance-top:81.350000000000009pt;mso-wrap-distance-right:0;mso-wrap-distance-bottom:16.850000000000001pt;mso-position-horizontal-relative:page" filled="f" stroked="f">
                <v:textbox inset="0,0,0,0">
                  <w:txbxContent>
                    <w:p>
                      <w:pPr>
                        <w:pStyle w:val="Style34"/>
                        <w:keepNext w:val="0"/>
                        <w:keepLines w:val="0"/>
                        <w:widowControl w:val="0"/>
                        <w:shd w:val="clear" w:color="auto" w:fill="auto"/>
                        <w:tabs>
                          <w:tab w:pos="1310" w:val="left"/>
                          <w:tab w:pos="2309" w:val="left"/>
                          <w:tab w:pos="3307" w:val="left"/>
                        </w:tabs>
                        <w:bidi w:val="0"/>
                        <w:spacing w:before="0" w:after="0" w:line="240" w:lineRule="auto"/>
                        <w:ind w:left="0" w:right="0" w:firstLine="0"/>
                        <w:jc w:val="left"/>
                      </w:pPr>
                      <w:r>
                        <w:rPr>
                          <w:rFonts w:ascii="SimSun" w:eastAsia="SimSun" w:hAnsi="SimSun" w:cs="SimSun"/>
                          <w:color w:val="000000"/>
                          <w:spacing w:val="0"/>
                          <w:w w:val="100"/>
                          <w:position w:val="0"/>
                          <w:sz w:val="30"/>
                          <w:szCs w:val="30"/>
                          <w:vertAlign w:val="superscript"/>
                        </w:rPr>
                        <w:t>信息化系统</w:t>
                      </w:r>
                      <w:r>
                        <w:rPr>
                          <w:rFonts w:ascii="SimSun" w:eastAsia="SimSun" w:hAnsi="SimSun" w:cs="SimSun"/>
                          <w:color w:val="000000"/>
                          <w:spacing w:val="0"/>
                          <w:w w:val="100"/>
                          <w:position w:val="0"/>
                          <w:sz w:val="30"/>
                          <w:szCs w:val="30"/>
                        </w:rPr>
                        <w:tab/>
                      </w:r>
                      <w:r>
                        <w:rPr>
                          <w:color w:val="000000"/>
                          <w:spacing w:val="0"/>
                          <w:w w:val="100"/>
                          <w:position w:val="0"/>
                        </w:rPr>
                        <w:t>3 398 46</w:t>
                        <w:tab/>
                        <w:t>3 741 45</w:t>
                        <w:tab/>
                        <w:t>3 741 45</w:t>
                      </w:r>
                    </w:p>
                    <w:p>
                      <w:pPr>
                        <w:pStyle w:val="Style2"/>
                        <w:keepNext w:val="0"/>
                        <w:keepLines w:val="0"/>
                        <w:widowControl w:val="0"/>
                        <w:pBdr>
                          <w:bottom w:val="single" w:sz="4" w:space="0" w:color="auto"/>
                        </w:pBdr>
                        <w:shd w:val="clear" w:color="auto" w:fill="auto"/>
                        <w:tabs>
                          <w:tab w:pos="1306" w:val="left"/>
                          <w:tab w:pos="2304" w:val="left"/>
                          <w:tab w:pos="3302" w:val="left"/>
                        </w:tabs>
                        <w:bidi w:val="0"/>
                        <w:spacing w:before="0" w:after="0" w:line="240" w:lineRule="auto"/>
                        <w:ind w:left="0" w:right="0" w:firstLine="0"/>
                        <w:jc w:val="left"/>
                        <w:rPr>
                          <w:sz w:val="12"/>
                          <w:szCs w:val="12"/>
                        </w:rPr>
                      </w:pPr>
                      <w:r>
                        <w:rPr>
                          <w:color w:val="000000"/>
                          <w:spacing w:val="0"/>
                          <w:w w:val="100"/>
                          <w:position w:val="0"/>
                          <w:sz w:val="15"/>
                          <w:szCs w:val="15"/>
                        </w:rPr>
                        <w:t>改扩建项目</w:t>
                        <w:tab/>
                      </w:r>
                      <w:r>
                        <w:rPr>
                          <w:rFonts w:ascii="Times New Roman" w:eastAsia="Times New Roman" w:hAnsi="Times New Roman" w:cs="Times New Roman"/>
                          <w:color w:val="000000"/>
                          <w:spacing w:val="0"/>
                          <w:w w:val="100"/>
                          <w:position w:val="0"/>
                          <w:sz w:val="12"/>
                          <w:szCs w:val="12"/>
                          <w:vertAlign w:val="superscript"/>
                        </w:rPr>
                        <w:t>3,398.46</w:t>
                        <w:tab/>
                      </w:r>
                      <w:r>
                        <w:rPr>
                          <w:rFonts w:ascii="Times New Roman" w:eastAsia="Times New Roman" w:hAnsi="Times New Roman" w:cs="Times New Roman"/>
                          <w:color w:val="000000"/>
                          <w:spacing w:val="0"/>
                          <w:w w:val="100"/>
                          <w:position w:val="0"/>
                          <w:sz w:val="12"/>
                          <w:szCs w:val="12"/>
                          <w:vertAlign w:val="superscript"/>
                        </w:rPr>
                        <w:t>3,/41.45</w:t>
                        <w:tab/>
                        <w:t>3,/41.45</w:t>
                      </w:r>
                    </w:p>
                  </w:txbxContent>
                </v:textbox>
                <w10:wrap type="topAndBottom" anchorx="page"/>
              </v:shape>
            </w:pict>
          </mc:Fallback>
        </mc:AlternateContent>
      </w:r>
      <w:r>
        <mc:AlternateContent>
          <mc:Choice Requires="wps">
            <w:drawing>
              <wp:anchor distT="1118870" distB="283210" distL="0" distR="0" simplePos="0" relativeHeight="125829524" behindDoc="0" locked="0" layoutInCell="1" allowOverlap="1">
                <wp:simplePos x="0" y="0"/>
                <wp:positionH relativeFrom="page">
                  <wp:posOffset>3984625</wp:posOffset>
                </wp:positionH>
                <wp:positionV relativeFrom="paragraph">
                  <wp:posOffset>1118870</wp:posOffset>
                </wp:positionV>
                <wp:extent cx="429895" cy="143510"/>
                <wp:wrapTopAndBottom/>
                <wp:docPr id="190" name="Shape 190"/>
                <a:graphic xmlns:a="http://schemas.openxmlformats.org/drawingml/2006/main">
                  <a:graphicData uri="http://schemas.microsoft.com/office/word/2010/wordprocessingShape">
                    <wps:wsp>
                      <wps:cNvSpPr txBox="1"/>
                      <wps:spPr>
                        <a:xfrm>
                          <a:ext cx="42989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110.09%</w:t>
                            </w:r>
                          </w:p>
                        </w:txbxContent>
                      </wps:txbx>
                      <wps:bodyPr wrap="none" lIns="0" tIns="0" rIns="0" bIns="0">
                        <a:noAutoFit/>
                      </wps:bodyPr>
                    </wps:wsp>
                  </a:graphicData>
                </a:graphic>
              </wp:anchor>
            </w:drawing>
          </mc:Choice>
          <mc:Fallback>
            <w:pict>
              <v:shape id="_x0000_s1216" type="#_x0000_t202" style="position:absolute;margin-left:313.75pt;margin-top:88.100000000000009pt;width:33.850000000000001pt;height:11.300000000000001pt;z-index:-125829229;mso-wrap-distance-left:0;mso-wrap-distance-top:88.100000000000009pt;mso-wrap-distance-right:0;mso-wrap-distance-bottom:22.30000000000000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110.09%</w:t>
                      </w:r>
                    </w:p>
                  </w:txbxContent>
                </v:textbox>
                <w10:wrap type="topAndBottom" anchorx="page"/>
              </v:shape>
            </w:pict>
          </mc:Fallback>
        </mc:AlternateContent>
      </w:r>
      <w:r>
        <mc:AlternateContent>
          <mc:Choice Requires="wps">
            <w:drawing>
              <wp:anchor distT="1115695" distB="286385" distL="0" distR="0" simplePos="0" relativeHeight="125829526" behindDoc="0" locked="0" layoutInCell="1" allowOverlap="1">
                <wp:simplePos x="0" y="0"/>
                <wp:positionH relativeFrom="page">
                  <wp:posOffset>5115560</wp:posOffset>
                </wp:positionH>
                <wp:positionV relativeFrom="paragraph">
                  <wp:posOffset>1115695</wp:posOffset>
                </wp:positionV>
                <wp:extent cx="908050" cy="143510"/>
                <wp:wrapTopAndBottom/>
                <wp:docPr id="192" name="Shape 192"/>
                <a:graphic xmlns:a="http://schemas.openxmlformats.org/drawingml/2006/main">
                  <a:graphicData uri="http://schemas.microsoft.com/office/word/2010/wordprocessingShape">
                    <wps:wsp>
                      <wps:cNvSpPr txBox="1"/>
                      <wps:spPr>
                        <a:xfrm>
                          <a:ext cx="90805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 不适用</w:t>
                            </w:r>
                          </w:p>
                        </w:txbxContent>
                      </wps:txbx>
                      <wps:bodyPr wrap="none" lIns="0" tIns="0" rIns="0" bIns="0">
                        <a:noAutoFit/>
                      </wps:bodyPr>
                    </wps:wsp>
                  </a:graphicData>
                </a:graphic>
              </wp:anchor>
            </w:drawing>
          </mc:Choice>
          <mc:Fallback>
            <w:pict>
              <v:shape id="_x0000_s1218" type="#_x0000_t202" style="position:absolute;margin-left:402.80000000000001pt;margin-top:87.850000000000009pt;width:71.5pt;height:11.300000000000001pt;z-index:-125829227;mso-wrap-distance-left:0;mso-wrap-distance-top:87.850000000000009pt;mso-wrap-distance-right:0;mso-wrap-distance-bottom:22.55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 不适用</w:t>
                      </w:r>
                    </w:p>
                  </w:txbxContent>
                </v:textbox>
                <w10:wrap type="topAndBottom" anchorx="page"/>
              </v:shape>
            </w:pict>
          </mc:Fallback>
        </mc:AlternateContent>
      </w:r>
      <w:r>
        <mc:AlternateContent>
          <mc:Choice Requires="wps">
            <w:drawing>
              <wp:anchor distT="1402080" distB="0" distL="0" distR="0" simplePos="0" relativeHeight="125829528" behindDoc="0" locked="0" layoutInCell="1" allowOverlap="1">
                <wp:simplePos x="0" y="0"/>
                <wp:positionH relativeFrom="page">
                  <wp:posOffset>1948815</wp:posOffset>
                </wp:positionH>
                <wp:positionV relativeFrom="paragraph">
                  <wp:posOffset>1402080</wp:posOffset>
                </wp:positionV>
                <wp:extent cx="1743710" cy="143510"/>
                <wp:wrapTopAndBottom/>
                <wp:docPr id="194" name="Shape 194"/>
                <a:graphic xmlns:a="http://schemas.openxmlformats.org/drawingml/2006/main">
                  <a:graphicData uri="http://schemas.microsoft.com/office/word/2010/wordprocessingShape">
                    <wps:wsp>
                      <wps:cNvSpPr txBox="1"/>
                      <wps:spPr>
                        <a:xfrm>
                          <a:ext cx="1743710" cy="1435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70" w:val="left"/>
                                <w:tab w:pos="2064" w:val="left"/>
                              </w:tabs>
                              <w:bidi w:val="0"/>
                              <w:spacing w:before="0" w:after="0" w:line="240" w:lineRule="auto"/>
                              <w:ind w:left="0" w:right="0" w:firstLine="0"/>
                              <w:jc w:val="left"/>
                            </w:pPr>
                            <w:r>
                              <w:rPr>
                                <w:b/>
                                <w:bCs/>
                                <w:color w:val="FFFFFF"/>
                                <w:spacing w:val="0"/>
                                <w:w w:val="100"/>
                                <w:position w:val="0"/>
                              </w:rPr>
                              <w:t>10,824.44</w:t>
                              <w:tab/>
                              <w:t>8,375.90</w:t>
                              <w:tab/>
                              <w:t>9,476.13</w:t>
                            </w:r>
                          </w:p>
                        </w:txbxContent>
                      </wps:txbx>
                      <wps:bodyPr wrap="none" lIns="0" tIns="0" rIns="0" bIns="0">
                        <a:noAutoFit/>
                      </wps:bodyPr>
                    </wps:wsp>
                  </a:graphicData>
                </a:graphic>
              </wp:anchor>
            </w:drawing>
          </mc:Choice>
          <mc:Fallback>
            <w:pict>
              <v:shape id="_x0000_s1220" type="#_x0000_t202" style="position:absolute;margin-left:153.45000000000002pt;margin-top:110.40000000000001pt;width:137.30000000000001pt;height:11.300000000000001pt;z-index:-125829225;mso-wrap-distance-left:0;mso-wrap-distance-top:110.40000000000001pt;mso-wrap-distance-right:0;mso-position-horizontal-relative:page"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70" w:val="left"/>
                          <w:tab w:pos="2064" w:val="left"/>
                        </w:tabs>
                        <w:bidi w:val="0"/>
                        <w:spacing w:before="0" w:after="0" w:line="240" w:lineRule="auto"/>
                        <w:ind w:left="0" w:right="0" w:firstLine="0"/>
                        <w:jc w:val="left"/>
                      </w:pPr>
                      <w:r>
                        <w:rPr>
                          <w:b/>
                          <w:bCs/>
                          <w:color w:val="FFFFFF"/>
                          <w:spacing w:val="0"/>
                          <w:w w:val="100"/>
                          <w:position w:val="0"/>
                        </w:rPr>
                        <w:t>10,824.44</w:t>
                        <w:tab/>
                        <w:t>8,375.90</w:t>
                        <w:tab/>
                        <w:t>9,476.13</w:t>
                      </w:r>
                    </w:p>
                  </w:txbxContent>
                </v:textbox>
                <w10:wrap type="topAndBottom" anchorx="page"/>
              </v:shape>
            </w:pict>
          </mc:Fallback>
        </mc:AlternateContent>
      </w:r>
    </w:p>
    <w:p>
      <w:pPr>
        <w:widowControl w:val="0"/>
        <w:spacing w:line="1" w:lineRule="exact"/>
      </w:pPr>
      <w:r>
        <w:drawing>
          <wp:anchor distT="0" distB="0" distL="0" distR="0" simplePos="0" relativeHeight="125829530" behindDoc="0" locked="0" layoutInCell="1" allowOverlap="1">
            <wp:simplePos x="0" y="0"/>
            <wp:positionH relativeFrom="page">
              <wp:posOffset>2031365</wp:posOffset>
            </wp:positionH>
            <wp:positionV relativeFrom="paragraph">
              <wp:posOffset>12700</wp:posOffset>
            </wp:positionV>
            <wp:extent cx="389890" cy="1524000"/>
            <wp:wrapSquare wrapText="right"/>
            <wp:docPr id="196" name="Shape 196"/>
            <a:graphic xmlns:a="http://schemas.openxmlformats.org/drawingml/2006/main">
              <a:graphicData uri="http://schemas.openxmlformats.org/drawingml/2006/picture">
                <pic:pic xmlns:pic="http://schemas.openxmlformats.org/drawingml/2006/picture">
                  <pic:nvPicPr>
                    <pic:cNvPr id="197" name="Picture box 197"/>
                    <pic:cNvPicPr/>
                  </pic:nvPicPr>
                  <pic:blipFill>
                    <a:blip r:embed="rId27"/>
                    <a:stretch/>
                  </pic:blipFill>
                  <pic:spPr>
                    <a:xfrm>
                      <a:ext cx="389890" cy="1524000"/>
                    </a:xfrm>
                    <a:prstGeom prst="rect"/>
                  </pic:spPr>
                </pic:pic>
              </a:graphicData>
            </a:graphic>
          </wp:anchor>
        </w:drawing>
      </w:r>
      <w:r>
        <mc:AlternateContent>
          <mc:Choice Requires="wps">
            <w:drawing>
              <wp:anchor distT="0" distB="0" distL="0" distR="0" simplePos="0" relativeHeight="125829531" behindDoc="0" locked="0" layoutInCell="1" allowOverlap="1">
                <wp:simplePos x="0" y="0"/>
                <wp:positionH relativeFrom="page">
                  <wp:posOffset>607695</wp:posOffset>
                </wp:positionH>
                <wp:positionV relativeFrom="paragraph">
                  <wp:posOffset>1527175</wp:posOffset>
                </wp:positionV>
                <wp:extent cx="1837690" cy="307975"/>
                <wp:wrapSquare wrapText="bothSides"/>
                <wp:docPr id="198" name="Shape 198"/>
                <a:graphic xmlns:a="http://schemas.openxmlformats.org/drawingml/2006/main">
                  <a:graphicData uri="http://schemas.microsoft.com/office/word/2010/wordprocessingShape">
                    <wps:wsp>
                      <wps:cNvSpPr txBox="1"/>
                      <wps:spPr>
                        <a:xfrm>
                          <a:ext cx="1837690" cy="30797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02" w:lineRule="exact"/>
                              <w:ind w:left="0" w:right="0" w:firstLine="0"/>
                              <w:jc w:val="left"/>
                              <w:rPr>
                                <w:sz w:val="19"/>
                                <w:szCs w:val="19"/>
                              </w:rPr>
                            </w:pPr>
                            <w:r>
                              <w:rPr>
                                <w:b/>
                                <w:bCs/>
                                <w:color w:val="FFFFFF"/>
                                <w:spacing w:val="0"/>
                                <w:w w:val="100"/>
                                <w:position w:val="0"/>
                                <w:sz w:val="15"/>
                                <w:szCs w:val="15"/>
                              </w:rPr>
                              <w:t>变更原因•决策程序及信息披露情况</w:t>
                            </w:r>
                            <w:r>
                              <w:rPr>
                                <w:rFonts w:ascii="Times New Roman" w:eastAsia="Times New Roman" w:hAnsi="Times New Roman" w:cs="Times New Roman"/>
                                <w:b/>
                                <w:bCs/>
                                <w:color w:val="FFFFFF"/>
                                <w:spacing w:val="0"/>
                                <w:w w:val="100"/>
                                <w:position w:val="0"/>
                                <w:sz w:val="18"/>
                                <w:szCs w:val="18"/>
                              </w:rPr>
                              <w:t xml:space="preserve">I </w:t>
                            </w:r>
                            <w:r>
                              <w:rPr>
                                <w:b/>
                                <w:bCs/>
                                <w:color w:val="FFFFFF"/>
                                <w:spacing w:val="0"/>
                                <w:w w:val="100"/>
                                <w:position w:val="0"/>
                                <w:sz w:val="15"/>
                                <w:szCs w:val="15"/>
                              </w:rPr>
                              <w:t>说明</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分具体项目</w:t>
                            </w:r>
                            <w:r>
                              <w:rPr>
                                <w:b/>
                                <w:bCs/>
                                <w:color w:val="FFFFFF"/>
                                <w:spacing w:val="0"/>
                                <w:w w:val="100"/>
                                <w:position w:val="0"/>
                                <w:sz w:val="19"/>
                                <w:szCs w:val="19"/>
                              </w:rPr>
                              <w:t>)</w:t>
                            </w:r>
                          </w:p>
                        </w:txbxContent>
                      </wps:txbx>
                      <wps:bodyPr lIns="0" tIns="0" rIns="0" bIns="0">
                        <a:noAutoFit/>
                      </wps:bodyPr>
                    </wps:wsp>
                  </a:graphicData>
                </a:graphic>
              </wp:anchor>
            </w:drawing>
          </mc:Choice>
          <mc:Fallback>
            <w:pict>
              <v:shape id="_x0000_s1224" type="#_x0000_t202" style="position:absolute;margin-left:47.850000000000001pt;margin-top:120.25pt;width:144.70000000000002pt;height:24.25pt;z-index:-125829222;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02" w:lineRule="exact"/>
                        <w:ind w:left="0" w:right="0" w:firstLine="0"/>
                        <w:jc w:val="left"/>
                        <w:rPr>
                          <w:sz w:val="19"/>
                          <w:szCs w:val="19"/>
                        </w:rPr>
                      </w:pPr>
                      <w:r>
                        <w:rPr>
                          <w:b/>
                          <w:bCs/>
                          <w:color w:val="FFFFFF"/>
                          <w:spacing w:val="0"/>
                          <w:w w:val="100"/>
                          <w:position w:val="0"/>
                          <w:sz w:val="15"/>
                          <w:szCs w:val="15"/>
                        </w:rPr>
                        <w:t>变更原因•决策程序及信息披露情况</w:t>
                      </w:r>
                      <w:r>
                        <w:rPr>
                          <w:rFonts w:ascii="Times New Roman" w:eastAsia="Times New Roman" w:hAnsi="Times New Roman" w:cs="Times New Roman"/>
                          <w:b/>
                          <w:bCs/>
                          <w:color w:val="FFFFFF"/>
                          <w:spacing w:val="0"/>
                          <w:w w:val="100"/>
                          <w:position w:val="0"/>
                          <w:sz w:val="18"/>
                          <w:szCs w:val="18"/>
                        </w:rPr>
                        <w:t xml:space="preserve">I </w:t>
                      </w:r>
                      <w:r>
                        <w:rPr>
                          <w:b/>
                          <w:bCs/>
                          <w:color w:val="FFFFFF"/>
                          <w:spacing w:val="0"/>
                          <w:w w:val="100"/>
                          <w:position w:val="0"/>
                          <w:sz w:val="15"/>
                          <w:szCs w:val="15"/>
                        </w:rPr>
                        <w:t>说明</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分具体项目</w:t>
                      </w:r>
                      <w:r>
                        <w:rPr>
                          <w:b/>
                          <w:bCs/>
                          <w:color w:val="FFFFFF"/>
                          <w:spacing w:val="0"/>
                          <w:w w:val="100"/>
                          <w:position w:val="0"/>
                          <w:sz w:val="19"/>
                          <w:szCs w:val="19"/>
                        </w:rPr>
                        <w:t>)</w:t>
                      </w:r>
                    </w:p>
                  </w:txbxContent>
                </v:textbox>
                <w10:wrap type="square" anchorx="page"/>
              </v:shape>
            </w:pict>
          </mc:Fallback>
        </mc:AlternateContent>
      </w:r>
    </w:p>
    <w:p>
      <w:pPr>
        <w:pStyle w:val="Style31"/>
        <w:keepNext w:val="0"/>
        <w:keepLines w:val="0"/>
        <w:widowControl w:val="0"/>
        <w:shd w:val="clear" w:color="auto" w:fill="auto"/>
        <w:bidi w:val="0"/>
        <w:spacing w:before="0" w:after="0" w:line="237" w:lineRule="exact"/>
        <w:ind w:left="0" w:right="0" w:firstLine="0"/>
        <w:jc w:val="left"/>
      </w:pPr>
      <w:bookmarkStart w:id="217" w:name="bookmark217"/>
      <w:r>
        <w:rPr>
          <w:rFonts w:ascii="Times New Roman" w:eastAsia="Times New Roman" w:hAnsi="Times New Roman" w:cs="Times New Roman"/>
          <w:color w:val="000000"/>
          <w:spacing w:val="0"/>
          <w:w w:val="100"/>
          <w:position w:val="0"/>
          <w:sz w:val="18"/>
          <w:szCs w:val="18"/>
        </w:rPr>
        <w:t>1</w:t>
      </w:r>
      <w:bookmarkEnd w:id="217"/>
      <w:r>
        <w:rPr>
          <w:color w:val="000000"/>
          <w:spacing w:val="0"/>
          <w:w w:val="100"/>
          <w:position w:val="0"/>
        </w:rPr>
        <w:t>、集约化管理运营中心建设项目</w:t>
      </w:r>
    </w:p>
    <w:p>
      <w:pPr>
        <w:pStyle w:val="Style31"/>
        <w:keepNext w:val="0"/>
        <w:keepLines w:val="0"/>
        <w:widowControl w:val="0"/>
        <w:numPr>
          <w:ilvl w:val="0"/>
          <w:numId w:val="9"/>
        </w:numPr>
        <w:shd w:val="clear" w:color="auto" w:fill="auto"/>
        <w:tabs>
          <w:tab w:pos="424" w:val="left"/>
        </w:tabs>
        <w:bidi w:val="0"/>
        <w:spacing w:before="0" w:after="0" w:line="237" w:lineRule="exact"/>
        <w:ind w:left="0" w:right="0" w:firstLine="0"/>
        <w:jc w:val="left"/>
      </w:pPr>
      <w:bookmarkStart w:id="218" w:name="bookmark218"/>
      <w:bookmarkEnd w:id="218"/>
      <w:r>
        <w:rPr>
          <w:color w:val="000000"/>
          <w:spacing w:val="0"/>
          <w:w w:val="100"/>
          <w:position w:val="0"/>
        </w:rPr>
        <w:t>变更原因</w:t>
      </w:r>
    </w:p>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集约化管理运营中心建设项目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年，目 前公司面临的市场环境、行业政策、主要客户变化情况已经发生了重大变化，该募投项目 收益前景存在较大不确定性，出于谨慎性考虑，同时为了提高募集资金使用效率，公司董 事会决定终止原募投项目，并将其变更为''百邦快修加盟建设项目</w:t>
      </w:r>
    </w:p>
    <w:p>
      <w:pPr>
        <w:pStyle w:val="Style31"/>
        <w:keepNext w:val="0"/>
        <w:keepLines w:val="0"/>
        <w:widowControl w:val="0"/>
        <w:numPr>
          <w:ilvl w:val="0"/>
          <w:numId w:val="9"/>
        </w:numPr>
        <w:shd w:val="clear" w:color="auto" w:fill="auto"/>
        <w:tabs>
          <w:tab w:pos="424" w:val="left"/>
        </w:tabs>
        <w:bidi w:val="0"/>
        <w:spacing w:before="0" w:after="0" w:line="237" w:lineRule="exact"/>
        <w:ind w:left="0" w:right="0" w:firstLine="0"/>
        <w:jc w:val="both"/>
      </w:pPr>
      <w:bookmarkStart w:id="219" w:name="bookmark219"/>
      <w:bookmarkEnd w:id="219"/>
      <w:r>
        <w:rPr>
          <w:color w:val="000000"/>
          <w:spacing w:val="0"/>
          <w:w w:val="100"/>
          <w:position w:val="0"/>
        </w:rPr>
        <w:t>决策程序</w:t>
      </w:r>
    </w:p>
    <w:p>
      <w:pPr>
        <w:pStyle w:val="Style31"/>
        <w:keepNext w:val="0"/>
        <w:keepLines w:val="0"/>
        <w:widowControl w:val="0"/>
        <w:shd w:val="clear" w:color="auto" w:fill="auto"/>
        <w:bidi w:val="0"/>
        <w:spacing w:before="0" w:after="60" w:line="237" w:lineRule="exact"/>
        <w:ind w:left="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日召开第三届董事会第九次会议、第三届 监事会第八次会议和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年第二次临时股东大会，审议通过了《关于变更部分募集资金 投资项目的议案》，变更原募集资金投资项目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集约化管理运营中心建设项目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百邦快 修加盟建设项目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，公司董事会、监事会、独立董事、保荐机构对此均发表了同意的意见。</w:t>
      </w:r>
    </w:p>
    <w:p>
      <w:pPr>
        <w:pStyle w:val="Style31"/>
        <w:keepNext w:val="0"/>
        <w:keepLines w:val="0"/>
        <w:widowControl w:val="0"/>
        <w:numPr>
          <w:ilvl w:val="0"/>
          <w:numId w:val="9"/>
        </w:numPr>
        <w:shd w:val="clear" w:color="auto" w:fill="auto"/>
        <w:tabs>
          <w:tab w:pos="424" w:val="left"/>
        </w:tabs>
        <w:bidi w:val="0"/>
        <w:spacing w:before="0" w:after="0" w:line="276" w:lineRule="auto"/>
        <w:ind w:left="0" w:right="0" w:firstLine="0"/>
        <w:jc w:val="left"/>
      </w:pPr>
      <w:bookmarkStart w:id="220" w:name="bookmark220"/>
      <w:bookmarkEnd w:id="220"/>
      <w:r>
        <w:rPr>
          <w:color w:val="000000"/>
          <w:spacing w:val="0"/>
          <w:w w:val="100"/>
          <w:position w:val="0"/>
        </w:rPr>
        <w:t>信息披露情况</w:t>
      </w:r>
    </w:p>
    <w:p>
      <w:pPr>
        <w:pStyle w:val="Style34"/>
        <w:keepNext w:val="0"/>
        <w:keepLines w:val="0"/>
        <w:widowControl w:val="0"/>
        <w:shd w:val="clear" w:color="auto" w:fill="auto"/>
        <w:bidi w:val="0"/>
        <w:spacing w:before="0" w:after="280" w:line="240" w:lineRule="exact"/>
        <w:ind w:left="0" w:right="0" w:firstLine="0"/>
        <w:jc w:val="both"/>
        <w:rPr>
          <w:sz w:val="15"/>
          <w:szCs w:val="15"/>
        </w:rPr>
      </w:pPr>
      <w:r>
        <w:rPr>
          <w:color w:val="000000"/>
          <w:spacing w:val="0"/>
          <w:w w:val="100"/>
          <w:position w:val="0"/>
          <w:sz w:val="18"/>
          <w:szCs w:val="18"/>
        </w:rPr>
        <w:t>019</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w:t>
      </w:r>
      <w:r>
        <w:rPr>
          <w:rFonts w:ascii="SimSun" w:eastAsia="SimSun" w:hAnsi="SimSun" w:cs="SimSun"/>
          <w:color w:val="000000"/>
          <w:spacing w:val="0"/>
          <w:w w:val="100"/>
          <w:position w:val="0"/>
          <w:sz w:val="15"/>
          <w:szCs w:val="15"/>
        </w:rPr>
        <w:t>日和</w:t>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6</w:t>
      </w:r>
      <w:r>
        <w:rPr>
          <w:rFonts w:ascii="SimSun" w:eastAsia="SimSun" w:hAnsi="SimSun" w:cs="SimSun"/>
          <w:color w:val="000000"/>
          <w:spacing w:val="0"/>
          <w:w w:val="100"/>
          <w:position w:val="0"/>
          <w:sz w:val="15"/>
          <w:szCs w:val="15"/>
        </w:rPr>
        <w:t>月</w:t>
      </w:r>
      <w:r>
        <w:rPr>
          <w:color w:val="000000"/>
          <w:spacing w:val="0"/>
          <w:w w:val="100"/>
          <w:position w:val="0"/>
          <w:sz w:val="18"/>
          <w:szCs w:val="18"/>
        </w:rPr>
        <w:t>13</w:t>
      </w:r>
      <w:r>
        <w:rPr>
          <w:rFonts w:ascii="SimSun" w:eastAsia="SimSun" w:hAnsi="SimSun" w:cs="SimSun"/>
          <w:color w:val="000000"/>
          <w:spacing w:val="0"/>
          <w:w w:val="100"/>
          <w:position w:val="0"/>
          <w:sz w:val="15"/>
          <w:szCs w:val="15"/>
        </w:rPr>
        <w:t>日，公司在巨潮资讯网</w:t>
      </w:r>
      <w:r>
        <w:rPr>
          <w:rFonts w:ascii="SimSun" w:eastAsia="SimSun" w:hAnsi="SimSun" w:cs="SimSun"/>
          <w:color w:val="000000"/>
          <w:spacing w:val="0"/>
          <w:w w:val="100"/>
          <w:position w:val="0"/>
          <w:sz w:val="15"/>
          <w:szCs w:val="15"/>
        </w:rPr>
        <w:t>(</w:t>
      </w:r>
      <w:r>
        <w:fldChar w:fldCharType="begin"/>
      </w:r>
      <w:r>
        <w:rPr/>
        <w:instrText> HYPERLINK "http://www.cninfo.com.cn/)%e4%b8%8a"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上</w:t>
      </w:r>
      <w:r>
        <w:fldChar w:fldCharType="end"/>
      </w:r>
      <w:r>
        <w:rPr>
          <w:rFonts w:ascii="SimSun" w:eastAsia="SimSun" w:hAnsi="SimSun" w:cs="SimSun"/>
          <w:color w:val="000000"/>
          <w:spacing w:val="0"/>
          <w:w w:val="100"/>
          <w:position w:val="0"/>
          <w:sz w:val="15"/>
          <w:szCs w:val="15"/>
        </w:rPr>
        <w:t xml:space="preserve"> 披露了相关公告。</w:t>
      </w:r>
    </w:p>
    <w:p>
      <w:pPr>
        <w:pStyle w:val="Style31"/>
        <w:keepNext w:val="0"/>
        <w:keepLines w:val="0"/>
        <w:widowControl w:val="0"/>
        <w:shd w:val="clear" w:color="auto" w:fill="auto"/>
        <w:bidi w:val="0"/>
        <w:spacing w:before="0" w:after="60" w:line="234" w:lineRule="exact"/>
        <w:ind w:left="0" w:right="0" w:firstLine="0"/>
        <w:jc w:val="both"/>
      </w:pPr>
      <w:r>
        <w:drawing>
          <wp:anchor distT="0" distB="0" distL="0" distR="0" simplePos="0" relativeHeight="125829533" behindDoc="0" locked="0" layoutInCell="1" allowOverlap="1">
            <wp:simplePos x="0" y="0"/>
            <wp:positionH relativeFrom="page">
              <wp:posOffset>1915160</wp:posOffset>
            </wp:positionH>
            <wp:positionV relativeFrom="margin">
              <wp:posOffset>7099300</wp:posOffset>
            </wp:positionV>
            <wp:extent cx="615950" cy="1718945"/>
            <wp:wrapTight wrapText="right">
              <wp:wrapPolygon>
                <wp:start x="0" y="0"/>
                <wp:lineTo x="17839" y="0"/>
                <wp:lineTo x="17839" y="3562"/>
                <wp:lineTo x="19558" y="3562"/>
                <wp:lineTo x="19558" y="4672"/>
                <wp:lineTo x="17839" y="4672"/>
                <wp:lineTo x="17839" y="9574"/>
                <wp:lineTo x="19558" y="9574"/>
                <wp:lineTo x="19558" y="10685"/>
                <wp:lineTo x="17839" y="10685"/>
                <wp:lineTo x="17839" y="17464"/>
                <wp:lineTo x="21600" y="17464"/>
                <wp:lineTo x="21600" y="18881"/>
                <wp:lineTo x="17946" y="18881"/>
                <wp:lineTo x="17946" y="18919"/>
                <wp:lineTo x="17839" y="18919"/>
                <wp:lineTo x="17839" y="21600"/>
                <wp:lineTo x="0" y="21600"/>
                <wp:lineTo x="0" y="0"/>
              </wp:wrapPolygon>
            </wp:wrapTight>
            <wp:docPr id="200" name="Shape 200"/>
            <a:graphic xmlns:a="http://schemas.openxmlformats.org/drawingml/2006/main">
              <a:graphicData uri="http://schemas.openxmlformats.org/drawingml/2006/picture">
                <pic:pic xmlns:pic="http://schemas.openxmlformats.org/drawingml/2006/picture">
                  <pic:nvPicPr>
                    <pic:cNvPr id="201" name="Picture box 201"/>
                    <pic:cNvPicPr/>
                  </pic:nvPicPr>
                  <pic:blipFill>
                    <a:blip r:embed="rId29"/>
                    <a:stretch/>
                  </pic:blipFill>
                  <pic:spPr>
                    <a:xfrm>
                      <a:ext cx="615950" cy="1718945"/>
                    </a:xfrm>
                    <a:prstGeom prst="rect"/>
                  </pic:spPr>
                </pic:pic>
              </a:graphicData>
            </a:graphic>
          </wp:anchor>
        </w:drawing>
      </w:r>
      <w:r>
        <w:rPr>
          <w:color w:val="000000"/>
          <w:spacing w:val="0"/>
          <w:w w:val="100"/>
          <w:position w:val="0"/>
        </w:rPr>
        <w:t>、闪电蜂电子商务平台优化项目和信息化系统改扩建项目</w:t>
      </w:r>
    </w:p>
    <w:p>
      <w:pPr>
        <w:pStyle w:val="Style31"/>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)变更原因</w:t>
      </w:r>
    </w:p>
    <w:p>
      <w:pPr>
        <w:pStyle w:val="Style31"/>
        <w:keepNext w:val="0"/>
        <w:keepLines w:val="0"/>
        <w:widowControl w:val="0"/>
        <w:shd w:val="clear" w:color="auto" w:fill="auto"/>
        <w:bidi w:val="0"/>
        <w:spacing w:before="0" w:after="0" w:line="234" w:lineRule="exact"/>
        <w:ind w:left="0" w:right="0" w:firstLine="0"/>
        <w:jc w:val="both"/>
      </w:pPr>
      <w:r>
        <w:rPr>
          <w:color w:val="000000"/>
          <w:spacing w:val="0"/>
          <w:w w:val="100"/>
          <w:position w:val="0"/>
          <w:shd w:val="clear" w:color="auto" w:fill="FFFFFF"/>
        </w:rPr>
        <w:t>公司原募集资金投资项目</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闪电蜂电子商务平台优化项目</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的可行性报告完成于</w:t>
      </w:r>
      <w:r>
        <w:rPr>
          <w:rFonts w:ascii="Times New Roman" w:eastAsia="Times New Roman" w:hAnsi="Times New Roman" w:cs="Times New Roman"/>
          <w:color w:val="000000"/>
          <w:spacing w:val="0"/>
          <w:w w:val="100"/>
          <w:position w:val="0"/>
          <w:sz w:val="18"/>
          <w:szCs w:val="18"/>
          <w:shd w:val="clear" w:color="auto" w:fill="FFFFFF"/>
        </w:rPr>
        <w:t>2013</w:t>
      </w:r>
      <w:r>
        <w:rPr>
          <w:color w:val="000000"/>
          <w:spacing w:val="0"/>
          <w:w w:val="100"/>
          <w:position w:val="0"/>
          <w:shd w:val="clear" w:color="auto" w:fill="FFFFFF"/>
        </w:rPr>
        <w:t>年， 目前公司面临的市场环境已经发生了重大变化，公司经营战略也做了相应调整，继续在该 投项目上投入难以获得相应的收益。出于谨慎性考虑，同时为了提高募集资金使用效率,</w:t>
      </w:r>
      <w:r>
        <w:rPr>
          <w:color w:val="000000"/>
          <w:spacing w:val="0"/>
          <w:w w:val="100"/>
          <w:position w:val="0"/>
        </w:rPr>
        <w:t xml:space="preserve"> </w:t>
      </w:r>
      <w:r>
        <w:rPr>
          <w:color w:val="000000"/>
          <w:spacing w:val="0"/>
          <w:w w:val="100"/>
          <w:position w:val="0"/>
        </w:rPr>
        <w:t>公司董事会决定终止该募投项目，并将其变更为永久补充流动资金。</w:t>
      </w:r>
      <w:r>
        <w:br w:type="page"/>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325" w:val="left"/>
          <w:tab w:pos="2119" w:val="left"/>
        </w:tabs>
        <w:bidi w:val="0"/>
        <w:spacing w:before="0" w:after="0" w:line="230" w:lineRule="exact"/>
        <w:ind w:left="0" w:right="0" w:firstLine="0"/>
        <w:jc w:val="right"/>
      </w:pPr>
      <w:r>
        <mc:AlternateContent>
          <mc:Choice Requires="wps">
            <w:drawing>
              <wp:anchor distT="0" distB="0" distL="12700" distR="12700" simplePos="0" relativeHeight="125829534" behindDoc="0" locked="0" layoutInCell="1" allowOverlap="1">
                <wp:simplePos x="0" y="0"/>
                <wp:positionH relativeFrom="page">
                  <wp:posOffset>739140</wp:posOffset>
                </wp:positionH>
                <wp:positionV relativeFrom="paragraph">
                  <wp:posOffset>12700</wp:posOffset>
                </wp:positionV>
                <wp:extent cx="2392680" cy="454025"/>
                <wp:wrapSquare wrapText="bothSides"/>
                <wp:docPr id="202" name="Shape 202"/>
                <a:graphic xmlns:a="http://schemas.openxmlformats.org/drawingml/2006/main">
                  <a:graphicData uri="http://schemas.microsoft.com/office/word/2010/wordprocessingShape">
                    <wps:wsp>
                      <wps:cNvSpPr txBox="1"/>
                      <wps:spPr>
                        <a:xfrm>
                          <a:ext cx="2392680"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79" w:val="left"/>
                              </w:tabs>
                              <w:bidi w:val="0"/>
                              <w:spacing w:before="0" w:after="0" w:line="192" w:lineRule="exact"/>
                              <w:ind w:left="0" w:right="0" w:firstLine="0"/>
                              <w:jc w:val="right"/>
                            </w:pPr>
                            <w:r>
                              <w:rPr>
                                <w:b/>
                                <w:bCs/>
                                <w:color w:val="FFFFFF"/>
                                <w:spacing w:val="0"/>
                                <w:w w:val="100"/>
                                <w:position w:val="0"/>
                              </w:rPr>
                              <w:t xml:space="preserve">称审后的 </w:t>
                            </w:r>
                            <w:r>
                              <w:rPr>
                                <w:rFonts w:ascii="Times New Roman" w:eastAsia="Times New Roman" w:hAnsi="Times New Roman" w:cs="Times New Roman"/>
                                <w:color w:val="FFFFFF"/>
                                <w:spacing w:val="0"/>
                                <w:w w:val="100"/>
                                <w:position w:val="0"/>
                                <w:sz w:val="18"/>
                                <w:szCs w:val="18"/>
                              </w:rPr>
                              <w:t xml:space="preserve">'id-KvtRtlS-S </w:t>
                            </w:r>
                            <w:r>
                              <w:rPr>
                                <w:b/>
                                <w:bCs/>
                                <w:color w:val="FFFFFF"/>
                                <w:spacing w:val="0"/>
                                <w:w w:val="100"/>
                                <w:position w:val="0"/>
                              </w:rPr>
                              <w:t>变更后项目 木捣告:</w:t>
                            </w:r>
                            <w:r>
                              <w:rPr>
                                <w:rFonts w:ascii="Times New Roman" w:eastAsia="Times New Roman" w:hAnsi="Times New Roman" w:cs="Times New Roman"/>
                                <w:color w:val="FFFFFF"/>
                                <w:spacing w:val="0"/>
                                <w:w w:val="100"/>
                                <w:position w:val="0"/>
                                <w:sz w:val="18"/>
                                <w:szCs w:val="18"/>
                              </w:rPr>
                              <w:t>gg* ■fs</w:t>
                            </w:r>
                            <w:r>
                              <w:rPr>
                                <w:color w:val="FFFFFF"/>
                                <w:spacing w:val="0"/>
                                <w:w w:val="100"/>
                                <w:position w:val="0"/>
                                <w:sz w:val="18"/>
                                <w:szCs w:val="18"/>
                              </w:rPr>
                              <w:t>：</w:t>
                            </w:r>
                            <w:r>
                              <w:rPr>
                                <w:rFonts w:ascii="Times New Roman" w:eastAsia="Times New Roman" w:hAnsi="Times New Roman" w:cs="Times New Roman"/>
                                <w:color w:val="FFFFFF"/>
                                <w:spacing w:val="0"/>
                                <w:w w:val="100"/>
                                <w:position w:val="0"/>
                                <w:sz w:val="18"/>
                                <w:szCs w:val="18"/>
                              </w:rPr>
                              <w:t>,</w:t>
                              <w:tab/>
                            </w:r>
                            <w:r>
                              <w:rPr>
                                <w:b/>
                                <w:bCs/>
                                <w:color w:val="FFFFFF"/>
                                <w:spacing w:val="0"/>
                                <w:w w:val="100"/>
                                <w:position w:val="0"/>
                              </w:rPr>
                              <w:t xml:space="preserve">律佰 </w:t>
                            </w:r>
                            <w:r>
                              <w:rPr>
                                <w:rFonts w:ascii="Times New Roman" w:eastAsia="Times New Roman" w:hAnsi="Times New Roman" w:cs="Times New Roman"/>
                                <w:color w:val="FFFFFF"/>
                                <w:spacing w:val="0"/>
                                <w:w w:val="100"/>
                                <w:position w:val="0"/>
                                <w:sz w:val="18"/>
                                <w:szCs w:val="18"/>
                              </w:rPr>
                              <w:t xml:space="preserve">n </w:t>
                            </w:r>
                            <w:r>
                              <w:rPr>
                                <w:b/>
                                <w:bCs/>
                                <w:color w:val="FFFFFF"/>
                                <w:spacing w:val="0"/>
                                <w:w w:val="100"/>
                                <w:position w:val="0"/>
                              </w:rPr>
                              <w:t>拟投入募集 咛</w:t>
                            </w:r>
                            <w:r>
                              <w:rPr>
                                <w:b/>
                                <w:bCs/>
                                <w:color w:val="FFFFFF"/>
                                <w:spacing w:val="0"/>
                                <w:w w:val="100"/>
                                <w:position w:val="0"/>
                              </w:rPr>
                              <w:t xml:space="preserve">, </w:t>
                            </w:r>
                            <w:r>
                              <w:rPr>
                                <w:b/>
                                <w:bCs/>
                                <w:color w:val="FFFFFF"/>
                                <w:spacing w:val="0"/>
                                <w:w w:val="100"/>
                                <w:position w:val="0"/>
                              </w:rPr>
                              <w:t>\</w:t>
                            </w:r>
                            <w:r>
                              <w:rPr>
                                <w:rFonts w:ascii="Times New Roman" w:eastAsia="Times New Roman" w:hAnsi="Times New Roman" w:cs="Times New Roman"/>
                                <w:color w:val="FFFFFF"/>
                                <w:spacing w:val="0"/>
                                <w:w w:val="100"/>
                                <w:position w:val="0"/>
                                <w:sz w:val="18"/>
                                <w:szCs w:val="18"/>
                              </w:rPr>
                              <w:t xml:space="preserve"> </w:t>
                            </w:r>
                            <w:r>
                              <w:rPr>
                                <w:rFonts w:ascii="Times New Roman" w:eastAsia="Times New Roman" w:hAnsi="Times New Roman" w:cs="Times New Roman"/>
                                <w:color w:val="FFFFFF"/>
                                <w:spacing w:val="0"/>
                                <w:w w:val="100"/>
                                <w:position w:val="0"/>
                                <w:sz w:val="18"/>
                                <w:szCs w:val="18"/>
                              </w:rPr>
                              <w:t>A</w:t>
                            </w:r>
                            <w:r>
                              <w:rPr>
                                <w:b/>
                                <w:bCs/>
                                <w:color w:val="FFFFFF"/>
                                <w:spacing w:val="0"/>
                                <w:w w:val="100"/>
                                <w:position w:val="0"/>
                              </w:rPr>
                              <w:t>■遍</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16" w:val="left"/>
                              </w:tabs>
                              <w:bidi w:val="0"/>
                              <w:spacing w:before="0" w:after="0" w:line="192" w:lineRule="exact"/>
                              <w:ind w:left="0" w:right="0" w:firstLine="0"/>
                              <w:jc w:val="right"/>
                            </w:pPr>
                            <w:r>
                              <w:rPr>
                                <w:b/>
                                <w:bCs/>
                                <w:color w:val="FFFFFF"/>
                                <w:spacing w:val="0"/>
                                <w:w w:val="100"/>
                                <w:position w:val="0"/>
                              </w:rPr>
                              <w:t>项目</w:t>
                              <w:tab/>
                              <w:t>偌项目资金总额</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际投入金额</w:t>
                            </w:r>
                          </w:p>
                        </w:txbxContent>
                      </wps:txbx>
                      <wps:bodyPr lIns="0" tIns="0" rIns="0" bIns="0">
                        <a:noAutoFit/>
                      </wps:bodyPr>
                    </wps:wsp>
                  </a:graphicData>
                </a:graphic>
              </wp:anchor>
            </w:drawing>
          </mc:Choice>
          <mc:Fallback>
            <w:pict>
              <v:shape id="_x0000_s1228" type="#_x0000_t202" style="position:absolute;margin-left:58.200000000000003pt;margin-top:1.pt;width:188.40000000000001pt;height:35.75pt;z-index:-125829219;mso-wrap-distance-left:1.pt;mso-wrap-distance-right: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79" w:val="left"/>
                        </w:tabs>
                        <w:bidi w:val="0"/>
                        <w:spacing w:before="0" w:after="0" w:line="192" w:lineRule="exact"/>
                        <w:ind w:left="0" w:right="0" w:firstLine="0"/>
                        <w:jc w:val="right"/>
                      </w:pPr>
                      <w:r>
                        <w:rPr>
                          <w:b/>
                          <w:bCs/>
                          <w:color w:val="FFFFFF"/>
                          <w:spacing w:val="0"/>
                          <w:w w:val="100"/>
                          <w:position w:val="0"/>
                        </w:rPr>
                        <w:t xml:space="preserve">称审后的 </w:t>
                      </w:r>
                      <w:r>
                        <w:rPr>
                          <w:rFonts w:ascii="Times New Roman" w:eastAsia="Times New Roman" w:hAnsi="Times New Roman" w:cs="Times New Roman"/>
                          <w:color w:val="FFFFFF"/>
                          <w:spacing w:val="0"/>
                          <w:w w:val="100"/>
                          <w:position w:val="0"/>
                          <w:sz w:val="18"/>
                          <w:szCs w:val="18"/>
                        </w:rPr>
                        <w:t xml:space="preserve">'id-KvtRtlS-S </w:t>
                      </w:r>
                      <w:r>
                        <w:rPr>
                          <w:b/>
                          <w:bCs/>
                          <w:color w:val="FFFFFF"/>
                          <w:spacing w:val="0"/>
                          <w:w w:val="100"/>
                          <w:position w:val="0"/>
                        </w:rPr>
                        <w:t>变更后项目 木捣告:</w:t>
                      </w:r>
                      <w:r>
                        <w:rPr>
                          <w:rFonts w:ascii="Times New Roman" w:eastAsia="Times New Roman" w:hAnsi="Times New Roman" w:cs="Times New Roman"/>
                          <w:color w:val="FFFFFF"/>
                          <w:spacing w:val="0"/>
                          <w:w w:val="100"/>
                          <w:position w:val="0"/>
                          <w:sz w:val="18"/>
                          <w:szCs w:val="18"/>
                        </w:rPr>
                        <w:t>gg* ■fs</w:t>
                      </w:r>
                      <w:r>
                        <w:rPr>
                          <w:color w:val="FFFFFF"/>
                          <w:spacing w:val="0"/>
                          <w:w w:val="100"/>
                          <w:position w:val="0"/>
                          <w:sz w:val="18"/>
                          <w:szCs w:val="18"/>
                        </w:rPr>
                        <w:t>：</w:t>
                      </w:r>
                      <w:r>
                        <w:rPr>
                          <w:rFonts w:ascii="Times New Roman" w:eastAsia="Times New Roman" w:hAnsi="Times New Roman" w:cs="Times New Roman"/>
                          <w:color w:val="FFFFFF"/>
                          <w:spacing w:val="0"/>
                          <w:w w:val="100"/>
                          <w:position w:val="0"/>
                          <w:sz w:val="18"/>
                          <w:szCs w:val="18"/>
                        </w:rPr>
                        <w:t>,</w:t>
                        <w:tab/>
                      </w:r>
                      <w:r>
                        <w:rPr>
                          <w:b/>
                          <w:bCs/>
                          <w:color w:val="FFFFFF"/>
                          <w:spacing w:val="0"/>
                          <w:w w:val="100"/>
                          <w:position w:val="0"/>
                        </w:rPr>
                        <w:t xml:space="preserve">律佰 </w:t>
                      </w:r>
                      <w:r>
                        <w:rPr>
                          <w:rFonts w:ascii="Times New Roman" w:eastAsia="Times New Roman" w:hAnsi="Times New Roman" w:cs="Times New Roman"/>
                          <w:color w:val="FFFFFF"/>
                          <w:spacing w:val="0"/>
                          <w:w w:val="100"/>
                          <w:position w:val="0"/>
                          <w:sz w:val="18"/>
                          <w:szCs w:val="18"/>
                        </w:rPr>
                        <w:t xml:space="preserve">n </w:t>
                      </w:r>
                      <w:r>
                        <w:rPr>
                          <w:b/>
                          <w:bCs/>
                          <w:color w:val="FFFFFF"/>
                          <w:spacing w:val="0"/>
                          <w:w w:val="100"/>
                          <w:position w:val="0"/>
                        </w:rPr>
                        <w:t>拟投入募集 咛</w:t>
                      </w:r>
                      <w:r>
                        <w:rPr>
                          <w:b/>
                          <w:bCs/>
                          <w:color w:val="FFFFFF"/>
                          <w:spacing w:val="0"/>
                          <w:w w:val="100"/>
                          <w:position w:val="0"/>
                        </w:rPr>
                        <w:t xml:space="preserve">, </w:t>
                      </w:r>
                      <w:r>
                        <w:rPr>
                          <w:b/>
                          <w:bCs/>
                          <w:color w:val="FFFFFF"/>
                          <w:spacing w:val="0"/>
                          <w:w w:val="100"/>
                          <w:position w:val="0"/>
                        </w:rPr>
                        <w:t>\</w:t>
                      </w:r>
                      <w:r>
                        <w:rPr>
                          <w:rFonts w:ascii="Times New Roman" w:eastAsia="Times New Roman" w:hAnsi="Times New Roman" w:cs="Times New Roman"/>
                          <w:color w:val="FFFFFF"/>
                          <w:spacing w:val="0"/>
                          <w:w w:val="100"/>
                          <w:position w:val="0"/>
                          <w:sz w:val="18"/>
                          <w:szCs w:val="18"/>
                        </w:rPr>
                        <w:t xml:space="preserve"> </w:t>
                      </w:r>
                      <w:r>
                        <w:rPr>
                          <w:rFonts w:ascii="Times New Roman" w:eastAsia="Times New Roman" w:hAnsi="Times New Roman" w:cs="Times New Roman"/>
                          <w:color w:val="FFFFFF"/>
                          <w:spacing w:val="0"/>
                          <w:w w:val="100"/>
                          <w:position w:val="0"/>
                          <w:sz w:val="18"/>
                          <w:szCs w:val="18"/>
                        </w:rPr>
                        <w:t>A</w:t>
                      </w:r>
                      <w:r>
                        <w:rPr>
                          <w:b/>
                          <w:bCs/>
                          <w:color w:val="FFFFFF"/>
                          <w:spacing w:val="0"/>
                          <w:w w:val="100"/>
                          <w:position w:val="0"/>
                        </w:rPr>
                        <w:t>■遍</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16" w:val="left"/>
                        </w:tabs>
                        <w:bidi w:val="0"/>
                        <w:spacing w:before="0" w:after="0" w:line="192" w:lineRule="exact"/>
                        <w:ind w:left="0" w:right="0" w:firstLine="0"/>
                        <w:jc w:val="right"/>
                      </w:pPr>
                      <w:r>
                        <w:rPr>
                          <w:b/>
                          <w:bCs/>
                          <w:color w:val="FFFFFF"/>
                          <w:spacing w:val="0"/>
                          <w:w w:val="100"/>
                          <w:position w:val="0"/>
                        </w:rPr>
                        <w:t>项目</w:t>
                        <w:tab/>
                        <w:t>偌项目资金总额</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际投入金额</w:t>
                      </w:r>
                    </w:p>
                  </w:txbxContent>
                </v:textbox>
                <w10:wrap type="square" anchorx="page"/>
              </v:shape>
            </w:pict>
          </mc:Fallback>
        </mc:AlternateContent>
      </w:r>
      <w:r>
        <w:rPr>
          <w:b/>
          <w:bCs/>
          <w:color w:val="FFFFFF"/>
          <w:spacing w:val="0"/>
          <w:w w:val="100"/>
          <w:position w:val="0"/>
        </w:rPr>
        <w:t>截至期末实截至期末投资项目达到预 本报告期日木，六到变更后的项目 际累计投入</w:t>
        <w:tab/>
        <w:t>进度</w:t>
        <w:tab/>
        <w:t>定可使用状实现的效是否达到可行性是否发</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60" w:val="left"/>
          <w:tab w:pos="2119" w:val="left"/>
          <w:tab w:pos="3245" w:val="left"/>
          <w:tab w:pos="3826" w:val="left"/>
        </w:tabs>
        <w:bidi w:val="0"/>
        <w:spacing w:before="0" w:after="40" w:line="240" w:lineRule="auto"/>
        <w:ind w:left="0" w:right="0" w:firstLine="0"/>
        <w:jc w:val="right"/>
      </w:pPr>
      <w:r>
        <w:rPr>
          <w:b/>
          <w:bCs/>
          <w:color w:val="FFFFFF"/>
          <w:spacing w:val="0"/>
          <w:w w:val="100"/>
          <w:position w:val="0"/>
        </w:rPr>
        <w:t>金额</w:t>
      </w:r>
      <w:r>
        <w:rPr>
          <w:rFonts w:ascii="Times New Roman" w:eastAsia="Times New Roman" w:hAnsi="Times New Roman" w:cs="Times New Roman"/>
          <w:b/>
          <w:bCs/>
          <w:color w:val="FFFFFF"/>
          <w:spacing w:val="0"/>
          <w:w w:val="100"/>
          <w:position w:val="0"/>
          <w:sz w:val="18"/>
          <w:szCs w:val="18"/>
        </w:rPr>
        <w:t>(2)</w:t>
        <w:tab/>
        <w:t>(3)=(2)/(1)</w:t>
        <w:tab/>
      </w:r>
      <w:r>
        <w:rPr>
          <w:b/>
          <w:bCs/>
          <w:color w:val="FFFFFF"/>
          <w:spacing w:val="0"/>
          <w:w w:val="100"/>
          <w:position w:val="0"/>
        </w:rPr>
        <w:t>态日期</w:t>
        <w:tab/>
        <w:t>益</w:t>
        <w:tab/>
        <w:t>预计效益生重大变化</w:t>
      </w:r>
    </w:p>
    <w:p>
      <w:pPr>
        <w:pStyle w:val="Style31"/>
        <w:keepNext w:val="0"/>
        <w:framePr w:dropCap="drop" w:hAnchor="text" w:lines="10" w:vAnchor="text" w:hSpace="0" w:vSpace="0"/>
        <w:widowControl w:val="0"/>
        <w:shd w:val="clear" w:color="auto" w:fill="auto"/>
        <w:spacing w:before="0" w:line="3215" w:lineRule="exact"/>
        <w:ind w:left="0" w:firstLine="0"/>
      </w:pPr>
      <w:r>
        <w:rPr>
          <w:rFonts w:ascii="Arial" w:eastAsia="Arial" w:hAnsi="Arial" w:cs="Arial"/>
          <w:color w:val="000000"/>
          <w:spacing w:val="0"/>
          <w:w w:val="100"/>
          <w:position w:val="-68"/>
          <w:sz w:val="470"/>
          <w:szCs w:val="470"/>
        </w:rPr>
        <w:t>1</w:t>
      </w:r>
    </w:p>
    <w:p>
      <w:pPr>
        <w:pStyle w:val="Style31"/>
        <w:keepNext w:val="0"/>
        <w:keepLines w:val="0"/>
        <w:widowControl w:val="0"/>
        <w:shd w:val="clear" w:color="auto" w:fill="auto"/>
        <w:bidi w:val="0"/>
        <w:spacing w:before="0" w:after="40" w:line="235" w:lineRule="exact"/>
        <w:ind w:left="276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信息化系统改扩建项目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年市场和公司经营情况做出的信息系统建设规划， 相关设备、技术投入已经不能适用于当前的信息化建设需求。为了提高募集资金使用效率, 灵活应对公司信息化建设需求的变化，公司董事会决定终止该募投项目，并将其变更为永 久补充流动资金。</w:t>
      </w:r>
    </w:p>
    <w:p>
      <w:pPr>
        <w:pStyle w:val="Style31"/>
        <w:keepNext w:val="0"/>
        <w:keepLines w:val="0"/>
        <w:widowControl w:val="0"/>
        <w:shd w:val="clear" w:color="auto" w:fill="auto"/>
        <w:bidi w:val="0"/>
        <w:spacing w:before="0" w:after="40" w:line="235" w:lineRule="exact"/>
        <w:ind w:left="2760" w:right="0" w:firstLine="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)决策程序</w:t>
      </w:r>
    </w:p>
    <w:p>
      <w:pPr>
        <w:pStyle w:val="Style31"/>
        <w:keepNext w:val="0"/>
        <w:keepLines w:val="0"/>
        <w:widowControl w:val="0"/>
        <w:shd w:val="clear" w:color="auto" w:fill="auto"/>
        <w:bidi w:val="0"/>
        <w:spacing w:before="0" w:after="40" w:line="235" w:lineRule="exact"/>
        <w:ind w:left="2760" w:right="0" w:firstLine="2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日召开第三届董事会第十四次会议、第 三届监事会第十三次会议和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年第四次临时股东大会审议通过了《关于变更部分募集 资金投资项目的议案》，公司同意终止募投项目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闪电蜂电子商务平台优化项目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 化系统改扩建项目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，并将上述两个项目的募集资金余额(包含上述项目的剩余募集资金 净余额以及累计收到的利息和投资收益净额，实际金额以资金转出当日专户金额为准)全 部用于永久补充流动资金。</w:t>
      </w:r>
    </w:p>
    <w:p>
      <w:pPr>
        <w:pStyle w:val="Style31"/>
        <w:keepNext w:val="0"/>
        <w:keepLines w:val="0"/>
        <w:widowControl w:val="0"/>
        <w:shd w:val="clear" w:color="auto" w:fill="auto"/>
        <w:bidi w:val="0"/>
        <w:spacing w:before="0" w:after="40" w:line="235" w:lineRule="exact"/>
        <w:ind w:left="2760" w:right="0" w:firstLine="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)信息披露情况</w:t>
      </w:r>
    </w:p>
    <w:p>
      <w:pPr>
        <w:pStyle w:val="Style34"/>
        <w:keepNext w:val="0"/>
        <w:keepLines w:val="0"/>
        <w:widowControl w:val="0"/>
        <w:pBdr>
          <w:bottom w:val="single" w:sz="4" w:space="0" w:color="auto"/>
        </w:pBdr>
        <w:shd w:val="clear" w:color="auto" w:fill="auto"/>
        <w:bidi w:val="0"/>
        <w:spacing w:before="0" w:after="40" w:line="245" w:lineRule="exact"/>
        <w:ind w:left="2760" w:right="0" w:firstLine="20"/>
        <w:jc w:val="both"/>
        <w:rPr>
          <w:sz w:val="15"/>
          <w:szCs w:val="15"/>
        </w:rPr>
      </w:pP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12</w:t>
      </w:r>
      <w:r>
        <w:rPr>
          <w:rFonts w:ascii="SimSun" w:eastAsia="SimSun" w:hAnsi="SimSun" w:cs="SimSun"/>
          <w:color w:val="000000"/>
          <w:spacing w:val="0"/>
          <w:w w:val="100"/>
          <w:position w:val="0"/>
          <w:sz w:val="15"/>
          <w:szCs w:val="15"/>
        </w:rPr>
        <w:t>日和</w:t>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28</w:t>
      </w:r>
      <w:r>
        <w:rPr>
          <w:rFonts w:ascii="SimSun" w:eastAsia="SimSun" w:hAnsi="SimSun" w:cs="SimSun"/>
          <w:color w:val="000000"/>
          <w:spacing w:val="0"/>
          <w:w w:val="100"/>
          <w:position w:val="0"/>
          <w:sz w:val="15"/>
          <w:szCs w:val="15"/>
        </w:rPr>
        <w:t>日，公司在巨潮资讯网</w:t>
      </w:r>
      <w:r>
        <w:rPr>
          <w:rFonts w:ascii="SimSun" w:eastAsia="SimSun" w:hAnsi="SimSun" w:cs="SimSun"/>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5"/>
          <w:szCs w:val="15"/>
        </w:rPr>
        <w:t xml:space="preserve">) </w:t>
      </w:r>
      <w:r>
        <w:rPr>
          <w:rFonts w:ascii="SimSun" w:eastAsia="SimSun" w:hAnsi="SimSun" w:cs="SimSun"/>
          <w:color w:val="000000"/>
          <w:spacing w:val="0"/>
          <w:w w:val="100"/>
          <w:position w:val="0"/>
          <w:sz w:val="15"/>
          <w:szCs w:val="15"/>
        </w:rPr>
        <w:t>上披露了相关公告。</w:t>
      </w:r>
    </w:p>
    <w:p>
      <w:pPr>
        <w:pStyle w:val="Style31"/>
        <w:keepNext w:val="0"/>
        <w:keepLines w:val="0"/>
        <w:widowControl w:val="0"/>
        <w:pBdr>
          <w:bottom w:val="single" w:sz="4" w:space="0" w:color="auto"/>
        </w:pBdr>
        <w:shd w:val="clear" w:color="auto" w:fill="auto"/>
        <w:bidi w:val="0"/>
        <w:spacing w:before="0" w:after="0" w:line="234" w:lineRule="exact"/>
        <w:ind w:left="0" w:right="0" w:firstLine="2780"/>
        <w:jc w:val="both"/>
      </w:pPr>
      <w:r>
        <mc:AlternateContent>
          <mc:Choice Requires="wps">
            <w:drawing>
              <wp:anchor distT="0" distB="0" distL="0" distR="0" simplePos="0" relativeHeight="125829536" behindDoc="0" locked="0" layoutInCell="1" allowOverlap="1">
                <wp:simplePos x="0" y="0"/>
                <wp:positionH relativeFrom="page">
                  <wp:posOffset>717550</wp:posOffset>
                </wp:positionH>
                <wp:positionV relativeFrom="paragraph">
                  <wp:posOffset>139700</wp:posOffset>
                </wp:positionV>
                <wp:extent cx="1779905" cy="316865"/>
                <wp:wrapSquare wrapText="bothSides"/>
                <wp:docPr id="204" name="Shape 204"/>
                <a:graphic xmlns:a="http://schemas.openxmlformats.org/drawingml/2006/main">
                  <a:graphicData uri="http://schemas.microsoft.com/office/word/2010/wordprocessingShape">
                    <wps:wsp>
                      <wps:cNvSpPr txBox="1"/>
                      <wps:spPr>
                        <a:xfrm>
                          <a:ext cx="1779905" cy="31686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rPr>
                                <w:sz w:val="19"/>
                                <w:szCs w:val="19"/>
                              </w:rPr>
                            </w:pPr>
                            <w:r>
                              <w:rPr>
                                <w:b/>
                                <w:bCs/>
                                <w:color w:val="FFFFFF"/>
                                <w:spacing w:val="0"/>
                                <w:w w:val="100"/>
                                <w:position w:val="0"/>
                                <w:sz w:val="15"/>
                                <w:szCs w:val="15"/>
                              </w:rPr>
                              <w:t>未达到计划进度或预计收益的情况 和原因</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分具体项目</w:t>
                            </w:r>
                            <w:r>
                              <w:rPr>
                                <w:b/>
                                <w:bCs/>
                                <w:color w:val="FFFFFF"/>
                                <w:spacing w:val="0"/>
                                <w:w w:val="100"/>
                                <w:position w:val="0"/>
                                <w:sz w:val="19"/>
                                <w:szCs w:val="19"/>
                              </w:rPr>
                              <w:t>)</w:t>
                            </w:r>
                          </w:p>
                        </w:txbxContent>
                      </wps:txbx>
                      <wps:bodyPr lIns="0" tIns="0" rIns="0" bIns="0">
                        <a:noAutoFit/>
                      </wps:bodyPr>
                    </wps:wsp>
                  </a:graphicData>
                </a:graphic>
              </wp:anchor>
            </w:drawing>
          </mc:Choice>
          <mc:Fallback>
            <w:pict>
              <v:shape id="_x0000_s1230" type="#_x0000_t202" style="position:absolute;margin-left:56.5pt;margin-top:11.pt;width:140.15000000000001pt;height:24.949999999999999pt;z-index:-125829217;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rPr>
                          <w:sz w:val="19"/>
                          <w:szCs w:val="19"/>
                        </w:rPr>
                      </w:pPr>
                      <w:r>
                        <w:rPr>
                          <w:b/>
                          <w:bCs/>
                          <w:color w:val="FFFFFF"/>
                          <w:spacing w:val="0"/>
                          <w:w w:val="100"/>
                          <w:position w:val="0"/>
                          <w:sz w:val="15"/>
                          <w:szCs w:val="15"/>
                        </w:rPr>
                        <w:t>未达到计划进度或预计收益的情况 和原因</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分具体项目</w:t>
                      </w:r>
                      <w:r>
                        <w:rPr>
                          <w:b/>
                          <w:bCs/>
                          <w:color w:val="FFFFFF"/>
                          <w:spacing w:val="0"/>
                          <w:w w:val="100"/>
                          <w:position w:val="0"/>
                          <w:sz w:val="19"/>
                          <w:szCs w:val="19"/>
                        </w:rPr>
                        <w:t>)</w:t>
                      </w:r>
                    </w:p>
                  </w:txbxContent>
                </v:textbox>
                <w10:wrap type="square" anchorx="page"/>
              </v:shape>
            </w:pict>
          </mc:Fallback>
        </mc:AlternateConten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:百邦快修加盟建设项目，在推进过程中，遇到了新冠疫情等不可抗力因素的影响， </w:t>
      </w:r>
      <w:r>
        <w:rPr>
          <w:rFonts w:ascii="Times New Roman" w:eastAsia="Times New Roman" w:hAnsi="Times New Roman" w:cs="Times New Roman"/>
          <w:color w:val="AAAAAA"/>
          <w:spacing w:val="0"/>
          <w:w w:val="100"/>
          <w:position w:val="0"/>
          <w:sz w:val="18"/>
          <w:szCs w:val="18"/>
        </w:rPr>
        <w:t>I</w:t>
      </w:r>
      <w:r>
        <w:rPr>
          <w:color w:val="000000"/>
          <w:spacing w:val="0"/>
          <w:w w:val="100"/>
          <w:position w:val="0"/>
        </w:rPr>
        <w:t>同时公司管理层和项目负责人根据加盟业务的发展进度，主动调整了项目投入速度，夯实 业务基础，避免超前投入和低效投入。因此，截止目前，项目投入低于预计进度，项目效 益尚未达到预期。</w:t>
      </w:r>
    </w:p>
    <w:p>
      <w:pPr>
        <w:widowControl w:val="0"/>
        <w:spacing w:line="1" w:lineRule="exact"/>
      </w:pPr>
      <w:r>
        <mc:AlternateContent>
          <mc:Choice Requires="wps">
            <w:drawing>
              <wp:anchor distT="0" distB="0" distL="0" distR="0" simplePos="0" relativeHeight="125829538" behindDoc="0" locked="0" layoutInCell="1" allowOverlap="1">
                <wp:simplePos x="0" y="0"/>
                <wp:positionH relativeFrom="page">
                  <wp:posOffset>717550</wp:posOffset>
                </wp:positionH>
                <wp:positionV relativeFrom="paragraph">
                  <wp:posOffset>0</wp:posOffset>
                </wp:positionV>
                <wp:extent cx="1703705" cy="304800"/>
                <wp:wrapTopAndBottom/>
                <wp:docPr id="206" name="Shape 206"/>
                <a:graphic xmlns:a="http://schemas.openxmlformats.org/drawingml/2006/main">
                  <a:graphicData uri="http://schemas.microsoft.com/office/word/2010/wordprocessingShape">
                    <wps:wsp>
                      <wps:cNvSpPr txBox="1"/>
                      <wps:spPr>
                        <a:xfrm>
                          <a:ext cx="1703705" cy="3048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变更后的项目可行性发生重大变， 的情况说明</w:t>
                            </w:r>
                          </w:p>
                        </w:txbxContent>
                      </wps:txbx>
                      <wps:bodyPr lIns="0" tIns="0" rIns="0" bIns="0">
                        <a:noAutoFit/>
                      </wps:bodyPr>
                    </wps:wsp>
                  </a:graphicData>
                </a:graphic>
              </wp:anchor>
            </w:drawing>
          </mc:Choice>
          <mc:Fallback>
            <w:pict>
              <v:shape id="_x0000_s1232" type="#_x0000_t202" style="position:absolute;margin-left:56.5pt;margin-top:0;width:134.15000000000001pt;height:24.pt;z-index:-125829215;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变更后的项目可行性发生重大变， 的情况说明</w:t>
                      </w:r>
                    </w:p>
                  </w:txbxContent>
                </v:textbox>
                <w10:wrap type="topAndBottom" anchorx="page"/>
              </v:shape>
            </w:pict>
          </mc:Fallback>
        </mc:AlternateContent>
      </w:r>
      <w:r>
        <mc:AlternateContent>
          <mc:Choice Requires="wps">
            <w:drawing>
              <wp:anchor distT="85090" distB="73660" distL="0" distR="0" simplePos="0" relativeHeight="125829540" behindDoc="0" locked="0" layoutInCell="1" allowOverlap="1">
                <wp:simplePos x="0" y="0"/>
                <wp:positionH relativeFrom="page">
                  <wp:posOffset>2500630</wp:posOffset>
                </wp:positionH>
                <wp:positionV relativeFrom="paragraph">
                  <wp:posOffset>85090</wp:posOffset>
                </wp:positionV>
                <wp:extent cx="368935" cy="146050"/>
                <wp:wrapTopAndBottom/>
                <wp:docPr id="208" name="Shape 208"/>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234" type="#_x0000_t202" style="position:absolute;margin-left:196.90000000000001pt;margin-top:6.7000000000000002pt;width:29.050000000000001pt;height:11.5pt;z-index:-125829213;mso-wrap-distance-left:0;mso-wrap-distance-top:6.7000000000000002pt;mso-wrap-distance-right:0;mso-wrap-distance-bottom:5.7999999999999998pt;mso-position-horizontal-relative:page" filled="f" stroked="f">
                <v:textbox inset="0,0,0,0">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v:shape>
            </w:pict>
          </mc:Fallback>
        </mc:AlternateContent>
      </w:r>
    </w:p>
    <w:p>
      <w:pPr>
        <w:pStyle w:val="Style39"/>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六</w:t>
      </w:r>
      <w:bookmarkEnd w:id="223"/>
      <w:r>
        <w:rPr>
          <w:color w:val="000000"/>
          <w:spacing w:val="0"/>
          <w:w w:val="100"/>
          <w:position w:val="0"/>
          <w:sz w:val="24"/>
          <w:szCs w:val="24"/>
        </w:rPr>
        <w:t>、重大资产和股权出售</w:t>
      </w:r>
      <w:bookmarkEnd w:id="221"/>
      <w:bookmarkEnd w:id="222"/>
      <w:bookmarkEnd w:id="224"/>
    </w:p>
    <w:p>
      <w:pPr>
        <w:pStyle w:val="Style49"/>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、出售重大资产情况</w:t>
      </w:r>
      <w:bookmarkEnd w:id="225"/>
      <w:bookmarkEnd w:id="226"/>
      <w:bookmarkEnd w:id="22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9"/>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、出售重大股权情况</w:t>
      </w:r>
      <w:bookmarkEnd w:id="229"/>
      <w:bookmarkEnd w:id="230"/>
      <w:bookmarkEnd w:id="23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七</w:t>
      </w:r>
      <w:bookmarkEnd w:id="235"/>
      <w:r>
        <w:rPr>
          <w:color w:val="000000"/>
          <w:spacing w:val="0"/>
          <w:w w:val="100"/>
          <w:position w:val="0"/>
          <w:sz w:val="24"/>
          <w:szCs w:val="24"/>
        </w:rPr>
        <w:t>、主要控股参股公司分析</w:t>
      </w:r>
      <w:bookmarkEnd w:id="233"/>
      <w:bookmarkEnd w:id="234"/>
      <w:bookmarkEnd w:id="23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691"/>
        <w:gridCol w:w="1517"/>
        <w:gridCol w:w="1056"/>
        <w:gridCol w:w="970"/>
        <w:gridCol w:w="998"/>
        <w:gridCol w:w="1018"/>
        <w:gridCol w:w="936"/>
        <w:gridCol w:w="898"/>
      </w:tblGrid>
      <w:tr>
        <w:trPr>
          <w:trHeight w:val="58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公司名称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1" w:lineRule="exact"/>
              <w:ind w:left="0" w:right="0" w:firstLine="0"/>
              <w:jc w:val="center"/>
            </w:pPr>
            <w:r>
              <w:rPr>
                <w:b/>
                <w:bCs/>
                <w:color w:val="FFFFFF"/>
                <w:spacing w:val="0"/>
                <w:w w:val="100"/>
                <w:position w:val="0"/>
              </w:rPr>
              <w:t>公司类 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主要业务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注册资本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总资产</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净资产</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80" w:right="0" w:firstLine="0"/>
              <w:jc w:val="center"/>
            </w:pPr>
            <w:r>
              <w:rPr>
                <w:b/>
                <w:bCs/>
                <w:color w:val="FFFFFF"/>
                <w:spacing w:val="0"/>
                <w:w w:val="100"/>
                <w:position w:val="0"/>
              </w:rPr>
              <w:t>营业收入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营业利润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净利润</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上海百华悦邦电子 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手机售后服务及 相关增值服务</w:t>
            </w:r>
          </w:p>
        </w:tc>
        <w:tc>
          <w:tcPr>
            <w:gridSpan w:val="6"/>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20,000,000.00 237,449,602.10 34,786,446.46 277,771,323.53 28^03,269.10 47,729,030.69</w:t>
            </w:r>
          </w:p>
        </w:tc>
      </w:tr>
      <w:tr>
        <w:trPr>
          <w:trHeight w:val="59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上海闪电蜂电子商</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务有限公司</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电子商务业务</w:t>
            </w:r>
          </w:p>
        </w:tc>
        <w:tc>
          <w:tcPr>
            <w:gridSpan w:val="3"/>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83,646,100.00 116,498,796.15 89,084,528.83</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41,419,152.87</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3,011,949.48</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5,634,995.33</w:t>
            </w:r>
          </w:p>
        </w:tc>
      </w:tr>
    </w:tbl>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widowControl w:val="0"/>
        <w:spacing w:line="1" w:lineRule="exact"/>
      </w:pPr>
      <w:r>
        <mc:AlternateContent>
          <mc:Choice Requires="wps">
            <w:drawing>
              <wp:anchor distT="0" distB="0" distL="0" distR="0" simplePos="0" relativeHeight="125829542" behindDoc="0" locked="0" layoutInCell="1" allowOverlap="1">
                <wp:simplePos x="0" y="0"/>
                <wp:positionH relativeFrom="page">
                  <wp:posOffset>1447800</wp:posOffset>
                </wp:positionH>
                <wp:positionV relativeFrom="paragraph">
                  <wp:posOffset>0</wp:posOffset>
                </wp:positionV>
                <wp:extent cx="487680" cy="149225"/>
                <wp:wrapTopAndBottom/>
                <wp:docPr id="210" name="Shape 210"/>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31"/>
                              <w:keepNext w:val="0"/>
                              <w:keepLines w:val="0"/>
                              <w:widowControl w:val="0"/>
                              <w:pBdr>
                                <w:top w:val="single" w:sz="0" w:space="0" w:color="A6A6A6"/>
                                <w:left w:val="single" w:sz="0" w:space="19" w:color="A6A6A6"/>
                                <w:bottom w:val="single" w:sz="0" w:space="0" w:color="A6A6A6"/>
                                <w:right w:val="single" w:sz="0" w:space="19" w:color="A6A6A6"/>
                              </w:pBdr>
                              <w:shd w:val="clear" w:color="auto" w:fill="A6A6A6"/>
                              <w:bidi w:val="0"/>
                              <w:spacing w:before="0" w:after="0" w:line="240" w:lineRule="auto"/>
                              <w:ind w:left="0" w:right="0" w:firstLine="0"/>
                              <w:jc w:val="left"/>
                            </w:pPr>
                            <w:r>
                              <w:rPr>
                                <w:b/>
                                <w:bCs/>
                                <w:color w:val="FFFFFF"/>
                                <w:spacing w:val="0"/>
                                <w:w w:val="100"/>
                                <w:position w:val="0"/>
                              </w:rPr>
                              <w:t>公司名称</w:t>
                            </w:r>
                          </w:p>
                        </w:txbxContent>
                      </wps:txbx>
                      <wps:bodyPr wrap="none" lIns="0" tIns="0" rIns="0" bIns="0">
                        <a:noAutoFit/>
                      </wps:bodyPr>
                    </wps:wsp>
                  </a:graphicData>
                </a:graphic>
              </wp:anchor>
            </w:drawing>
          </mc:Choice>
          <mc:Fallback>
            <w:pict>
              <v:shape id="_x0000_s1236" type="#_x0000_t202" style="position:absolute;margin-left:114.pt;margin-top:0;width:38.399999999999999pt;height:11.75pt;z-index:-125829211;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19" w:color="A6A6A6"/>
                          <w:bottom w:val="single" w:sz="0" w:space="0" w:color="A6A6A6"/>
                          <w:right w:val="single" w:sz="0" w:space="19" w:color="A6A6A6"/>
                        </w:pBdr>
                        <w:shd w:val="clear" w:color="auto" w:fill="A6A6A6"/>
                        <w:bidi w:val="0"/>
                        <w:spacing w:before="0" w:after="0" w:line="240" w:lineRule="auto"/>
                        <w:ind w:left="0" w:right="0" w:firstLine="0"/>
                        <w:jc w:val="left"/>
                      </w:pPr>
                      <w:r>
                        <w:rPr>
                          <w:b/>
                          <w:bCs/>
                          <w:color w:val="FFFFFF"/>
                          <w:spacing w:val="0"/>
                          <w:w w:val="100"/>
                          <w:position w:val="0"/>
                        </w:rPr>
                        <w:t>公司名称</w:t>
                      </w:r>
                    </w:p>
                  </w:txbxContent>
                </v:textbox>
                <w10:wrap type="topAndBottom" anchorx="page"/>
              </v:shape>
            </w:pict>
          </mc:Fallback>
        </mc:AlternateContent>
      </w:r>
      <w:r>
        <mc:AlternateContent>
          <mc:Choice Requires="wps">
            <w:drawing>
              <wp:anchor distT="0" distB="0" distL="0" distR="0" simplePos="0" relativeHeight="125829544" behindDoc="0" locked="0" layoutInCell="1" allowOverlap="1">
                <wp:simplePos x="0" y="0"/>
                <wp:positionH relativeFrom="page">
                  <wp:posOffset>2895600</wp:posOffset>
                </wp:positionH>
                <wp:positionV relativeFrom="paragraph">
                  <wp:posOffset>0</wp:posOffset>
                </wp:positionV>
                <wp:extent cx="1639570" cy="149225"/>
                <wp:wrapTopAndBottom/>
                <wp:docPr id="212" name="Shape 212"/>
                <a:graphic xmlns:a="http://schemas.openxmlformats.org/drawingml/2006/main">
                  <a:graphicData uri="http://schemas.microsoft.com/office/word/2010/wordprocessingShape">
                    <wps:wsp>
                      <wps:cNvSpPr txBox="1"/>
                      <wps:spPr>
                        <a:xfrm>
                          <a:ext cx="1639570" cy="149225"/>
                        </a:xfrm>
                        <a:prstGeom prst="rect"/>
                        <a:noFill/>
                      </wps:spPr>
                      <wps:txbx>
                        <w:txbxContent>
                          <w:p>
                            <w:pPr>
                              <w:pStyle w:val="Style31"/>
                              <w:keepNext w:val="0"/>
                              <w:keepLines w:val="0"/>
                              <w:widowControl w:val="0"/>
                              <w:pBdr>
                                <w:top w:val="single" w:sz="0" w:space="0" w:color="A6A6A6"/>
                                <w:left w:val="single" w:sz="0" w:space="19" w:color="A6A6A6"/>
                                <w:bottom w:val="single" w:sz="0" w:space="0" w:color="A6A6A6"/>
                                <w:right w:val="single" w:sz="0" w:space="19" w:color="A6A6A6"/>
                              </w:pBdr>
                              <w:shd w:val="clear" w:color="auto" w:fill="A6A6A6"/>
                              <w:bidi w:val="0"/>
                              <w:spacing w:before="0" w:after="0" w:line="240" w:lineRule="auto"/>
                              <w:ind w:left="0" w:right="0" w:firstLine="0"/>
                              <w:jc w:val="center"/>
                            </w:pPr>
                            <w:r>
                              <w:rPr>
                                <w:b/>
                                <w:bCs/>
                                <w:color w:val="FFFFFF"/>
                                <w:spacing w:val="0"/>
                                <w:w w:val="100"/>
                                <w:position w:val="0"/>
                              </w:rPr>
                              <w:t>报告期内取得和处置子公司方式</w:t>
                            </w:r>
                          </w:p>
                        </w:txbxContent>
                      </wps:txbx>
                      <wps:bodyPr wrap="none" lIns="0" tIns="0" rIns="0" bIns="0">
                        <a:noAutoFit/>
                      </wps:bodyPr>
                    </wps:wsp>
                  </a:graphicData>
                </a:graphic>
              </wp:anchor>
            </w:drawing>
          </mc:Choice>
          <mc:Fallback>
            <w:pict>
              <v:shape id="_x0000_s1238" type="#_x0000_t202" style="position:absolute;margin-left:228.pt;margin-top:0;width:129.09999999999999pt;height:11.75pt;z-index:-125829209;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19" w:color="A6A6A6"/>
                          <w:bottom w:val="single" w:sz="0" w:space="0" w:color="A6A6A6"/>
                          <w:right w:val="single" w:sz="0" w:space="19" w:color="A6A6A6"/>
                        </w:pBdr>
                        <w:shd w:val="clear" w:color="auto" w:fill="A6A6A6"/>
                        <w:bidi w:val="0"/>
                        <w:spacing w:before="0" w:after="0" w:line="240" w:lineRule="auto"/>
                        <w:ind w:left="0" w:right="0" w:firstLine="0"/>
                        <w:jc w:val="center"/>
                      </w:pPr>
                      <w:r>
                        <w:rPr>
                          <w:b/>
                          <w:bCs/>
                          <w:color w:val="FFFFFF"/>
                          <w:spacing w:val="0"/>
                          <w:w w:val="100"/>
                          <w:position w:val="0"/>
                        </w:rPr>
                        <w:t>报告期内取得和处置子公司方式</w:t>
                      </w:r>
                    </w:p>
                  </w:txbxContent>
                </v:textbox>
                <w10:wrap type="topAndBottom" anchorx="page"/>
              </v:shape>
            </w:pict>
          </mc:Fallback>
        </mc:AlternateContent>
      </w:r>
      <w:r>
        <mc:AlternateContent>
          <mc:Choice Requires="wps">
            <w:drawing>
              <wp:anchor distT="0" distB="3175" distL="0" distR="0" simplePos="0" relativeHeight="125829546" behindDoc="0" locked="0" layoutInCell="1" allowOverlap="1">
                <wp:simplePos x="0" y="0"/>
                <wp:positionH relativeFrom="page">
                  <wp:posOffset>4980305</wp:posOffset>
                </wp:positionH>
                <wp:positionV relativeFrom="paragraph">
                  <wp:posOffset>0</wp:posOffset>
                </wp:positionV>
                <wp:extent cx="1520825" cy="146050"/>
                <wp:wrapTopAndBottom/>
                <wp:docPr id="214" name="Shape 214"/>
                <a:graphic xmlns:a="http://schemas.openxmlformats.org/drawingml/2006/main">
                  <a:graphicData uri="http://schemas.microsoft.com/office/word/2010/wordprocessingShape">
                    <wps:wsp>
                      <wps:cNvSpPr txBox="1"/>
                      <wps:spPr>
                        <a:xfrm>
                          <a:ext cx="1520825" cy="146050"/>
                        </a:xfrm>
                        <a:prstGeom prst="rect"/>
                        <a:noFill/>
                      </wps:spPr>
                      <wps:txbx>
                        <w:txbxContent>
                          <w:p>
                            <w:pPr>
                              <w:pStyle w:val="Style31"/>
                              <w:keepNext w:val="0"/>
                              <w:keepLines w:val="0"/>
                              <w:widowControl w:val="0"/>
                              <w:pBdr>
                                <w:top w:val="single" w:sz="0" w:space="0" w:color="A6A6A6"/>
                                <w:left w:val="single" w:sz="0" w:space="19" w:color="A6A6A6"/>
                                <w:bottom w:val="single" w:sz="0" w:space="0" w:color="A6A6A6"/>
                                <w:right w:val="single" w:sz="0" w:space="19" w:color="A6A6A6"/>
                              </w:pBdr>
                              <w:shd w:val="clear" w:color="auto" w:fill="A6A6A6"/>
                              <w:bidi w:val="0"/>
                              <w:spacing w:before="0" w:after="0" w:line="240" w:lineRule="auto"/>
                              <w:ind w:left="0" w:right="0" w:firstLine="0"/>
                              <w:jc w:val="left"/>
                            </w:pPr>
                            <w:r>
                              <w:rPr>
                                <w:b/>
                                <w:bCs/>
                                <w:color w:val="FFFFFF"/>
                                <w:spacing w:val="0"/>
                                <w:w w:val="100"/>
                                <w:position w:val="0"/>
                              </w:rPr>
                              <w:t>对整体生产经营和业绩的影响</w:t>
                            </w:r>
                          </w:p>
                        </w:txbxContent>
                      </wps:txbx>
                      <wps:bodyPr wrap="none" lIns="0" tIns="0" rIns="0" bIns="0">
                        <a:noAutoFit/>
                      </wps:bodyPr>
                    </wps:wsp>
                  </a:graphicData>
                </a:graphic>
              </wp:anchor>
            </w:drawing>
          </mc:Choice>
          <mc:Fallback>
            <w:pict>
              <v:shape id="_x0000_s1240" type="#_x0000_t202" style="position:absolute;margin-left:392.15000000000003pt;margin-top:0;width:119.75pt;height:11.5pt;z-index:-125829207;mso-wrap-distance-left:0;mso-wrap-distance-right:0;mso-wrap-distance-bottom:0.25pt;mso-position-horizontal-relative:page" filled="f" stroked="f">
                <v:textbox inset="0,0,0,0">
                  <w:txbxContent>
                    <w:p>
                      <w:pPr>
                        <w:pStyle w:val="Style31"/>
                        <w:keepNext w:val="0"/>
                        <w:keepLines w:val="0"/>
                        <w:widowControl w:val="0"/>
                        <w:pBdr>
                          <w:top w:val="single" w:sz="0" w:space="0" w:color="A6A6A6"/>
                          <w:left w:val="single" w:sz="0" w:space="19" w:color="A6A6A6"/>
                          <w:bottom w:val="single" w:sz="0" w:space="0" w:color="A6A6A6"/>
                          <w:right w:val="single" w:sz="0" w:space="19" w:color="A6A6A6"/>
                        </w:pBdr>
                        <w:shd w:val="clear" w:color="auto" w:fill="A6A6A6"/>
                        <w:bidi w:val="0"/>
                        <w:spacing w:before="0" w:after="0" w:line="240" w:lineRule="auto"/>
                        <w:ind w:left="0" w:right="0" w:firstLine="0"/>
                        <w:jc w:val="left"/>
                      </w:pPr>
                      <w:r>
                        <w:rPr>
                          <w:b/>
                          <w:bCs/>
                          <w:color w:val="FFFFFF"/>
                          <w:spacing w:val="0"/>
                          <w:w w:val="100"/>
                          <w:position w:val="0"/>
                        </w:rPr>
                        <w:t>对整体生产经营和业绩的影响</w:t>
                      </w:r>
                    </w:p>
                  </w:txbxContent>
                </v:textbox>
                <w10:wrap type="topAndBottom" anchorx="page"/>
              </v:shape>
            </w:pict>
          </mc:Fallback>
        </mc:AlternateContent>
      </w:r>
    </w:p>
    <w:p>
      <w:pPr>
        <w:pStyle w:val="Style31"/>
        <w:keepNext w:val="0"/>
        <w:keepLines w:val="0"/>
        <w:widowControl w:val="0"/>
        <w:pBdr>
          <w:bottom w:val="single" w:sz="4" w:space="0" w:color="auto"/>
        </w:pBdr>
        <w:shd w:val="clear" w:color="auto" w:fill="auto"/>
        <w:bidi w:val="0"/>
        <w:spacing w:before="0" w:after="100" w:line="309" w:lineRule="exact"/>
        <w:ind w:left="820" w:right="0" w:firstLine="0"/>
        <w:jc w:val="left"/>
      </w:pPr>
      <w:r>
        <mc:AlternateContent>
          <mc:Choice Requires="wps">
            <w:drawing>
              <wp:anchor distT="0" distB="0" distL="114300" distR="2141220" simplePos="0" relativeHeight="125829548" behindDoc="0" locked="0" layoutInCell="1" allowOverlap="1">
                <wp:simplePos x="0" y="0"/>
                <wp:positionH relativeFrom="page">
                  <wp:posOffset>743585</wp:posOffset>
                </wp:positionH>
                <wp:positionV relativeFrom="paragraph">
                  <wp:posOffset>368300</wp:posOffset>
                </wp:positionV>
                <wp:extent cx="1386840" cy="146050"/>
                <wp:wrapSquare wrapText="right"/>
                <wp:docPr id="216" name="Shape 216"/>
                <a:graphic xmlns:a="http://schemas.openxmlformats.org/drawingml/2006/main">
                  <a:graphicData uri="http://schemas.microsoft.com/office/word/2010/wordprocessingShape">
                    <wps:wsp>
                      <wps:cNvSpPr txBox="1"/>
                      <wps:spPr>
                        <a:xfrm>
                          <a:ext cx="138684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山东百邦电子科技有限公司</w:t>
                            </w:r>
                          </w:p>
                        </w:txbxContent>
                      </wps:txbx>
                      <wps:bodyPr wrap="none" lIns="0" tIns="0" rIns="0" bIns="0">
                        <a:noAutoFit/>
                      </wps:bodyPr>
                    </wps:wsp>
                  </a:graphicData>
                </a:graphic>
              </wp:anchor>
            </w:drawing>
          </mc:Choice>
          <mc:Fallback>
            <w:pict>
              <v:shape id="_x0000_s1242" type="#_x0000_t202" style="position:absolute;margin-left:58.550000000000004pt;margin-top:29.pt;width:109.2pt;height:11.5pt;z-index:-125829205;mso-wrap-distance-left:9.pt;mso-wrap-distance-right:168.5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山东百邦电子科技有限公司</w:t>
                      </w:r>
                    </w:p>
                  </w:txbxContent>
                </v:textbox>
                <w10:wrap type="square" side="right" anchorx="page"/>
              </v:shape>
            </w:pict>
          </mc:Fallback>
        </mc:AlternateContent>
      </w:r>
      <w:r>
        <mc:AlternateContent>
          <mc:Choice Requires="wps">
            <w:drawing>
              <wp:anchor distT="0" distB="0" distL="2144395" distR="114300" simplePos="0" relativeHeight="125829550" behindDoc="0" locked="0" layoutInCell="1" allowOverlap="1">
                <wp:simplePos x="0" y="0"/>
                <wp:positionH relativeFrom="page">
                  <wp:posOffset>2773680</wp:posOffset>
                </wp:positionH>
                <wp:positionV relativeFrom="paragraph">
                  <wp:posOffset>368300</wp:posOffset>
                </wp:positionV>
                <wp:extent cx="1383665" cy="146050"/>
                <wp:wrapSquare wrapText="right"/>
                <wp:docPr id="218" name="Shape 218"/>
                <a:graphic xmlns:a="http://schemas.openxmlformats.org/drawingml/2006/main">
                  <a:graphicData uri="http://schemas.microsoft.com/office/word/2010/wordprocessingShape">
                    <wps:wsp>
                      <wps:cNvSpPr txBox="1"/>
                      <wps:spPr>
                        <a:xfrm>
                          <a:ext cx="138366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以现金出售方式处置子公司</w:t>
                            </w:r>
                          </w:p>
                        </w:txbxContent>
                      </wps:txbx>
                      <wps:bodyPr wrap="none" lIns="0" tIns="0" rIns="0" bIns="0">
                        <a:noAutoFit/>
                      </wps:bodyPr>
                    </wps:wsp>
                  </a:graphicData>
                </a:graphic>
              </wp:anchor>
            </w:drawing>
          </mc:Choice>
          <mc:Fallback>
            <w:pict>
              <v:shape id="_x0000_s1244" type="#_x0000_t202" style="position:absolute;margin-left:218.40000000000001pt;margin-top:29.pt;width:108.95pt;height:11.5pt;z-index:-125829203;mso-wrap-distance-left:168.8499999999999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以现金出售方式处置子公司</w:t>
                      </w:r>
                    </w:p>
                  </w:txbxContent>
                </v:textbox>
                <w10:wrap type="square" side="right" anchorx="page"/>
              </v:shape>
            </w:pict>
          </mc:Fallback>
        </mc:AlternateContent>
      </w:r>
      <w:r>
        <w:rPr>
          <w:color w:val="000000"/>
          <w:spacing w:val="0"/>
          <w:w w:val="100"/>
          <w:position w:val="0"/>
        </w:rPr>
        <w:t>此次交易对上市公司持续经营能力和 资产状况无不良影响，不存在损害上市 公司及全体股东利益的情形。本次交易 产生投资损益</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元</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主要控股参股公司情况说明</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上海百华悦邦电子科技有限公司主要从事苹果产品售后服务业务。上海闪电蜂电子商务有限公司主要从事向消费者提供二手 机回收及销售、商品销售和手机保障等手机服务。</w:t>
      </w:r>
    </w:p>
    <w:p>
      <w:pPr>
        <w:pStyle w:val="Style39"/>
        <w:keepNext/>
        <w:keepLines/>
        <w:widowControl w:val="0"/>
        <w:shd w:val="clear" w:color="auto" w:fill="auto"/>
        <w:bidi w:val="0"/>
        <w:spacing w:before="0" w:line="240" w:lineRule="auto"/>
        <w:ind w:left="0" w:right="0" w:firstLine="0"/>
        <w:jc w:val="both"/>
      </w:pPr>
      <w:bookmarkStart w:id="237" w:name="bookmark237"/>
      <w:bookmarkStart w:id="238" w:name="bookmark238"/>
      <w:bookmarkStart w:id="239" w:name="bookmark239"/>
      <w:bookmarkStart w:id="240" w:name="bookmark240"/>
      <w:r>
        <w:rPr>
          <w:color w:val="000000"/>
          <w:spacing w:val="0"/>
          <w:w w:val="100"/>
          <w:position w:val="0"/>
          <w:sz w:val="24"/>
          <w:szCs w:val="24"/>
        </w:rPr>
        <w:t>八</w:t>
      </w:r>
      <w:bookmarkEnd w:id="239"/>
      <w:r>
        <w:rPr>
          <w:color w:val="000000"/>
          <w:spacing w:val="0"/>
          <w:w w:val="100"/>
          <w:position w:val="0"/>
          <w:sz w:val="24"/>
          <w:szCs w:val="24"/>
        </w:rPr>
        <w:t>、公司控制的结构化主体情况</w:t>
      </w:r>
      <w:bookmarkEnd w:id="237"/>
      <w:bookmarkEnd w:id="238"/>
      <w:bookmarkEnd w:id="240"/>
    </w:p>
    <w:p>
      <w:pPr>
        <w:pStyle w:val="Style31"/>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18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sz w:val="24"/>
          <w:szCs w:val="24"/>
        </w:rPr>
        <w:t>九</w:t>
      </w:r>
      <w:bookmarkEnd w:id="243"/>
      <w:r>
        <w:rPr>
          <w:color w:val="000000"/>
          <w:spacing w:val="0"/>
          <w:w w:val="100"/>
          <w:position w:val="0"/>
          <w:sz w:val="24"/>
          <w:szCs w:val="24"/>
        </w:rPr>
        <w:t>、公司未来发展的展望</w:t>
      </w:r>
      <w:bookmarkEnd w:id="241"/>
      <w:bookmarkEnd w:id="242"/>
      <w:bookmarkEnd w:id="244"/>
    </w:p>
    <w:p>
      <w:pPr>
        <w:pStyle w:val="Style31"/>
        <w:keepNext w:val="0"/>
        <w:keepLines w:val="0"/>
        <w:widowControl w:val="0"/>
        <w:shd w:val="clear" w:color="auto" w:fill="auto"/>
        <w:tabs>
          <w:tab w:pos="890" w:val="left"/>
        </w:tabs>
        <w:bidi w:val="0"/>
        <w:spacing w:before="0" w:after="40" w:line="350" w:lineRule="exact"/>
        <w:ind w:left="0" w:right="0" w:firstLine="380"/>
        <w:jc w:val="both"/>
      </w:pPr>
      <w:bookmarkStart w:id="245" w:name="bookmark245"/>
      <w:r>
        <w:rPr>
          <w:b/>
          <w:bCs/>
          <w:color w:val="000000"/>
          <w:spacing w:val="0"/>
          <w:w w:val="100"/>
          <w:position w:val="0"/>
        </w:rPr>
        <w:t>（</w:t>
      </w:r>
      <w:bookmarkEnd w:id="245"/>
      <w:r>
        <w:rPr>
          <w:b/>
          <w:bCs/>
          <w:color w:val="000000"/>
          <w:spacing w:val="0"/>
          <w:w w:val="100"/>
          <w:position w:val="0"/>
        </w:rPr>
        <w:t>一）</w:t>
        <w:tab/>
        <w:t>公司发展战略</w:t>
      </w:r>
    </w:p>
    <w:p>
      <w:pPr>
        <w:pStyle w:val="Style31"/>
        <w:keepNext w:val="0"/>
        <w:keepLines w:val="0"/>
        <w:widowControl w:val="0"/>
        <w:shd w:val="clear" w:color="auto" w:fill="auto"/>
        <w:bidi w:val="0"/>
        <w:spacing w:before="0" w:after="40" w:line="346" w:lineRule="exact"/>
        <w:ind w:left="0" w:right="0" w:firstLine="380"/>
        <w:jc w:val="both"/>
      </w:pPr>
      <w:r>
        <w:rPr>
          <w:color w:val="000000"/>
          <w:spacing w:val="0"/>
          <w:w w:val="100"/>
          <w:position w:val="0"/>
        </w:rPr>
        <w:t>中国手机售后服务市场是一个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大蛋糕、小蚂蚁</w:t>
      </w:r>
      <w:r>
        <w:rPr>
          <w:color w:val="000000"/>
          <w:spacing w:val="0"/>
          <w:w w:val="100"/>
          <w:position w:val="0"/>
        </w:rPr>
        <w:t>''</w:t>
      </w:r>
      <w:r>
        <w:rPr>
          <w:color w:val="000000"/>
          <w:spacing w:val="0"/>
          <w:w w:val="100"/>
          <w:position w:val="0"/>
        </w:rPr>
        <w:t>的市场，尚处于发展的初级阶段。公司基于对消费者需求方向和行业发 展趋势的理解，确定了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开创科技服务产业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的愿景，和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让科技更生活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的使命。公司的发展战略，是在未来五年内，通过门 店网络拓展、供应链拓展、品牌发展、人才发展、和运营</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持续优化等关键举措，取得在手机售后服务的较重大份额，并 为进入更多</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服务品类，打下坚实的、可复制的基础。</w:t>
      </w:r>
    </w:p>
    <w:p>
      <w:pPr>
        <w:pStyle w:val="Style31"/>
        <w:keepNext w:val="0"/>
        <w:keepLines w:val="0"/>
        <w:widowControl w:val="0"/>
        <w:shd w:val="clear" w:color="auto" w:fill="auto"/>
        <w:tabs>
          <w:tab w:pos="683" w:val="left"/>
        </w:tabs>
        <w:bidi w:val="0"/>
        <w:spacing w:before="0" w:after="40" w:line="355" w:lineRule="exact"/>
        <w:ind w:left="0" w:right="0" w:firstLine="380"/>
        <w:jc w:val="both"/>
      </w:pPr>
      <w:bookmarkStart w:id="246" w:name="bookmark246"/>
      <w:r>
        <w:rPr>
          <w:rFonts w:ascii="Times New Roman" w:eastAsia="Times New Roman" w:hAnsi="Times New Roman" w:cs="Times New Roman"/>
          <w:b/>
          <w:bCs/>
          <w:color w:val="000000"/>
          <w:spacing w:val="0"/>
          <w:w w:val="100"/>
          <w:position w:val="0"/>
          <w:sz w:val="18"/>
          <w:szCs w:val="18"/>
        </w:rPr>
        <w:t>1</w:t>
      </w:r>
      <w:bookmarkEnd w:id="246"/>
      <w:r>
        <w:rPr>
          <w:b/>
          <w:bCs/>
          <w:color w:val="000000"/>
          <w:spacing w:val="0"/>
          <w:w w:val="100"/>
          <w:position w:val="0"/>
        </w:rPr>
        <w:t>、</w:t>
        <w:tab/>
        <w:t>门店网络拓展：</w:t>
      </w:r>
      <w:r>
        <w:rPr>
          <w:color w:val="000000"/>
          <w:spacing w:val="0"/>
          <w:w w:val="100"/>
          <w:position w:val="0"/>
        </w:rPr>
        <w:t>基于公司在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多年自营店运营中积累的人才、流程、系统、和管理优势，大力拓展加盟店网络，为 加盟商赋能，通过供应链、运营管理、品牌、系统、电商平台运营等输出，提升合作伙伴的业务量和盈利能力，与合作伙伴 共赢；</w:t>
      </w:r>
    </w:p>
    <w:p>
      <w:pPr>
        <w:pStyle w:val="Style31"/>
        <w:keepNext w:val="0"/>
        <w:keepLines w:val="0"/>
        <w:widowControl w:val="0"/>
        <w:shd w:val="clear" w:color="auto" w:fill="auto"/>
        <w:tabs>
          <w:tab w:pos="678" w:val="left"/>
        </w:tabs>
        <w:bidi w:val="0"/>
        <w:spacing w:before="0" w:after="40" w:line="365" w:lineRule="exact"/>
        <w:ind w:left="0" w:right="0" w:firstLine="380"/>
        <w:jc w:val="both"/>
      </w:pPr>
      <w:bookmarkStart w:id="247" w:name="bookmark247"/>
      <w:r>
        <w:rPr>
          <w:rFonts w:ascii="Times New Roman" w:eastAsia="Times New Roman" w:hAnsi="Times New Roman" w:cs="Times New Roman"/>
          <w:b/>
          <w:bCs/>
          <w:color w:val="000000"/>
          <w:spacing w:val="0"/>
          <w:w w:val="100"/>
          <w:position w:val="0"/>
          <w:sz w:val="18"/>
          <w:szCs w:val="18"/>
        </w:rPr>
        <w:t>2</w:t>
      </w:r>
      <w:bookmarkEnd w:id="247"/>
      <w:r>
        <w:rPr>
          <w:b/>
          <w:bCs/>
          <w:color w:val="000000"/>
          <w:spacing w:val="0"/>
          <w:w w:val="100"/>
          <w:position w:val="0"/>
        </w:rPr>
        <w:t>、</w:t>
        <w:tab/>
        <w:t>供应链拓展：</w:t>
      </w:r>
      <w:r>
        <w:rPr>
          <w:color w:val="000000"/>
          <w:spacing w:val="0"/>
          <w:w w:val="100"/>
          <w:position w:val="0"/>
        </w:rPr>
        <w:t>一方面依托原厂优势，强化在维修配件供应链中的领先地位，一方面，持续打造品类丰富、质量性能 领先的自有品牌周边产品供应链；</w:t>
      </w:r>
    </w:p>
    <w:p>
      <w:pPr>
        <w:pStyle w:val="Style31"/>
        <w:keepNext w:val="0"/>
        <w:keepLines w:val="0"/>
        <w:widowControl w:val="0"/>
        <w:shd w:val="clear" w:color="auto" w:fill="auto"/>
        <w:tabs>
          <w:tab w:pos="664" w:val="left"/>
        </w:tabs>
        <w:bidi w:val="0"/>
        <w:spacing w:before="0" w:after="40" w:line="355" w:lineRule="exact"/>
        <w:ind w:left="0" w:right="0" w:firstLine="380"/>
        <w:jc w:val="both"/>
      </w:pPr>
      <w:bookmarkStart w:id="248" w:name="bookmark248"/>
      <w:r>
        <w:rPr>
          <w:rFonts w:ascii="Times New Roman" w:eastAsia="Times New Roman" w:hAnsi="Times New Roman" w:cs="Times New Roman"/>
          <w:b/>
          <w:bCs/>
          <w:color w:val="000000"/>
          <w:spacing w:val="0"/>
          <w:w w:val="100"/>
          <w:position w:val="0"/>
          <w:sz w:val="18"/>
          <w:szCs w:val="18"/>
        </w:rPr>
        <w:t>3</w:t>
      </w:r>
      <w:bookmarkEnd w:id="248"/>
      <w:r>
        <w:rPr>
          <w:b/>
          <w:bCs/>
          <w:color w:val="000000"/>
          <w:spacing w:val="0"/>
          <w:w w:val="100"/>
          <w:position w:val="0"/>
        </w:rPr>
        <w:t>、</w:t>
        <w:tab/>
        <w:t>品牌发展：</w:t>
      </w:r>
      <w:r>
        <w:rPr>
          <w:color w:val="000000"/>
          <w:spacing w:val="0"/>
          <w:w w:val="100"/>
          <w:position w:val="0"/>
        </w:rPr>
        <w:t>坚持百邦、闪电蜂双品牌的发展策略，强化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个放心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的品牌内涵，使百邦、闪电蜂品牌成为手机售后 的代名词，以品牌的发展，支持门店拓展和销售增长；</w:t>
      </w:r>
    </w:p>
    <w:p>
      <w:pPr>
        <w:pStyle w:val="Style31"/>
        <w:keepNext w:val="0"/>
        <w:keepLines w:val="0"/>
        <w:widowControl w:val="0"/>
        <w:shd w:val="clear" w:color="auto" w:fill="auto"/>
        <w:tabs>
          <w:tab w:pos="678" w:val="left"/>
        </w:tabs>
        <w:bidi w:val="0"/>
        <w:spacing w:before="0" w:after="40" w:line="341" w:lineRule="exact"/>
        <w:ind w:left="0" w:right="0" w:firstLine="380"/>
        <w:jc w:val="both"/>
      </w:pPr>
      <w:bookmarkStart w:id="249" w:name="bookmark249"/>
      <w:r>
        <w:rPr>
          <w:rFonts w:ascii="Times New Roman" w:eastAsia="Times New Roman" w:hAnsi="Times New Roman" w:cs="Times New Roman"/>
          <w:b/>
          <w:bCs/>
          <w:color w:val="000000"/>
          <w:spacing w:val="0"/>
          <w:w w:val="100"/>
          <w:position w:val="0"/>
          <w:sz w:val="18"/>
          <w:szCs w:val="18"/>
        </w:rPr>
        <w:t>4</w:t>
      </w:r>
      <w:bookmarkEnd w:id="249"/>
      <w:r>
        <w:rPr>
          <w:b/>
          <w:bCs/>
          <w:color w:val="000000"/>
          <w:spacing w:val="0"/>
          <w:w w:val="100"/>
          <w:position w:val="0"/>
        </w:rPr>
        <w:t>、</w:t>
        <w:tab/>
        <w:t>人才发展：</w:t>
      </w:r>
      <w:r>
        <w:rPr>
          <w:color w:val="000000"/>
          <w:spacing w:val="0"/>
          <w:w w:val="100"/>
          <w:position w:val="0"/>
        </w:rPr>
        <w:t>通过持续优化的招聘、训练、绩效、和梯队管理，通过企业文化运营，为公司、伙伴和行业持续输送人 才；</w:t>
      </w:r>
    </w:p>
    <w:p>
      <w:pPr>
        <w:pStyle w:val="Style31"/>
        <w:keepNext w:val="0"/>
        <w:keepLines w:val="0"/>
        <w:widowControl w:val="0"/>
        <w:shd w:val="clear" w:color="auto" w:fill="auto"/>
        <w:tabs>
          <w:tab w:pos="683" w:val="left"/>
        </w:tabs>
        <w:bidi w:val="0"/>
        <w:spacing w:before="0" w:after="40" w:line="360" w:lineRule="exact"/>
        <w:ind w:left="0" w:right="0" w:firstLine="380"/>
        <w:jc w:val="both"/>
        <w:rPr>
          <w:sz w:val="18"/>
          <w:szCs w:val="18"/>
        </w:rPr>
      </w:pPr>
      <w:bookmarkStart w:id="250" w:name="bookmark250"/>
      <w:r>
        <w:rPr>
          <w:rFonts w:ascii="Times New Roman" w:eastAsia="Times New Roman" w:hAnsi="Times New Roman" w:cs="Times New Roman"/>
          <w:b/>
          <w:bCs/>
          <w:color w:val="000000"/>
          <w:spacing w:val="0"/>
          <w:w w:val="100"/>
          <w:position w:val="0"/>
          <w:sz w:val="18"/>
          <w:szCs w:val="18"/>
        </w:rPr>
        <w:t>5</w:t>
      </w:r>
      <w:bookmarkEnd w:id="250"/>
      <w:r>
        <w:rPr>
          <w:b/>
          <w:bCs/>
          <w:color w:val="000000"/>
          <w:spacing w:val="0"/>
          <w:w w:val="100"/>
          <w:position w:val="0"/>
          <w:sz w:val="15"/>
          <w:szCs w:val="15"/>
        </w:rPr>
        <w:t>、</w:t>
        <w:tab/>
        <w:t>运营</w:t>
      </w:r>
      <w:r>
        <w:rPr>
          <w:rFonts w:ascii="Times New Roman" w:eastAsia="Times New Roman" w:hAnsi="Times New Roman" w:cs="Times New Roman"/>
          <w:b/>
          <w:bCs/>
          <w:color w:val="000000"/>
          <w:spacing w:val="0"/>
          <w:w w:val="100"/>
          <w:position w:val="0"/>
          <w:sz w:val="18"/>
          <w:szCs w:val="18"/>
        </w:rPr>
        <w:t>SOP</w:t>
      </w:r>
      <w:r>
        <w:rPr>
          <w:b/>
          <w:bCs/>
          <w:color w:val="000000"/>
          <w:spacing w:val="0"/>
          <w:w w:val="100"/>
          <w:position w:val="0"/>
          <w:sz w:val="15"/>
          <w:szCs w:val="15"/>
        </w:rPr>
        <w:t>持续优化：</w:t>
      </w:r>
      <w:r>
        <w:rPr>
          <w:color w:val="000000"/>
          <w:spacing w:val="0"/>
          <w:w w:val="100"/>
          <w:position w:val="0"/>
          <w:sz w:val="15"/>
          <w:szCs w:val="15"/>
        </w:rPr>
        <w:t>在公司运营的前、中、后台的各个环节，打造并持续优化</w:t>
      </w:r>
      <w:r>
        <w:rPr>
          <w:rFonts w:ascii="Times New Roman" w:eastAsia="Times New Roman" w:hAnsi="Times New Roman" w:cs="Times New Roman"/>
          <w:color w:val="000000"/>
          <w:spacing w:val="0"/>
          <w:w w:val="100"/>
          <w:position w:val="0"/>
          <w:sz w:val="18"/>
          <w:szCs w:val="18"/>
        </w:rPr>
        <w:t>SOP</w:t>
      </w:r>
      <w:r>
        <w:rPr>
          <w:color w:val="000000"/>
          <w:spacing w:val="0"/>
          <w:w w:val="100"/>
          <w:position w:val="0"/>
          <w:sz w:val="15"/>
          <w:szCs w:val="15"/>
        </w:rPr>
        <w:t>标准流程，通过流程的复制和持 续改善，确保运营效率的持续优化，并形成公司的</w:t>
      </w:r>
      <w:r>
        <w:rPr>
          <w:rFonts w:ascii="Times New Roman" w:eastAsia="Times New Roman" w:hAnsi="Times New Roman" w:cs="Times New Roman"/>
          <w:color w:val="000000"/>
          <w:spacing w:val="0"/>
          <w:w w:val="100"/>
          <w:position w:val="0"/>
          <w:sz w:val="18"/>
          <w:szCs w:val="18"/>
        </w:rPr>
        <w:t>know-how.</w:t>
      </w:r>
    </w:p>
    <w:p>
      <w:pPr>
        <w:pStyle w:val="Style31"/>
        <w:keepNext w:val="0"/>
        <w:keepLines w:val="0"/>
        <w:widowControl w:val="0"/>
        <w:shd w:val="clear" w:color="auto" w:fill="auto"/>
        <w:tabs>
          <w:tab w:pos="890" w:val="left"/>
        </w:tabs>
        <w:bidi w:val="0"/>
        <w:spacing w:before="0" w:after="40" w:line="350" w:lineRule="exact"/>
        <w:ind w:left="0" w:right="0" w:firstLine="380"/>
        <w:jc w:val="both"/>
      </w:pPr>
      <w:bookmarkStart w:id="251" w:name="bookmark251"/>
      <w:r>
        <w:rPr>
          <w:b/>
          <w:bCs/>
          <w:color w:val="000000"/>
          <w:spacing w:val="0"/>
          <w:w w:val="100"/>
          <w:position w:val="0"/>
        </w:rPr>
        <w:t>（</w:t>
      </w:r>
      <w:bookmarkEnd w:id="251"/>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31"/>
        <w:keepNext w:val="0"/>
        <w:keepLines w:val="0"/>
        <w:widowControl w:val="0"/>
        <w:shd w:val="clear" w:color="auto" w:fill="auto"/>
        <w:bidi w:val="0"/>
        <w:spacing w:before="0" w:after="40" w:line="346"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年，公司将在既定的发展战略方向上，逐步推进授权维修业务、联盟业务和线上业务的阶段性目标，持续完善业务 部门和职能部门的</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和流程优化，借助新的用友业财一体化系统提升整体效率。</w:t>
      </w:r>
    </w:p>
    <w:p>
      <w:pPr>
        <w:pStyle w:val="Style31"/>
        <w:keepNext w:val="0"/>
        <w:keepLines w:val="0"/>
        <w:widowControl w:val="0"/>
        <w:shd w:val="clear" w:color="auto" w:fill="auto"/>
        <w:bidi w:val="0"/>
        <w:spacing w:before="0" w:after="40" w:line="350" w:lineRule="exact"/>
        <w:ind w:left="0" w:right="0" w:firstLine="380"/>
        <w:jc w:val="both"/>
      </w:pPr>
      <w:bookmarkStart w:id="252" w:name="bookmark252"/>
      <w:r>
        <w:rPr>
          <w:rFonts w:ascii="Times New Roman" w:eastAsia="Times New Roman" w:hAnsi="Times New Roman" w:cs="Times New Roman"/>
          <w:b/>
          <w:bCs/>
          <w:color w:val="000000"/>
          <w:spacing w:val="0"/>
          <w:w w:val="100"/>
          <w:position w:val="0"/>
          <w:sz w:val="18"/>
          <w:szCs w:val="18"/>
        </w:rPr>
        <w:t>1</w:t>
      </w:r>
      <w:bookmarkEnd w:id="252"/>
      <w:r>
        <w:rPr>
          <w:b/>
          <w:bCs/>
          <w:color w:val="000000"/>
          <w:spacing w:val="0"/>
          <w:w w:val="100"/>
          <w:position w:val="0"/>
        </w:rPr>
        <w:t>、 持续投入于运营能力建设</w:t>
      </w:r>
      <w:r>
        <w:rPr>
          <w:color w:val="000000"/>
          <w:spacing w:val="0"/>
          <w:w w:val="100"/>
          <w:position w:val="0"/>
        </w:rPr>
        <w:t>：公司始终坚持以优质的服务为导向、以专业的技术为支撑、以先进的模式为驱动，向消 费者提供高效、专业、全面的服务。让消费者满意，让手机品牌厂商放心，是我们一直追求的目标。公司通过深化</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的工 作方式，持续提升组织的工作效率；通过优化绩效考核及奖励，持续提升团队的积极性；通过定期技能培训与考核，持续提 升一线服务水平。</w:t>
      </w:r>
    </w:p>
    <w:p>
      <w:pPr>
        <w:pStyle w:val="Style31"/>
        <w:keepNext w:val="0"/>
        <w:keepLines w:val="0"/>
        <w:widowControl w:val="0"/>
        <w:shd w:val="clear" w:color="auto" w:fill="auto"/>
        <w:tabs>
          <w:tab w:pos="328" w:val="left"/>
        </w:tabs>
        <w:bidi w:val="0"/>
        <w:spacing w:before="0" w:after="0" w:line="350" w:lineRule="exact"/>
        <w:ind w:left="0" w:right="0" w:firstLine="380"/>
        <w:jc w:val="both"/>
      </w:pPr>
      <w:bookmarkStart w:id="253" w:name="bookmark253"/>
      <w:r>
        <w:rPr>
          <w:rFonts w:ascii="Times New Roman" w:eastAsia="Times New Roman" w:hAnsi="Times New Roman" w:cs="Times New Roman"/>
          <w:b/>
          <w:bCs/>
          <w:color w:val="000000"/>
          <w:spacing w:val="0"/>
          <w:w w:val="100"/>
          <w:position w:val="0"/>
          <w:sz w:val="18"/>
          <w:szCs w:val="18"/>
        </w:rPr>
        <w:t>2</w:t>
      </w:r>
      <w:bookmarkEnd w:id="253"/>
      <w:r>
        <w:rPr>
          <w:b/>
          <w:bCs/>
          <w:color w:val="000000"/>
          <w:spacing w:val="0"/>
          <w:w w:val="100"/>
          <w:position w:val="0"/>
        </w:rPr>
        <w:t>、</w:t>
        <w:tab/>
        <w:t>把线上线下混合渠道打造成百邦的独特优势：</w:t>
      </w:r>
      <w:r>
        <w:rPr>
          <w:color w:val="000000"/>
          <w:spacing w:val="0"/>
          <w:w w:val="100"/>
          <w:position w:val="0"/>
        </w:rPr>
        <w:t xml:space="preserve">随着天猫、美大等平台公司的业务扩展，消费者对于线上的消费，已 </w:t>
      </w:r>
      <w:r>
        <w:rPr>
          <w:color w:val="000000"/>
          <w:spacing w:val="0"/>
          <w:w w:val="100"/>
          <w:position w:val="0"/>
        </w:rPr>
        <w:t>经从初期的商品扩展到服务领域，公司过去一年的发展，初步验证了我们打造线上线下混合渠道模式的有效性。公司目前在 线上、线下均具有明显的规模优势，我们将持续扩大这一优势，一方面随着电商平台服务业务规模的发展而同步发展，一方 面扩大我们在电商平台的份额，线上为线下带来订单，线下渠道增加线上的竞争力，形成线上、线下协同的增长飞轮。</w:t>
      </w:r>
    </w:p>
    <w:p>
      <w:pPr>
        <w:pStyle w:val="Style31"/>
        <w:keepNext w:val="0"/>
        <w:keepLines w:val="0"/>
        <w:widowControl w:val="0"/>
        <w:shd w:val="clear" w:color="auto" w:fill="auto"/>
        <w:bidi w:val="0"/>
        <w:spacing w:before="0" w:after="0" w:line="354" w:lineRule="exact"/>
        <w:ind w:left="0" w:right="0" w:firstLine="360"/>
        <w:jc w:val="both"/>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、以加盟店拓展和供应链拓展，双轮驱动联盟业务发展</w:t>
      </w:r>
      <w:r>
        <w:rPr>
          <w:color w:val="000000"/>
          <w:spacing w:val="0"/>
          <w:w w:val="100"/>
          <w:position w:val="0"/>
        </w:rPr>
        <w:t>：经过两年多的发展和迭代，公司对于联盟业务市场潜力的判 断得到有效验证，也证明了联盟业务的两大发展驱动力：即加盟店拓展和供应链拓展。一方面，把更多的个体维修服务商纳 入百邦加盟体系，一方面，持续打造优质供应链，帮助加盟伙伴提高业务量和盈利能力，以门店数量和优质产品，双轮驱动 联盟业务发展。</w:t>
      </w:r>
    </w:p>
    <w:p>
      <w:pPr>
        <w:pStyle w:val="Style31"/>
        <w:keepNext w:val="0"/>
        <w:keepLines w:val="0"/>
        <w:widowControl w:val="0"/>
        <w:shd w:val="clear" w:color="auto" w:fill="auto"/>
        <w:bidi w:val="0"/>
        <w:spacing w:before="0" w:after="180" w:line="353" w:lineRule="exact"/>
        <w:ind w:left="0" w:right="0" w:firstLine="360"/>
        <w:jc w:val="both"/>
      </w:pPr>
      <w:bookmarkStart w:id="254" w:name="bookmark254"/>
      <w:r>
        <w:rPr>
          <w:b/>
          <w:bCs/>
          <w:color w:val="000000"/>
          <w:spacing w:val="0"/>
          <w:w w:val="100"/>
          <w:position w:val="0"/>
        </w:rPr>
        <w:t>（</w:t>
      </w:r>
      <w:bookmarkEnd w:id="254"/>
      <w:r>
        <w:rPr>
          <w:b/>
          <w:bCs/>
          <w:color w:val="000000"/>
          <w:spacing w:val="0"/>
          <w:w w:val="100"/>
          <w:position w:val="0"/>
        </w:rPr>
        <w:t>三）可能面对的风险</w:t>
      </w:r>
    </w:p>
    <w:p>
      <w:pPr>
        <w:pStyle w:val="Style31"/>
        <w:keepNext w:val="0"/>
        <w:keepLines w:val="0"/>
        <w:widowControl w:val="0"/>
        <w:shd w:val="clear" w:color="auto" w:fill="auto"/>
        <w:tabs>
          <w:tab w:pos="680" w:val="left"/>
        </w:tabs>
        <w:bidi w:val="0"/>
        <w:spacing w:before="0" w:after="0" w:line="410" w:lineRule="auto"/>
        <w:ind w:left="0" w:right="0" w:firstLine="360"/>
        <w:jc w:val="both"/>
      </w:pPr>
      <w:bookmarkStart w:id="255" w:name="bookmark255"/>
      <w:r>
        <w:rPr>
          <w:rFonts w:ascii="Times New Roman" w:eastAsia="Times New Roman" w:hAnsi="Times New Roman" w:cs="Times New Roman"/>
          <w:b/>
          <w:bCs/>
          <w:color w:val="000000"/>
          <w:spacing w:val="0"/>
          <w:w w:val="100"/>
          <w:position w:val="0"/>
          <w:sz w:val="18"/>
          <w:szCs w:val="18"/>
        </w:rPr>
        <w:t>1</w:t>
      </w:r>
      <w:bookmarkEnd w:id="255"/>
      <w:r>
        <w:rPr>
          <w:b/>
          <w:bCs/>
          <w:color w:val="000000"/>
          <w:spacing w:val="0"/>
          <w:w w:val="100"/>
          <w:position w:val="0"/>
        </w:rPr>
        <w:t>、</w:t>
        <w:tab/>
        <w:t>联盟业务运营能力与战略目标适配性的风险</w:t>
      </w:r>
    </w:p>
    <w:p>
      <w:pPr>
        <w:pStyle w:val="Style31"/>
        <w:keepNext w:val="0"/>
        <w:keepLines w:val="0"/>
        <w:widowControl w:val="0"/>
        <w:shd w:val="clear" w:color="auto" w:fill="auto"/>
        <w:bidi w:val="0"/>
        <w:spacing w:before="0" w:after="0" w:line="355" w:lineRule="exact"/>
        <w:ind w:left="0" w:right="0" w:firstLine="360"/>
        <w:jc w:val="both"/>
      </w:pPr>
      <w:r>
        <w:rPr>
          <w:color w:val="000000"/>
          <w:spacing w:val="0"/>
          <w:w w:val="100"/>
          <w:position w:val="0"/>
        </w:rPr>
        <w:t>公司虽然深耕手机售后行业</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年，但其中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年的时间，都是以自营店为主，加盟业务的拓展，只有两年的时间，加盟店 运营管理能力还不成熟，在流程、人才、对加盟商的业务理解上，还有较大的改进空间。虽然我们坚信联盟业务的广阔市场 前景，但短期可能由于运营能力不足，影响短期联盟业务发展目标的实现。</w:t>
      </w:r>
    </w:p>
    <w:p>
      <w:pPr>
        <w:pStyle w:val="Style31"/>
        <w:keepNext w:val="0"/>
        <w:keepLines w:val="0"/>
        <w:widowControl w:val="0"/>
        <w:shd w:val="clear" w:color="auto" w:fill="auto"/>
        <w:bidi w:val="0"/>
        <w:spacing w:before="0" w:after="180" w:line="352" w:lineRule="exact"/>
        <w:ind w:left="0" w:right="0" w:firstLine="360"/>
        <w:jc w:val="both"/>
      </w:pPr>
      <w:r>
        <w:rPr>
          <w:color w:val="000000"/>
          <w:spacing w:val="0"/>
          <w:w w:val="100"/>
          <w:position w:val="0"/>
        </w:rPr>
        <w:t>公司的应对举措在于：首先，在理念上，坚持与客户共赢、客户先赢的理念，把客户利益作为公司和员工的首要考虑； 其次，聚焦于拓店、运营、合规、营销等核心运营流程</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的打造，通过自上而下的总结改进、和自下而上的涌现方式，实 现</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的持续迭代升级，通过流程的可控，实现结果的可控；第三，持续投资于人才，通过外聘与内生、培训与训练、绩效 管理、文化管理等方式，形成可复制的人才梯队。通过与伙伴的互信、通过流程与人才的打造，持续提升运营能力。</w:t>
      </w:r>
    </w:p>
    <w:p>
      <w:pPr>
        <w:pStyle w:val="Style31"/>
        <w:keepNext w:val="0"/>
        <w:keepLines w:val="0"/>
        <w:widowControl w:val="0"/>
        <w:shd w:val="clear" w:color="auto" w:fill="auto"/>
        <w:tabs>
          <w:tab w:pos="694" w:val="left"/>
        </w:tabs>
        <w:bidi w:val="0"/>
        <w:spacing w:before="0" w:after="0" w:line="410" w:lineRule="auto"/>
        <w:ind w:left="0" w:right="0" w:firstLine="360"/>
        <w:jc w:val="both"/>
      </w:pPr>
      <w:bookmarkStart w:id="256" w:name="bookmark256"/>
      <w:r>
        <w:rPr>
          <w:rFonts w:ascii="Times New Roman" w:eastAsia="Times New Roman" w:hAnsi="Times New Roman" w:cs="Times New Roman"/>
          <w:b/>
          <w:bCs/>
          <w:color w:val="000000"/>
          <w:spacing w:val="0"/>
          <w:w w:val="100"/>
          <w:position w:val="0"/>
          <w:sz w:val="18"/>
          <w:szCs w:val="18"/>
        </w:rPr>
        <w:t>2</w:t>
      </w:r>
      <w:bookmarkEnd w:id="256"/>
      <w:r>
        <w:rPr>
          <w:b/>
          <w:bCs/>
          <w:color w:val="000000"/>
          <w:spacing w:val="0"/>
          <w:w w:val="100"/>
          <w:position w:val="0"/>
        </w:rPr>
        <w:t>、</w:t>
        <w:tab/>
        <w:t>手机品牌厂商竞争格局变化和保修政策调整对保修业务带来影响的风险</w:t>
      </w:r>
    </w:p>
    <w:p>
      <w:pPr>
        <w:pStyle w:val="Style31"/>
        <w:keepNext w:val="0"/>
        <w:keepLines w:val="0"/>
        <w:widowControl w:val="0"/>
        <w:shd w:val="clear" w:color="auto" w:fill="auto"/>
        <w:bidi w:val="0"/>
        <w:spacing w:before="0" w:after="0" w:line="350" w:lineRule="exact"/>
        <w:ind w:left="0" w:right="0" w:firstLine="360"/>
        <w:jc w:val="both"/>
      </w:pPr>
      <w:r>
        <w:rPr>
          <w:color w:val="000000"/>
          <w:spacing w:val="0"/>
          <w:w w:val="100"/>
          <w:position w:val="0"/>
        </w:rPr>
        <w:t>品牌厂商的竞争格局变化，对于手机的销量、进而对手机的保修业务量，会有较大影响。厂商的保修政策、维修流程的 变化，也会对于消费者维修的便利性、体验产生影响，进而对保修业务量产生影响。</w:t>
      </w:r>
    </w:p>
    <w:p>
      <w:pPr>
        <w:pStyle w:val="Style31"/>
        <w:keepNext w:val="0"/>
        <w:keepLines w:val="0"/>
        <w:widowControl w:val="0"/>
        <w:shd w:val="clear" w:color="auto" w:fill="auto"/>
        <w:bidi w:val="0"/>
        <w:spacing w:before="0" w:after="180" w:line="353" w:lineRule="exact"/>
        <w:ind w:left="0" w:right="0" w:firstLine="360"/>
        <w:jc w:val="both"/>
      </w:pPr>
      <w:r>
        <w:rPr>
          <w:color w:val="000000"/>
          <w:spacing w:val="0"/>
          <w:w w:val="100"/>
          <w:position w:val="0"/>
        </w:rPr>
        <w:t>公司的应对举措在于：首先，通过运营能力优势、授权门店的数量优势、城市覆盖优势，和合规管理优势，持续提高公 司在授权服务市场的份额；其次，通过公司的线上获单能力以及较大的存量客户中的口碑，提升单店的业务量；第三，通过 丰富的增值服务产品和手机周边产品，提高交叉销售能力。</w:t>
      </w:r>
    </w:p>
    <w:p>
      <w:pPr>
        <w:pStyle w:val="Style31"/>
        <w:keepNext w:val="0"/>
        <w:keepLines w:val="0"/>
        <w:widowControl w:val="0"/>
        <w:shd w:val="clear" w:color="auto" w:fill="auto"/>
        <w:tabs>
          <w:tab w:pos="694" w:val="left"/>
        </w:tabs>
        <w:bidi w:val="0"/>
        <w:spacing w:before="0" w:after="0" w:line="410" w:lineRule="auto"/>
        <w:ind w:left="0" w:right="0" w:firstLine="360"/>
        <w:jc w:val="both"/>
      </w:pPr>
      <w:bookmarkStart w:id="257" w:name="bookmark257"/>
      <w:r>
        <w:rPr>
          <w:rFonts w:ascii="Times New Roman" w:eastAsia="Times New Roman" w:hAnsi="Times New Roman" w:cs="Times New Roman"/>
          <w:b/>
          <w:bCs/>
          <w:color w:val="000000"/>
          <w:spacing w:val="0"/>
          <w:w w:val="100"/>
          <w:position w:val="0"/>
          <w:sz w:val="18"/>
          <w:szCs w:val="18"/>
        </w:rPr>
        <w:t>3</w:t>
      </w:r>
      <w:bookmarkEnd w:id="257"/>
      <w:r>
        <w:rPr>
          <w:b/>
          <w:bCs/>
          <w:color w:val="000000"/>
          <w:spacing w:val="0"/>
          <w:w w:val="100"/>
          <w:position w:val="0"/>
        </w:rPr>
        <w:t>、</w:t>
        <w:tab/>
        <w:t>核心元器件的价格和供应量变化，对于手机周边产品供应链影响的风险</w:t>
      </w:r>
    </w:p>
    <w:p>
      <w:pPr>
        <w:pStyle w:val="Style31"/>
        <w:keepNext w:val="0"/>
        <w:keepLines w:val="0"/>
        <w:widowControl w:val="0"/>
        <w:shd w:val="clear" w:color="auto" w:fill="auto"/>
        <w:bidi w:val="0"/>
        <w:spacing w:before="0" w:after="0" w:line="360" w:lineRule="exact"/>
        <w:ind w:left="0" w:right="0" w:firstLine="360"/>
        <w:jc w:val="both"/>
      </w:pPr>
      <w:r>
        <w:rPr>
          <w:color w:val="000000"/>
          <w:spacing w:val="0"/>
          <w:w w:val="100"/>
          <w:position w:val="0"/>
        </w:rPr>
        <w:t>核心元器件，尤其是</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的短缺和价格上涨，会对充电器、蓝牙等手机周边产品的成本和供货量带来影响，从而对公司的 手机周边产品销售业务产生影响。</w:t>
      </w:r>
    </w:p>
    <w:p>
      <w:pPr>
        <w:pStyle w:val="Style31"/>
        <w:keepNext w:val="0"/>
        <w:keepLines w:val="0"/>
        <w:widowControl w:val="0"/>
        <w:shd w:val="clear" w:color="auto" w:fill="auto"/>
        <w:bidi w:val="0"/>
        <w:spacing w:before="0" w:after="460" w:line="355" w:lineRule="exact"/>
        <w:ind w:left="0" w:right="0" w:firstLine="360"/>
        <w:jc w:val="both"/>
      </w:pPr>
      <w:r>
        <w:rPr>
          <w:color w:val="000000"/>
          <w:spacing w:val="0"/>
          <w:w w:val="100"/>
          <w:position w:val="0"/>
        </w:rPr>
        <w:t>公司的应对举措在于：首先，与头部供应商合作，通过长期战略合作，实现供货稳定性；其次，通过渠道的拓展，形成 相对于竞争对手的规模优势，进而实现成本优势；第三，着力打造差异化产品，通过产品的差异化，实现更高的产品价值。</w:t>
      </w:r>
    </w:p>
    <w:p>
      <w:pPr>
        <w:pStyle w:val="Style39"/>
        <w:keepNext/>
        <w:keepLines/>
        <w:widowControl w:val="0"/>
        <w:shd w:val="clear" w:color="auto" w:fill="auto"/>
        <w:bidi w:val="0"/>
        <w:spacing w:before="0" w:line="240" w:lineRule="auto"/>
        <w:ind w:left="0" w:right="0" w:firstLine="0"/>
        <w:jc w:val="left"/>
      </w:pPr>
      <w:bookmarkStart w:id="258" w:name="bookmark258"/>
      <w:bookmarkStart w:id="259" w:name="bookmark259"/>
      <w:bookmarkStart w:id="260" w:name="bookmark260"/>
      <w:r>
        <w:rPr>
          <w:color w:val="000000"/>
          <w:spacing w:val="0"/>
          <w:w w:val="100"/>
          <w:position w:val="0"/>
          <w:sz w:val="24"/>
          <w:szCs w:val="24"/>
        </w:rPr>
        <w:t>十、接待调研、沟通、采访等活动登记表</w:t>
      </w:r>
      <w:bookmarkEnd w:id="258"/>
      <w:bookmarkEnd w:id="259"/>
      <w:bookmarkEnd w:id="260"/>
    </w:p>
    <w:p>
      <w:pPr>
        <w:pStyle w:val="Style49"/>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、报告期内接待调研、沟通、采访等活动登记表</w:t>
      </w:r>
      <w:bookmarkEnd w:id="261"/>
      <w:bookmarkEnd w:id="262"/>
      <w:bookmarkEnd w:id="264"/>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80" w:line="353" w:lineRule="exact"/>
        <w:ind w:left="0" w:right="0" w:firstLine="0"/>
        <w:jc w:val="left"/>
      </w:pPr>
      <w:r>
        <w:rPr>
          <w:color w:val="000000"/>
          <w:spacing w:val="0"/>
          <w:w w:val="100"/>
          <w:position w:val="0"/>
        </w:rPr>
        <w:t>公司报告期内未发生接待调研、沟通、采访等活动。</w:t>
      </w:r>
    </w:p>
    <w:p>
      <w:pPr>
        <w:pStyle w:val="Style22"/>
        <w:keepNext/>
        <w:keepLines/>
        <w:widowControl w:val="0"/>
        <w:shd w:val="clear" w:color="auto" w:fill="auto"/>
        <w:bidi w:val="0"/>
        <w:spacing w:before="0" w:line="240" w:lineRule="auto"/>
        <w:ind w:left="0" w:right="0" w:firstLine="0"/>
        <w:jc w:val="center"/>
      </w:pPr>
      <w:bookmarkStart w:id="265" w:name="bookmark265"/>
      <w:bookmarkStart w:id="266" w:name="bookmark266"/>
      <w:bookmarkStart w:id="267" w:name="bookmark267"/>
      <w:r>
        <w:rPr>
          <w:spacing w:val="0"/>
          <w:w w:val="100"/>
          <w:position w:val="0"/>
        </w:rPr>
        <w:t>第五节重要事项</w:t>
      </w:r>
      <w:bookmarkEnd w:id="265"/>
      <w:bookmarkEnd w:id="266"/>
      <w:bookmarkEnd w:id="267"/>
    </w:p>
    <w:p>
      <w:pPr>
        <w:pStyle w:val="Style39"/>
        <w:keepNext/>
        <w:keepLines/>
        <w:widowControl w:val="0"/>
        <w:shd w:val="clear" w:color="auto" w:fill="auto"/>
        <w:bidi w:val="0"/>
        <w:spacing w:before="0" w:after="24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p>
    <w:p>
      <w:pPr>
        <w:pStyle w:val="Style31"/>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00" w:line="326" w:lineRule="exact"/>
        <w:ind w:left="0" w:right="0" w:firstLine="460"/>
        <w:jc w:val="both"/>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上市公司现金分红》等相关规定要求，公司已在《公司章程》中制定了清晰 的利润分配政策，明确公司股东的合理投资回报，维护公司股东的利益。报告期内，公司现金分红政策未发生变化。</w:t>
      </w:r>
    </w:p>
    <w:tbl>
      <w:tblPr>
        <w:tblOverlap w:val="never"/>
        <w:jc w:val="center"/>
        <w:tblLayout w:type="fixed"/>
      </w:tblPr>
      <w:tblGrid>
        <w:gridCol w:w="6797"/>
        <w:gridCol w:w="277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780" w:right="0" w:firstLine="0"/>
              <w:jc w:val="left"/>
            </w:pPr>
            <w:r>
              <w:rPr>
                <w:b/>
                <w:bCs/>
                <w:color w:val="FFFFFF"/>
                <w:spacing w:val="0"/>
                <w:w w:val="100"/>
                <w:position w:val="0"/>
              </w:rPr>
              <w:t>现金分红政策的专项说明</w:t>
            </w:r>
          </w:p>
        </w:tc>
        <w:tc>
          <w:tcPr>
            <w:tcBorders/>
            <w:shd w:val="clear" w:color="auto" w:fill="A6A6A6"/>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是否符合公司章程的规定或股东大会决议的要求：</w:t>
            </w:r>
          </w:p>
        </w:tc>
        <w:tc>
          <w:tcPr>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分红标准和比例是否明确和清晰：</w:t>
            </w:r>
          </w:p>
        </w:tc>
        <w:tc>
          <w:tcPr>
            <w:tcBorders>
              <w:top w:val="single" w:sz="4"/>
            </w:tcBorders>
            <w:shd w:val="clear" w:color="auto" w:fill="A22B6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相关的决策程序和机制是否完备：</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独立董事是否履职尽责并发挥了应有的作用：</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中小股东是否有充分表达意见和诉求的机会，其合法权益是否得到了充分保护：</w:t>
            </w:r>
          </w:p>
        </w:tc>
        <w:tc>
          <w:tcPr>
            <w:tcBorders>
              <w:top w:val="single" w:sz="4"/>
            </w:tcBorders>
            <w:shd w:val="clear" w:color="auto" w:fill="A22B6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现金分红政策进行调整或变更的，条件及程序是否合规、透明：</w:t>
            </w:r>
          </w:p>
        </w:tc>
        <w:tc>
          <w:tcPr>
            <w:tcBorders>
              <w:top w:val="single" w:sz="4"/>
              <w:bottom w:val="single" w:sz="4"/>
            </w:tcBorders>
            <w:shd w:val="clear" w:color="auto" w:fill="A22B6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670"/>
        <w:gridCol w:w="4901"/>
      </w:tblGrid>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每</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股送红股数（股）</w:t>
            </w:r>
          </w:p>
        </w:tc>
        <w:tc>
          <w:tcPr>
            <w:tcBorders>
              <w:top w:val="single" w:sz="4"/>
            </w:tcBorders>
            <w:shd w:val="clear" w:color="auto" w:fill="A22B6F"/>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每</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股派息数（元）（含税）</w:t>
            </w:r>
          </w:p>
        </w:tc>
        <w:tc>
          <w:tcPr>
            <w:tcBorders>
              <w:top w:val="single" w:sz="4"/>
            </w:tcBorders>
            <w:shd w:val="clear" w:color="auto" w:fill="A22B6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每</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股转增数（股）</w:t>
            </w:r>
          </w:p>
        </w:tc>
        <w:tc>
          <w:tcPr>
            <w:tcBorders>
              <w:top w:val="single" w:sz="4"/>
            </w:tcBorders>
            <w:shd w:val="clear" w:color="auto" w:fill="A22B6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分配预案的股本基数（股）</w:t>
            </w:r>
          </w:p>
        </w:tc>
        <w:tc>
          <w:tcPr>
            <w:tcBorders>
              <w:top w:val="single" w:sz="4"/>
            </w:tcBorders>
            <w:shd w:val="clear" w:color="auto" w:fill="7E3F63"/>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现金分红金额（元）（含税）</w:t>
            </w:r>
          </w:p>
        </w:tc>
        <w:tc>
          <w:tcPr>
            <w:tcBorders>
              <w:top w:val="single" w:sz="4"/>
            </w:tcBorders>
            <w:shd w:val="clear" w:color="auto" w:fill="A22B6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以其他方式（如回购股份）现金分红金额（元）</w:t>
            </w:r>
          </w:p>
        </w:tc>
        <w:tc>
          <w:tcPr>
            <w:tcBorders>
              <w:top w:val="single" w:sz="4"/>
            </w:tcBorders>
            <w:shd w:val="clear" w:color="auto" w:fill="A22B6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现金分红总额（含其他方式）（元）</w:t>
            </w:r>
          </w:p>
        </w:tc>
        <w:tc>
          <w:tcPr>
            <w:tcBorders>
              <w:top w:val="single" w:sz="4"/>
            </w:tcBorders>
            <w:shd w:val="clear" w:color="auto" w:fill="7E3F63"/>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可分配利润（元）</w:t>
            </w:r>
          </w:p>
        </w:tc>
        <w:tc>
          <w:tcPr>
            <w:tcBorders>
              <w:top w:val="single" w:sz="4"/>
            </w:tcBorders>
            <w:shd w:val="clear" w:color="auto" w:fill="A22B6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现金分红总额（含其他方式）占利润分配总额的比例</w:t>
            </w:r>
          </w:p>
        </w:tc>
        <w:tc>
          <w:tcPr>
            <w:tcBorders>
              <w:top w:val="single" w:sz="4"/>
            </w:tcBorders>
            <w:shd w:val="clear" w:color="auto" w:fill="A22B6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060" w:right="0" w:firstLine="0"/>
              <w:jc w:val="left"/>
            </w:pPr>
            <w:r>
              <w:rPr>
                <w:b/>
                <w:bCs/>
                <w:color w:val="FFFFFF"/>
                <w:spacing w:val="0"/>
                <w:w w:val="100"/>
                <w:position w:val="0"/>
              </w:rPr>
              <w:t>本次现金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分红情况</w:t>
            </w:r>
          </w:p>
        </w:tc>
      </w:tr>
      <w:tr>
        <w:trPr>
          <w:trHeight w:val="331" w:hRule="exact"/>
        </w:trPr>
        <w:tc>
          <w:tcPr>
            <w:gridSpan w:val="2"/>
            <w:tcBorders/>
            <w:shd w:val="clear" w:color="auto" w:fill="A22B6F"/>
            <w:vAlign w:val="top"/>
          </w:tcPr>
          <w:p>
            <w:pPr>
              <w:widowControl w:val="0"/>
              <w:rPr>
                <w:sz w:val="10"/>
                <w:szCs w:val="10"/>
              </w:rPr>
            </w:pPr>
          </w:p>
        </w:tc>
      </w:tr>
      <w:tr>
        <w:trPr>
          <w:trHeight w:val="322" w:hRule="exact"/>
        </w:trPr>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利润分配或资本公积金转增预案的详细情况说明</w:t>
            </w:r>
          </w:p>
        </w:tc>
      </w:tr>
    </w:tbl>
    <w:p>
      <w:pPr>
        <w:pStyle w:val="Style45"/>
        <w:keepNext w:val="0"/>
        <w:keepLines w:val="0"/>
        <w:widowControl w:val="0"/>
        <w:shd w:val="clear" w:color="auto" w:fill="auto"/>
        <w:bidi w:val="0"/>
        <w:spacing w:before="0" w:after="0"/>
        <w:ind w:left="82" w:right="0" w:firstLine="0"/>
        <w:jc w:val="left"/>
      </w:pPr>
      <w:r>
        <w:rPr>
          <w:color w:val="000000"/>
          <w:spacing w:val="0"/>
          <w:w w:val="100"/>
          <w:position w:val="0"/>
        </w:rPr>
        <w:t>经德勤华永会计师事务所（特殊普通合伙）审计确认，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年母公司归属于上市公司股东的净利润为</w:t>
      </w:r>
      <w:r>
        <w:rPr>
          <w:rFonts w:ascii="Times New Roman" w:eastAsia="Times New Roman" w:hAnsi="Times New Roman" w:cs="Times New Roman"/>
          <w:color w:val="000000"/>
          <w:spacing w:val="0"/>
          <w:w w:val="100"/>
          <w:position w:val="0"/>
          <w:sz w:val="18"/>
          <w:szCs w:val="18"/>
        </w:rPr>
        <w:t>-87,497,124.21</w:t>
      </w:r>
      <w:r>
        <w:rPr>
          <w:color w:val="000000"/>
          <w:spacing w:val="0"/>
          <w:w w:val="100"/>
          <w:position w:val="0"/>
        </w:rPr>
        <w:t>元,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-97,345,368.12</w:t>
      </w:r>
      <w:r>
        <w:rPr>
          <w:color w:val="000000"/>
          <w:spacing w:val="0"/>
          <w:w w:val="100"/>
          <w:position w:val="0"/>
        </w:rPr>
        <w:t>元。</w:t>
      </w:r>
    </w:p>
    <w:p>
      <w:pPr>
        <w:pStyle w:val="Style45"/>
        <w:keepNext w:val="0"/>
        <w:keepLines w:val="0"/>
        <w:widowControl w:val="0"/>
        <w:shd w:val="clear" w:color="auto" w:fill="auto"/>
        <w:bidi w:val="0"/>
        <w:spacing w:before="0" w:after="0" w:line="235" w:lineRule="exact"/>
        <w:ind w:left="82" w:right="0" w:firstLine="0"/>
        <w:jc w:val="left"/>
      </w:pPr>
      <w:r>
        <w:rPr>
          <w:color w:val="000000"/>
          <w:spacing w:val="0"/>
          <w:w w:val="100"/>
          <w:position w:val="0"/>
        </w:rPr>
        <w:t>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号——上市公司现金分红》和《公司章程》的有关规定，结合公司发展与未来资金需求， 公司董事会决定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年度不派发现金红利，不送红股，不以资本公积金转增股本。</w:t>
      </w:r>
    </w:p>
    <w:p>
      <w:pPr>
        <w:widowControl w:val="0"/>
        <w:spacing w:after="139" w:line="1" w:lineRule="exact"/>
      </w:pPr>
    </w:p>
    <w:p>
      <w:pPr>
        <w:pStyle w:val="Style31"/>
        <w:keepNext w:val="0"/>
        <w:keepLines w:val="0"/>
        <w:widowControl w:val="0"/>
        <w:pBdr>
          <w:top w:val="single" w:sz="4" w:space="0" w:color="auto"/>
        </w:pBdr>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日召开第三届董事会第二十三次会议，公司董事会决定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年度不派发现金红利，不送红股，不</w:t>
        <w:br w:type="page"/>
      </w:r>
      <w:r>
        <w:rPr>
          <w:color w:val="000000"/>
          <w:spacing w:val="0"/>
          <w:w w:val="100"/>
          <w:position w:val="0"/>
        </w:rPr>
        <w:t>以资本公积金转增股本。本预案尚需公司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w:t>
      </w:r>
    </w:p>
    <w:p>
      <w:pPr>
        <w:pStyle w:val="Style31"/>
        <w:keepNext w:val="0"/>
        <w:keepLines w:val="0"/>
        <w:widowControl w:val="0"/>
        <w:shd w:val="clear" w:color="auto" w:fill="auto"/>
        <w:tabs>
          <w:tab w:pos="794" w:val="left"/>
        </w:tabs>
        <w:bidi w:val="0"/>
        <w:spacing w:before="0" w:after="0" w:line="312" w:lineRule="exact"/>
        <w:ind w:left="0" w:right="0" w:firstLine="440"/>
        <w:jc w:val="both"/>
      </w:pPr>
      <w:bookmarkStart w:id="272" w:name="bookmark272"/>
      <w:r>
        <w:rPr>
          <w:rFonts w:ascii="Times New Roman" w:eastAsia="Times New Roman" w:hAnsi="Times New Roman" w:cs="Times New Roman"/>
          <w:color w:val="000000"/>
          <w:spacing w:val="0"/>
          <w:w w:val="100"/>
          <w:position w:val="0"/>
          <w:sz w:val="18"/>
          <w:szCs w:val="18"/>
        </w:rPr>
        <w:t>2</w:t>
      </w:r>
      <w:bookmarkEnd w:id="272"/>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年度利润分配方案：不派发现金红利，不送红股，不以资本公积金转增股本。</w:t>
      </w:r>
    </w:p>
    <w:p>
      <w:pPr>
        <w:pStyle w:val="Style31"/>
        <w:keepNext w:val="0"/>
        <w:keepLines w:val="0"/>
        <w:widowControl w:val="0"/>
        <w:shd w:val="clear" w:color="auto" w:fill="auto"/>
        <w:tabs>
          <w:tab w:pos="714" w:val="left"/>
        </w:tabs>
        <w:bidi w:val="0"/>
        <w:spacing w:before="0" w:after="520" w:line="312" w:lineRule="exact"/>
        <w:ind w:left="0" w:right="0" w:firstLine="440"/>
        <w:jc w:val="both"/>
      </w:pPr>
      <w:bookmarkStart w:id="273" w:name="bookmark273"/>
      <w:r>
        <w:rPr>
          <w:rFonts w:ascii="Times New Roman" w:eastAsia="Times New Roman" w:hAnsi="Times New Roman" w:cs="Times New Roman"/>
          <w:color w:val="000000"/>
          <w:spacing w:val="0"/>
          <w:w w:val="100"/>
          <w:position w:val="0"/>
          <w:sz w:val="18"/>
          <w:szCs w:val="18"/>
        </w:rPr>
        <w:t>3</w:t>
      </w:r>
      <w:bookmarkEnd w:id="273"/>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年度利润分配方案：以实施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年度利润分配方案的股权登记日的总股本减去公司回购专户股数为基数，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元（含税），不送红股；同时，以资本公积金向全体股东每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股，共计派发现 金红利</w:t>
      </w:r>
      <w:r>
        <w:rPr>
          <w:rFonts w:ascii="Times New Roman" w:eastAsia="Times New Roman" w:hAnsi="Times New Roman" w:cs="Times New Roman"/>
          <w:color w:val="000000"/>
          <w:spacing w:val="0"/>
          <w:w w:val="100"/>
          <w:position w:val="0"/>
          <w:sz w:val="18"/>
          <w:szCs w:val="18"/>
        </w:rPr>
        <w:t>24,492,195.00</w:t>
      </w:r>
      <w:r>
        <w:rPr>
          <w:color w:val="000000"/>
          <w:spacing w:val="0"/>
          <w:w w:val="100"/>
          <w:position w:val="0"/>
        </w:rPr>
        <w:t>元（含税），个人所得税由公司代扣代缴。该利润分配方案已实施完毕。</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123"/>
        <w:gridCol w:w="1267"/>
        <w:gridCol w:w="1195"/>
        <w:gridCol w:w="1210"/>
        <w:gridCol w:w="1181"/>
        <w:gridCol w:w="1205"/>
        <w:gridCol w:w="1190"/>
        <w:gridCol w:w="1157"/>
      </w:tblGrid>
      <w:tr>
        <w:trPr>
          <w:trHeight w:val="259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分红年度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2" w:lineRule="exact"/>
              <w:ind w:left="0" w:right="0" w:firstLine="0"/>
              <w:jc w:val="center"/>
            </w:pPr>
            <w:r>
              <w:rPr>
                <w:b/>
                <w:bCs/>
                <w:color w:val="FFFFFF"/>
                <w:spacing w:val="0"/>
                <w:w w:val="100"/>
                <w:position w:val="0"/>
              </w:rPr>
              <w:t>现金分红金 额（含税）</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3" w:lineRule="exact"/>
              <w:ind w:left="0" w:right="0" w:firstLine="140"/>
              <w:jc w:val="left"/>
            </w:pPr>
            <w:r>
              <w:rPr>
                <w:b/>
                <w:bCs/>
                <w:color w:val="FFFFFF"/>
                <w:spacing w:val="0"/>
                <w:w w:val="100"/>
                <w:position w:val="0"/>
              </w:rPr>
              <w:t>分红年度合 并报表中归 属于上市公 司普通股股 东的净利润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5" w:lineRule="exact"/>
              <w:ind w:left="0" w:right="0" w:firstLine="0"/>
              <w:jc w:val="center"/>
            </w:pPr>
            <w:r>
              <w:rPr>
                <w:b/>
                <w:bCs/>
                <w:color w:val="FFFFFF"/>
                <w:spacing w:val="0"/>
                <w:w w:val="100"/>
                <w:position w:val="0"/>
              </w:rPr>
              <w:t>现金分红金 额占合并报 表中归属于 上市公司普 通股股东的 净利润的比 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0" w:lineRule="exact"/>
              <w:ind w:left="0" w:right="0" w:firstLine="0"/>
              <w:jc w:val="center"/>
            </w:pPr>
            <w:r>
              <w:rPr>
                <w:b/>
                <w:bCs/>
                <w:color w:val="FFFFFF"/>
                <w:spacing w:val="0"/>
                <w:w w:val="100"/>
                <w:position w:val="0"/>
              </w:rPr>
              <w:t>以其他方式 （如回购股 份）现金分 红的金额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以其他方式 现金分红金 额占合并报 表中归属于 上市公司普 通股股东的 净利润的比 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2" w:lineRule="exact"/>
              <w:ind w:left="0" w:right="0" w:firstLine="0"/>
              <w:jc w:val="center"/>
            </w:pPr>
            <w:r>
              <w:rPr>
                <w:b/>
                <w:bCs/>
                <w:color w:val="FFFFFF"/>
                <w:spacing w:val="0"/>
                <w:w w:val="100"/>
                <w:position w:val="0"/>
              </w:rPr>
              <w:t>现金分红总 额（含其他</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2" w:lineRule="exact"/>
              <w:ind w:left="0" w:right="340" w:firstLine="0"/>
              <w:jc w:val="right"/>
            </w:pPr>
            <w:r>
              <w:rPr>
                <w:b/>
                <w:bCs/>
                <w:color w:val="FFFFFF"/>
                <w:spacing w:val="0"/>
                <w:w w:val="100"/>
                <w:position w:val="0"/>
              </w:rPr>
              <w:t>方式）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现金分红总 额（含其他 方式）占合 并报表中归 属于上市公 司普通股股 东的净利润 的比率</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-92,950,034.98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15,011252.00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15,011252.00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2018 </w:t>
            </w:r>
            <w:r>
              <w:rPr>
                <w:b/>
                <w:bCs/>
                <w:color w:val="FFFFFF"/>
                <w:spacing w:val="0"/>
                <w:w w:val="100"/>
                <w:position w:val="0"/>
              </w:rPr>
              <w:t>年</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24,492,195.00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27,028,850.55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24,492,195.00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w:t>
            </w:r>
          </w:p>
        </w:tc>
      </w:tr>
    </w:tbl>
    <w:p>
      <w:pPr>
        <w:pStyle w:val="Style31"/>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after="32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、承诺事项履行情况</w:t>
      </w:r>
      <w:bookmarkEnd w:id="274"/>
      <w:bookmarkEnd w:id="275"/>
      <w:bookmarkEnd w:id="277"/>
    </w:p>
    <w:p>
      <w:pPr>
        <w:pStyle w:val="Style49"/>
        <w:keepNext/>
        <w:keepLines/>
        <w:widowControl w:val="0"/>
        <w:shd w:val="clear" w:color="auto" w:fill="auto"/>
        <w:bidi w:val="0"/>
        <w:spacing w:before="0" w:line="317"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、公司实际控制人、股东、关联方、收购人以及公司等承诺相关方在报告期内履行完毕及截至报告期末 尚未履行完毕的承诺事项</w:t>
      </w:r>
      <w:bookmarkEnd w:id="278"/>
      <w:bookmarkEnd w:id="279"/>
      <w:bookmarkEnd w:id="281"/>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66" w:h="17375"/>
          <w:pgMar w:top="1570" w:right="1044" w:bottom="1924" w:left="1068" w:header="0" w:footer="3" w:gutter="0"/>
          <w:cols w:space="720"/>
          <w:noEndnote/>
          <w:rtlGutter w:val="0"/>
          <w:docGrid w:linePitch="360"/>
        </w:sectPr>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66" w:h="17375"/>
          <w:pgMar w:top="1491" w:right="0" w:bottom="1491" w:left="0" w:header="0" w:footer="3" w:gutter="0"/>
          <w:cols w:space="720"/>
          <w:noEndnote/>
          <w:rtlGutter w:val="0"/>
          <w:docGrid w:linePitch="360"/>
        </w:sectPr>
      </w:pPr>
    </w:p>
    <w:p>
      <w:pPr>
        <w:pStyle w:val="Style31"/>
        <w:keepNext w:val="0"/>
        <w:keepLines w:val="0"/>
        <w:framePr w:w="2669" w:h="456" w:wrap="none" w:vAnchor="text" w:hAnchor="page" w:x="1208" w:y="21"/>
        <w:widowControl w:val="0"/>
        <w:pBdr>
          <w:top w:val="single" w:sz="0" w:space="0" w:color="A6A6A6"/>
          <w:left w:val="single" w:sz="0" w:space="0" w:color="A6A6A6"/>
          <w:bottom w:val="single" w:sz="0" w:space="0" w:color="A6A6A6"/>
          <w:right w:val="single" w:sz="0" w:space="0" w:color="A6A6A6"/>
        </w:pBdr>
        <w:shd w:val="clear" w:color="auto" w:fill="A6A6A6"/>
        <w:tabs>
          <w:tab w:pos="1147" w:val="left"/>
        </w:tabs>
        <w:bidi w:val="0"/>
        <w:spacing w:before="0" w:after="0" w:line="240" w:lineRule="auto"/>
        <w:ind w:left="0" w:right="0" w:firstLine="0"/>
        <w:jc w:val="left"/>
      </w:pPr>
      <w:r>
        <w:rPr>
          <w:b/>
          <w:bCs/>
          <w:color w:val="FFFFFF"/>
          <w:spacing w:val="0"/>
          <w:w w:val="100"/>
          <w:position w:val="0"/>
        </w:rPr>
        <w:t>承诺来源</w:t>
        <w:tab/>
        <w:t>承诺方承诺类</w:t>
      </w:r>
    </w:p>
    <w:p>
      <w:pPr>
        <w:pStyle w:val="Style31"/>
        <w:keepNext w:val="0"/>
        <w:keepLines w:val="0"/>
        <w:framePr w:w="773" w:h="235" w:wrap="none" w:vAnchor="text" w:hAnchor="page" w:x="5960" w:y="121"/>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承诺内容</w:t>
      </w:r>
    </w:p>
    <w:p>
      <w:pPr>
        <w:pStyle w:val="Style31"/>
        <w:keepNext w:val="0"/>
        <w:keepLines w:val="0"/>
        <w:framePr w:w="2117" w:h="461" w:wrap="none" w:vAnchor="text" w:hAnchor="page" w:x="8816" w:y="21"/>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承诺时承诺期限履行情</w:t>
      </w:r>
    </w:p>
    <w:p>
      <w:pPr>
        <w:pStyle w:val="Style31"/>
        <w:keepNext w:val="0"/>
        <w:keepLines w:val="0"/>
        <w:framePr w:w="854" w:h="715" w:wrap="none" w:vAnchor="text" w:hAnchor="page" w:x="1184" w:y="2089"/>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首次公开发 行或再融资 时所作承诺</w:t>
      </w:r>
    </w:p>
    <w:p>
      <w:pPr>
        <w:pStyle w:val="Style31"/>
        <w:keepNext w:val="0"/>
        <w:keepLines w:val="0"/>
        <w:framePr w:w="6629" w:h="2818" w:wrap="none" w:vAnchor="text" w:hAnchor="page" w:x="2149" w:y="539"/>
        <w:widowControl w:val="0"/>
        <w:shd w:val="clear" w:color="auto" w:fill="auto"/>
        <w:tabs>
          <w:tab w:pos="1090" w:val="left"/>
        </w:tabs>
        <w:bidi w:val="0"/>
        <w:spacing w:before="0" w:after="0" w:line="234" w:lineRule="exact"/>
        <w:ind w:left="0" w:right="0" w:firstLine="1800"/>
        <w:jc w:val="both"/>
      </w:pPr>
      <w:r>
        <w:rPr>
          <w:color w:val="000000"/>
          <w:spacing w:val="0"/>
          <w:w w:val="100"/>
          <w:position w:val="0"/>
        </w:rPr>
        <w:t>自公司股票在证券交易所上市交易之日起三十六个月内,不转让或者委 托他人管理其直接或间接所持有的公司股份，也不由公司回购其持有的 公司股份。除上述锁定期外，在刘铁峰任公司董事长、总经理期间每年 转让的股份不超过刘铁峰直接或间接所持公司股份总数的百分之二十 五；刘铁峰离职后半年内，不转让其所持有的公司股份。若刘铁峰在上 刘铁峰达安世</w:t>
        <w:tab/>
        <w:t>股份限售市之日起六个月内申报离职，自申报离职之日起十八个月内不转让其持</w:t>
      </w:r>
    </w:p>
    <w:p>
      <w:pPr>
        <w:pStyle w:val="Style31"/>
        <w:keepNext w:val="0"/>
        <w:keepLines w:val="0"/>
        <w:framePr w:w="6629" w:h="2818" w:wrap="none" w:vAnchor="text" w:hAnchor="page" w:x="2149" w:y="539"/>
        <w:widowControl w:val="0"/>
        <w:shd w:val="clear" w:color="auto" w:fill="auto"/>
        <w:tabs>
          <w:tab w:pos="1157" w:val="left"/>
        </w:tabs>
        <w:bidi w:val="0"/>
        <w:spacing w:before="0" w:after="0" w:line="234" w:lineRule="exact"/>
        <w:ind w:left="0" w:right="0" w:firstLine="0"/>
        <w:jc w:val="both"/>
      </w:pPr>
      <w:r>
        <w:rPr>
          <w:color w:val="000000"/>
          <w:spacing w:val="0"/>
          <w:w w:val="100"/>
          <w:position w:val="0"/>
        </w:rPr>
        <w:t>纸悦华众城</w:t>
        <w:tab/>
        <w:t>承诺有的公司股份;若刘铁峰在上市之日起第七个月至第十二个月之间申报</w:t>
      </w:r>
    </w:p>
    <w:p>
      <w:pPr>
        <w:pStyle w:val="Style31"/>
        <w:keepNext w:val="0"/>
        <w:keepLines w:val="0"/>
        <w:framePr w:w="6629" w:h="2818" w:wrap="none" w:vAnchor="text" w:hAnchor="page" w:x="2149" w:y="539"/>
        <w:widowControl w:val="0"/>
        <w:pBdr>
          <w:bottom w:val="single" w:sz="4" w:space="0" w:color="auto"/>
        </w:pBdr>
        <w:shd w:val="clear" w:color="auto" w:fill="auto"/>
        <w:bidi w:val="0"/>
        <w:spacing w:before="0" w:after="0" w:line="234" w:lineRule="exact"/>
        <w:ind w:left="1800" w:right="0" w:firstLine="0"/>
        <w:jc w:val="both"/>
      </w:pPr>
      <w:r>
        <w:rPr>
          <w:color w:val="000000"/>
          <w:spacing w:val="0"/>
          <w:w w:val="100"/>
          <w:position w:val="0"/>
        </w:rPr>
        <w:t>离职，自申报离职之日起十二个月内不转让其持有的公司股份。所持股 票在锁定期满后两年内减持的,其减持价格不低于发行价;若公司上市 后六个月内公司股票连续二十个交易日的收盘价均低于发行价,或者公 司上市后六个月期末股票收盘价（氐于发行价，持有公司股票的锁定期限 自动延长六个•月。</w:t>
      </w:r>
    </w:p>
    <w:p>
      <w:pPr>
        <w:pStyle w:val="Style34"/>
        <w:keepNext w:val="0"/>
        <w:keepLines w:val="0"/>
        <w:framePr w:w="2102" w:h="715" w:wrap="none" w:vAnchor="text" w:hAnchor="page" w:x="8811" w:y="1599"/>
        <w:widowControl w:val="0"/>
        <w:shd w:val="clear" w:color="auto" w:fill="auto"/>
        <w:bidi w:val="0"/>
        <w:spacing w:before="0" w:after="0"/>
        <w:ind w:left="0" w:right="0" w:firstLine="0"/>
        <w:jc w:val="left"/>
        <w:rPr>
          <w:sz w:val="15"/>
          <w:szCs w:val="15"/>
        </w:rPr>
      </w:pP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p>
    <w:p>
      <w:pPr>
        <w:pStyle w:val="Style31"/>
        <w:keepNext w:val="0"/>
        <w:keepLines w:val="0"/>
        <w:framePr w:w="2102" w:h="715" w:wrap="none" w:vAnchor="text" w:hAnchor="page" w:x="8811" w:y="1599"/>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09 9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正常履</w:t>
        <w:br/>
        <w:t>日 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日仃中</w:t>
      </w:r>
    </w:p>
    <w:p>
      <w:pPr>
        <w:pStyle w:val="Style31"/>
        <w:keepNext w:val="0"/>
        <w:keepLines w:val="0"/>
        <w:framePr w:w="6619" w:h="950" w:wrap="none" w:vAnchor="text" w:hAnchor="page" w:x="2154" w:y="3433"/>
        <w:widowControl w:val="0"/>
        <w:shd w:val="clear" w:color="auto" w:fill="auto"/>
        <w:tabs>
          <w:tab w:pos="1248" w:val="left"/>
        </w:tabs>
        <w:bidi w:val="0"/>
        <w:spacing w:before="0" w:after="0" w:line="228" w:lineRule="exact"/>
        <w:ind w:left="0" w:right="0" w:firstLine="0"/>
        <w:jc w:val="right"/>
      </w:pPr>
      <w:r>
        <w:rPr>
          <w:color w:val="000000"/>
          <w:spacing w:val="0"/>
          <w:w w:val="100"/>
          <w:position w:val="0"/>
        </w:rPr>
        <w:t>对于公司首次公开发行股票前所持的公司股票,在股票锁定期满后,将 达安世纪悦华股份减持通过在二级市场集中竞价交易、大宗交易等深圳正券交易所认可的合法 众城</w:t>
        <w:tab/>
        <w:t>承诺方式按照届时的市场价格或大宗交易确定的价格进行减持。所寺股票在</w:t>
      </w:r>
    </w:p>
    <w:p>
      <w:pPr>
        <w:pStyle w:val="Style31"/>
        <w:keepNext w:val="0"/>
        <w:keepLines w:val="0"/>
        <w:framePr w:w="6619" w:h="950" w:wrap="none" w:vAnchor="text" w:hAnchor="page" w:x="2154" w:y="3433"/>
        <w:widowControl w:val="0"/>
        <w:pBdr>
          <w:bottom w:val="single" w:sz="4" w:space="0" w:color="auto"/>
        </w:pBdr>
        <w:shd w:val="clear" w:color="auto" w:fill="auto"/>
        <w:bidi w:val="0"/>
        <w:spacing w:before="0" w:after="0" w:line="228" w:lineRule="exact"/>
        <w:ind w:left="1800" w:right="0" w:firstLine="0"/>
        <w:jc w:val="left"/>
      </w:pPr>
      <w:r>
        <w:rPr>
          <w:color w:val="000000"/>
          <w:spacing w:val="0"/>
          <w:w w:val="100"/>
          <w:position w:val="0"/>
        </w:rPr>
        <w:t>锁定期满后两年内每年减持不超过百分之二十。并将提前五个交易日向</w:t>
      </w:r>
    </w:p>
    <w:p>
      <w:pPr>
        <w:pStyle w:val="Style34"/>
        <w:keepNext w:val="0"/>
        <w:keepLines w:val="0"/>
        <w:framePr w:w="1522" w:h="725" w:wrap="none" w:vAnchor="text" w:hAnchor="page" w:x="8811" w:y="3529"/>
        <w:widowControl w:val="0"/>
        <w:pBdr>
          <w:top w:val="single" w:sz="0" w:space="3" w:color="F9ECF3"/>
          <w:left w:val="single" w:sz="0" w:space="0" w:color="F9ECF3"/>
          <w:bottom w:val="single" w:sz="0" w:space="0" w:color="F9ECF3"/>
          <w:right w:val="single" w:sz="0" w:space="0" w:color="F9ECF3"/>
        </w:pBdr>
        <w:shd w:val="clear" w:color="auto" w:fill="F9ECF3"/>
        <w:bidi w:val="0"/>
        <w:spacing w:before="0" w:after="0" w:line="235"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sz w:val="15"/>
          <w:szCs w:val="15"/>
        </w:rPr>
        <w:t>年</w:t>
      </w:r>
      <w:r>
        <w:rPr>
          <w:color w:val="000000"/>
          <w:spacing w:val="0"/>
          <w:w w:val="100"/>
          <w:position w:val="0"/>
        </w:rPr>
        <w:t>2021</w:t>
      </w:r>
      <w:r>
        <w:rPr>
          <w:rFonts w:ascii="SimSun" w:eastAsia="SimSun" w:hAnsi="SimSun" w:cs="SimSun"/>
          <w:color w:val="000000"/>
          <w:spacing w:val="0"/>
          <w:w w:val="100"/>
          <w:position w:val="0"/>
          <w:sz w:val="15"/>
          <w:szCs w:val="15"/>
        </w:rPr>
        <w:t>年</w:t>
      </w:r>
      <w:r>
        <w:rPr>
          <w:color w:val="000000"/>
          <w:spacing w:val="0"/>
          <w:w w:val="100"/>
          <w:position w:val="0"/>
        </w:rPr>
        <w:t>1</w:t>
      </w:r>
      <w:r>
        <w:rPr>
          <w:rFonts w:ascii="SimSun" w:eastAsia="SimSun" w:hAnsi="SimSun" w:cs="SimSun"/>
          <w:color w:val="000000"/>
          <w:spacing w:val="0"/>
          <w:w w:val="100"/>
          <w:position w:val="0"/>
          <w:sz w:val="15"/>
          <w:szCs w:val="15"/>
        </w:rPr>
        <w:t xml:space="preserve">月 </w:t>
      </w:r>
      <w:r>
        <w:rPr>
          <w:color w:val="000000"/>
          <w:spacing w:val="0"/>
          <w:w w:val="100"/>
          <w:position w:val="0"/>
        </w:rPr>
        <w:t>01</w:t>
      </w:r>
      <w:r>
        <w:rPr>
          <w:rFonts w:ascii="SimSun" w:eastAsia="SimSun" w:hAnsi="SimSun" w:cs="SimSun"/>
          <w:color w:val="000000"/>
          <w:spacing w:val="0"/>
          <w:w w:val="100"/>
          <w:position w:val="0"/>
          <w:sz w:val="15"/>
          <w:szCs w:val="15"/>
        </w:rPr>
        <w:t>月</w:t>
      </w:r>
      <w:r>
        <w:rPr>
          <w:color w:val="000000"/>
          <w:spacing w:val="0"/>
          <w:w w:val="100"/>
          <w:position w:val="0"/>
        </w:rPr>
        <w:t>09 9</w:t>
      </w:r>
      <w:r>
        <w:rPr>
          <w:rFonts w:ascii="SimSun" w:eastAsia="SimSun" w:hAnsi="SimSun" w:cs="SimSun"/>
          <w:color w:val="000000"/>
          <w:spacing w:val="0"/>
          <w:w w:val="100"/>
          <w:position w:val="0"/>
          <w:sz w:val="15"/>
          <w:szCs w:val="15"/>
        </w:rPr>
        <w:t>日至</w:t>
      </w:r>
      <w:r>
        <w:rPr>
          <w:color w:val="000000"/>
          <w:spacing w:val="0"/>
          <w:w w:val="100"/>
          <w:position w:val="0"/>
        </w:rPr>
        <w:t>2023</w:t>
      </w:r>
    </w:p>
    <w:p>
      <w:pPr>
        <w:pStyle w:val="Style31"/>
        <w:keepNext w:val="0"/>
        <w:keepLines w:val="0"/>
        <w:framePr w:w="1522" w:h="725" w:wrap="none" w:vAnchor="text" w:hAnchor="page" w:x="8811" w:y="3529"/>
        <w:widowControl w:val="0"/>
        <w:pBdr>
          <w:top w:val="single" w:sz="0" w:space="3" w:color="F9ECF3"/>
          <w:left w:val="single" w:sz="0" w:space="0" w:color="F9ECF3"/>
          <w:bottom w:val="single" w:sz="0" w:space="0" w:color="F9ECF3"/>
          <w:right w:val="single" w:sz="0" w:space="0" w:color="F9ECF3"/>
        </w:pBdr>
        <w:shd w:val="clear" w:color="auto" w:fill="F9ECF3"/>
        <w:bidi w:val="0"/>
        <w:spacing w:before="0" w:after="0" w:line="235" w:lineRule="exact"/>
        <w:ind w:left="0" w:right="0" w:firstLine="0"/>
        <w:jc w:val="right"/>
      </w:pPr>
      <w:r>
        <w:rPr>
          <w:color w:val="000000"/>
          <w:spacing w:val="0"/>
          <w:w w:val="100"/>
          <w:position w:val="0"/>
        </w:rPr>
        <w:t>日 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1"/>
        <w:keepNext w:val="0"/>
        <w:keepLines w:val="0"/>
        <w:framePr w:w="528" w:h="490" w:wrap="none" w:vAnchor="text" w:hAnchor="page" w:x="10386" w:y="3639"/>
        <w:widowControl w:val="0"/>
        <w:shd w:val="clear" w:color="auto" w:fill="auto"/>
        <w:bidi w:val="0"/>
        <w:spacing w:before="0" w:after="0" w:line="235" w:lineRule="exact"/>
        <w:ind w:left="0" w:right="0" w:firstLine="0"/>
        <w:jc w:val="center"/>
      </w:pPr>
      <w:r>
        <w:rPr>
          <w:color w:val="000000"/>
          <w:spacing w:val="0"/>
          <w:w w:val="100"/>
          <w:position w:val="0"/>
        </w:rPr>
        <w:t>正常履</w:t>
        <w:br/>
        <w:t>行中</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66" w:h="17375"/>
          <w:pgMar w:top="1491" w:right="1080" w:bottom="1491" w:left="1075"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66" w:h="17375"/>
          <w:pgMar w:top="1491" w:right="1080" w:bottom="1491" w:left="1162" w:header="0" w:footer="3" w:gutter="0"/>
          <w:cols w:space="720"/>
          <w:noEndnote/>
          <w:rtlGutter w:val="0"/>
          <w:docGrid w:linePitch="360"/>
        </w:sectPr>
      </w:pPr>
    </w:p>
    <w:p>
      <w:pPr>
        <w:pStyle w:val="Style31"/>
        <w:keepNext w:val="0"/>
        <w:keepLines w:val="0"/>
        <w:framePr w:w="1747" w:h="230" w:wrap="none" w:vAnchor="text" w:hAnchor="page" w:x="1163" w:y="116"/>
        <w:widowControl w:val="0"/>
        <w:pBdr>
          <w:top w:val="single" w:sz="0" w:space="0" w:color="A6A6A6"/>
          <w:left w:val="single" w:sz="0" w:space="0" w:color="A6A6A6"/>
          <w:bottom w:val="single" w:sz="0" w:space="0" w:color="A6A6A6"/>
          <w:right w:val="single" w:sz="0" w:space="0" w:color="A6A6A6"/>
        </w:pBdr>
        <w:shd w:val="clear" w:color="auto" w:fill="A6A6A6"/>
        <w:tabs>
          <w:tab w:pos="1147" w:val="left"/>
        </w:tabs>
        <w:bidi w:val="0"/>
        <w:spacing w:before="0" w:after="0" w:line="240" w:lineRule="auto"/>
        <w:ind w:left="0" w:right="0" w:firstLine="0"/>
        <w:jc w:val="left"/>
      </w:pPr>
      <w:r>
        <w:rPr>
          <w:b/>
          <w:bCs/>
          <w:color w:val="FFFFFF"/>
          <w:spacing w:val="0"/>
          <w:w w:val="100"/>
          <w:position w:val="0"/>
        </w:rPr>
        <w:t>承诺来源</w:t>
        <w:tab/>
        <w:t>承诺方</w:t>
      </w:r>
    </w:p>
    <w:p>
      <w:pPr>
        <w:pStyle w:val="Style31"/>
        <w:keepNext w:val="0"/>
        <w:keepLines w:val="0"/>
        <w:framePr w:w="590" w:h="456" w:wrap="none" w:vAnchor="text" w:hAnchor="page" w:x="3241" w:y="21"/>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11" w:lineRule="exact"/>
        <w:ind w:left="0" w:right="0" w:firstLine="0"/>
        <w:jc w:val="center"/>
      </w:pPr>
      <w:r>
        <w:rPr>
          <w:b/>
          <w:bCs/>
          <w:color w:val="FFFFFF"/>
          <w:spacing w:val="0"/>
          <w:w w:val="100"/>
          <w:position w:val="0"/>
        </w:rPr>
        <w:t>承诺类</w:t>
        <w:br/>
        <w:t>型</w:t>
      </w:r>
    </w:p>
    <w:p>
      <w:pPr>
        <w:pStyle w:val="Style31"/>
        <w:keepNext w:val="0"/>
        <w:keepLines w:val="0"/>
        <w:framePr w:w="773" w:h="240" w:wrap="none" w:vAnchor="text" w:hAnchor="page" w:x="5915" w:y="116"/>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承诺内容</w:t>
      </w:r>
    </w:p>
    <w:p>
      <w:pPr>
        <w:pStyle w:val="Style31"/>
        <w:keepNext w:val="0"/>
        <w:keepLines w:val="0"/>
        <w:framePr w:w="2117" w:h="461" w:wrap="none" w:vAnchor="text" w:hAnchor="page" w:x="8771" w:y="21"/>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承诺时承诺期限履行情</w:t>
      </w:r>
    </w:p>
    <w:p>
      <w:pPr>
        <w:pStyle w:val="Style31"/>
        <w:keepNext w:val="0"/>
        <w:keepLines w:val="0"/>
        <w:framePr w:w="4834" w:h="946" w:wrap="none" w:vAnchor="text" w:hAnchor="page" w:x="3899" w:y="505"/>
        <w:widowControl w:val="0"/>
        <w:pBdr>
          <w:bottom w:val="single" w:sz="4" w:space="0" w:color="auto"/>
        </w:pBdr>
        <w:shd w:val="clear" w:color="auto" w:fill="auto"/>
        <w:bidi w:val="0"/>
        <w:spacing w:before="0" w:after="0" w:line="232" w:lineRule="exact"/>
        <w:ind w:left="0" w:right="0" w:firstLine="0"/>
        <w:jc w:val="both"/>
      </w:pPr>
      <w:r>
        <w:rPr>
          <w:color w:val="000000"/>
          <w:spacing w:val="0"/>
          <w:w w:val="100"/>
          <w:position w:val="0"/>
        </w:rPr>
        <w:t>发行人提交减寺原因、减持数量、未来减持计划、减持对发行人治理吉 构及持续经营影响的说明，由发行人在减持前三个交易日予以公告,并 将按照《公司法》、《证券法》、中国证券监督管理委员会及深圳证券 交易所相关规定办理。</w:t>
      </w:r>
    </w:p>
    <w:p>
      <w:pPr>
        <w:pStyle w:val="Style31"/>
        <w:keepNext w:val="0"/>
        <w:keepLines w:val="0"/>
        <w:framePr w:w="6370" w:h="1896" w:wrap="none" w:vAnchor="text" w:hAnchor="page" w:x="2363" w:y="1513"/>
        <w:widowControl w:val="0"/>
        <w:shd w:val="clear" w:color="auto" w:fill="auto"/>
        <w:tabs>
          <w:tab w:pos="811" w:val="left"/>
        </w:tabs>
        <w:bidi w:val="0"/>
        <w:spacing w:before="0" w:after="0" w:line="243" w:lineRule="exact"/>
        <w:ind w:left="0" w:right="0" w:firstLine="1540"/>
        <w:jc w:val="both"/>
      </w:pPr>
      <w:r>
        <w:rPr>
          <w:color w:val="000000"/>
          <w:spacing w:val="0"/>
          <w:w w:val="100"/>
          <w:position w:val="0"/>
        </w:rPr>
        <w:t>对于公司首次公开发行股票前本人直接或间接持有的公司股票,在股票 锁定期满后,将通过在二级市场集中竞价交易、大宗交易等深圳证券交 易所认可的合法方式按照届时的市场价格或大宗交易确定的价格进行 丰</w:t>
      </w:r>
      <w:r>
        <w:rPr>
          <w:color w:val="000000"/>
          <w:spacing w:val="0"/>
          <w:w w:val="100"/>
          <w:position w:val="0"/>
        </w:rPr>
        <w:t>E</w:t>
        <w:tab/>
      </w:r>
      <w:r>
        <w:rPr>
          <w:color w:val="000000"/>
          <w:spacing w:val="0"/>
          <w:w w:val="100"/>
          <w:position w:val="0"/>
        </w:rPr>
        <w:t>股份减持减持。所持股票在锁定期满后两年内每年减持不超过百分之二十。并将</w:t>
      </w:r>
    </w:p>
    <w:p>
      <w:pPr>
        <w:pStyle w:val="Style31"/>
        <w:keepNext w:val="0"/>
        <w:keepLines w:val="0"/>
        <w:framePr w:w="6370" w:h="1896" w:wrap="none" w:vAnchor="text" w:hAnchor="page" w:x="2363" w:y="1513"/>
        <w:widowControl w:val="0"/>
        <w:shd w:val="clear" w:color="auto" w:fill="auto"/>
        <w:tabs>
          <w:tab w:pos="994" w:val="left"/>
          <w:tab w:pos="1517" w:val="left"/>
        </w:tabs>
        <w:bidi w:val="0"/>
        <w:spacing w:before="0" w:after="0" w:line="240" w:lineRule="auto"/>
        <w:ind w:left="0" w:right="0" w:firstLine="0"/>
        <w:jc w:val="both"/>
      </w:pPr>
      <w:r>
        <w:rPr>
          <w:color w:val="000000"/>
          <w:spacing w:val="0"/>
          <w:w w:val="100"/>
          <w:position w:val="0"/>
        </w:rPr>
        <w:t>赵新宇</w:t>
        <w:tab/>
        <w:t>承诺</w:t>
        <w:tab/>
        <w:t>提前五个交易日向发行人提交减持原因、减持数量、未来减持计划、减</w:t>
      </w:r>
    </w:p>
    <w:p>
      <w:pPr>
        <w:pStyle w:val="Style31"/>
        <w:keepNext w:val="0"/>
        <w:keepLines w:val="0"/>
        <w:framePr w:w="6370" w:h="1896" w:wrap="none" w:vAnchor="text" w:hAnchor="page" w:x="2363" w:y="1513"/>
        <w:widowControl w:val="0"/>
        <w:pBdr>
          <w:bottom w:val="single" w:sz="4" w:space="0" w:color="auto"/>
        </w:pBdr>
        <w:shd w:val="clear" w:color="auto" w:fill="auto"/>
        <w:bidi w:val="0"/>
        <w:spacing w:before="0" w:after="0" w:line="235" w:lineRule="exact"/>
        <w:ind w:left="1540" w:right="0" w:firstLine="0"/>
        <w:jc w:val="both"/>
      </w:pPr>
      <w:r>
        <w:rPr>
          <w:color w:val="000000"/>
          <w:spacing w:val="0"/>
          <w:w w:val="100"/>
          <w:position w:val="0"/>
        </w:rPr>
        <w:t>持对发行人治理结构及持续经营影响的说明,由发行人在减持前三个交 易日予以公告，并将按照《公司法》、《证券法》、中国证券监督管理 委员会及深圳证券交易所相关规定办理。</w:t>
      </w:r>
    </w:p>
    <w:p>
      <w:pPr>
        <w:pStyle w:val="Style34"/>
        <w:keepNext w:val="0"/>
        <w:keepLines w:val="0"/>
        <w:framePr w:w="2102" w:h="715" w:wrap="none" w:vAnchor="text" w:hAnchor="page" w:x="8766" w:y="2118"/>
        <w:widowControl w:val="0"/>
        <w:shd w:val="clear" w:color="auto" w:fill="auto"/>
        <w:bidi w:val="0"/>
        <w:spacing w:before="0" w:after="0"/>
        <w:ind w:left="0" w:right="0" w:firstLine="0"/>
        <w:jc w:val="left"/>
        <w:rPr>
          <w:sz w:val="15"/>
          <w:szCs w:val="15"/>
        </w:rPr>
      </w:pP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p>
    <w:p>
      <w:pPr>
        <w:pStyle w:val="Style31"/>
        <w:keepNext w:val="0"/>
        <w:keepLines w:val="0"/>
        <w:framePr w:w="2102" w:h="715" w:wrap="none" w:vAnchor="text" w:hAnchor="page" w:x="8766" w:y="2118"/>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09 9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正常履</w:t>
        <w:br/>
        <w:t>日 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日行中</w:t>
      </w:r>
    </w:p>
    <w:p>
      <w:pPr>
        <w:pStyle w:val="Style31"/>
        <w:keepNext w:val="0"/>
        <w:keepLines w:val="0"/>
        <w:framePr w:w="6542" w:h="1886" w:wrap="none" w:vAnchor="text" w:hAnchor="page" w:x="2190" w:y="3481"/>
        <w:widowControl w:val="0"/>
        <w:shd w:val="clear" w:color="auto" w:fill="auto"/>
        <w:bidi w:val="0"/>
        <w:spacing w:before="0" w:after="40" w:line="233" w:lineRule="exact"/>
        <w:ind w:left="1720" w:right="0" w:firstLine="0"/>
        <w:jc w:val="both"/>
      </w:pPr>
      <w:r>
        <w:rPr>
          <w:color w:val="000000"/>
          <w:spacing w:val="0"/>
          <w:w w:val="100"/>
          <w:position w:val="0"/>
        </w:rPr>
        <w:t>对于公司首次公开发行股票前本人直接或间接持有的公司股票,在股票 锁定期满后,将通过在二级市场集中竞价交易、大宗交易等深圳证券交 易所认可的合法方式按照届时的市场价格或大宗交易确定的价格进行</w:t>
      </w:r>
    </w:p>
    <w:p>
      <w:pPr>
        <w:pStyle w:val="Style31"/>
        <w:keepNext w:val="0"/>
        <w:keepLines w:val="0"/>
        <w:framePr w:w="6542" w:h="1886" w:wrap="none" w:vAnchor="text" w:hAnchor="page" w:x="2190" w:y="3481"/>
        <w:widowControl w:val="0"/>
        <w:shd w:val="clear" w:color="auto" w:fill="auto"/>
        <w:tabs>
          <w:tab w:pos="994" w:val="left"/>
        </w:tabs>
        <w:bidi w:val="0"/>
        <w:spacing w:before="0" w:after="0" w:line="240" w:lineRule="auto"/>
        <w:ind w:left="0" w:right="0" w:firstLine="0"/>
        <w:jc w:val="both"/>
      </w:pPr>
      <w:r>
        <w:rPr>
          <w:color w:val="000000"/>
          <w:spacing w:val="0"/>
          <w:w w:val="100"/>
          <w:position w:val="0"/>
        </w:rPr>
        <w:t>F</w:t>
      </w:r>
      <w:r>
        <w:rPr>
          <w:color w:val="000000"/>
          <w:spacing w:val="0"/>
          <w:w w:val="100"/>
          <w:position w:val="0"/>
        </w:rPr>
        <w:t>直阵、让</w:t>
        <w:tab/>
        <w:t>股份减持减持。所持股票在锁定期满后两年内每年减持不超过百分之五十,并将</w:t>
      </w:r>
    </w:p>
    <w:p>
      <w:pPr>
        <w:pStyle w:val="Style31"/>
        <w:keepNext w:val="0"/>
        <w:keepLines w:val="0"/>
        <w:framePr w:w="6542" w:h="1886" w:wrap="none" w:vAnchor="text" w:hAnchor="page" w:x="2190" w:y="3481"/>
        <w:widowControl w:val="0"/>
        <w:shd w:val="clear" w:color="auto" w:fill="auto"/>
        <w:tabs>
          <w:tab w:pos="1128" w:val="left"/>
          <w:tab w:pos="1670" w:val="left"/>
        </w:tabs>
        <w:bidi w:val="0"/>
        <w:spacing w:before="0" w:after="0" w:line="240" w:lineRule="auto"/>
        <w:ind w:left="0" w:right="0" w:firstLine="0"/>
        <w:jc w:val="both"/>
      </w:pPr>
      <w:r>
        <w:rPr>
          <w:color w:val="000000"/>
          <w:spacing w:val="0"/>
          <w:w w:val="100"/>
          <w:position w:val="0"/>
        </w:rPr>
        <w:t>常都喜</w:t>
      </w:r>
      <w:r>
        <w:rPr>
          <w:color w:val="000000"/>
          <w:spacing w:val="0"/>
          <w:w w:val="100"/>
          <w:position w:val="0"/>
          <w:sz w:val="18"/>
          <w:szCs w:val="18"/>
        </w:rPr>
        <w:t>，</w:t>
      </w:r>
      <w:r>
        <w:rPr>
          <w:color w:val="000000"/>
          <w:spacing w:val="0"/>
          <w:w w:val="100"/>
          <w:position w:val="0"/>
        </w:rPr>
        <w:t>陈进</w:t>
        <w:tab/>
        <w:t>承诺</w:t>
        <w:tab/>
        <w:t>提前五个交易日向发行人提交减持原因、减寺数量、未来减持计划、减</w:t>
      </w:r>
    </w:p>
    <w:p>
      <w:pPr>
        <w:pStyle w:val="Style31"/>
        <w:keepNext w:val="0"/>
        <w:keepLines w:val="0"/>
        <w:framePr w:w="6542" w:h="1886" w:wrap="none" w:vAnchor="text" w:hAnchor="page" w:x="2190" w:y="3481"/>
        <w:widowControl w:val="0"/>
        <w:pBdr>
          <w:bottom w:val="single" w:sz="4" w:space="0" w:color="auto"/>
        </w:pBdr>
        <w:shd w:val="clear" w:color="auto" w:fill="auto"/>
        <w:bidi w:val="0"/>
        <w:spacing w:before="0" w:after="0" w:line="235" w:lineRule="exact"/>
        <w:ind w:left="1720" w:right="0" w:firstLine="0"/>
        <w:jc w:val="both"/>
      </w:pPr>
      <w:r>
        <w:rPr>
          <w:color w:val="000000"/>
          <w:spacing w:val="0"/>
          <w:w w:val="100"/>
          <w:position w:val="0"/>
        </w:rPr>
        <w:t>持对发行人治理结构及持续经营影响的说明,由发行人在减持前三个交 易日予以公告，并将按照《公司法》、《证券法》、中国证券监督管理 委员会及深圳证券交易所相关规定办理。</w:t>
      </w:r>
    </w:p>
    <w:p>
      <w:pPr>
        <w:pStyle w:val="Style34"/>
        <w:keepNext w:val="0"/>
        <w:keepLines w:val="0"/>
        <w:framePr w:w="1522" w:h="706" w:wrap="none" w:vAnchor="text" w:hAnchor="page" w:x="8766" w:y="408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p>
    <w:p>
      <w:pPr>
        <w:pStyle w:val="Style34"/>
        <w:keepNext w:val="0"/>
        <w:keepLines w:val="0"/>
        <w:framePr w:w="1522" w:h="706" w:wrap="none" w:vAnchor="text" w:hAnchor="page" w:x="8766" w:y="4086"/>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sz w:val="15"/>
          <w:szCs w:val="15"/>
        </w:rPr>
        <w:t>月</w:t>
      </w:r>
      <w:r>
        <w:rPr>
          <w:color w:val="000000"/>
          <w:spacing w:val="0"/>
          <w:w w:val="100"/>
          <w:position w:val="0"/>
        </w:rPr>
        <w:t>09 9</w:t>
      </w:r>
      <w:r>
        <w:rPr>
          <w:rFonts w:ascii="SimSun" w:eastAsia="SimSun" w:hAnsi="SimSun" w:cs="SimSun"/>
          <w:color w:val="000000"/>
          <w:spacing w:val="0"/>
          <w:w w:val="100"/>
          <w:position w:val="0"/>
          <w:sz w:val="15"/>
          <w:szCs w:val="15"/>
        </w:rPr>
        <w:t>日至</w:t>
      </w:r>
      <w:r>
        <w:rPr>
          <w:color w:val="000000"/>
          <w:spacing w:val="0"/>
          <w:w w:val="100"/>
          <w:position w:val="0"/>
        </w:rPr>
        <w:t>2021</w:t>
      </w:r>
    </w:p>
    <w:p>
      <w:pPr>
        <w:pStyle w:val="Style31"/>
        <w:keepNext w:val="0"/>
        <w:keepLines w:val="0"/>
        <w:framePr w:w="1522" w:h="706" w:wrap="none" w:vAnchor="text" w:hAnchor="page" w:x="8766" w:y="4086"/>
        <w:widowControl w:val="0"/>
        <w:shd w:val="clear" w:color="auto" w:fill="auto"/>
        <w:bidi w:val="0"/>
        <w:spacing w:before="0" w:after="0" w:line="240" w:lineRule="auto"/>
        <w:ind w:left="0" w:right="0" w:firstLine="0"/>
        <w:jc w:val="right"/>
      </w:pPr>
      <w:r>
        <w:rPr>
          <w:color w:val="000000"/>
          <w:spacing w:val="0"/>
          <w:w w:val="100"/>
          <w:position w:val="0"/>
        </w:rPr>
        <w:t>日 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1"/>
        <w:keepNext w:val="0"/>
        <w:keepLines w:val="0"/>
        <w:framePr w:w="528" w:h="490" w:wrap="none" w:vAnchor="text" w:hAnchor="page" w:x="10340" w:y="4177"/>
        <w:widowControl w:val="0"/>
        <w:shd w:val="clear" w:color="auto" w:fill="auto"/>
        <w:bidi w:val="0"/>
        <w:spacing w:before="0" w:after="0" w:line="235" w:lineRule="exact"/>
        <w:ind w:left="0" w:right="0" w:firstLine="0"/>
        <w:jc w:val="center"/>
      </w:pPr>
      <w:r>
        <w:rPr>
          <w:color w:val="000000"/>
          <w:spacing w:val="0"/>
          <w:w w:val="100"/>
          <w:position w:val="0"/>
        </w:rPr>
        <w:t>正常履</w:t>
        <w:br/>
        <w:t>行中</w:t>
      </w:r>
    </w:p>
    <w:p>
      <w:pPr>
        <w:pStyle w:val="Style31"/>
        <w:keepNext w:val="0"/>
        <w:keepLines w:val="0"/>
        <w:framePr w:w="7085" w:h="3518" w:wrap="none" w:vAnchor="text" w:hAnchor="page" w:x="2286" w:y="5444"/>
        <w:widowControl w:val="0"/>
        <w:shd w:val="clear" w:color="auto" w:fill="auto"/>
        <w:tabs>
          <w:tab w:pos="893" w:val="left"/>
        </w:tabs>
        <w:bidi w:val="0"/>
        <w:spacing w:before="0" w:after="0" w:line="233" w:lineRule="exact"/>
        <w:ind w:left="0" w:right="0" w:firstLine="0"/>
        <w:jc w:val="right"/>
        <w:rPr>
          <w:sz w:val="18"/>
          <w:szCs w:val="18"/>
        </w:rPr>
      </w:pPr>
      <w:r>
        <w:rPr>
          <w:color w:val="000000"/>
          <w:spacing w:val="0"/>
          <w:w w:val="100"/>
          <w:position w:val="0"/>
          <w:sz w:val="15"/>
          <w:szCs w:val="15"/>
        </w:rPr>
        <w:t>⑴本次公开发行的招股说明书若有虚假记载、误导性陈述或者重大 遗漏，对判断公司是否符合法律规定的发行条件构成重大、实质影响的， 发行人及控股股东将依法回购全部新股,且控股股东将购回已转让的原 限售股份。证券主管部门或司法机关认定公司招股说明书存在本款前述 违法违规情形之日起的十个交易日内，公司将公告回购新股的回购计 划，包括回购股份数量、价格区间、完成时间等信息，股份回购计划需 经公司股东大会批准。公司在股份回购义务触发之日起三个月（以下简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5"/>
          <w:szCs w:val="15"/>
        </w:rPr>
        <w:t>年 百邦</w:t>
      </w: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5"/>
          <w:szCs w:val="15"/>
        </w:rPr>
        <w:t>技</w:t>
        <w:tab/>
        <w:t>股份回购称'回购期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）内以市场价格完成回购；期间公司如侑派息、送股、资本</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09</w:t>
      </w:r>
    </w:p>
    <w:p>
      <w:pPr>
        <w:pStyle w:val="Style31"/>
        <w:keepNext w:val="0"/>
        <w:keepLines w:val="0"/>
        <w:framePr w:w="7085" w:h="3518" w:wrap="none" w:vAnchor="text" w:hAnchor="page" w:x="2286" w:y="5444"/>
        <w:widowControl w:val="0"/>
        <w:shd w:val="clear" w:color="auto" w:fill="auto"/>
        <w:tabs>
          <w:tab w:pos="1598" w:val="left"/>
        </w:tabs>
        <w:bidi w:val="0"/>
        <w:spacing w:before="0" w:after="0" w:line="233" w:lineRule="exact"/>
        <w:ind w:left="1080" w:right="0" w:firstLine="0"/>
        <w:jc w:val="both"/>
      </w:pPr>
      <w:r>
        <w:rPr>
          <w:color w:val="000000"/>
          <w:spacing w:val="0"/>
          <w:w w:val="100"/>
          <w:position w:val="0"/>
        </w:rPr>
        <w:t>承诺</w:t>
        <w:tab/>
        <w:t>公积金转增股本、配股等除权除息事项，回购底价相应进行调整。如本 日</w:t>
      </w:r>
    </w:p>
    <w:p>
      <w:pPr>
        <w:pStyle w:val="Style31"/>
        <w:keepNext w:val="0"/>
        <w:keepLines w:val="0"/>
        <w:framePr w:w="7085" w:h="3518" w:wrap="none" w:vAnchor="text" w:hAnchor="page" w:x="2286" w:y="5444"/>
        <w:widowControl w:val="0"/>
        <w:pBdr>
          <w:bottom w:val="single" w:sz="4" w:space="0" w:color="auto"/>
        </w:pBdr>
        <w:shd w:val="clear" w:color="auto" w:fill="auto"/>
        <w:bidi w:val="0"/>
        <w:spacing w:before="0" w:after="0" w:line="233" w:lineRule="exact"/>
        <w:ind w:left="1620" w:right="0" w:firstLine="0"/>
        <w:jc w:val="both"/>
        <w:rPr>
          <w:sz w:val="18"/>
          <w:szCs w:val="18"/>
        </w:rPr>
      </w:pPr>
      <w:r>
        <w:rPr>
          <w:color w:val="000000"/>
          <w:spacing w:val="0"/>
          <w:w w:val="100"/>
          <w:position w:val="0"/>
          <w:sz w:val="15"/>
          <w:szCs w:val="15"/>
        </w:rPr>
        <w:t>公司未能履行上述股份回购义务，则由控股股东达安世纪、，悦华众城履 行上述义务。除非交易对方在回购期内不接受要约，否则控股股东将购 回已转让的全部股份。（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）本次公开发行的招股说明书若有虚假记载、 误导性陈述或者重大遗</w:t>
      </w:r>
      <w:r>
        <w:rPr>
          <w:rFonts w:ascii="Times New Roman" w:eastAsia="Times New Roman" w:hAnsi="Times New Roman" w:cs="Times New Roman"/>
          <w:color w:val="000000"/>
          <w:spacing w:val="0"/>
          <w:w w:val="100"/>
          <w:position w:val="0"/>
          <w:sz w:val="17"/>
          <w:szCs w:val="17"/>
        </w:rPr>
        <w:t>S,</w:t>
      </w:r>
      <w:r>
        <w:rPr>
          <w:color w:val="000000"/>
          <w:spacing w:val="0"/>
          <w:w w:val="100"/>
          <w:position w:val="0"/>
          <w:sz w:val="15"/>
          <w:szCs w:val="15"/>
        </w:rPr>
        <w:t>致使投资者在证券交易中遭受损失的,将依 法赔偿投资者损失。具体的赔偿标准、赔偿主体范围、赔偿金额等细节 内容待上述情形实际发生时，依据最终依法确定的赔偿方案为准。</w:t>
      </w:r>
      <w:r>
        <w:rPr>
          <w:rFonts w:ascii="Times New Roman" w:eastAsia="Times New Roman" w:hAnsi="Times New Roman" w:cs="Times New Roman"/>
          <w:color w:val="000000"/>
          <w:spacing w:val="0"/>
          <w:w w:val="100"/>
          <w:position w:val="0"/>
          <w:sz w:val="18"/>
          <w:szCs w:val="18"/>
        </w:rPr>
        <w:t>"</w:t>
      </w:r>
    </w:p>
    <w:p>
      <w:pPr>
        <w:pStyle w:val="Style31"/>
        <w:keepNext w:val="0"/>
        <w:keepLines w:val="0"/>
        <w:framePr w:w="370" w:h="230" w:wrap="none" w:vAnchor="text" w:hAnchor="page" w:x="9673" w:y="7095"/>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31"/>
        <w:keepNext w:val="0"/>
        <w:keepLines w:val="0"/>
        <w:framePr w:w="528" w:h="490" w:wrap="none" w:vAnchor="text" w:hAnchor="page" w:x="10340" w:y="6951"/>
        <w:widowControl w:val="0"/>
        <w:shd w:val="clear" w:color="auto" w:fill="auto"/>
        <w:bidi w:val="0"/>
        <w:spacing w:before="0" w:after="0" w:line="235" w:lineRule="exact"/>
        <w:ind w:left="0" w:right="0" w:firstLine="0"/>
        <w:jc w:val="center"/>
      </w:pPr>
      <w:r>
        <w:rPr>
          <w:color w:val="000000"/>
          <w:spacing w:val="0"/>
          <w:w w:val="100"/>
          <w:position w:val="0"/>
        </w:rPr>
        <w:t>正常履</w:t>
        <w:br/>
        <w:t>行中</w:t>
      </w:r>
    </w:p>
    <w:p>
      <w:pPr>
        <w:pStyle w:val="Style31"/>
        <w:keepNext w:val="0"/>
        <w:keepLines w:val="0"/>
        <w:framePr w:w="6658" w:h="4685" w:wrap="none" w:vAnchor="text" w:hAnchor="page" w:x="2103" w:y="9035"/>
        <w:widowControl w:val="0"/>
        <w:shd w:val="clear" w:color="auto" w:fill="auto"/>
        <w:bidi w:val="0"/>
        <w:spacing w:before="0" w:after="0" w:line="232" w:lineRule="exact"/>
        <w:ind w:left="1800" w:right="0" w:firstLine="120"/>
        <w:jc w:val="both"/>
      </w:pPr>
      <w:r>
        <w:rPr>
          <w:color w:val="000000"/>
          <w:spacing w:val="0"/>
          <w:w w:val="100"/>
          <w:position w:val="0"/>
        </w:rPr>
        <w:t>⑴本次公开发行的招股说明书若有虚假记载、误导性陈述或者重大 遗漏,对判断公司是否符合法律法规规定的发行条件构成重大、实质影 响的,发行人及控股股东将依法回购全部新股,且控股股东将购回已转 让的原限售股份。证券主管部门或司法机关认定公司招股说明书存在本 承诺前述违法违规情形之日起的十个交易日内，公司将公告回购新股的 回购计划，包括回购股份数量、价格区间、完成时间等信息，股份回购 计划需经公司股东大会批准。公司在股份回购义务触发之日起三个月</w:t>
      </w:r>
    </w:p>
    <w:p>
      <w:pPr>
        <w:pStyle w:val="Style31"/>
        <w:keepNext w:val="0"/>
        <w:keepLines w:val="0"/>
        <w:framePr w:w="6658" w:h="4685" w:wrap="none" w:vAnchor="text" w:hAnchor="page" w:x="2103" w:y="9035"/>
        <w:widowControl w:val="0"/>
        <w:shd w:val="clear" w:color="auto" w:fill="auto"/>
        <w:tabs>
          <w:tab w:pos="1090" w:val="left"/>
        </w:tabs>
        <w:bidi w:val="0"/>
        <w:spacing w:before="0" w:after="0" w:line="232" w:lineRule="exact"/>
        <w:ind w:left="0" w:right="0" w:firstLine="1800"/>
        <w:jc w:val="both"/>
      </w:pPr>
      <w:r>
        <w:rPr>
          <w:color w:val="000000"/>
          <w:spacing w:val="0"/>
          <w:w w:val="100"/>
          <w:position w:val="0"/>
        </w:rPr>
        <w:t>（以下简称'回购期</w:t>
      </w:r>
      <w:r>
        <w:rPr>
          <w:color w:val="000000"/>
          <w:spacing w:val="0"/>
          <w:w w:val="100"/>
          <w:position w:val="0"/>
        </w:rPr>
        <w:t>'）</w:t>
      </w:r>
      <w:r>
        <w:rPr>
          <w:color w:val="000000"/>
          <w:spacing w:val="0"/>
          <w:w w:val="100"/>
          <w:position w:val="0"/>
        </w:rPr>
        <w:t>内以市场价格完成回购；期间公司如有派息、送 股、资本公积金转增股本、配股等除权除息事项，回购底价相应进行调 刘铁峰达安世</w:t>
        <w:tab/>
        <w:t>股份回购整。如本公司未能履行上述股份回购义务，贝由控股股东达安世纪、悦</w:t>
      </w:r>
    </w:p>
    <w:p>
      <w:pPr>
        <w:pStyle w:val="Style31"/>
        <w:keepNext w:val="0"/>
        <w:keepLines w:val="0"/>
        <w:framePr w:w="6658" w:h="4685" w:wrap="none" w:vAnchor="text" w:hAnchor="page" w:x="2103" w:y="9035"/>
        <w:widowControl w:val="0"/>
        <w:shd w:val="clear" w:color="auto" w:fill="auto"/>
        <w:tabs>
          <w:tab w:pos="1157" w:val="left"/>
          <w:tab w:pos="1685" w:val="left"/>
        </w:tabs>
        <w:bidi w:val="0"/>
        <w:spacing w:before="0" w:after="0" w:line="232" w:lineRule="exact"/>
        <w:ind w:left="0" w:right="0" w:firstLine="0"/>
        <w:jc w:val="right"/>
      </w:pPr>
      <w:r>
        <w:rPr>
          <w:color w:val="000000"/>
          <w:spacing w:val="0"/>
          <w:w w:val="100"/>
          <w:position w:val="0"/>
        </w:rPr>
        <w:t>纸悦华众城</w:t>
        <w:tab/>
        <w:t>承诺</w:t>
        <w:tab/>
        <w:t>华众城、实际控制人刘铁峰履行上述义务。除非交易对方在回购期内不</w:t>
      </w:r>
    </w:p>
    <w:p>
      <w:pPr>
        <w:pStyle w:val="Style31"/>
        <w:keepNext w:val="0"/>
        <w:keepLines w:val="0"/>
        <w:framePr w:w="6658" w:h="4685" w:wrap="none" w:vAnchor="text" w:hAnchor="page" w:x="2103" w:y="9035"/>
        <w:widowControl w:val="0"/>
        <w:pBdr>
          <w:bottom w:val="single" w:sz="4" w:space="0" w:color="auto"/>
        </w:pBdr>
        <w:shd w:val="clear" w:color="auto" w:fill="auto"/>
        <w:bidi w:val="0"/>
        <w:spacing w:before="0" w:after="0" w:line="232" w:lineRule="exact"/>
        <w:ind w:left="1800" w:right="0" w:firstLine="0"/>
        <w:jc w:val="both"/>
      </w:pPr>
      <w:r>
        <w:rPr>
          <w:color w:val="000000"/>
          <w:spacing w:val="0"/>
          <w:w w:val="100"/>
          <w:position w:val="0"/>
        </w:rPr>
        <w:t>接受要约，否则控股股东达安世纪、，悦华众城、实际控制人刘铁鞘购 回已转让的全部股份。（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）本次公开发行的招股说明书若有虚假记载、 误导性陈述或者重大遗</w:t>
      </w:r>
      <w:r>
        <w:rPr>
          <w:rFonts w:ascii="Times New Roman" w:eastAsia="Times New Roman" w:hAnsi="Times New Roman" w:cs="Times New Roman"/>
          <w:color w:val="000000"/>
          <w:spacing w:val="0"/>
          <w:w w:val="100"/>
          <w:position w:val="0"/>
          <w:sz w:val="17"/>
          <w:szCs w:val="17"/>
        </w:rPr>
        <w:t>S,</w:t>
      </w:r>
      <w:r>
        <w:rPr>
          <w:color w:val="000000"/>
          <w:spacing w:val="0"/>
          <w:w w:val="100"/>
          <w:position w:val="0"/>
        </w:rPr>
        <w:t>致使投资者在正券交易中遭受损失的,将依 法赔偿投资者损失。具体的赔偿标准、赔偿主体范围、赔偿金额等细节 内容待上述情形实际发生时,依据最终依法确定的赔偿方案为准。承诺 人将在中国证监会或司法机关作出发行人存^述事实的最终认定或 判决生效后五日内（或作出由发行人承担赔偿投资者损失责任的最终处 理决定或判决生效后五日内），依法及时提议召集召开发行人董事会、 股东大会，并赫关会议中就相关议案投赞成票，以确保发行人履行完</w:t>
      </w:r>
    </w:p>
    <w:p>
      <w:pPr>
        <w:pStyle w:val="Style34"/>
        <w:keepNext w:val="0"/>
        <w:keepLines w:val="0"/>
        <w:framePr w:w="605" w:h="720" w:wrap="none" w:vAnchor="text" w:hAnchor="page" w:x="8766" w:y="10993"/>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8"/>
          <w:szCs w:val="18"/>
        </w:rPr>
        <w:t xml:space="preserve">2018 </w:t>
      </w:r>
      <w:r>
        <w:rPr>
          <w:rFonts w:ascii="SimSun" w:eastAsia="SimSun" w:hAnsi="SimSun" w:cs="SimSun"/>
          <w:color w:val="000000"/>
          <w:spacing w:val="0"/>
          <w:w w:val="100"/>
          <w:position w:val="0"/>
          <w:sz w:val="15"/>
          <w:szCs w:val="15"/>
        </w:rPr>
        <w:t>年</w:t>
        <w:br/>
      </w:r>
      <w:r>
        <w:rPr>
          <w:color w:val="000000"/>
          <w:spacing w:val="0"/>
          <w:w w:val="100"/>
          <w:position w:val="0"/>
          <w:sz w:val="18"/>
          <w:szCs w:val="18"/>
        </w:rPr>
        <w:t xml:space="preserve">01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09</w:t>
        <w:br/>
      </w:r>
      <w:r>
        <w:rPr>
          <w:rFonts w:ascii="SimSun" w:eastAsia="SimSun" w:hAnsi="SimSun" w:cs="SimSun"/>
          <w:color w:val="000000"/>
          <w:spacing w:val="0"/>
          <w:w w:val="100"/>
          <w:position w:val="0"/>
          <w:sz w:val="15"/>
          <w:szCs w:val="15"/>
        </w:rPr>
        <w:t>日</w:t>
      </w:r>
    </w:p>
    <w:p>
      <w:pPr>
        <w:pStyle w:val="Style31"/>
        <w:keepNext w:val="0"/>
        <w:keepLines w:val="0"/>
        <w:framePr w:w="370" w:h="230" w:wrap="none" w:vAnchor="text" w:hAnchor="page" w:x="9673" w:y="11252"/>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31"/>
        <w:keepNext w:val="0"/>
        <w:keepLines w:val="0"/>
        <w:framePr w:w="528" w:h="499" w:wrap="none" w:vAnchor="text" w:hAnchor="page" w:x="10340" w:y="11099"/>
        <w:widowControl w:val="0"/>
        <w:shd w:val="clear" w:color="auto" w:fill="auto"/>
        <w:bidi w:val="0"/>
        <w:spacing w:before="0" w:after="0" w:line="240" w:lineRule="exact"/>
        <w:ind w:left="0" w:right="0" w:firstLine="0"/>
        <w:jc w:val="center"/>
      </w:pPr>
      <w:r>
        <w:rPr>
          <w:color w:val="000000"/>
          <w:spacing w:val="0"/>
          <w:w w:val="100"/>
          <w:position w:val="0"/>
        </w:rPr>
        <w:t>正常履</w:t>
        <w:br/>
        <w:t>行中</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66" w:h="17375"/>
          <w:pgMar w:top="1491" w:right="1080" w:bottom="1491" w:left="1162"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66" w:h="17375"/>
          <w:pgMar w:top="1491" w:right="1080" w:bottom="1491" w:left="1080" w:header="0" w:footer="3" w:gutter="0"/>
          <w:cols w:space="720"/>
          <w:noEndnote/>
          <w:rtlGutter w:val="0"/>
          <w:docGrid w:linePitch="360"/>
        </w:sectPr>
      </w:pPr>
    </w:p>
    <w:p>
      <w:pPr>
        <w:pStyle w:val="Style31"/>
        <w:keepNext w:val="0"/>
        <w:keepLines w:val="0"/>
        <w:framePr w:w="1747" w:h="230" w:wrap="none" w:vAnchor="text" w:hAnchor="page" w:x="1163" w:y="116"/>
        <w:widowControl w:val="0"/>
        <w:pBdr>
          <w:top w:val="single" w:sz="0" w:space="0" w:color="A6A6A6"/>
          <w:left w:val="single" w:sz="0" w:space="0" w:color="A6A6A6"/>
          <w:bottom w:val="single" w:sz="0" w:space="0" w:color="A6A6A6"/>
          <w:right w:val="single" w:sz="0" w:space="0" w:color="A6A6A6"/>
        </w:pBdr>
        <w:shd w:val="clear" w:color="auto" w:fill="A6A6A6"/>
        <w:tabs>
          <w:tab w:pos="1147" w:val="left"/>
        </w:tabs>
        <w:bidi w:val="0"/>
        <w:spacing w:before="0" w:after="0" w:line="240" w:lineRule="auto"/>
        <w:ind w:left="0" w:right="0" w:firstLine="0"/>
        <w:jc w:val="left"/>
      </w:pPr>
      <w:r>
        <w:rPr>
          <w:b/>
          <w:bCs/>
          <w:color w:val="FFFFFF"/>
          <w:spacing w:val="0"/>
          <w:w w:val="100"/>
          <w:position w:val="0"/>
        </w:rPr>
        <w:t>承诺来源</w:t>
        <w:tab/>
        <w:t>承诺方</w:t>
      </w:r>
    </w:p>
    <w:p>
      <w:pPr>
        <w:pStyle w:val="Style31"/>
        <w:keepNext w:val="0"/>
        <w:keepLines w:val="0"/>
        <w:framePr w:w="590" w:h="456" w:wrap="none" w:vAnchor="text" w:hAnchor="page" w:x="3241" w:y="21"/>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11" w:lineRule="exact"/>
        <w:ind w:left="0" w:right="0" w:firstLine="0"/>
        <w:jc w:val="center"/>
      </w:pPr>
      <w:r>
        <w:rPr>
          <w:b/>
          <w:bCs/>
          <w:color w:val="FFFFFF"/>
          <w:spacing w:val="0"/>
          <w:w w:val="100"/>
          <w:position w:val="0"/>
        </w:rPr>
        <w:t>承诺类</w:t>
        <w:br/>
        <w:t>型</w:t>
      </w:r>
    </w:p>
    <w:p>
      <w:pPr>
        <w:pStyle w:val="Style31"/>
        <w:keepNext w:val="0"/>
        <w:keepLines w:val="0"/>
        <w:framePr w:w="773" w:h="240" w:wrap="none" w:vAnchor="text" w:hAnchor="page" w:x="5915" w:y="116"/>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承诺内容</w:t>
      </w:r>
    </w:p>
    <w:p>
      <w:pPr>
        <w:pStyle w:val="Style31"/>
        <w:keepNext w:val="0"/>
        <w:keepLines w:val="0"/>
        <w:framePr w:w="2117" w:h="461" w:wrap="none" w:vAnchor="text" w:hAnchor="page" w:x="8771" w:y="21"/>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承诺时承诺期限履行情</w:t>
      </w:r>
    </w:p>
    <w:p>
      <w:pPr>
        <w:pStyle w:val="Style31"/>
        <w:keepNext w:val="0"/>
        <w:keepLines w:val="0"/>
        <w:framePr w:w="2405" w:h="221" w:wrap="none" w:vAnchor="text" w:hAnchor="page" w:x="3899" w:y="534"/>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鼬票回购责任（或®任）。</w:t>
      </w:r>
    </w:p>
    <w:p>
      <w:pPr>
        <w:pStyle w:val="Style31"/>
        <w:keepNext w:val="0"/>
        <w:keepLines w:val="0"/>
        <w:framePr w:w="6672" w:h="1906" w:wrap="none" w:vAnchor="text" w:hAnchor="page" w:x="2055" w:y="822"/>
        <w:widowControl w:val="0"/>
        <w:shd w:val="clear" w:color="auto" w:fill="auto"/>
        <w:tabs>
          <w:tab w:pos="1771" w:val="left"/>
        </w:tabs>
        <w:bidi w:val="0"/>
        <w:spacing w:before="0" w:after="0" w:line="238" w:lineRule="exact"/>
        <w:ind w:left="0" w:right="0" w:firstLine="1860"/>
        <w:jc w:val="both"/>
      </w:pPr>
      <w:r>
        <w:rPr>
          <w:color w:val="000000"/>
          <w:spacing w:val="0"/>
          <w:w w:val="100"/>
          <w:position w:val="0"/>
        </w:rPr>
        <w:t>本次公开发行的招股说明书如有■虚假记载、误导性陈述或者重大遗漏 对判断发行人是否符合法律规定的发行条件构成重大、实质影响的（或 为铁峰刘保元</w:t>
        <w:tab/>
        <w:t>致使投资者在证券交易中遭受损失的），承诺人将在中国证监会或司法</w:t>
      </w:r>
    </w:p>
    <w:p>
      <w:pPr>
        <w:pStyle w:val="Style31"/>
        <w:keepNext w:val="0"/>
        <w:keepLines w:val="0"/>
        <w:framePr w:w="6672" w:h="1906" w:wrap="none" w:vAnchor="text" w:hAnchor="page" w:x="2055" w:y="822"/>
        <w:widowControl w:val="0"/>
        <w:shd w:val="clear" w:color="auto" w:fill="auto"/>
        <w:tabs>
          <w:tab w:pos="1766" w:val="left"/>
        </w:tabs>
        <w:bidi w:val="0"/>
        <w:spacing w:before="0" w:after="0" w:line="238" w:lineRule="exact"/>
        <w:ind w:left="0" w:right="0" w:firstLine="0"/>
        <w:jc w:val="both"/>
      </w:pPr>
      <w:r>
        <w:rPr>
          <w:color w:val="000000"/>
          <w:spacing w:val="0"/>
          <w:w w:val="100"/>
          <w:position w:val="0"/>
        </w:rPr>
        <w:t>周海涛庞军徐</w:t>
        <w:tab/>
        <w:t>机关作出发行人存在上述事实的最终认定或判决生效后五日内（或作出</w:t>
      </w:r>
    </w:p>
    <w:p>
      <w:pPr>
        <w:pStyle w:val="Style31"/>
        <w:keepNext w:val="0"/>
        <w:keepLines w:val="0"/>
        <w:framePr w:w="6672" w:h="1906" w:wrap="none" w:vAnchor="text" w:hAnchor="page" w:x="2055" w:y="822"/>
        <w:widowControl w:val="0"/>
        <w:shd w:val="clear" w:color="auto" w:fill="auto"/>
        <w:bidi w:val="0"/>
        <w:spacing w:before="0" w:after="0" w:line="238" w:lineRule="exact"/>
        <w:ind w:left="220" w:right="0" w:hanging="220"/>
        <w:jc w:val="both"/>
      </w:pPr>
      <w:r>
        <w:rPr>
          <w:color w:val="000000"/>
          <w:spacing w:val="0"/>
          <w:w w:val="100"/>
          <w:position w:val="0"/>
        </w:rPr>
        <w:t>艳李岩王波白股份回购由发行人承担赔偿投资者损失责任的最终处理决定或判决生效后五日 松涛，陈爱</w:t>
      </w:r>
    </w:p>
    <w:p>
      <w:pPr>
        <w:pStyle w:val="Style34"/>
        <w:keepNext w:val="0"/>
        <w:keepLines w:val="0"/>
        <w:framePr w:w="6672" w:h="1906" w:wrap="none" w:vAnchor="text" w:hAnchor="page" w:x="2055" w:y="822"/>
        <w:widowControl w:val="0"/>
        <w:shd w:val="clear" w:color="auto" w:fill="auto"/>
        <w:bidi w:val="0"/>
        <w:spacing w:before="0" w:after="0" w:line="238" w:lineRule="exact"/>
        <w:ind w:left="0" w:right="0" w:firstLine="0"/>
        <w:jc w:val="center"/>
        <w:rPr>
          <w:sz w:val="15"/>
          <w:szCs w:val="15"/>
        </w:rPr>
      </w:pPr>
      <w:r>
        <w:rPr>
          <w:rFonts w:ascii="SimSun" w:eastAsia="SimSun" w:hAnsi="SimSun" w:cs="SimSun"/>
          <w:color w:val="000000"/>
          <w:spacing w:val="0"/>
          <w:w w:val="100"/>
          <w:position w:val="0"/>
          <w:sz w:val="15"/>
          <w:szCs w:val="15"/>
        </w:rPr>
        <w:t>珍</w:t>
      </w:r>
      <w:r>
        <w:rPr>
          <w:color w:val="000000"/>
          <w:spacing w:val="0"/>
          <w:w w:val="100"/>
          <w:position w:val="0"/>
          <w:sz w:val="18"/>
          <w:szCs w:val="18"/>
        </w:rPr>
        <w:t>,</w:t>
      </w:r>
      <w:r>
        <w:rPr>
          <w:color w:val="000000"/>
          <w:spacing w:val="0"/>
          <w:w w:val="100"/>
          <w:position w:val="0"/>
          <w:sz w:val="18"/>
          <w:szCs w:val="18"/>
        </w:rPr>
        <w:t>CHENLI</w:t>
        <w:br/>
        <w:t>YA;</w:t>
      </w:r>
      <w:r>
        <w:rPr>
          <w:rFonts w:ascii="SimSun" w:eastAsia="SimSun" w:hAnsi="SimSun" w:cs="SimSun"/>
          <w:color w:val="000000"/>
          <w:spacing w:val="0"/>
          <w:w w:val="100"/>
          <w:position w:val="0"/>
          <w:sz w:val="15"/>
          <w:szCs w:val="15"/>
        </w:rPr>
        <w:t>陈进魏亚锋</w:t>
      </w:r>
    </w:p>
    <w:p>
      <w:pPr>
        <w:pStyle w:val="Style31"/>
        <w:keepNext w:val="0"/>
        <w:keepLines w:val="0"/>
        <w:framePr w:w="379" w:h="226" w:wrap="none" w:vAnchor="text" w:hAnchor="page" w:x="3361" w:y="2012"/>
        <w:widowControl w:val="0"/>
        <w:shd w:val="clear" w:color="auto" w:fill="auto"/>
        <w:bidi w:val="0"/>
        <w:spacing w:before="0" w:after="0" w:line="240" w:lineRule="auto"/>
        <w:ind w:left="0" w:right="0" w:firstLine="0"/>
        <w:jc w:val="left"/>
      </w:pPr>
      <w:r>
        <w:rPr>
          <w:color w:val="000000"/>
          <w:spacing w:val="0"/>
          <w:w w:val="100"/>
          <w:position w:val="0"/>
        </w:rPr>
        <w:t>承诺</w:t>
      </w:r>
    </w:p>
    <w:p>
      <w:pPr>
        <w:pStyle w:val="Style31"/>
        <w:keepNext w:val="0"/>
        <w:keepLines w:val="0"/>
        <w:framePr w:w="4834" w:h="1176" w:wrap="none" w:vAnchor="text" w:hAnchor="page" w:x="3899" w:y="1998"/>
        <w:widowControl w:val="0"/>
        <w:pBdr>
          <w:bottom w:val="single" w:sz="4" w:space="0" w:color="auto"/>
        </w:pBdr>
        <w:shd w:val="clear" w:color="auto" w:fill="auto"/>
        <w:bidi w:val="0"/>
        <w:spacing w:before="0" w:after="0" w:line="230" w:lineRule="exact"/>
        <w:ind w:left="0" w:right="0" w:firstLine="0"/>
        <w:jc w:val="both"/>
      </w:pPr>
      <w:r>
        <w:rPr>
          <w:color w:val="000000"/>
          <w:spacing w:val="0"/>
          <w:w w:val="100"/>
          <w:position w:val="0"/>
        </w:rPr>
        <w:t>内），依法及时提议召集召开发行人董事会、股东大会，并在相关会议 中就相关议案投赞成票，以确保发行人履行完成股票回购责任（或赔偿 责任）。如因前述事由导致承诺人需要依法承担赔偿责任的，承诺人将 根据中国证监会或人民法院等有权部门的最终处理决定或判决生效在 随后三十日内，向投资者依法履行完毕赔偿责任。</w:t>
      </w:r>
    </w:p>
    <w:p>
      <w:pPr>
        <w:pStyle w:val="Style34"/>
        <w:keepNext w:val="0"/>
        <w:keepLines w:val="0"/>
        <w:framePr w:w="605" w:h="720" w:wrap="none" w:vAnchor="text" w:hAnchor="page" w:x="8766" w:y="1638"/>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8"/>
          <w:szCs w:val="18"/>
        </w:rPr>
        <w:t xml:space="preserve">2018 </w:t>
      </w:r>
      <w:r>
        <w:rPr>
          <w:rFonts w:ascii="SimSun" w:eastAsia="SimSun" w:hAnsi="SimSun" w:cs="SimSun"/>
          <w:color w:val="000000"/>
          <w:spacing w:val="0"/>
          <w:w w:val="100"/>
          <w:position w:val="0"/>
          <w:sz w:val="15"/>
          <w:szCs w:val="15"/>
        </w:rPr>
        <w:t>年</w:t>
        <w:br/>
      </w:r>
      <w:r>
        <w:rPr>
          <w:color w:val="000000"/>
          <w:spacing w:val="0"/>
          <w:w w:val="100"/>
          <w:position w:val="0"/>
          <w:sz w:val="18"/>
          <w:szCs w:val="18"/>
        </w:rPr>
        <w:t xml:space="preserve">01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09</w:t>
        <w:br/>
      </w:r>
      <w:r>
        <w:rPr>
          <w:rFonts w:ascii="SimSun" w:eastAsia="SimSun" w:hAnsi="SimSun" w:cs="SimSun"/>
          <w:color w:val="000000"/>
          <w:spacing w:val="0"/>
          <w:w w:val="100"/>
          <w:position w:val="0"/>
          <w:sz w:val="15"/>
          <w:szCs w:val="15"/>
        </w:rPr>
        <w:t>日</w:t>
      </w:r>
    </w:p>
    <w:p>
      <w:pPr>
        <w:pStyle w:val="Style31"/>
        <w:keepNext w:val="0"/>
        <w:keepLines w:val="0"/>
        <w:framePr w:w="370" w:h="230" w:wrap="none" w:vAnchor="text" w:hAnchor="page" w:x="9673" w:y="1897"/>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31"/>
        <w:keepNext w:val="0"/>
        <w:keepLines w:val="0"/>
        <w:framePr w:w="528" w:h="490" w:wrap="none" w:vAnchor="text" w:hAnchor="page" w:x="10340" w:y="1753"/>
        <w:widowControl w:val="0"/>
        <w:shd w:val="clear" w:color="auto" w:fill="auto"/>
        <w:bidi w:val="0"/>
        <w:spacing w:before="0" w:after="0" w:line="235" w:lineRule="exact"/>
        <w:ind w:left="0" w:right="0" w:firstLine="0"/>
        <w:jc w:val="center"/>
      </w:pPr>
      <w:r>
        <w:rPr>
          <w:color w:val="000000"/>
          <w:spacing w:val="0"/>
          <w:w w:val="100"/>
          <w:position w:val="0"/>
        </w:rPr>
        <w:t>正常履</w:t>
        <w:br/>
        <w:t>行中</w:t>
      </w:r>
    </w:p>
    <w:p>
      <w:pPr>
        <w:pStyle w:val="Style31"/>
        <w:keepNext w:val="0"/>
        <w:keepLines w:val="0"/>
        <w:framePr w:w="854" w:h="490" w:wrap="none" w:vAnchor="text" w:hAnchor="page" w:x="1134" w:y="8655"/>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承诺是否按</w:t>
        <w:br/>
        <w:t>时履行</w:t>
      </w:r>
    </w:p>
    <w:p>
      <w:pPr>
        <w:pStyle w:val="Style31"/>
        <w:keepNext w:val="0"/>
        <w:keepLines w:val="0"/>
        <w:framePr w:w="1080" w:h="1651" w:wrap="none" w:vAnchor="text" w:hAnchor="page" w:x="2084" w:y="327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5"/>
          <w:szCs w:val="15"/>
        </w:rPr>
        <w:t>百邦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5"/>
          <w:szCs w:val="15"/>
        </w:rPr>
        <w:t>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达安 世纪悦华众城 为铁峰刘保元 周海涛庞军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李 岩启松涛</w:t>
      </w:r>
      <w:r>
        <w:rPr>
          <w:color w:val="000000"/>
          <w:spacing w:val="0"/>
          <w:w w:val="100"/>
          <w:position w:val="0"/>
          <w:sz w:val="18"/>
          <w:szCs w:val="18"/>
        </w:rPr>
        <w:t>，</w:t>
      </w:r>
      <w:r>
        <w:rPr>
          <w:color w:val="000000"/>
          <w:spacing w:val="0"/>
          <w:w w:val="100"/>
          <w:position w:val="0"/>
          <w:sz w:val="15"/>
          <w:szCs w:val="15"/>
        </w:rPr>
        <w:t>陈爱 珍</w:t>
      </w:r>
      <w:r>
        <w:rPr>
          <w:rFonts w:ascii="Times New Roman" w:eastAsia="Times New Roman" w:hAnsi="Times New Roman" w:cs="Times New Roman"/>
          <w:color w:val="000000"/>
          <w:spacing w:val="0"/>
          <w:w w:val="100"/>
          <w:position w:val="0"/>
          <w:sz w:val="18"/>
          <w:szCs w:val="18"/>
        </w:rPr>
        <w:t>CHENLI</w:t>
      </w:r>
    </w:p>
    <w:p>
      <w:pPr>
        <w:pStyle w:val="Style34"/>
        <w:keepNext w:val="0"/>
        <w:keepLines w:val="0"/>
        <w:framePr w:w="1080" w:h="1651" w:wrap="none" w:vAnchor="text" w:hAnchor="page" w:x="2084" w:y="3270"/>
        <w:widowControl w:val="0"/>
        <w:shd w:val="clear" w:color="auto" w:fill="auto"/>
        <w:bidi w:val="0"/>
        <w:spacing w:before="0" w:after="0" w:line="231" w:lineRule="exact"/>
        <w:ind w:left="0" w:right="0" w:firstLine="0"/>
        <w:jc w:val="center"/>
      </w:pPr>
      <w:r>
        <w:rPr>
          <w:color w:val="000000"/>
          <w:spacing w:val="0"/>
          <w:w w:val="100"/>
          <w:position w:val="0"/>
        </w:rPr>
        <w:t>YA</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5"/>
          <w:szCs w:val="15"/>
        </w:rPr>
        <w:t>陈进</w:t>
      </w:r>
      <w:r>
        <w:rPr>
          <w:rFonts w:ascii="SimSun" w:eastAsia="SimSun" w:hAnsi="SimSun" w:cs="SimSun"/>
          <w:color w:val="000000"/>
          <w:spacing w:val="0"/>
          <w:w w:val="100"/>
          <w:position w:val="0"/>
        </w:rPr>
        <w:t>；</w:t>
      </w:r>
    </w:p>
    <w:p>
      <w:pPr>
        <w:pStyle w:val="Style31"/>
        <w:keepNext w:val="0"/>
        <w:keepLines w:val="0"/>
        <w:framePr w:w="686" w:h="480" w:wrap="none" w:vAnchor="text" w:hAnchor="page" w:x="3207" w:y="3836"/>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 股价承诺</w:t>
      </w:r>
    </w:p>
    <w:p>
      <w:pPr>
        <w:pStyle w:val="Style31"/>
        <w:keepNext w:val="0"/>
        <w:keepLines w:val="0"/>
        <w:framePr w:w="4862" w:h="1656" w:wrap="none" w:vAnchor="text" w:hAnchor="page" w:x="3899" w:y="3246"/>
        <w:widowControl w:val="0"/>
        <w:shd w:val="clear" w:color="auto" w:fill="auto"/>
        <w:bidi w:val="0"/>
        <w:spacing w:before="0" w:after="0" w:line="234" w:lineRule="exact"/>
        <w:ind w:left="0" w:right="0" w:firstLine="0"/>
        <w:jc w:val="left"/>
      </w:pPr>
      <w:r>
        <w:rPr>
          <w:color w:val="000000"/>
          <w:spacing w:val="0"/>
          <w:w w:val="100"/>
          <w:position w:val="0"/>
        </w:rPr>
        <w:t>公司上市后三年内,如公司股票收盘价格（如果因派发现金红利、送股、 转增股本、增发新股等原因进行除权、除息的，须按照深圳证券交易所 的有关规定作复权处理,下同）连续二十个交易日低于最近一期经审计 的每股净资产（每股净资产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合并财务报表中归属于母公司普通股股东 权益合计数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期末公司股份总数，下同）（以下简称'启动条件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则 公司应当在十个交易日内启动稳定股价的措施,由董事会制订具体实施 方案并提前三个交易日公告</w:t>
      </w:r>
    </w:p>
    <w:p>
      <w:pPr>
        <w:pStyle w:val="Style31"/>
        <w:keepNext w:val="0"/>
        <w:keepLines w:val="0"/>
        <w:framePr w:w="6658" w:h="1872" w:wrap="none" w:vAnchor="text" w:hAnchor="page" w:x="2103" w:y="4983"/>
        <w:widowControl w:val="0"/>
        <w:shd w:val="clear" w:color="auto" w:fill="auto"/>
        <w:tabs>
          <w:tab w:pos="1075" w:val="left"/>
        </w:tabs>
        <w:bidi w:val="0"/>
        <w:spacing w:before="0" w:after="0" w:line="234" w:lineRule="exact"/>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）本公司钵人承诺不得越权干预公司经营管理活动，不得侵占公司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本人承诺将促使公司股东大会审议批准持续稳、定的 现金分红方案，在符合《公司法》等法律法规和《公司章程（草案）》 刘铁峰达安世宜的帝芸的情况下，确保现金分红水平符合《关于公司未来三年分红回报规划 纪悦华众城</w:t>
        <w:tab/>
        <w:t>其他承诺（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年）的议案〉的要求，并将在股东大会表决相关议案时</w:t>
      </w:r>
    </w:p>
    <w:p>
      <w:pPr>
        <w:pStyle w:val="Style31"/>
        <w:keepNext w:val="0"/>
        <w:keepLines w:val="0"/>
        <w:framePr w:w="6658" w:h="1872" w:wrap="none" w:vAnchor="text" w:hAnchor="page" w:x="2103" w:y="4983"/>
        <w:widowControl w:val="0"/>
        <w:pBdr>
          <w:bottom w:val="single" w:sz="4" w:space="0" w:color="auto"/>
        </w:pBdr>
        <w:shd w:val="clear" w:color="auto" w:fill="auto"/>
        <w:bidi w:val="0"/>
        <w:spacing w:before="0" w:after="0" w:line="234" w:lineRule="exact"/>
        <w:ind w:left="1800" w:right="0" w:firstLine="0"/>
        <w:jc w:val="left"/>
      </w:pPr>
      <w:r>
        <w:rPr>
          <w:color w:val="000000"/>
          <w:spacing w:val="0"/>
          <w:w w:val="100"/>
          <w:position w:val="0"/>
        </w:rPr>
        <w:t>投赞成票。（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）如果未能履行上述承诺，将在股东大会及中国证监会 指定报刊上公开说明未履行的具体原因并向股东和士会公众投资者道 歉，违反承诺给公司或者股东造成损失的，依法承担补偿责任。</w:t>
      </w:r>
    </w:p>
    <w:p>
      <w:pPr>
        <w:pStyle w:val="Style31"/>
        <w:keepNext w:val="0"/>
        <w:keepLines w:val="0"/>
        <w:framePr w:w="1138" w:h="1435" w:wrap="none" w:vAnchor="text" w:hAnchor="page" w:x="2055" w:y="7047"/>
        <w:widowControl w:val="0"/>
        <w:shd w:val="clear" w:color="auto" w:fill="auto"/>
        <w:bidi w:val="0"/>
        <w:spacing w:before="0" w:after="0" w:line="233" w:lineRule="exact"/>
        <w:ind w:left="0" w:right="0" w:firstLine="0"/>
        <w:jc w:val="center"/>
      </w:pPr>
      <w:r>
        <w:rPr>
          <w:color w:val="000000"/>
          <w:spacing w:val="0"/>
          <w:w w:val="100"/>
          <w:position w:val="0"/>
        </w:rPr>
        <w:t>为铁峰刘保元</w:t>
        <w:br/>
        <w:t>周海涛，庞军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w:t>
        <w:br/>
        <w:t>艳李岩王波白</w:t>
        <w:br/>
        <w:t>松涛，陈爱</w:t>
        <w:br/>
        <w:t>珍</w:t>
      </w:r>
      <w:r>
        <w:rPr>
          <w:rFonts w:ascii="Times New Roman" w:eastAsia="Times New Roman" w:hAnsi="Times New Roman" w:cs="Times New Roman"/>
          <w:color w:val="000000"/>
          <w:spacing w:val="0"/>
          <w:w w:val="100"/>
          <w:position w:val="0"/>
          <w:sz w:val="18"/>
          <w:szCs w:val="18"/>
        </w:rPr>
        <w:t>CHENLI</w:t>
        <w:br/>
        <w:t>YA;</w:t>
      </w:r>
      <w:r>
        <w:rPr>
          <w:color w:val="000000"/>
          <w:spacing w:val="0"/>
          <w:w w:val="100"/>
          <w:position w:val="0"/>
        </w:rPr>
        <w:t>陈进魏亚锋</w:t>
      </w:r>
    </w:p>
    <w:p>
      <w:pPr>
        <w:pStyle w:val="Style31"/>
        <w:keepNext w:val="0"/>
        <w:keepLines w:val="0"/>
        <w:framePr w:w="984" w:h="1877" w:wrap="none" w:vAnchor="text" w:hAnchor="page" w:x="1081" w:y="9227"/>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center"/>
      </w:pPr>
      <w:r>
        <w:rPr>
          <w:b/>
          <w:bCs/>
          <w:color w:val="FFFFFF"/>
          <w:spacing w:val="0"/>
          <w:w w:val="100"/>
          <w:position w:val="0"/>
        </w:rPr>
        <w:t>女</w:t>
      </w:r>
      <w:r>
        <w:rPr>
          <w:rFonts w:ascii="Times New Roman" w:eastAsia="Times New Roman" w:hAnsi="Times New Roman" w:cs="Times New Roman"/>
          <w:color w:val="FFFFFF"/>
          <w:spacing w:val="0"/>
          <w:w w:val="100"/>
          <w:position w:val="0"/>
          <w:sz w:val="18"/>
          <w:szCs w:val="18"/>
        </w:rPr>
        <w:t>0</w:t>
      </w:r>
      <w:r>
        <w:rPr>
          <w:b/>
          <w:bCs/>
          <w:color w:val="FFFFFF"/>
          <w:spacing w:val="0"/>
          <w:w w:val="100"/>
          <w:position w:val="0"/>
        </w:rPr>
        <w:t>承诺超期</w:t>
        <w:br/>
        <w:t>未履行完毕</w:t>
        <w:br/>
        <w:t>的，应当详细</w:t>
        <w:br/>
        <w:t>说明未秘</w:t>
        <w:br/>
        <w:t>履行的具体</w:t>
        <w:br/>
        <w:t>原</w:t>
      </w:r>
      <w:r>
        <w:rPr>
          <w:rFonts w:ascii="Times New Roman" w:eastAsia="Times New Roman" w:hAnsi="Times New Roman" w:cs="Times New Roman"/>
          <w:color w:val="FFFFFF"/>
          <w:spacing w:val="0"/>
          <w:w w:val="100"/>
          <w:position w:val="0"/>
          <w:sz w:val="18"/>
          <w:szCs w:val="18"/>
        </w:rPr>
        <w:t>H</w:t>
      </w:r>
      <w:r>
        <w:rPr>
          <w:b/>
          <w:bCs/>
          <w:color w:val="FFFFFF"/>
          <w:spacing w:val="0"/>
          <w:w w:val="100"/>
          <w:position w:val="0"/>
        </w:rPr>
        <w:t>及下一</w:t>
        <w:br/>
        <w:t>步的工作计</w:t>
        <w:br/>
        <w:t>划</w:t>
      </w:r>
    </w:p>
    <w:p>
      <w:pPr>
        <w:pStyle w:val="Style31"/>
        <w:keepNext w:val="0"/>
        <w:keepLines w:val="0"/>
        <w:framePr w:w="533" w:h="230" w:wrap="none" w:vAnchor="text" w:hAnchor="page" w:x="2055" w:y="10052"/>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4"/>
        <w:keepNext w:val="0"/>
        <w:keepLines w:val="0"/>
        <w:framePr w:w="1522" w:h="710" w:wrap="none" w:vAnchor="text" w:hAnchor="page" w:x="8766" w:y="373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1</w:t>
      </w:r>
      <w:r>
        <w:rPr>
          <w:rFonts w:ascii="SimSun" w:eastAsia="SimSun" w:hAnsi="SimSun" w:cs="SimSun"/>
          <w:color w:val="000000"/>
          <w:spacing w:val="0"/>
          <w:w w:val="100"/>
          <w:position w:val="0"/>
          <w:sz w:val="15"/>
          <w:szCs w:val="15"/>
        </w:rPr>
        <w:t>月</w:t>
      </w:r>
    </w:p>
    <w:p>
      <w:pPr>
        <w:pStyle w:val="Style34"/>
        <w:keepNext w:val="0"/>
        <w:keepLines w:val="0"/>
        <w:framePr w:w="1522" w:h="710" w:wrap="none" w:vAnchor="text" w:hAnchor="page" w:x="8766" w:y="3735"/>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sz w:val="15"/>
          <w:szCs w:val="15"/>
        </w:rPr>
        <w:t>月</w:t>
      </w:r>
      <w:r>
        <w:rPr>
          <w:color w:val="000000"/>
          <w:spacing w:val="0"/>
          <w:w w:val="100"/>
          <w:position w:val="0"/>
        </w:rPr>
        <w:t>09 9</w:t>
      </w:r>
      <w:r>
        <w:rPr>
          <w:rFonts w:ascii="SimSun" w:eastAsia="SimSun" w:hAnsi="SimSun" w:cs="SimSun"/>
          <w:color w:val="000000"/>
          <w:spacing w:val="0"/>
          <w:w w:val="100"/>
          <w:position w:val="0"/>
          <w:sz w:val="15"/>
          <w:szCs w:val="15"/>
        </w:rPr>
        <w:t>日至</w:t>
      </w:r>
      <w:r>
        <w:rPr>
          <w:color w:val="000000"/>
          <w:spacing w:val="0"/>
          <w:w w:val="100"/>
          <w:position w:val="0"/>
        </w:rPr>
        <w:t>2021</w:t>
      </w:r>
    </w:p>
    <w:p>
      <w:pPr>
        <w:pStyle w:val="Style31"/>
        <w:keepNext w:val="0"/>
        <w:keepLines w:val="0"/>
        <w:framePr w:w="1522" w:h="710" w:wrap="none" w:vAnchor="text" w:hAnchor="page" w:x="8766" w:y="3735"/>
        <w:widowControl w:val="0"/>
        <w:shd w:val="clear" w:color="auto" w:fill="auto"/>
        <w:bidi w:val="0"/>
        <w:spacing w:before="0" w:after="0" w:line="240" w:lineRule="auto"/>
        <w:ind w:left="0" w:right="0" w:firstLine="0"/>
        <w:jc w:val="right"/>
      </w:pPr>
      <w:r>
        <w:rPr>
          <w:color w:val="000000"/>
          <w:spacing w:val="0"/>
          <w:w w:val="100"/>
          <w:position w:val="0"/>
        </w:rPr>
        <w:t>日 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4"/>
        <w:keepNext w:val="0"/>
        <w:keepLines w:val="0"/>
        <w:framePr w:w="605" w:h="720" w:wrap="none" w:vAnchor="text" w:hAnchor="page" w:x="8766" w:y="5555"/>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8"/>
          <w:szCs w:val="18"/>
        </w:rPr>
        <w:t xml:space="preserve">2018 </w:t>
      </w:r>
      <w:r>
        <w:rPr>
          <w:rFonts w:ascii="SimSun" w:eastAsia="SimSun" w:hAnsi="SimSun" w:cs="SimSun"/>
          <w:color w:val="000000"/>
          <w:spacing w:val="0"/>
          <w:w w:val="100"/>
          <w:position w:val="0"/>
          <w:sz w:val="15"/>
          <w:szCs w:val="15"/>
        </w:rPr>
        <w:t>年</w:t>
        <w:br/>
      </w:r>
      <w:r>
        <w:rPr>
          <w:color w:val="000000"/>
          <w:spacing w:val="0"/>
          <w:w w:val="100"/>
          <w:position w:val="0"/>
          <w:sz w:val="18"/>
          <w:szCs w:val="18"/>
        </w:rPr>
        <w:t xml:space="preserve">01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09</w:t>
        <w:br/>
      </w:r>
      <w:r>
        <w:rPr>
          <w:rFonts w:ascii="SimSun" w:eastAsia="SimSun" w:hAnsi="SimSun" w:cs="SimSun"/>
          <w:color w:val="000000"/>
          <w:spacing w:val="0"/>
          <w:w w:val="100"/>
          <w:position w:val="0"/>
          <w:sz w:val="15"/>
          <w:szCs w:val="15"/>
        </w:rPr>
        <w:t>日</w:t>
      </w:r>
    </w:p>
    <w:p>
      <w:pPr>
        <w:pStyle w:val="Style31"/>
        <w:keepNext w:val="0"/>
        <w:keepLines w:val="0"/>
        <w:framePr w:w="370" w:h="230" w:wrap="none" w:vAnchor="text" w:hAnchor="page" w:x="9673" w:y="5814"/>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31"/>
        <w:keepNext w:val="0"/>
        <w:keepLines w:val="0"/>
        <w:framePr w:w="528" w:h="490" w:wrap="none" w:vAnchor="text" w:hAnchor="page" w:x="10340" w:y="3827"/>
        <w:widowControl w:val="0"/>
        <w:shd w:val="clear" w:color="auto" w:fill="auto"/>
        <w:bidi w:val="0"/>
        <w:spacing w:before="0" w:after="0" w:line="235" w:lineRule="exact"/>
        <w:ind w:left="0" w:right="0" w:firstLine="0"/>
        <w:jc w:val="center"/>
      </w:pPr>
      <w:r>
        <w:rPr>
          <w:color w:val="000000"/>
          <w:spacing w:val="0"/>
          <w:w w:val="100"/>
          <w:position w:val="0"/>
        </w:rPr>
        <w:t>正常履</w:t>
        <w:br/>
        <w:t>行中</w:t>
      </w:r>
    </w:p>
    <w:p>
      <w:pPr>
        <w:pStyle w:val="Style31"/>
        <w:keepNext w:val="0"/>
        <w:keepLines w:val="0"/>
        <w:framePr w:w="528" w:h="499" w:wrap="none" w:vAnchor="text" w:hAnchor="page" w:x="10340" w:y="5655"/>
        <w:widowControl w:val="0"/>
        <w:shd w:val="clear" w:color="auto" w:fill="auto"/>
        <w:bidi w:val="0"/>
        <w:spacing w:before="0" w:after="0" w:line="235" w:lineRule="exact"/>
        <w:ind w:left="0" w:right="0" w:firstLine="0"/>
        <w:jc w:val="center"/>
      </w:pPr>
      <w:r>
        <w:rPr>
          <w:color w:val="000000"/>
          <w:spacing w:val="0"/>
          <w:w w:val="100"/>
          <w:position w:val="0"/>
        </w:rPr>
        <w:t>正常履</w:t>
        <w:br/>
        <w:t>行中</w:t>
      </w:r>
    </w:p>
    <w:p>
      <w:pPr>
        <w:pStyle w:val="Style31"/>
        <w:keepNext w:val="0"/>
        <w:keepLines w:val="0"/>
        <w:framePr w:w="5515" w:h="1632" w:wrap="none" w:vAnchor="text" w:hAnchor="page" w:x="3207" w:y="6947"/>
        <w:widowControl w:val="0"/>
        <w:pBdr>
          <w:bottom w:val="single" w:sz="4" w:space="0" w:color="auto"/>
        </w:pBdr>
        <w:shd w:val="clear" w:color="auto" w:fill="auto"/>
        <w:bidi w:val="0"/>
        <w:spacing w:before="0" w:after="0" w:line="233" w:lineRule="exact"/>
        <w:ind w:left="0" w:right="0" w:firstLine="7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）本人承诺不无偿或以不公平条件向其他单位或者个人输送利益， 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）本人承诺对本人的职务消费行 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）本人承诺不动用公司资产从事与本人履行职责无关 其他承诺的投资、消费活动；（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）本人承诺由董事会或薪酬与考核委员会制定 的薪酬制度与公司填补回报措施的执行情况相挂钩；（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）本人承诺拟 公布的公司股权激励的行权条件与公司填补回报措施的执行情况相挂 钩。</w:t>
      </w:r>
    </w:p>
    <w:p>
      <w:pPr>
        <w:pStyle w:val="Style34"/>
        <w:keepNext w:val="0"/>
        <w:keepLines w:val="0"/>
        <w:framePr w:w="605" w:h="725" w:wrap="none" w:vAnchor="text" w:hAnchor="page" w:x="8766" w:y="7393"/>
        <w:widowControl w:val="0"/>
        <w:shd w:val="clear" w:color="auto" w:fill="auto"/>
        <w:bidi w:val="0"/>
        <w:spacing w:before="0" w:after="0" w:line="242" w:lineRule="exact"/>
        <w:ind w:left="0" w:right="0" w:firstLine="0"/>
        <w:jc w:val="center"/>
        <w:rPr>
          <w:sz w:val="15"/>
          <w:szCs w:val="15"/>
        </w:rPr>
      </w:pPr>
      <w:r>
        <w:rPr>
          <w:color w:val="000000"/>
          <w:spacing w:val="0"/>
          <w:w w:val="100"/>
          <w:position w:val="0"/>
          <w:sz w:val="18"/>
          <w:szCs w:val="18"/>
        </w:rPr>
        <w:t xml:space="preserve">2018 </w:t>
      </w:r>
      <w:r>
        <w:rPr>
          <w:rFonts w:ascii="SimSun" w:eastAsia="SimSun" w:hAnsi="SimSun" w:cs="SimSun"/>
          <w:color w:val="000000"/>
          <w:spacing w:val="0"/>
          <w:w w:val="100"/>
          <w:position w:val="0"/>
          <w:sz w:val="15"/>
          <w:szCs w:val="15"/>
        </w:rPr>
        <w:t>年</w:t>
        <w:br/>
      </w:r>
      <w:r>
        <w:rPr>
          <w:color w:val="000000"/>
          <w:spacing w:val="0"/>
          <w:w w:val="100"/>
          <w:position w:val="0"/>
          <w:sz w:val="18"/>
          <w:szCs w:val="18"/>
        </w:rPr>
        <w:t xml:space="preserve">01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09</w:t>
        <w:br/>
      </w:r>
      <w:r>
        <w:rPr>
          <w:rFonts w:ascii="SimSun" w:eastAsia="SimSun" w:hAnsi="SimSun" w:cs="SimSun"/>
          <w:color w:val="000000"/>
          <w:spacing w:val="0"/>
          <w:w w:val="100"/>
          <w:position w:val="0"/>
          <w:sz w:val="15"/>
          <w:szCs w:val="15"/>
        </w:rPr>
        <w:t>日</w:t>
      </w:r>
    </w:p>
    <w:p>
      <w:pPr>
        <w:pStyle w:val="Style31"/>
        <w:keepNext w:val="0"/>
        <w:keepLines w:val="0"/>
        <w:framePr w:w="370" w:h="230" w:wrap="none" w:vAnchor="text" w:hAnchor="page" w:x="9673" w:y="7652"/>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31"/>
        <w:keepNext w:val="0"/>
        <w:keepLines w:val="0"/>
        <w:framePr w:w="528" w:h="490" w:wrap="none" w:vAnchor="text" w:hAnchor="page" w:x="10340" w:y="7508"/>
        <w:widowControl w:val="0"/>
        <w:shd w:val="clear" w:color="auto" w:fill="auto"/>
        <w:bidi w:val="0"/>
        <w:spacing w:before="0" w:after="0" w:line="235" w:lineRule="exact"/>
        <w:ind w:left="0" w:right="0" w:firstLine="0"/>
        <w:jc w:val="center"/>
      </w:pPr>
      <w:r>
        <w:rPr>
          <w:color w:val="000000"/>
          <w:spacing w:val="0"/>
          <w:w w:val="100"/>
          <w:position w:val="0"/>
        </w:rPr>
        <w:t>正常履</w:t>
        <w:br/>
        <w:t>行中</w:t>
      </w:r>
    </w:p>
    <w:p>
      <w:pPr>
        <w:pStyle w:val="Style49"/>
        <w:keepNext/>
        <w:keepLines/>
        <w:framePr w:w="9677" w:h="638" w:wrap="none" w:vAnchor="text" w:hAnchor="page" w:x="1139" w:y="11435"/>
        <w:widowControl w:val="0"/>
        <w:shd w:val="clear" w:color="auto" w:fill="auto"/>
        <w:bidi w:val="0"/>
        <w:spacing w:before="0" w:after="0" w:line="317" w:lineRule="exact"/>
        <w:ind w:left="0" w:right="0" w:firstLine="0"/>
        <w:jc w:val="left"/>
      </w:pPr>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r>
        <w:rPr>
          <w:color w:val="000000"/>
          <w:spacing w:val="0"/>
          <w:w w:val="100"/>
          <w:position w:val="0"/>
        </w:rPr>
        <w:t>、公司资产或项目存在盈利预测，且报告期仍处在盈利预测期间，公司就资产或项目达到原盈利预测及 其原因做出说明</w:t>
      </w:r>
      <w:bookmarkEnd w:id="282"/>
      <w:bookmarkEnd w:id="283"/>
      <w:bookmarkEnd w:id="284"/>
    </w:p>
    <w:p>
      <w:pPr>
        <w:pStyle w:val="Style31"/>
        <w:keepNext w:val="0"/>
        <w:keepLines w:val="0"/>
        <w:framePr w:w="1416" w:h="264" w:wrap="none" w:vAnchor="text" w:hAnchor="page" w:x="1148" w:y="1241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66" w:h="17375"/>
          <w:pgMar w:top="1491" w:right="1080" w:bottom="1491" w:left="1080" w:header="0" w:footer="3" w:gutter="0"/>
          <w:cols w:space="720"/>
          <w:noEndnote/>
          <w:rtlGutter w:val="0"/>
          <w:docGrid w:linePitch="360"/>
        </w:sectPr>
      </w:pPr>
    </w:p>
    <w:p>
      <w:pPr>
        <w:pStyle w:val="Style39"/>
        <w:keepNext/>
        <w:keepLines/>
        <w:widowControl w:val="0"/>
        <w:shd w:val="clear" w:color="auto" w:fill="auto"/>
        <w:bidi w:val="0"/>
        <w:spacing w:before="12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三</w:t>
      </w:r>
      <w:bookmarkEnd w:id="287"/>
      <w:r>
        <w:rPr>
          <w:color w:val="000000"/>
          <w:spacing w:val="0"/>
          <w:w w:val="100"/>
          <w:position w:val="0"/>
          <w:sz w:val="24"/>
          <w:szCs w:val="24"/>
        </w:rPr>
        <w:t>、控股股东及其关联方对上市公司的非经营性占用资金情况</w:t>
      </w:r>
      <w:bookmarkEnd w:id="285"/>
      <w:bookmarkEnd w:id="286"/>
      <w:bookmarkEnd w:id="28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9"/>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四</w:t>
      </w:r>
      <w:bookmarkEnd w:id="291"/>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9"/>
      <w:bookmarkEnd w:id="290"/>
      <w:bookmarkEnd w:id="29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五</w:t>
      </w:r>
      <w:bookmarkEnd w:id="295"/>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3"/>
      <w:bookmarkEnd w:id="294"/>
      <w:bookmarkEnd w:id="29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六</w:t>
      </w:r>
      <w:bookmarkEnd w:id="299"/>
      <w:r>
        <w:rPr>
          <w:color w:val="000000"/>
          <w:spacing w:val="0"/>
          <w:w w:val="100"/>
          <w:position w:val="0"/>
          <w:sz w:val="24"/>
          <w:szCs w:val="24"/>
        </w:rPr>
        <w:t>、董事会关于报告期会计政策、会计估计变更或重大会计差错更正的说明</w:t>
      </w:r>
      <w:bookmarkEnd w:id="297"/>
      <w:bookmarkEnd w:id="298"/>
      <w:bookmarkEnd w:id="300"/>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94" w:val="left"/>
        </w:tabs>
        <w:bidi w:val="0"/>
        <w:spacing w:before="0" w:after="0" w:line="240" w:lineRule="auto"/>
        <w:ind w:left="0" w:right="0" w:firstLine="460"/>
        <w:jc w:val="both"/>
      </w:pPr>
      <w:bookmarkStart w:id="301" w:name="bookmark301"/>
      <w:r>
        <w:rPr>
          <w:rFonts w:ascii="Times New Roman" w:eastAsia="Times New Roman" w:hAnsi="Times New Roman" w:cs="Times New Roman"/>
          <w:color w:val="000000"/>
          <w:spacing w:val="0"/>
          <w:w w:val="100"/>
          <w:position w:val="0"/>
          <w:sz w:val="18"/>
          <w:szCs w:val="18"/>
        </w:rPr>
        <w:t>1</w:t>
      </w:r>
      <w:bookmarkEnd w:id="301"/>
      <w:r>
        <w:rPr>
          <w:color w:val="000000"/>
          <w:spacing w:val="0"/>
          <w:w w:val="100"/>
          <w:position w:val="0"/>
        </w:rPr>
        <w:t>、</w:t>
        <w:tab/>
        <w:t>变更原因</w:t>
      </w:r>
    </w:p>
    <w:p>
      <w:pPr>
        <w:pStyle w:val="Style31"/>
        <w:keepNext w:val="0"/>
        <w:keepLines w:val="0"/>
        <w:widowControl w:val="0"/>
        <w:shd w:val="clear" w:color="auto" w:fill="auto"/>
        <w:bidi w:val="0"/>
        <w:spacing w:before="0" w:after="180" w:line="350" w:lineRule="exact"/>
        <w:ind w:left="0" w:right="0" w:firstLine="4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日，中华人民共和国财政部（以下简称“财政部”）发布了《关于修订印发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号）（以下简称“新租赁准则”），新租赁准则要求在境内外同时上市的企业以及在境外 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 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日起施行。按照上述文件的要求，公司对会计政策予以相应变更。</w:t>
      </w:r>
    </w:p>
    <w:p>
      <w:pPr>
        <w:pStyle w:val="Style31"/>
        <w:keepNext w:val="0"/>
        <w:keepLines w:val="0"/>
        <w:widowControl w:val="0"/>
        <w:shd w:val="clear" w:color="auto" w:fill="auto"/>
        <w:tabs>
          <w:tab w:pos="814" w:val="left"/>
        </w:tabs>
        <w:bidi w:val="0"/>
        <w:spacing w:before="0" w:after="0" w:line="410" w:lineRule="auto"/>
        <w:ind w:left="0" w:right="0" w:firstLine="460"/>
        <w:jc w:val="both"/>
      </w:pPr>
      <w:bookmarkStart w:id="302" w:name="bookmark302"/>
      <w:r>
        <w:rPr>
          <w:rFonts w:ascii="Times New Roman" w:eastAsia="Times New Roman" w:hAnsi="Times New Roman" w:cs="Times New Roman"/>
          <w:color w:val="000000"/>
          <w:spacing w:val="0"/>
          <w:w w:val="100"/>
          <w:position w:val="0"/>
          <w:sz w:val="18"/>
          <w:szCs w:val="18"/>
        </w:rPr>
        <w:t>2</w:t>
      </w:r>
      <w:bookmarkEnd w:id="302"/>
      <w:r>
        <w:rPr>
          <w:color w:val="000000"/>
          <w:spacing w:val="0"/>
          <w:w w:val="100"/>
          <w:position w:val="0"/>
        </w:rPr>
        <w:t>、</w:t>
        <w:tab/>
        <w:t>变更前采用的会计政策</w:t>
      </w:r>
    </w:p>
    <w:p>
      <w:pPr>
        <w:pStyle w:val="Style31"/>
        <w:keepNext w:val="0"/>
        <w:keepLines w:val="0"/>
        <w:widowControl w:val="0"/>
        <w:shd w:val="clear" w:color="auto" w:fill="auto"/>
        <w:bidi w:val="0"/>
        <w:spacing w:before="0" w:after="180" w:line="355" w:lineRule="exact"/>
        <w:ind w:left="0" w:right="0" w:firstLine="460"/>
        <w:jc w:val="both"/>
      </w:pPr>
      <w:r>
        <w:rPr>
          <w:color w:val="000000"/>
          <w:spacing w:val="0"/>
          <w:w w:val="100"/>
          <w:position w:val="0"/>
        </w:rPr>
        <w:t>本次变更前，公司执行财政部发布的《企业会计准则一基本准则》和各项具体会计准则、企业会计准则应用指南、企 业会计准则解释公告以及其他相关规定。</w:t>
      </w:r>
    </w:p>
    <w:p>
      <w:pPr>
        <w:pStyle w:val="Style31"/>
        <w:keepNext w:val="0"/>
        <w:keepLines w:val="0"/>
        <w:widowControl w:val="0"/>
        <w:shd w:val="clear" w:color="auto" w:fill="auto"/>
        <w:tabs>
          <w:tab w:pos="804" w:val="left"/>
        </w:tabs>
        <w:bidi w:val="0"/>
        <w:spacing w:before="0" w:after="0" w:line="410" w:lineRule="auto"/>
        <w:ind w:left="0" w:right="0" w:firstLine="460"/>
        <w:jc w:val="both"/>
      </w:pPr>
      <w:bookmarkStart w:id="303" w:name="bookmark303"/>
      <w:r>
        <w:rPr>
          <w:rFonts w:ascii="Times New Roman" w:eastAsia="Times New Roman" w:hAnsi="Times New Roman" w:cs="Times New Roman"/>
          <w:color w:val="000000"/>
          <w:spacing w:val="0"/>
          <w:w w:val="100"/>
          <w:position w:val="0"/>
          <w:sz w:val="18"/>
          <w:szCs w:val="18"/>
        </w:rPr>
        <w:t>3</w:t>
      </w:r>
      <w:bookmarkEnd w:id="303"/>
      <w:r>
        <w:rPr>
          <w:color w:val="000000"/>
          <w:spacing w:val="0"/>
          <w:w w:val="100"/>
          <w:position w:val="0"/>
        </w:rPr>
        <w:t>、</w:t>
        <w:tab/>
        <w:t>变更后采用的会计政策</w:t>
      </w:r>
    </w:p>
    <w:p>
      <w:pPr>
        <w:pStyle w:val="Style31"/>
        <w:keepNext w:val="0"/>
        <w:keepLines w:val="0"/>
        <w:widowControl w:val="0"/>
        <w:shd w:val="clear" w:color="auto" w:fill="auto"/>
        <w:bidi w:val="0"/>
        <w:spacing w:before="0" w:after="180" w:line="355" w:lineRule="exact"/>
        <w:ind w:left="0" w:right="0" w:firstLine="460"/>
        <w:jc w:val="both"/>
      </w:pPr>
      <w:r>
        <w:rPr>
          <w:color w:val="000000"/>
          <w:spacing w:val="0"/>
          <w:w w:val="100"/>
          <w:position w:val="0"/>
        </w:rPr>
        <w:t>本次会计政策变更后，公司将执行财政部于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日颁布的新租赁准则。其他部分，仍按照财政部前期颁布的 《企业会计准则一基本准则》和各项具体会计准则、企业会计准则应用指南、企业会计准则解释公告以及其他相关规定执 行。</w:t>
      </w:r>
    </w:p>
    <w:p>
      <w:pPr>
        <w:pStyle w:val="Style31"/>
        <w:keepNext w:val="0"/>
        <w:keepLines w:val="0"/>
        <w:widowControl w:val="0"/>
        <w:shd w:val="clear" w:color="auto" w:fill="auto"/>
        <w:tabs>
          <w:tab w:pos="814" w:val="left"/>
        </w:tabs>
        <w:bidi w:val="0"/>
        <w:spacing w:before="0" w:after="0" w:line="410" w:lineRule="auto"/>
        <w:ind w:left="0" w:right="0" w:firstLine="460"/>
        <w:jc w:val="left"/>
      </w:pPr>
      <w:bookmarkStart w:id="304" w:name="bookmark304"/>
      <w:r>
        <w:rPr>
          <w:rFonts w:ascii="Times New Roman" w:eastAsia="Times New Roman" w:hAnsi="Times New Roman" w:cs="Times New Roman"/>
          <w:color w:val="000000"/>
          <w:spacing w:val="0"/>
          <w:w w:val="100"/>
          <w:position w:val="0"/>
          <w:sz w:val="18"/>
          <w:szCs w:val="18"/>
        </w:rPr>
        <w:t>4</w:t>
      </w:r>
      <w:bookmarkEnd w:id="304"/>
      <w:r>
        <w:rPr>
          <w:color w:val="000000"/>
          <w:spacing w:val="0"/>
          <w:w w:val="100"/>
          <w:position w:val="0"/>
        </w:rPr>
        <w:t>、</w:t>
        <w:tab/>
        <w:t>变更日期</w:t>
      </w:r>
    </w:p>
    <w:p>
      <w:pPr>
        <w:pStyle w:val="Style31"/>
        <w:keepNext w:val="0"/>
        <w:keepLines w:val="0"/>
        <w:widowControl w:val="0"/>
        <w:shd w:val="clear" w:color="auto" w:fill="auto"/>
        <w:bidi w:val="0"/>
        <w:spacing w:before="0" w:after="180" w:line="353" w:lineRule="exact"/>
        <w:ind w:left="0" w:right="0" w:firstLine="460"/>
        <w:jc w:val="left"/>
      </w:pPr>
      <w:r>
        <w:rPr>
          <w:color w:val="000000"/>
          <w:spacing w:val="0"/>
          <w:w w:val="100"/>
          <w:position w:val="0"/>
        </w:rPr>
        <w:t>公司于以上文件规定自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w:t>
      </w:r>
    </w:p>
    <w:p>
      <w:pPr>
        <w:pStyle w:val="Style31"/>
        <w:keepNext w:val="0"/>
        <w:keepLines w:val="0"/>
        <w:widowControl w:val="0"/>
        <w:shd w:val="clear" w:color="auto" w:fill="auto"/>
        <w:tabs>
          <w:tab w:pos="814" w:val="left"/>
        </w:tabs>
        <w:bidi w:val="0"/>
        <w:spacing w:before="0" w:after="0" w:line="410" w:lineRule="auto"/>
        <w:ind w:left="0" w:right="0" w:firstLine="460"/>
        <w:jc w:val="left"/>
      </w:pPr>
      <w:bookmarkStart w:id="305" w:name="bookmark305"/>
      <w:r>
        <w:rPr>
          <w:rFonts w:ascii="Times New Roman" w:eastAsia="Times New Roman" w:hAnsi="Times New Roman" w:cs="Times New Roman"/>
          <w:color w:val="000000"/>
          <w:spacing w:val="0"/>
          <w:w w:val="100"/>
          <w:position w:val="0"/>
          <w:sz w:val="18"/>
          <w:szCs w:val="18"/>
        </w:rPr>
        <w:t>5</w:t>
      </w:r>
      <w:bookmarkEnd w:id="305"/>
      <w:r>
        <w:rPr>
          <w:color w:val="000000"/>
          <w:spacing w:val="0"/>
          <w:w w:val="100"/>
          <w:position w:val="0"/>
        </w:rPr>
        <w:t>、</w:t>
        <w:tab/>
        <w:t>审批程序</w:t>
      </w:r>
    </w:p>
    <w:p>
      <w:pPr>
        <w:pStyle w:val="Style31"/>
        <w:keepNext w:val="0"/>
        <w:keepLines w:val="0"/>
        <w:widowControl w:val="0"/>
        <w:shd w:val="clear" w:color="auto" w:fill="auto"/>
        <w:bidi w:val="0"/>
        <w:spacing w:before="0" w:after="180" w:line="365" w:lineRule="exact"/>
        <w:ind w:left="0" w:right="0" w:firstLine="4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日召开的第三届董事会第二十三次会议和第三届监事会第二十二次会议审议通过了《关于会计政 策变更的议案》。本次会计政策变更无需提交股东大会审议。</w:t>
      </w:r>
    </w:p>
    <w:p>
      <w:pPr>
        <w:pStyle w:val="Style31"/>
        <w:keepNext w:val="0"/>
        <w:keepLines w:val="0"/>
        <w:widowControl w:val="0"/>
        <w:shd w:val="clear" w:color="auto" w:fill="auto"/>
        <w:tabs>
          <w:tab w:pos="814" w:val="left"/>
        </w:tabs>
        <w:bidi w:val="0"/>
        <w:spacing w:before="0" w:after="0" w:line="422" w:lineRule="auto"/>
        <w:ind w:left="0" w:right="0" w:firstLine="460"/>
        <w:jc w:val="left"/>
      </w:pPr>
      <w:bookmarkStart w:id="306" w:name="bookmark306"/>
      <w:r>
        <w:rPr>
          <w:rFonts w:ascii="Times New Roman" w:eastAsia="Times New Roman" w:hAnsi="Times New Roman" w:cs="Times New Roman"/>
          <w:color w:val="000000"/>
          <w:spacing w:val="0"/>
          <w:w w:val="100"/>
          <w:position w:val="0"/>
          <w:sz w:val="18"/>
          <w:szCs w:val="18"/>
        </w:rPr>
        <w:t>6</w:t>
      </w:r>
      <w:bookmarkEnd w:id="306"/>
      <w:r>
        <w:rPr>
          <w:color w:val="000000"/>
          <w:spacing w:val="0"/>
          <w:w w:val="100"/>
          <w:position w:val="0"/>
        </w:rPr>
        <w:t>、</w:t>
        <w:tab/>
        <w:t>会计政策变更的主要内容</w:t>
      </w:r>
    </w:p>
    <w:p>
      <w:pPr>
        <w:pStyle w:val="Style31"/>
        <w:keepNext w:val="0"/>
        <w:keepLines w:val="0"/>
        <w:widowControl w:val="0"/>
        <w:shd w:val="clear" w:color="auto" w:fill="auto"/>
        <w:bidi w:val="0"/>
        <w:spacing w:before="0" w:after="180" w:line="350" w:lineRule="exact"/>
        <w:ind w:left="0" w:right="0" w:firstLine="460"/>
        <w:jc w:val="left"/>
      </w:pPr>
      <w:r>
        <w:rPr>
          <w:color w:val="000000"/>
          <w:spacing w:val="0"/>
          <w:w w:val="100"/>
          <w:position w:val="0"/>
        </w:rPr>
        <w:t>新租赁准则完善了租赁的定义，增加了租赁识别、分拆、合并等内容；取消了承租人关于融资租赁与经营租赁的分类， 要求在租赁开始日对所有租赁（短期租赁和低价值资产租赁除外）确认使用权资产和租赁负债，并分别计提折旧和利息费用； 改进了承租人对租赁的后续计量，增加了选择权重估和租赁变更情形下的会计处理，并增加了相关披露要求。此外，也丰富 了出租人的披露内容。</w:t>
      </w:r>
    </w:p>
    <w:p>
      <w:pPr>
        <w:pStyle w:val="Style31"/>
        <w:keepNext w:val="0"/>
        <w:keepLines w:val="0"/>
        <w:widowControl w:val="0"/>
        <w:shd w:val="clear" w:color="auto" w:fill="auto"/>
        <w:tabs>
          <w:tab w:pos="809" w:val="left"/>
        </w:tabs>
        <w:bidi w:val="0"/>
        <w:spacing w:before="0" w:after="0" w:line="410" w:lineRule="auto"/>
        <w:ind w:left="0" w:right="0" w:firstLine="460"/>
        <w:jc w:val="left"/>
      </w:pPr>
      <w:bookmarkStart w:id="307" w:name="bookmark307"/>
      <w:r>
        <w:rPr>
          <w:rFonts w:ascii="Times New Roman" w:eastAsia="Times New Roman" w:hAnsi="Times New Roman" w:cs="Times New Roman"/>
          <w:color w:val="000000"/>
          <w:spacing w:val="0"/>
          <w:w w:val="100"/>
          <w:position w:val="0"/>
          <w:sz w:val="18"/>
          <w:szCs w:val="18"/>
        </w:rPr>
        <w:t>7</w:t>
      </w:r>
      <w:bookmarkEnd w:id="307"/>
      <w:r>
        <w:rPr>
          <w:color w:val="000000"/>
          <w:spacing w:val="0"/>
          <w:w w:val="100"/>
          <w:position w:val="0"/>
        </w:rPr>
        <w:t>、</w:t>
        <w:tab/>
        <w:t>本次会计政策变更对公司的影响</w:t>
      </w:r>
    </w:p>
    <w:p>
      <w:pPr>
        <w:pStyle w:val="Style31"/>
        <w:keepNext w:val="0"/>
        <w:keepLines w:val="0"/>
        <w:widowControl w:val="0"/>
        <w:shd w:val="clear" w:color="auto" w:fill="auto"/>
        <w:bidi w:val="0"/>
        <w:spacing w:before="0" w:after="440" w:line="353" w:lineRule="exact"/>
        <w:ind w:left="0" w:right="0" w:firstLine="460"/>
        <w:jc w:val="left"/>
      </w:pPr>
      <w:r>
        <w:rPr>
          <w:color w:val="000000"/>
          <w:spacing w:val="0"/>
          <w:w w:val="100"/>
          <w:position w:val="0"/>
        </w:rPr>
        <w:t>根据新租赁准则规定，公司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日对所有租赁（选择简化处理的短期租赁和低价值资产租赁除外）确认使用 </w:t>
      </w:r>
      <w:r>
        <w:rPr>
          <w:color w:val="000000"/>
          <w:spacing w:val="0"/>
          <w:w w:val="100"/>
          <w:position w:val="0"/>
        </w:rPr>
        <w:t>权资产和租赁负债，并分别确认折旧和利息费用。公司选择简化处理方法，无需调整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年年初留存收益，无需调整可比 期间信息。本次会计政策变更，对公司财务状况和经营成果无重大影响。</w:t>
      </w:r>
    </w:p>
    <w:p>
      <w:pPr>
        <w:pStyle w:val="Style39"/>
        <w:keepNext/>
        <w:keepLines/>
        <w:widowControl w:val="0"/>
        <w:shd w:val="clear" w:color="auto" w:fill="auto"/>
        <w:tabs>
          <w:tab w:pos="522"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七</w:t>
      </w:r>
      <w:bookmarkEnd w:id="310"/>
      <w:r>
        <w:rPr>
          <w:color w:val="000000"/>
          <w:spacing w:val="0"/>
          <w:w w:val="100"/>
          <w:position w:val="0"/>
          <w:sz w:val="24"/>
          <w:szCs w:val="24"/>
        </w:rPr>
        <w:t>、</w:t>
        <w:tab/>
        <w:t>与上年度财务报告相比，合并报表范围发生变化的情况说明</w:t>
      </w:r>
      <w:bookmarkEnd w:id="308"/>
      <w:bookmarkEnd w:id="309"/>
      <w:bookmarkEnd w:id="311"/>
    </w:p>
    <w:p>
      <w:pPr>
        <w:pStyle w:val="Style31"/>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本年度新纳入合并范围的子公司为：</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深圳市百邦世纪电子科技有限公司</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上海百悦乐语科贸有限公司</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百邦日新（北京）科技有限公司</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河北雄安悦睿电子科技有限公司</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河北雄安悦星电子科技有限公司</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百隆嘉讯（上海）信息科技有限公司</w:t>
      </w:r>
    </w:p>
    <w:p>
      <w:pPr>
        <w:pStyle w:val="Style31"/>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本年度不再纳入合并范围的子公司主要如下所示：</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山西凯特通讯信息技术有限公司</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山东百邦电子科技有限公司</w:t>
      </w:r>
    </w:p>
    <w:p>
      <w:pPr>
        <w:pStyle w:val="Style31"/>
        <w:keepNext w:val="0"/>
        <w:keepLines w:val="0"/>
        <w:widowControl w:val="0"/>
        <w:shd w:val="clear" w:color="auto" w:fill="auto"/>
        <w:bidi w:val="0"/>
        <w:spacing w:before="0" w:after="440" w:line="355" w:lineRule="exact"/>
        <w:ind w:left="0" w:right="0" w:firstLine="0"/>
        <w:jc w:val="left"/>
      </w:pPr>
      <w:r>
        <w:rPr>
          <w:color w:val="000000"/>
          <w:spacing w:val="0"/>
          <w:w w:val="100"/>
          <w:position w:val="0"/>
        </w:rPr>
        <w:t>骏驰融资租赁有限公司</w:t>
      </w:r>
    </w:p>
    <w:p>
      <w:pPr>
        <w:pStyle w:val="Style39"/>
        <w:keepNext/>
        <w:keepLines/>
        <w:widowControl w:val="0"/>
        <w:shd w:val="clear" w:color="auto" w:fill="auto"/>
        <w:tabs>
          <w:tab w:pos="522"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八</w:t>
      </w:r>
      <w:bookmarkEnd w:id="314"/>
      <w:r>
        <w:rPr>
          <w:color w:val="000000"/>
          <w:spacing w:val="0"/>
          <w:w w:val="100"/>
          <w:position w:val="0"/>
          <w:sz w:val="24"/>
          <w:szCs w:val="24"/>
        </w:rPr>
        <w:t>、</w:t>
        <w:tab/>
        <w:t>聘任、解聘会计师事务所情况</w:t>
      </w:r>
      <w:bookmarkEnd w:id="312"/>
      <w:bookmarkEnd w:id="313"/>
      <w:bookmarkEnd w:id="315"/>
    </w:p>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现聘任的会计事务所</w:t>
      </w:r>
    </w:p>
    <w:tbl>
      <w:tblPr>
        <w:tblOverlap w:val="never"/>
        <w:jc w:val="center"/>
        <w:tblLayout w:type="fixed"/>
      </w:tblPr>
      <w:tblGrid>
        <w:gridCol w:w="4795"/>
        <w:gridCol w:w="4795"/>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境内会计师事务所名称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德勤华永会计师事务所（特殊普通合伙）</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境内会计师事务所报酬（万元）</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境内会计师事务所审计服务的连续年限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境内会计师事务所注册会计师姓名</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郑群、王江涛</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境内会计师事务所注册会计师审计服务的连续年限</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九</w:t>
      </w:r>
      <w:bookmarkEnd w:id="318"/>
      <w:r>
        <w:rPr>
          <w:color w:val="000000"/>
          <w:spacing w:val="0"/>
          <w:w w:val="100"/>
          <w:position w:val="0"/>
          <w:sz w:val="24"/>
          <w:szCs w:val="24"/>
        </w:rPr>
        <w:t>、年度报告披露后面临退市情况</w:t>
      </w:r>
      <w:bookmarkEnd w:id="316"/>
      <w:bookmarkEnd w:id="317"/>
      <w:bookmarkEnd w:id="31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十、破产重整相关事项</w:t>
      </w:r>
      <w:bookmarkEnd w:id="320"/>
      <w:bookmarkEnd w:id="321"/>
      <w:bookmarkEnd w:id="32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公司报告期未发生破产重整相关事项。</w:t>
      </w:r>
    </w:p>
    <w:p>
      <w:pPr>
        <w:pStyle w:val="Style39"/>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十一、重大诉讼、仲裁事项</w:t>
      </w:r>
      <w:bookmarkEnd w:id="323"/>
      <w:bookmarkEnd w:id="324"/>
      <w:bookmarkEnd w:id="325"/>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54" w:lineRule="exact"/>
        <w:ind w:left="0" w:right="0" w:firstLine="0"/>
        <w:jc w:val="left"/>
      </w:pPr>
      <w:r>
        <w:rPr>
          <w:color w:val="000000"/>
          <w:spacing w:val="0"/>
          <w:w w:val="100"/>
          <w:position w:val="0"/>
        </w:rPr>
        <w:t>本年度公司无重大诉讼、仲裁事项。</w:t>
      </w:r>
    </w:p>
    <w:p>
      <w:pPr>
        <w:pStyle w:val="Style39"/>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十二、处罚及整改情况</w:t>
      </w:r>
      <w:bookmarkEnd w:id="326"/>
      <w:bookmarkEnd w:id="327"/>
      <w:bookmarkEnd w:id="328"/>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54" w:lineRule="exact"/>
        <w:ind w:left="0" w:right="0" w:firstLine="0"/>
        <w:jc w:val="left"/>
      </w:pPr>
      <w:r>
        <w:rPr>
          <w:color w:val="000000"/>
          <w:spacing w:val="0"/>
          <w:w w:val="100"/>
          <w:position w:val="0"/>
        </w:rPr>
        <w:t>公司报告期不存在处罚及整改情况。</w:t>
      </w:r>
    </w:p>
    <w:p>
      <w:pPr>
        <w:pStyle w:val="Style39"/>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十三、公司及其控股股东、实际控制人的诚信状况</w:t>
      </w:r>
      <w:bookmarkEnd w:id="329"/>
      <w:bookmarkEnd w:id="330"/>
      <w:bookmarkEnd w:id="331"/>
    </w:p>
    <w:p>
      <w:pPr>
        <w:pStyle w:val="Style31"/>
        <w:keepNext w:val="0"/>
        <w:keepLines w:val="0"/>
        <w:widowControl w:val="0"/>
        <w:shd w:val="clear" w:color="auto" w:fill="auto"/>
        <w:bidi w:val="0"/>
        <w:spacing w:before="0" w:after="20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十四、公司股权激励计划、员工持股计划或其他员工激励措施的实施情况</w:t>
      </w:r>
      <w:bookmarkEnd w:id="332"/>
      <w:bookmarkEnd w:id="333"/>
      <w:bookmarkEnd w:id="334"/>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11"/>
        </w:numPr>
        <w:shd w:val="clear" w:color="auto" w:fill="auto"/>
        <w:tabs>
          <w:tab w:pos="901" w:val="left"/>
        </w:tabs>
        <w:bidi w:val="0"/>
        <w:spacing w:before="0" w:after="0" w:line="240" w:lineRule="auto"/>
        <w:ind w:left="0" w:right="0" w:firstLine="360"/>
        <w:jc w:val="both"/>
      </w:pPr>
      <w:bookmarkStart w:id="335" w:name="bookmark335"/>
      <w:bookmarkEnd w:id="335"/>
      <w:r>
        <w:rPr>
          <w:b/>
          <w:bCs/>
          <w:color w:val="000000"/>
          <w:spacing w:val="0"/>
          <w:w w:val="100"/>
          <w:position w:val="0"/>
        </w:rPr>
        <w:t>回购注销部分限制性股票和注销部分股票期权</w:t>
      </w:r>
    </w:p>
    <w:p>
      <w:pPr>
        <w:pStyle w:val="Style31"/>
        <w:keepNext w:val="0"/>
        <w:keepLines w:val="0"/>
        <w:widowControl w:val="0"/>
        <w:shd w:val="clear" w:color="auto" w:fill="auto"/>
        <w:bidi w:val="0"/>
        <w:spacing w:before="0" w:after="0" w:line="350" w:lineRule="exact"/>
        <w:ind w:left="0" w:right="0" w:firstLine="460"/>
        <w:jc w:val="both"/>
      </w:pPr>
      <w:bookmarkStart w:id="336" w:name="bookmark336"/>
      <w:r>
        <w:rPr>
          <w:rFonts w:ascii="Times New Roman" w:eastAsia="Times New Roman" w:hAnsi="Times New Roman" w:cs="Times New Roman"/>
          <w:color w:val="000000"/>
          <w:spacing w:val="0"/>
          <w:w w:val="100"/>
          <w:position w:val="0"/>
          <w:sz w:val="18"/>
          <w:szCs w:val="18"/>
        </w:rPr>
        <w:t>1</w:t>
      </w:r>
      <w:bookmarkEnd w:id="336"/>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日召开第三届董事会第十七次会议、第三届监事会第十七次会议和</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年第二次临时股东大会，审议通过了《关于回购注销部分限制性股票和注销部分股票期权的议案》，因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年两次 股权激励的激励对象因离职而不再符合激励资格，以及</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年限制性股票与股票期权激励计划第二个解除限售期公司业绩考 核要求未能达标，公司拟对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名激励对象所持有的全部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年限制性股票与股票期权激励计划已经获授但尚未解除限售的股 票期权</w:t>
      </w:r>
      <w:r>
        <w:rPr>
          <w:rFonts w:ascii="Times New Roman" w:eastAsia="Times New Roman" w:hAnsi="Times New Roman" w:cs="Times New Roman"/>
          <w:color w:val="000000"/>
          <w:spacing w:val="0"/>
          <w:w w:val="100"/>
          <w:position w:val="0"/>
          <w:sz w:val="18"/>
          <w:szCs w:val="18"/>
        </w:rPr>
        <w:t>8.7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万份进行注销，拟对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年股权激励涉及的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名激励对象所持有的限制性股票</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万股进行注销，对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 所持有的全部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年限制性股票激励计划已经获授但尚未解除限售的限制性股票</w:t>
      </w:r>
      <w:r>
        <w:rPr>
          <w:rFonts w:ascii="Times New Roman" w:eastAsia="Times New Roman" w:hAnsi="Times New Roman" w:cs="Times New Roman"/>
          <w:color w:val="000000"/>
          <w:spacing w:val="0"/>
          <w:w w:val="100"/>
          <w:position w:val="0"/>
          <w:sz w:val="18"/>
          <w:szCs w:val="18"/>
        </w:rPr>
        <w:t>15.488</w:t>
      </w:r>
      <w:r>
        <w:rPr>
          <w:color w:val="000000"/>
          <w:spacing w:val="0"/>
          <w:w w:val="100"/>
          <w:position w:val="0"/>
        </w:rPr>
        <w:t>万股进行回购注销，详见公司于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w:t>
      </w:r>
      <w:r>
        <w:fldChar w:fldCharType="begin"/>
      </w:r>
      <w:r>
        <w:rPr/>
        <w:instrText> HYPERLINK "http://www.cninfo.com.cn/)%e4%b8%8a%e6%8a%ab%e9%9c%b2%e7%9a%84%e3%80%8a%e5%85%b3%e4%ba%8e%e5%9b%9e%e8%b4%ad%e6%b3%a8%e9%94%80%e9%83%a8%e5%88%86%e9%99%90%e5%88%b6%e6%80%a7%e8%82%a1%e7%a5%a8%e5%92%8c%e6%b3%a8%e9%94%80%e9%83%a8%e5%88%86%e8%82%a1%e7%a5%a8%e6%9c%9f%e6%9d%83%e7%9a%84%e5%85%ac%e5%91%8a%e3%80%8b%e3%80%82"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上披露的《关于回购注销部分限制性股票和注销部分股票期权的公告》。</w:t>
      </w:r>
      <w:r>
        <w:fldChar w:fldCharType="end"/>
      </w:r>
    </w:p>
    <w:p>
      <w:pPr>
        <w:pStyle w:val="Style31"/>
        <w:keepNext w:val="0"/>
        <w:keepLines w:val="0"/>
        <w:widowControl w:val="0"/>
        <w:shd w:val="clear" w:color="auto" w:fill="auto"/>
        <w:bidi w:val="0"/>
        <w:spacing w:before="0" w:after="0" w:line="355" w:lineRule="exact"/>
        <w:ind w:left="0" w:right="0" w:firstLine="360"/>
        <w:jc w:val="both"/>
      </w:pPr>
      <w:bookmarkStart w:id="337" w:name="bookmark337"/>
      <w:r>
        <w:rPr>
          <w:rFonts w:ascii="Times New Roman" w:eastAsia="Times New Roman" w:hAnsi="Times New Roman" w:cs="Times New Roman"/>
          <w:color w:val="000000"/>
          <w:spacing w:val="0"/>
          <w:w w:val="100"/>
          <w:position w:val="0"/>
          <w:sz w:val="18"/>
          <w:szCs w:val="18"/>
        </w:rPr>
        <w:t>2</w:t>
      </w:r>
      <w:bookmarkEnd w:id="337"/>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日，《关于回购注销部分限制性股票和注销部分股票期权的议案》中的</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万份股票期权已在中国 证券登记结算有限责任公司深圳分公司完成注销。详见公司于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日在巨潮资讯网</w:t>
      </w:r>
      <w:r>
        <w:rPr>
          <w:color w:val="000000"/>
          <w:spacing w:val="0"/>
          <w:w w:val="100"/>
          <w:position w:val="0"/>
        </w:rPr>
        <w:t>(</w:t>
      </w:r>
      <w:r>
        <w:fldChar w:fldCharType="begin"/>
      </w:r>
      <w:r>
        <w:rPr/>
        <w:instrText> HYPERLINK "http://www.cninfo.com.cn/)%e4%b8%8a"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w:t>
      </w:r>
      <w:r>
        <w:fldChar w:fldCharType="end"/>
      </w:r>
      <w:r>
        <w:rPr>
          <w:color w:val="000000"/>
          <w:spacing w:val="0"/>
          <w:w w:val="100"/>
          <w:position w:val="0"/>
        </w:rPr>
        <w:t xml:space="preserve"> 披露的《关于限制性股票与股票期权激励计划部分已授予股票期权注销完成的公告》。</w:t>
      </w:r>
    </w:p>
    <w:p>
      <w:pPr>
        <w:pStyle w:val="Style31"/>
        <w:keepNext w:val="0"/>
        <w:keepLines w:val="0"/>
        <w:widowControl w:val="0"/>
        <w:shd w:val="clear" w:color="auto" w:fill="auto"/>
        <w:bidi w:val="0"/>
        <w:spacing w:before="0" w:after="0" w:line="355" w:lineRule="exact"/>
        <w:ind w:left="0" w:right="0" w:firstLine="360"/>
        <w:jc w:val="both"/>
      </w:pPr>
      <w:bookmarkStart w:id="338" w:name="bookmark338"/>
      <w:r>
        <w:rPr>
          <w:rFonts w:ascii="Times New Roman" w:eastAsia="Times New Roman" w:hAnsi="Times New Roman" w:cs="Times New Roman"/>
          <w:color w:val="000000"/>
          <w:spacing w:val="0"/>
          <w:w w:val="100"/>
          <w:position w:val="0"/>
          <w:sz w:val="18"/>
          <w:szCs w:val="18"/>
        </w:rPr>
        <w:t>3</w:t>
      </w:r>
      <w:bookmarkEnd w:id="338"/>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日，《关于回购注销部分限制性股票和注销部分股票期权的议案》中的限制性股票</w:t>
      </w:r>
      <w:r>
        <w:rPr>
          <w:rFonts w:ascii="Times New Roman" w:eastAsia="Times New Roman" w:hAnsi="Times New Roman" w:cs="Times New Roman"/>
          <w:color w:val="000000"/>
          <w:spacing w:val="0"/>
          <w:w w:val="100"/>
          <w:position w:val="0"/>
          <w:sz w:val="18"/>
          <w:szCs w:val="18"/>
        </w:rPr>
        <w:t>29.888</w:t>
      </w:r>
      <w:r>
        <w:rPr>
          <w:color w:val="000000"/>
          <w:spacing w:val="0"/>
          <w:w w:val="100"/>
          <w:position w:val="0"/>
        </w:rPr>
        <w:t>万股的 已在中国证券登记结算有限责任公司深圳分公司完成注销。详见公司于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fldChar w:fldCharType="begin"/>
      </w:r>
      <w:r>
        <w:rPr/>
        <w:instrText> HYPERLINK "http://www.cninfo.com.cn/)%e4%b8%8a%e6%8a%ab%e9%9c%b2%e7%9a%84%e3%80%8a%e5%85%b3%e4%ba%8e%e9%83%a8%e5%88%86%e9%99%90%e5%88%b6%e6%80%a7%e8%82%a1%e7%a5%a8%e5%9b%9e%e8%b4%ad%e6%b3%a8%e9%94%80%e5%ae%8c%e6%88%90%e7%9a%84%e5%85%ac%e5%91%8a%e3%80%8b%e3%80%82"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上披露的《关于部分限制性股票回购注销完成的公告》。</w:t>
      </w:r>
      <w:r>
        <w:fldChar w:fldCharType="end"/>
      </w:r>
    </w:p>
    <w:p>
      <w:pPr>
        <w:pStyle w:val="Style31"/>
        <w:keepNext w:val="0"/>
        <w:keepLines w:val="0"/>
        <w:widowControl w:val="0"/>
        <w:numPr>
          <w:ilvl w:val="0"/>
          <w:numId w:val="11"/>
        </w:numPr>
        <w:shd w:val="clear" w:color="auto" w:fill="auto"/>
        <w:tabs>
          <w:tab w:pos="901" w:val="left"/>
        </w:tabs>
        <w:bidi w:val="0"/>
        <w:spacing w:before="0" w:after="0" w:line="354" w:lineRule="exact"/>
        <w:ind w:left="0" w:right="0" w:firstLine="360"/>
        <w:jc w:val="both"/>
      </w:pPr>
      <w:bookmarkStart w:id="339" w:name="bookmark339"/>
      <w:bookmarkEnd w:id="339"/>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年限制性股票激励计划第一个解除限售期解除限售股份上市流通</w:t>
      </w:r>
    </w:p>
    <w:p>
      <w:pPr>
        <w:pStyle w:val="Style31"/>
        <w:keepNext w:val="0"/>
        <w:keepLines w:val="0"/>
        <w:widowControl w:val="0"/>
        <w:shd w:val="clear" w:color="auto" w:fill="auto"/>
        <w:bidi w:val="0"/>
        <w:spacing w:before="0" w:after="0" w:line="354" w:lineRule="exact"/>
        <w:ind w:left="0" w:right="0" w:firstLine="360"/>
        <w:jc w:val="both"/>
      </w:pPr>
      <w:bookmarkStart w:id="340" w:name="bookmark340"/>
      <w:r>
        <w:rPr>
          <w:rFonts w:ascii="Times New Roman" w:eastAsia="Times New Roman" w:hAnsi="Times New Roman" w:cs="Times New Roman"/>
          <w:color w:val="000000"/>
          <w:spacing w:val="0"/>
          <w:w w:val="100"/>
          <w:position w:val="0"/>
          <w:sz w:val="18"/>
          <w:szCs w:val="18"/>
        </w:rPr>
        <w:t>1</w:t>
      </w:r>
      <w:bookmarkEnd w:id="340"/>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日召开第三届董事会第十七次会议、第三届监事会第十七次会议，审议通过了《关于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性股票激励计划第一个解除限售期解除限售条件成就的议案》。公司授予激励对象的限制性股票第一个解除限售期解除限售 符合《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年限制性股票激励计划(草案)》规定的各项解除限售条件，公司拟对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名激励对象所持有的</w:t>
      </w:r>
      <w:r>
        <w:rPr>
          <w:rFonts w:ascii="Times New Roman" w:eastAsia="Times New Roman" w:hAnsi="Times New Roman" w:cs="Times New Roman"/>
          <w:color w:val="000000"/>
          <w:spacing w:val="0"/>
          <w:w w:val="100"/>
          <w:position w:val="0"/>
          <w:sz w:val="18"/>
          <w:szCs w:val="18"/>
        </w:rPr>
        <w:t>9.9904</w:t>
      </w:r>
      <w:r>
        <w:rPr>
          <w:color w:val="000000"/>
          <w:spacing w:val="0"/>
          <w:w w:val="100"/>
          <w:position w:val="0"/>
        </w:rPr>
        <w:t>万股办理解 除限售。详见公司于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w:t>
      </w:r>
      <w:r>
        <w:fldChar w:fldCharType="begin"/>
      </w:r>
      <w:r>
        <w:rPr/>
        <w:instrText> HYPERLINK "http://www.cninfo.com.cn/)%e4%b8%8a%e6%8a%ab%e9%9c%b2%e7%9a%84%e3%80%8a%e5%85%b3%e4%ba%8e2019%e5%b9%b4%e9%99%90%e5%88%b6%e6%80%a7%e8%82%a1%e7%a5%a8%e6%bf%80%e5%8a%b1%e8%ae%a1%e5%88%92"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w:t>
      </w:r>
      <w:r>
        <w:fldChar w:fldCharType="end"/>
      </w:r>
      <w:r>
        <w:rPr>
          <w:color w:val="000000"/>
          <w:spacing w:val="0"/>
          <w:w w:val="100"/>
          <w:position w:val="0"/>
        </w:rPr>
        <w:t xml:space="preserve"> 第一个解除限售期解除限售条件成就的公告》。</w:t>
      </w:r>
    </w:p>
    <w:p>
      <w:pPr>
        <w:pStyle w:val="Style31"/>
        <w:keepNext w:val="0"/>
        <w:keepLines w:val="0"/>
        <w:widowControl w:val="0"/>
        <w:shd w:val="clear" w:color="auto" w:fill="auto"/>
        <w:bidi w:val="0"/>
        <w:spacing w:before="0" w:after="0" w:line="350" w:lineRule="exact"/>
        <w:ind w:left="0" w:right="0" w:firstLine="360"/>
        <w:jc w:val="both"/>
      </w:pPr>
      <w:bookmarkStart w:id="341" w:name="bookmark341"/>
      <w:r>
        <w:rPr>
          <w:rFonts w:ascii="Times New Roman" w:eastAsia="Times New Roman" w:hAnsi="Times New Roman" w:cs="Times New Roman"/>
          <w:color w:val="000000"/>
          <w:spacing w:val="0"/>
          <w:w w:val="100"/>
          <w:position w:val="0"/>
          <w:sz w:val="18"/>
          <w:szCs w:val="18"/>
        </w:rPr>
        <w:t>2</w:t>
      </w:r>
      <w:bookmarkEnd w:id="341"/>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名激励对象所持有的</w:t>
      </w:r>
      <w:r>
        <w:rPr>
          <w:rFonts w:ascii="Times New Roman" w:eastAsia="Times New Roman" w:hAnsi="Times New Roman" w:cs="Times New Roman"/>
          <w:color w:val="000000"/>
          <w:spacing w:val="0"/>
          <w:w w:val="100"/>
          <w:position w:val="0"/>
          <w:sz w:val="18"/>
          <w:szCs w:val="18"/>
        </w:rPr>
        <w:t>9.9904</w:t>
      </w:r>
      <w:r>
        <w:rPr>
          <w:color w:val="000000"/>
          <w:spacing w:val="0"/>
          <w:w w:val="100"/>
          <w:position w:val="0"/>
        </w:rPr>
        <w:t>万股已上市流通，详见公司于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日在巨潮资讯网 </w:t>
      </w:r>
      <w:r>
        <w:rPr>
          <w:color w:val="000000"/>
          <w:spacing w:val="0"/>
          <w:w w:val="100"/>
          <w:position w:val="0"/>
        </w:rPr>
        <w:t>(</w:t>
      </w:r>
      <w:r>
        <w:fldChar w:fldCharType="begin"/>
      </w:r>
      <w:r>
        <w:rPr/>
        <w:instrText> HYPERLINK "http://www.cninfo.com.cn/)%e4%b8%8a%e6%8a%ab%e9%9c%b2%e7%9a%84%e3%80%8a%e5%85%b3%e4%ba%8e2019%e5%b9%b4%e9%99%90%e5%88%b6%e6%80%a7%e8%82%a1%e7%a5%a8%e6%bf%80%e5%8a%b1%e8%ae%a1%e5%88%92%e7%ac%ac%e4%b8%80%e4%b8%aa%e8%a7%a3%e9%99%a4%e9%99%90%e5%94%ae%e6%9c%9f%e8%a7%a3%e9%99%a4%e9%99%90%e5%94%ae%e8%82%a1%e4%bb%bd%e4%b8%8a%e5%b8%82%e6%b5%81%e9%80%9a%e7%9a%84%e6%8f%90%e7%a4%ba%e6%80%a7"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年限制性股票激励计划第一个解除限售期解除限售股份上市流通的提示性</w:t>
      </w:r>
      <w:r>
        <w:fldChar w:fldCharType="end"/>
      </w:r>
    </w:p>
    <w:p>
      <w:pPr>
        <w:pStyle w:val="Style31"/>
        <w:keepNext w:val="0"/>
        <w:keepLines w:val="0"/>
        <w:widowControl w:val="0"/>
        <w:shd w:val="clear" w:color="auto" w:fill="auto"/>
        <w:bidi w:val="0"/>
        <w:spacing w:before="0" w:after="160" w:line="350" w:lineRule="exact"/>
        <w:ind w:left="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66" w:h="17375"/>
          <w:pgMar w:top="1579" w:right="1098" w:bottom="1862" w:left="1091" w:header="0" w:footer="3" w:gutter="0"/>
          <w:cols w:space="720"/>
          <w:noEndnote/>
          <w:rtlGutter w:val="0"/>
          <w:docGrid w:linePitch="360"/>
        </w:sectPr>
      </w:pPr>
      <w:r>
        <w:rPr>
          <w:color w:val="000000"/>
          <w:spacing w:val="0"/>
          <w:w w:val="100"/>
          <w:position w:val="0"/>
        </w:rPr>
        <w:t>公告》。</w:t>
      </w:r>
    </w:p>
    <w:p>
      <w:pPr>
        <w:pStyle w:val="Style39"/>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十五、重大关联交易</w:t>
      </w:r>
      <w:bookmarkEnd w:id="342"/>
      <w:bookmarkEnd w:id="343"/>
      <w:bookmarkEnd w:id="344"/>
    </w:p>
    <w:p>
      <w:pPr>
        <w:pStyle w:val="Style49"/>
        <w:keepNext/>
        <w:keepLines/>
        <w:widowControl w:val="0"/>
        <w:shd w:val="clear" w:color="auto" w:fill="auto"/>
        <w:bidi w:val="0"/>
        <w:spacing w:before="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、与日常经营相关的关联交易</w:t>
      </w:r>
      <w:bookmarkEnd w:id="345"/>
      <w:bookmarkEnd w:id="346"/>
      <w:bookmarkEnd w:id="34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1966" w:h="17375"/>
          <w:pgMar w:top="1579" w:right="1098" w:bottom="1862" w:left="1091" w:header="0" w:footer="3" w:gutter="0"/>
          <w:cols w:space="720"/>
          <w:noEndnote/>
          <w:rtlGutter w:val="0"/>
          <w:docGrid w:linePitch="360"/>
        </w:sectPr>
      </w:pPr>
      <w:r>
        <mc:AlternateContent>
          <mc:Choice Requires="wps">
            <w:drawing>
              <wp:anchor distT="168275" distB="155575" distL="0" distR="0" simplePos="0" relativeHeight="125829552" behindDoc="0" locked="0" layoutInCell="1" allowOverlap="1">
                <wp:simplePos x="0" y="0"/>
                <wp:positionH relativeFrom="page">
                  <wp:posOffset>730885</wp:posOffset>
                </wp:positionH>
                <wp:positionV relativeFrom="paragraph">
                  <wp:posOffset>168275</wp:posOffset>
                </wp:positionV>
                <wp:extent cx="1767840" cy="298450"/>
                <wp:wrapTopAndBottom/>
                <wp:docPr id="240" name="Shape 240"/>
                <a:graphic xmlns:a="http://schemas.openxmlformats.org/drawingml/2006/main">
                  <a:graphicData uri="http://schemas.microsoft.com/office/word/2010/wordprocessingShape">
                    <wps:wsp>
                      <wps:cNvSpPr txBox="1"/>
                      <wps:spPr>
                        <a:xfrm>
                          <a:ext cx="1767840" cy="2984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03" w:val="left"/>
                              </w:tabs>
                              <w:bidi w:val="0"/>
                              <w:spacing w:before="0" w:after="0" w:line="226" w:lineRule="exact"/>
                              <w:ind w:left="0" w:right="0" w:firstLine="0"/>
                              <w:jc w:val="right"/>
                            </w:pPr>
                            <w:r>
                              <w:rPr>
                                <w:b/>
                                <w:bCs/>
                                <w:color w:val="FFFFFF"/>
                                <w:spacing w:val="0"/>
                                <w:w w:val="100"/>
                                <w:position w:val="0"/>
                              </w:rPr>
                              <w:t>关联交易关联关 关联交 关联交 方</w:t>
                              <w:tab/>
                              <w:t>系 易类型易内容</w:t>
                            </w:r>
                          </w:p>
                        </w:txbxContent>
                      </wps:txbx>
                      <wps:bodyPr lIns="0" tIns="0" rIns="0" bIns="0">
                        <a:noAutoFit/>
                      </wps:bodyPr>
                    </wps:wsp>
                  </a:graphicData>
                </a:graphic>
              </wp:anchor>
            </w:drawing>
          </mc:Choice>
          <mc:Fallback>
            <w:pict>
              <v:shape id="_x0000_s1266" type="#_x0000_t202" style="position:absolute;margin-left:57.550000000000004pt;margin-top:13.25pt;width:139.20000000000002pt;height:23.5pt;z-index:-125829201;mso-wrap-distance-left:0;mso-wrap-distance-top:13.25pt;mso-wrap-distance-right:0;mso-wrap-distance-bottom:12.2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03" w:val="left"/>
                        </w:tabs>
                        <w:bidi w:val="0"/>
                        <w:spacing w:before="0" w:after="0" w:line="226" w:lineRule="exact"/>
                        <w:ind w:left="0" w:right="0" w:firstLine="0"/>
                        <w:jc w:val="right"/>
                      </w:pPr>
                      <w:r>
                        <w:rPr>
                          <w:b/>
                          <w:bCs/>
                          <w:color w:val="FFFFFF"/>
                          <w:spacing w:val="0"/>
                          <w:w w:val="100"/>
                          <w:position w:val="0"/>
                        </w:rPr>
                        <w:t>关联交易关联关 关联交 关联交 方</w:t>
                        <w:tab/>
                        <w:t>系 易类型易内容</w:t>
                      </w:r>
                    </w:p>
                  </w:txbxContent>
                </v:textbox>
                <w10:wrap type="topAndBottom" anchorx="page"/>
              </v:shape>
            </w:pict>
          </mc:Fallback>
        </mc:AlternateContent>
      </w:r>
      <w:r>
        <mc:AlternateContent>
          <mc:Choice Requires="wps">
            <w:drawing>
              <wp:anchor distT="92075" distB="76200" distL="0" distR="0" simplePos="0" relativeHeight="125829554" behindDoc="0" locked="0" layoutInCell="1" allowOverlap="1">
                <wp:simplePos x="0" y="0"/>
                <wp:positionH relativeFrom="page">
                  <wp:posOffset>2562860</wp:posOffset>
                </wp:positionH>
                <wp:positionV relativeFrom="paragraph">
                  <wp:posOffset>92075</wp:posOffset>
                </wp:positionV>
                <wp:extent cx="374650" cy="454025"/>
                <wp:wrapTopAndBottom/>
                <wp:docPr id="242" name="Shape 242"/>
                <a:graphic xmlns:a="http://schemas.openxmlformats.org/drawingml/2006/main">
                  <a:graphicData uri="http://schemas.microsoft.com/office/word/2010/wordprocessingShape">
                    <wps:wsp>
                      <wps:cNvSpPr txBox="1"/>
                      <wps:spPr>
                        <a:xfrm>
                          <a:ext cx="374650"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关联交</w:t>
                              <w:br/>
                              <w:t>易定价</w:t>
                              <w:br/>
                              <w:t>原则</w:t>
                            </w:r>
                          </w:p>
                        </w:txbxContent>
                      </wps:txbx>
                      <wps:bodyPr lIns="0" tIns="0" rIns="0" bIns="0">
                        <a:noAutoFit/>
                      </wps:bodyPr>
                    </wps:wsp>
                  </a:graphicData>
                </a:graphic>
              </wp:anchor>
            </w:drawing>
          </mc:Choice>
          <mc:Fallback>
            <w:pict>
              <v:shape id="_x0000_s1268" type="#_x0000_t202" style="position:absolute;margin-left:201.80000000000001pt;margin-top:7.25pt;width:29.5pt;height:35.75pt;z-index:-125829199;mso-wrap-distance-left:0;mso-wrap-distance-top:7.25pt;mso-wrap-distance-right:0;mso-wrap-distance-bottom:6.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关联交</w:t>
                        <w:br/>
                        <w:t>易定价</w:t>
                        <w:br/>
                        <w:t>原则</w:t>
                      </w:r>
                    </w:p>
                  </w:txbxContent>
                </v:textbox>
                <w10:wrap type="topAndBottom" anchorx="page"/>
              </v:shape>
            </w:pict>
          </mc:Fallback>
        </mc:AlternateContent>
      </w:r>
      <w:r>
        <mc:AlternateContent>
          <mc:Choice Requires="wps">
            <w:drawing>
              <wp:anchor distT="161925" distB="149225" distL="0" distR="0" simplePos="0" relativeHeight="125829556" behindDoc="0" locked="0" layoutInCell="1" allowOverlap="1">
                <wp:simplePos x="0" y="0"/>
                <wp:positionH relativeFrom="page">
                  <wp:posOffset>2992755</wp:posOffset>
                </wp:positionH>
                <wp:positionV relativeFrom="paragraph">
                  <wp:posOffset>161925</wp:posOffset>
                </wp:positionV>
                <wp:extent cx="374650" cy="311150"/>
                <wp:wrapTopAndBottom/>
                <wp:docPr id="244" name="Shape 244"/>
                <a:graphic xmlns:a="http://schemas.openxmlformats.org/drawingml/2006/main">
                  <a:graphicData uri="http://schemas.microsoft.com/office/word/2010/wordprocessingShape">
                    <wps:wsp>
                      <wps:cNvSpPr txBox="1"/>
                      <wps:spPr>
                        <a:xfrm>
                          <a:ext cx="374650" cy="3111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关联交 易价格</w:t>
                            </w:r>
                          </w:p>
                        </w:txbxContent>
                      </wps:txbx>
                      <wps:bodyPr lIns="0" tIns="0" rIns="0" bIns="0">
                        <a:noAutoFit/>
                      </wps:bodyPr>
                    </wps:wsp>
                  </a:graphicData>
                </a:graphic>
              </wp:anchor>
            </w:drawing>
          </mc:Choice>
          <mc:Fallback>
            <w:pict>
              <v:shape id="_x0000_s1270" type="#_x0000_t202" style="position:absolute;margin-left:235.65000000000001pt;margin-top:12.75pt;width:29.5pt;height:24.5pt;z-index:-125829197;mso-wrap-distance-left:0;mso-wrap-distance-top:12.75pt;mso-wrap-distance-right:0;mso-wrap-distance-bottom:11.7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关联交 易价格</w:t>
                      </w:r>
                    </w:p>
                  </w:txbxContent>
                </v:textbox>
                <w10:wrap type="topAndBottom" anchorx="page"/>
              </v:shape>
            </w:pict>
          </mc:Fallback>
        </mc:AlternateContent>
      </w:r>
      <w:r>
        <mc:AlternateContent>
          <mc:Choice Requires="wps">
            <w:drawing>
              <wp:anchor distT="12700" distB="0" distL="0" distR="0" simplePos="0" relativeHeight="125829558" behindDoc="0" locked="0" layoutInCell="1" allowOverlap="1">
                <wp:simplePos x="0" y="0"/>
                <wp:positionH relativeFrom="page">
                  <wp:posOffset>3422015</wp:posOffset>
                </wp:positionH>
                <wp:positionV relativeFrom="paragraph">
                  <wp:posOffset>12700</wp:posOffset>
                </wp:positionV>
                <wp:extent cx="374650" cy="609600"/>
                <wp:wrapTopAndBottom/>
                <wp:docPr id="246" name="Shape 246"/>
                <a:graphic xmlns:a="http://schemas.openxmlformats.org/drawingml/2006/main">
                  <a:graphicData uri="http://schemas.microsoft.com/office/word/2010/wordprocessingShape">
                    <wps:wsp>
                      <wps:cNvSpPr txBox="1"/>
                      <wps:spPr>
                        <a:xfrm>
                          <a:ext cx="374650" cy="6096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关联交 易金额</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（万 元）</w:t>
                            </w:r>
                          </w:p>
                        </w:txbxContent>
                      </wps:txbx>
                      <wps:bodyPr lIns="0" tIns="0" rIns="0" bIns="0">
                        <a:noAutoFit/>
                      </wps:bodyPr>
                    </wps:wsp>
                  </a:graphicData>
                </a:graphic>
              </wp:anchor>
            </w:drawing>
          </mc:Choice>
          <mc:Fallback>
            <w:pict>
              <v:shape id="_x0000_s1272" type="#_x0000_t202" style="position:absolute;margin-left:269.44999999999999pt;margin-top:1.pt;width:29.5pt;height:48.pt;z-index:-125829195;mso-wrap-distance-left:0;mso-wrap-distance-top:1.pt;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关联交 易金额</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（万 元）</w:t>
                      </w:r>
                    </w:p>
                  </w:txbxContent>
                </v:textbox>
                <w10:wrap type="topAndBottom" anchorx="page"/>
              </v:shape>
            </w:pict>
          </mc:Fallback>
        </mc:AlternateContent>
      </w:r>
      <w:r>
        <mc:AlternateContent>
          <mc:Choice Requires="wps">
            <w:drawing>
              <wp:anchor distT="12700" distB="0" distL="0" distR="0" simplePos="0" relativeHeight="125829560" behindDoc="0" locked="0" layoutInCell="1" allowOverlap="1">
                <wp:simplePos x="0" y="0"/>
                <wp:positionH relativeFrom="page">
                  <wp:posOffset>3846195</wp:posOffset>
                </wp:positionH>
                <wp:positionV relativeFrom="paragraph">
                  <wp:posOffset>12700</wp:posOffset>
                </wp:positionV>
                <wp:extent cx="377825" cy="609600"/>
                <wp:wrapTopAndBottom/>
                <wp:docPr id="248" name="Shape 248"/>
                <a:graphic xmlns:a="http://schemas.openxmlformats.org/drawingml/2006/main">
                  <a:graphicData uri="http://schemas.microsoft.com/office/word/2010/wordprocessingShape">
                    <wps:wsp>
                      <wps:cNvSpPr txBox="1"/>
                      <wps:spPr>
                        <a:xfrm>
                          <a:ext cx="377825" cy="6096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占同类</w:t>
                              <w:br/>
                              <w:t>交易金</w:t>
                              <w:br/>
                              <w:t>额的比</w:t>
                              <w:br/>
                              <w:t>例</w:t>
                            </w:r>
                          </w:p>
                        </w:txbxContent>
                      </wps:txbx>
                      <wps:bodyPr lIns="0" tIns="0" rIns="0" bIns="0">
                        <a:noAutoFit/>
                      </wps:bodyPr>
                    </wps:wsp>
                  </a:graphicData>
                </a:graphic>
              </wp:anchor>
            </w:drawing>
          </mc:Choice>
          <mc:Fallback>
            <w:pict>
              <v:shape id="_x0000_s1274" type="#_x0000_t202" style="position:absolute;margin-left:302.85000000000002pt;margin-top:1.pt;width:29.75pt;height:48.pt;z-index:-125829193;mso-wrap-distance-left:0;mso-wrap-distance-top:1.pt;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占同类</w:t>
                        <w:br/>
                        <w:t>交易金</w:t>
                        <w:br/>
                        <w:t>额的比</w:t>
                        <w:br/>
                        <w:t>例</w:t>
                      </w:r>
                    </w:p>
                  </w:txbxContent>
                </v:textbox>
                <w10:wrap type="topAndBottom" anchorx="page"/>
              </v:shape>
            </w:pict>
          </mc:Fallback>
        </mc:AlternateContent>
      </w:r>
      <w:r>
        <mc:AlternateContent>
          <mc:Choice Requires="wps">
            <w:drawing>
              <wp:anchor distT="15875" distB="5715" distL="0" distR="0" simplePos="0" relativeHeight="125829562" behindDoc="0" locked="0" layoutInCell="1" allowOverlap="1">
                <wp:simplePos x="0" y="0"/>
                <wp:positionH relativeFrom="page">
                  <wp:posOffset>4275455</wp:posOffset>
                </wp:positionH>
                <wp:positionV relativeFrom="paragraph">
                  <wp:posOffset>15875</wp:posOffset>
                </wp:positionV>
                <wp:extent cx="374650" cy="600710"/>
                <wp:wrapTopAndBottom/>
                <wp:docPr id="250" name="Shape 250"/>
                <a:graphic xmlns:a="http://schemas.openxmlformats.org/drawingml/2006/main">
                  <a:graphicData uri="http://schemas.microsoft.com/office/word/2010/wordprocessingShape">
                    <wps:wsp>
                      <wps:cNvSpPr txBox="1"/>
                      <wps:spPr>
                        <a:xfrm>
                          <a:ext cx="374650" cy="6007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both"/>
                            </w:pPr>
                            <w:r>
                              <w:rPr>
                                <w:b/>
                                <w:bCs/>
                                <w:color w:val="FFFFFF"/>
                                <w:spacing w:val="0"/>
                                <w:w w:val="100"/>
                                <w:position w:val="0"/>
                              </w:rPr>
                              <w:t>获批的 交易额 度（万 元）</w:t>
                            </w:r>
                          </w:p>
                        </w:txbxContent>
                      </wps:txbx>
                      <wps:bodyPr lIns="0" tIns="0" rIns="0" bIns="0">
                        <a:noAutoFit/>
                      </wps:bodyPr>
                    </wps:wsp>
                  </a:graphicData>
                </a:graphic>
              </wp:anchor>
            </w:drawing>
          </mc:Choice>
          <mc:Fallback>
            <w:pict>
              <v:shape id="_x0000_s1276" type="#_x0000_t202" style="position:absolute;margin-left:336.65000000000003pt;margin-top:1.25pt;width:29.5pt;height:47.300000000000004pt;z-index:-125829191;mso-wrap-distance-left:0;mso-wrap-distance-top:1.25pt;mso-wrap-distance-right:0;mso-wrap-distance-bottom:0.45000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both"/>
                      </w:pPr>
                      <w:r>
                        <w:rPr>
                          <w:b/>
                          <w:bCs/>
                          <w:color w:val="FFFFFF"/>
                          <w:spacing w:val="0"/>
                          <w:w w:val="100"/>
                          <w:position w:val="0"/>
                        </w:rPr>
                        <w:t>获批的 交易额 度（万 元）</w:t>
                      </w:r>
                    </w:p>
                  </w:txbxContent>
                </v:textbox>
                <w10:wrap type="topAndBottom" anchorx="page"/>
              </v:shape>
            </w:pict>
          </mc:Fallback>
        </mc:AlternateContent>
      </w:r>
      <w:r>
        <mc:AlternateContent>
          <mc:Choice Requires="wps">
            <w:drawing>
              <wp:anchor distT="92075" distB="76200" distL="0" distR="0" simplePos="0" relativeHeight="125829564" behindDoc="0" locked="0" layoutInCell="1" allowOverlap="1">
                <wp:simplePos x="0" y="0"/>
                <wp:positionH relativeFrom="page">
                  <wp:posOffset>4702175</wp:posOffset>
                </wp:positionH>
                <wp:positionV relativeFrom="paragraph">
                  <wp:posOffset>92075</wp:posOffset>
                </wp:positionV>
                <wp:extent cx="804545" cy="454025"/>
                <wp:wrapTopAndBottom/>
                <wp:docPr id="252" name="Shape 252"/>
                <a:graphic xmlns:a="http://schemas.openxmlformats.org/drawingml/2006/main">
                  <a:graphicData uri="http://schemas.microsoft.com/office/word/2010/wordprocessingShape">
                    <wps:wsp>
                      <wps:cNvSpPr txBox="1"/>
                      <wps:spPr>
                        <a:xfrm>
                          <a:ext cx="804545"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是否超关联交</w:t>
                              <w:br/>
                              <w:t>过获批易结算</w:t>
                              <w:br/>
                              <w:t>额度方式</w:t>
                            </w:r>
                          </w:p>
                        </w:txbxContent>
                      </wps:txbx>
                      <wps:bodyPr lIns="0" tIns="0" rIns="0" bIns="0">
                        <a:noAutoFit/>
                      </wps:bodyPr>
                    </wps:wsp>
                  </a:graphicData>
                </a:graphic>
              </wp:anchor>
            </w:drawing>
          </mc:Choice>
          <mc:Fallback>
            <w:pict>
              <v:shape id="_x0000_s1278" type="#_x0000_t202" style="position:absolute;margin-left:370.25pt;margin-top:7.25pt;width:63.350000000000001pt;height:35.75pt;z-index:-125829189;mso-wrap-distance-left:0;mso-wrap-distance-top:7.25pt;mso-wrap-distance-right:0;mso-wrap-distance-bottom:6.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是否超关联交</w:t>
                        <w:br/>
                        <w:t>过获批易结算</w:t>
                        <w:br/>
                        <w:t>额度方式</w:t>
                      </w:r>
                    </w:p>
                  </w:txbxContent>
                </v:textbox>
                <w10:wrap type="topAndBottom" anchorx="page"/>
              </v:shape>
            </w:pict>
          </mc:Fallback>
        </mc:AlternateContent>
      </w:r>
      <w:r>
        <mc:AlternateContent>
          <mc:Choice Requires="wps">
            <w:drawing>
              <wp:anchor distT="12700" distB="0" distL="0" distR="0" simplePos="0" relativeHeight="125829566" behindDoc="0" locked="0" layoutInCell="1" allowOverlap="1">
                <wp:simplePos x="0" y="0"/>
                <wp:positionH relativeFrom="page">
                  <wp:posOffset>5561965</wp:posOffset>
                </wp:positionH>
                <wp:positionV relativeFrom="paragraph">
                  <wp:posOffset>12700</wp:posOffset>
                </wp:positionV>
                <wp:extent cx="374650" cy="609600"/>
                <wp:wrapTopAndBottom/>
                <wp:docPr id="254" name="Shape 254"/>
                <a:graphic xmlns:a="http://schemas.openxmlformats.org/drawingml/2006/main">
                  <a:graphicData uri="http://schemas.microsoft.com/office/word/2010/wordprocessingShape">
                    <wps:wsp>
                      <wps:cNvSpPr txBox="1"/>
                      <wps:spPr>
                        <a:xfrm>
                          <a:ext cx="374650" cy="6096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可获得</w:t>
                              <w:br/>
                              <w:t>的同类</w:t>
                              <w:br/>
                              <w:t>交易市</w:t>
                              <w:br/>
                              <w:t>价</w:t>
                            </w:r>
                          </w:p>
                        </w:txbxContent>
                      </wps:txbx>
                      <wps:bodyPr lIns="0" tIns="0" rIns="0" bIns="0">
                        <a:noAutoFit/>
                      </wps:bodyPr>
                    </wps:wsp>
                  </a:graphicData>
                </a:graphic>
              </wp:anchor>
            </w:drawing>
          </mc:Choice>
          <mc:Fallback>
            <w:pict>
              <v:shape id="_x0000_s1280" type="#_x0000_t202" style="position:absolute;margin-left:437.94999999999999pt;margin-top:1.pt;width:29.5pt;height:48.pt;z-index:-125829187;mso-wrap-distance-left:0;mso-wrap-distance-top:1.pt;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可获得</w:t>
                        <w:br/>
                        <w:t>的同类</w:t>
                        <w:br/>
                        <w:t>交易市</w:t>
                        <w:br/>
                        <w:t>价</w:t>
                      </w:r>
                    </w:p>
                  </w:txbxContent>
                </v:textbox>
                <w10:wrap type="topAndBottom" anchorx="page"/>
              </v:shape>
            </w:pict>
          </mc:Fallback>
        </mc:AlternateContent>
      </w:r>
      <w:r>
        <mc:AlternateContent>
          <mc:Choice Requires="wps">
            <w:drawing>
              <wp:anchor distT="161925" distB="149225" distL="0" distR="0" simplePos="0" relativeHeight="125829568" behindDoc="0" locked="0" layoutInCell="1" allowOverlap="1">
                <wp:simplePos x="0" y="0"/>
                <wp:positionH relativeFrom="page">
                  <wp:posOffset>5988685</wp:posOffset>
                </wp:positionH>
                <wp:positionV relativeFrom="paragraph">
                  <wp:posOffset>161925</wp:posOffset>
                </wp:positionV>
                <wp:extent cx="789305" cy="311150"/>
                <wp:wrapTopAndBottom/>
                <wp:docPr id="256" name="Shape 256"/>
                <a:graphic xmlns:a="http://schemas.openxmlformats.org/drawingml/2006/main">
                  <a:graphicData uri="http://schemas.microsoft.com/office/word/2010/wordprocessingShape">
                    <wps:wsp>
                      <wps:cNvSpPr txBox="1"/>
                      <wps:spPr>
                        <a:xfrm>
                          <a:ext cx="789305" cy="3111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45" w:val="left"/>
                              </w:tabs>
                              <w:bidi w:val="0"/>
                              <w:spacing w:before="0" w:after="0" w:line="235" w:lineRule="exact"/>
                              <w:ind w:left="0" w:right="0" w:firstLine="0"/>
                              <w:jc w:val="center"/>
                            </w:pPr>
                            <w:r>
                              <w:rPr>
                                <w:b/>
                                <w:bCs/>
                                <w:color w:val="FFFFFF"/>
                                <w:spacing w:val="0"/>
                                <w:w w:val="100"/>
                                <w:position w:val="0"/>
                              </w:rPr>
                              <w:t>披露日披露索</w:t>
                              <w:br/>
                              <w:t>期</w:t>
                              <w:tab/>
                              <w:t>引</w:t>
                            </w:r>
                          </w:p>
                        </w:txbxContent>
                      </wps:txbx>
                      <wps:bodyPr lIns="0" tIns="0" rIns="0" bIns="0">
                        <a:noAutoFit/>
                      </wps:bodyPr>
                    </wps:wsp>
                  </a:graphicData>
                </a:graphic>
              </wp:anchor>
            </w:drawing>
          </mc:Choice>
          <mc:Fallback>
            <w:pict>
              <v:shape id="_x0000_s1282" type="#_x0000_t202" style="position:absolute;margin-left:471.55000000000001pt;margin-top:12.75pt;width:62.149999999999999pt;height:24.5pt;z-index:-125829185;mso-wrap-distance-left:0;mso-wrap-distance-top:12.75pt;mso-wrap-distance-right:0;mso-wrap-distance-bottom:11.7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45" w:val="left"/>
                        </w:tabs>
                        <w:bidi w:val="0"/>
                        <w:spacing w:before="0" w:after="0" w:line="235" w:lineRule="exact"/>
                        <w:ind w:left="0" w:right="0" w:firstLine="0"/>
                        <w:jc w:val="center"/>
                      </w:pPr>
                      <w:r>
                        <w:rPr>
                          <w:b/>
                          <w:bCs/>
                          <w:color w:val="FFFFFF"/>
                          <w:spacing w:val="0"/>
                          <w:w w:val="100"/>
                          <w:position w:val="0"/>
                        </w:rPr>
                        <w:t>披露日披露索</w:t>
                        <w:br/>
                        <w:t>期</w:t>
                        <w:tab/>
                        <w:t>引</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570" behindDoc="0" locked="0" layoutInCell="1" allowOverlap="1">
                <wp:simplePos x="0" y="0"/>
                <wp:positionH relativeFrom="page">
                  <wp:posOffset>721360</wp:posOffset>
                </wp:positionH>
                <wp:positionV relativeFrom="paragraph">
                  <wp:posOffset>146050</wp:posOffset>
                </wp:positionV>
                <wp:extent cx="374650" cy="149225"/>
                <wp:wrapSquare wrapText="bothSides"/>
                <wp:docPr id="258" name="Shape 258"/>
                <a:graphic xmlns:a="http://schemas.openxmlformats.org/drawingml/2006/main">
                  <a:graphicData uri="http://schemas.microsoft.com/office/word/2010/wordprocessingShape">
                    <wps:wsp>
                      <wps:cNvSpPr txBox="1"/>
                      <wps:spPr>
                        <a:xfrm>
                          <a:ext cx="374650"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赵新宇</w:t>
                            </w:r>
                          </w:p>
                        </w:txbxContent>
                      </wps:txbx>
                      <wps:bodyPr wrap="none" lIns="0" tIns="0" rIns="0" bIns="0">
                        <a:noAutoFit/>
                      </wps:bodyPr>
                    </wps:wsp>
                  </a:graphicData>
                </a:graphic>
              </wp:anchor>
            </w:drawing>
          </mc:Choice>
          <mc:Fallback>
            <w:pict>
              <v:shape id="_x0000_s1284" type="#_x0000_t202" style="position:absolute;margin-left:56.800000000000004pt;margin-top:11.5pt;width:29.5pt;height:11.75pt;z-index:-125829183;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赵新宇</w:t>
                      </w:r>
                    </w:p>
                  </w:txbxContent>
                </v:textbox>
                <w10:wrap type="square" anchorx="page"/>
              </v:shape>
            </w:pict>
          </mc:Fallback>
        </mc:AlternateContent>
      </w:r>
      <w:r>
        <mc:AlternateContent>
          <mc:Choice Requires="wps">
            <w:drawing>
              <wp:anchor distT="143510" distB="146050" distL="114300" distR="4954905" simplePos="0" relativeHeight="125829572" behindDoc="0" locked="0" layoutInCell="1" allowOverlap="1">
                <wp:simplePos x="0" y="0"/>
                <wp:positionH relativeFrom="page">
                  <wp:posOffset>721360</wp:posOffset>
                </wp:positionH>
                <wp:positionV relativeFrom="paragraph">
                  <wp:posOffset>646430</wp:posOffset>
                </wp:positionV>
                <wp:extent cx="374650" cy="152400"/>
                <wp:wrapTopAndBottom/>
                <wp:docPr id="260" name="Shape 260"/>
                <a:graphic xmlns:a="http://schemas.openxmlformats.org/drawingml/2006/main">
                  <a:graphicData uri="http://schemas.microsoft.com/office/word/2010/wordprocessingShape">
                    <wps:wsp>
                      <wps:cNvSpPr txBox="1"/>
                      <wps:spPr>
                        <a:xfrm>
                          <a:ext cx="374650" cy="1524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赵新宇</w:t>
                            </w:r>
                          </w:p>
                        </w:txbxContent>
                      </wps:txbx>
                      <wps:bodyPr wrap="none" lIns="0" tIns="0" rIns="0" bIns="0">
                        <a:noAutoFit/>
                      </wps:bodyPr>
                    </wps:wsp>
                  </a:graphicData>
                </a:graphic>
              </wp:anchor>
            </w:drawing>
          </mc:Choice>
          <mc:Fallback>
            <w:pict>
              <v:shape id="_x0000_s1286" type="#_x0000_t202" style="position:absolute;margin-left:56.800000000000004pt;margin-top:50.899999999999999pt;width:29.5pt;height:12.pt;z-index:-125829181;mso-wrap-distance-left:9.pt;mso-wrap-distance-top:11.300000000000001pt;mso-wrap-distance-right:390.15000000000003pt;mso-wrap-distance-bottom:11.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赵新宇</w:t>
                      </w:r>
                    </w:p>
                  </w:txbxContent>
                </v:textbox>
                <w10:wrap type="topAndBottom" anchorx="page"/>
              </v:shape>
            </w:pict>
          </mc:Fallback>
        </mc:AlternateContent>
      </w:r>
      <w:r>
        <mc:AlternateContent>
          <mc:Choice Requires="wps">
            <w:drawing>
              <wp:anchor distT="0" distB="0" distL="626110" distR="2672080" simplePos="0" relativeHeight="125829574" behindDoc="0" locked="0" layoutInCell="1" allowOverlap="1">
                <wp:simplePos x="0" y="0"/>
                <wp:positionH relativeFrom="page">
                  <wp:posOffset>1233170</wp:posOffset>
                </wp:positionH>
                <wp:positionV relativeFrom="paragraph">
                  <wp:posOffset>502920</wp:posOffset>
                </wp:positionV>
                <wp:extent cx="2145665" cy="441960"/>
                <wp:wrapTopAndBottom/>
                <wp:docPr id="262" name="Shape 262"/>
                <a:graphic xmlns:a="http://schemas.openxmlformats.org/drawingml/2006/main">
                  <a:graphicData uri="http://schemas.microsoft.com/office/word/2010/wordprocessingShape">
                    <wps:wsp>
                      <wps:cNvSpPr txBox="1"/>
                      <wps:spPr>
                        <a:xfrm>
                          <a:ext cx="2145665" cy="441960"/>
                        </a:xfrm>
                        <a:prstGeom prst="rect"/>
                        <a:noFill/>
                      </wps:spPr>
                      <wps:txbx>
                        <w:txbxContent>
                          <w:p>
                            <w:pPr>
                              <w:pStyle w:val="Style31"/>
                              <w:keepNext w:val="0"/>
                              <w:keepLines w:val="0"/>
                              <w:widowControl w:val="0"/>
                              <w:shd w:val="clear" w:color="auto" w:fill="auto"/>
                              <w:tabs>
                                <w:tab w:pos="2098" w:val="left"/>
                              </w:tabs>
                              <w:bidi w:val="0"/>
                              <w:spacing w:before="0" w:after="0" w:line="91" w:lineRule="exact"/>
                              <w:ind w:left="0" w:right="0" w:firstLine="0"/>
                              <w:jc w:val="left"/>
                            </w:pPr>
                            <w:r>
                              <w:rPr>
                                <w:rFonts w:ascii="Times New Roman" w:eastAsia="Times New Roman" w:hAnsi="Times New Roman" w:cs="Times New Roman"/>
                                <w:color w:val="000000"/>
                                <w:spacing w:val="0"/>
                                <w:w w:val="100"/>
                                <w:position w:val="0"/>
                                <w:sz w:val="18"/>
                                <w:szCs w:val="18"/>
                              </w:rPr>
                              <w:t xml:space="preserve">co/ IU k </w:t>
                            </w:r>
                            <w:r>
                              <w:rPr>
                                <w:color w:val="000000"/>
                                <w:spacing w:val="0"/>
                                <w:w w:val="100"/>
                                <w:position w:val="0"/>
                              </w:rPr>
                              <w:t>¥百¥印租赁关击+乙</w:t>
                            </w:r>
                            <w:r>
                              <w:rPr>
                                <w:color w:val="000000"/>
                                <w:spacing w:val="0"/>
                                <w:w w:val="100"/>
                                <w:position w:val="0"/>
                              </w:rPr>
                              <w:t>r</w:t>
                            </w:r>
                            <w:r>
                              <w:rPr>
                                <w:rFonts w:ascii="Times New Roman" w:eastAsia="Times New Roman" w:hAnsi="Times New Roman" w:cs="Times New Roman"/>
                                <w:color w:val="000000"/>
                                <w:spacing w:val="0"/>
                                <w:w w:val="100"/>
                                <w:position w:val="0"/>
                                <w:sz w:val="18"/>
                                <w:szCs w:val="18"/>
                              </w:rPr>
                              <w:t xml:space="preserve"> L75 </w:t>
                            </w:r>
                            <w:r>
                              <w:rPr>
                                <w:color w:val="000000"/>
                                <w:spacing w:val="0"/>
                                <w:w w:val="100"/>
                                <w:position w:val="0"/>
                              </w:rPr>
                              <w:t xml:space="preserve">兀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以上关联租</w:t>
                              <w:tab/>
                              <w:t>市场定/皿*/</w:t>
                            </w:r>
                          </w:p>
                          <w:p>
                            <w:pPr>
                              <w:pStyle w:val="Style31"/>
                              <w:keepNext w:val="0"/>
                              <w:keepLines w:val="0"/>
                              <w:widowControl w:val="0"/>
                              <w:shd w:val="clear" w:color="auto" w:fill="auto"/>
                              <w:tabs>
                                <w:tab w:pos="2952" w:val="left"/>
                              </w:tabs>
                              <w:bidi w:val="0"/>
                              <w:spacing w:before="0" w:after="0" w:line="115" w:lineRule="exact"/>
                              <w:ind w:left="0" w:right="0" w:firstLine="0"/>
                              <w:jc w:val="right"/>
                            </w:pPr>
                            <w:r>
                              <w:rPr>
                                <w:color w:val="000000"/>
                                <w:spacing w:val="0"/>
                                <w:w w:val="100"/>
                                <w:position w:val="0"/>
                              </w:rPr>
                              <w:t>股东赁联万房价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产</w:t>
                              <w:tab/>
                              <w:t>天</w:t>
                            </w:r>
                          </w:p>
                        </w:txbxContent>
                      </wps:txbx>
                      <wps:bodyPr lIns="0" tIns="0" rIns="0" bIns="0">
                        <a:noAutoFit/>
                      </wps:bodyPr>
                    </wps:wsp>
                  </a:graphicData>
                </a:graphic>
              </wp:anchor>
            </w:drawing>
          </mc:Choice>
          <mc:Fallback>
            <w:pict>
              <v:shape id="_x0000_s1288" type="#_x0000_t202" style="position:absolute;margin-left:97.100000000000009pt;margin-top:39.600000000000001pt;width:168.95000000000002pt;height:34.800000000000004pt;z-index:-125829179;mso-wrap-distance-left:49.300000000000004pt;mso-wrap-distance-right:210.40000000000001pt;mso-position-horizontal-relative:page" filled="f" stroked="f">
                <v:textbox inset="0,0,0,0">
                  <w:txbxContent>
                    <w:p>
                      <w:pPr>
                        <w:pStyle w:val="Style31"/>
                        <w:keepNext w:val="0"/>
                        <w:keepLines w:val="0"/>
                        <w:widowControl w:val="0"/>
                        <w:shd w:val="clear" w:color="auto" w:fill="auto"/>
                        <w:tabs>
                          <w:tab w:pos="2098" w:val="left"/>
                        </w:tabs>
                        <w:bidi w:val="0"/>
                        <w:spacing w:before="0" w:after="0" w:line="91" w:lineRule="exact"/>
                        <w:ind w:left="0" w:right="0" w:firstLine="0"/>
                        <w:jc w:val="left"/>
                      </w:pPr>
                      <w:r>
                        <w:rPr>
                          <w:rFonts w:ascii="Times New Roman" w:eastAsia="Times New Roman" w:hAnsi="Times New Roman" w:cs="Times New Roman"/>
                          <w:color w:val="000000"/>
                          <w:spacing w:val="0"/>
                          <w:w w:val="100"/>
                          <w:position w:val="0"/>
                          <w:sz w:val="18"/>
                          <w:szCs w:val="18"/>
                        </w:rPr>
                        <w:t xml:space="preserve">co/ IU k </w:t>
                      </w:r>
                      <w:r>
                        <w:rPr>
                          <w:color w:val="000000"/>
                          <w:spacing w:val="0"/>
                          <w:w w:val="100"/>
                          <w:position w:val="0"/>
                        </w:rPr>
                        <w:t>¥百¥印租赁关击+乙</w:t>
                      </w:r>
                      <w:r>
                        <w:rPr>
                          <w:color w:val="000000"/>
                          <w:spacing w:val="0"/>
                          <w:w w:val="100"/>
                          <w:position w:val="0"/>
                        </w:rPr>
                        <w:t>r</w:t>
                      </w:r>
                      <w:r>
                        <w:rPr>
                          <w:rFonts w:ascii="Times New Roman" w:eastAsia="Times New Roman" w:hAnsi="Times New Roman" w:cs="Times New Roman"/>
                          <w:color w:val="000000"/>
                          <w:spacing w:val="0"/>
                          <w:w w:val="100"/>
                          <w:position w:val="0"/>
                          <w:sz w:val="18"/>
                          <w:szCs w:val="18"/>
                        </w:rPr>
                        <w:t xml:space="preserve"> L75 </w:t>
                      </w:r>
                      <w:r>
                        <w:rPr>
                          <w:color w:val="000000"/>
                          <w:spacing w:val="0"/>
                          <w:w w:val="100"/>
                          <w:position w:val="0"/>
                        </w:rPr>
                        <w:t xml:space="preserve">兀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以上关联租</w:t>
                        <w:tab/>
                        <w:t>市场定/皿*/</w:t>
                      </w:r>
                    </w:p>
                    <w:p>
                      <w:pPr>
                        <w:pStyle w:val="Style31"/>
                        <w:keepNext w:val="0"/>
                        <w:keepLines w:val="0"/>
                        <w:widowControl w:val="0"/>
                        <w:shd w:val="clear" w:color="auto" w:fill="auto"/>
                        <w:tabs>
                          <w:tab w:pos="2952" w:val="left"/>
                        </w:tabs>
                        <w:bidi w:val="0"/>
                        <w:spacing w:before="0" w:after="0" w:line="115" w:lineRule="exact"/>
                        <w:ind w:left="0" w:right="0" w:firstLine="0"/>
                        <w:jc w:val="right"/>
                      </w:pPr>
                      <w:r>
                        <w:rPr>
                          <w:color w:val="000000"/>
                          <w:spacing w:val="0"/>
                          <w:w w:val="100"/>
                          <w:position w:val="0"/>
                        </w:rPr>
                        <w:t>股东赁联万房价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产</w:t>
                        <w:tab/>
                        <w:t>天</w:t>
                      </w:r>
                    </w:p>
                  </w:txbxContent>
                </v:textbox>
                <w10:wrap type="topAndBottom" anchorx="page"/>
              </v:shape>
            </w:pict>
          </mc:Fallback>
        </mc:AlternateContent>
      </w:r>
      <w:r>
        <mc:AlternateContent>
          <mc:Choice Requires="wps">
            <w:drawing>
              <wp:anchor distT="73025" distB="70485" distL="2933700" distR="114300" simplePos="0" relativeHeight="125829576" behindDoc="0" locked="0" layoutInCell="1" allowOverlap="1">
                <wp:simplePos x="0" y="0"/>
                <wp:positionH relativeFrom="page">
                  <wp:posOffset>3540760</wp:posOffset>
                </wp:positionH>
                <wp:positionV relativeFrom="paragraph">
                  <wp:posOffset>575945</wp:posOffset>
                </wp:positionV>
                <wp:extent cx="2395855" cy="298450"/>
                <wp:wrapTopAndBottom/>
                <wp:docPr id="264" name="Shape 264"/>
                <a:graphic xmlns:a="http://schemas.openxmlformats.org/drawingml/2006/main">
                  <a:graphicData uri="http://schemas.microsoft.com/office/word/2010/wordprocessingShape">
                    <wps:wsp>
                      <wps:cNvSpPr txBox="1"/>
                      <wps:spPr>
                        <a:xfrm>
                          <a:ext cx="2395855" cy="298450"/>
                        </a:xfrm>
                        <a:prstGeom prst="rect"/>
                        <a:noFill/>
                      </wps:spPr>
                      <wps:txbx>
                        <w:txbxContent>
                          <w:p>
                            <w:pPr>
                              <w:pStyle w:val="Style34"/>
                              <w:keepNext w:val="0"/>
                              <w:keepLines w:val="0"/>
                              <w:widowControl w:val="0"/>
                              <w:shd w:val="clear" w:color="auto" w:fill="auto"/>
                              <w:tabs>
                                <w:tab w:pos="1339" w:val="left"/>
                              </w:tabs>
                              <w:bidi w:val="0"/>
                              <w:spacing w:before="0" w:after="0" w:line="240" w:lineRule="auto"/>
                              <w:ind w:left="0" w:right="0" w:firstLine="0"/>
                              <w:jc w:val="left"/>
                              <w:rPr>
                                <w:sz w:val="15"/>
                                <w:szCs w:val="15"/>
                              </w:rPr>
                            </w:pPr>
                            <w:r>
                              <w:rPr>
                                <w:color w:val="000000"/>
                                <w:spacing w:val="0"/>
                                <w:w w:val="100"/>
                                <w:position w:val="0"/>
                                <w:sz w:val="18"/>
                                <w:szCs w:val="18"/>
                              </w:rPr>
                              <w:t xml:space="preserve">1 </w:t>
                            </w:r>
                            <w:r>
                              <w:rPr>
                                <w:color w:val="000000"/>
                                <w:spacing w:val="0"/>
                                <w:w w:val="100"/>
                                <w:position w:val="0"/>
                                <w:sz w:val="18"/>
                                <w:szCs w:val="18"/>
                              </w:rPr>
                              <w:t xml:space="preserve">o ns RO </w:t>
                            </w:r>
                            <w:r>
                              <w:rPr>
                                <w:color w:val="000000"/>
                                <w:spacing w:val="0"/>
                                <w:w w:val="100"/>
                                <w:position w:val="0"/>
                                <w:sz w:val="18"/>
                                <w:szCs w:val="18"/>
                              </w:rPr>
                              <w:t>06%</w:t>
                              <w:tab/>
                              <w:t xml:space="preserve">1 </w:t>
                            </w:r>
                            <w:r>
                              <w:rPr>
                                <w:color w:val="000000"/>
                                <w:spacing w:val="0"/>
                                <w:w w:val="100"/>
                                <w:position w:val="0"/>
                                <w:sz w:val="18"/>
                                <w:szCs w:val="18"/>
                              </w:rPr>
                              <w:t xml:space="preserve">R </w:t>
                            </w:r>
                            <w:r>
                              <w:rPr>
                                <w:color w:val="000000"/>
                                <w:spacing w:val="0"/>
                                <w:w w:val="100"/>
                                <w:position w:val="0"/>
                                <w:sz w:val="18"/>
                                <w:szCs w:val="18"/>
                              </w:rPr>
                              <w:t xml:space="preserve">05 </w:t>
                            </w:r>
                            <w:r>
                              <w:rPr>
                                <w:rFonts w:ascii="SimSun" w:eastAsia="SimSun" w:hAnsi="SimSun" w:cs="SimSun"/>
                                <w:color w:val="000000"/>
                                <w:spacing w:val="0"/>
                                <w:w w:val="100"/>
                                <w:position w:val="0"/>
                                <w:sz w:val="15"/>
                                <w:szCs w:val="15"/>
                              </w:rPr>
                              <w:t>木 现金结</w:t>
                            </w:r>
                            <w:r>
                              <w:rPr>
                                <w:color w:val="000000"/>
                                <w:spacing w:val="0"/>
                                <w:w w:val="100"/>
                                <w:position w:val="0"/>
                                <w:sz w:val="18"/>
                                <w:szCs w:val="18"/>
                                <w:vertAlign w:val="superscript"/>
                              </w:rPr>
                              <w:t>3</w:t>
                            </w:r>
                            <w:r>
                              <w:rPr>
                                <w:rFonts w:ascii="SimSun" w:eastAsia="SimSun" w:hAnsi="SimSun" w:cs="SimSun"/>
                                <w:color w:val="000000"/>
                                <w:spacing w:val="0"/>
                                <w:w w:val="100"/>
                                <w:position w:val="0"/>
                                <w:sz w:val="15"/>
                                <w:szCs w:val="15"/>
                              </w:rPr>
                              <w:t>兀</w:t>
                            </w:r>
                            <w:r>
                              <w:rPr>
                                <w:color w:val="000000"/>
                                <w:spacing w:val="0"/>
                                <w:w w:val="100"/>
                                <w:position w:val="0"/>
                                <w:sz w:val="18"/>
                                <w:szCs w:val="18"/>
                              </w:rPr>
                              <w:t>/</w:t>
                            </w:r>
                            <w:r>
                              <w:rPr>
                                <w:rFonts w:ascii="SimSun" w:eastAsia="SimSun" w:hAnsi="SimSun" w:cs="SimSun"/>
                                <w:color w:val="000000"/>
                                <w:spacing w:val="0"/>
                                <w:w w:val="100"/>
                                <w:position w:val="0"/>
                                <w:sz w:val="15"/>
                                <w:szCs w:val="15"/>
                              </w:rPr>
                              <w:t>平</w:t>
                            </w:r>
                          </w:p>
                          <w:p>
                            <w:pPr>
                              <w:pStyle w:val="Style34"/>
                              <w:keepNext w:val="0"/>
                              <w:keepLines w:val="0"/>
                              <w:widowControl w:val="0"/>
                              <w:shd w:val="clear" w:color="auto" w:fill="auto"/>
                              <w:tabs>
                                <w:tab w:pos="1282" w:val="left"/>
                                <w:tab w:pos="2688" w:val="left"/>
                              </w:tabs>
                              <w:bidi w:val="0"/>
                              <w:spacing w:before="0" w:after="0" w:line="240" w:lineRule="auto"/>
                              <w:ind w:left="0" w:right="0" w:firstLine="0"/>
                              <w:jc w:val="left"/>
                              <w:rPr>
                                <w:sz w:val="9"/>
                                <w:szCs w:val="9"/>
                              </w:rPr>
                            </w:pPr>
                            <w:r>
                              <w:rPr>
                                <w:color w:val="000000"/>
                                <w:spacing w:val="0"/>
                                <w:w w:val="100"/>
                                <w:position w:val="0"/>
                                <w:sz w:val="18"/>
                                <w:szCs w:val="18"/>
                              </w:rPr>
                              <w:t xml:space="preserve">18.05 </w:t>
                            </w:r>
                            <w:r>
                              <w:rPr>
                                <w:color w:val="000000"/>
                                <w:spacing w:val="0"/>
                                <w:w w:val="100"/>
                                <w:position w:val="0"/>
                                <w:sz w:val="18"/>
                                <w:szCs w:val="18"/>
                              </w:rPr>
                              <w:t>80.06/</w:t>
                            </w:r>
                            <w:r>
                              <w:rPr>
                                <w:rFonts w:ascii="SimSun" w:eastAsia="SimSun" w:hAnsi="SimSun" w:cs="SimSun"/>
                                <w:color w:val="000000"/>
                                <w:spacing w:val="0"/>
                                <w:w w:val="100"/>
                                <w:position w:val="0"/>
                                <w:sz w:val="18"/>
                                <w:szCs w:val="18"/>
                              </w:rPr>
                              <w:t>。</w:t>
                            </w:r>
                            <w:r>
                              <w:rPr>
                                <w:color w:val="000000"/>
                                <w:spacing w:val="0"/>
                                <w:w w:val="100"/>
                                <w:position w:val="0"/>
                                <w:sz w:val="18"/>
                                <w:szCs w:val="18"/>
                              </w:rPr>
                              <w:tab/>
                            </w:r>
                            <w:r>
                              <w:rPr>
                                <w:color w:val="000000"/>
                                <w:spacing w:val="0"/>
                                <w:w w:val="100"/>
                                <w:position w:val="0"/>
                                <w:sz w:val="18"/>
                                <w:szCs w:val="18"/>
                              </w:rPr>
                              <w:t xml:space="preserve">18.05 </w:t>
                            </w:r>
                            <w:r>
                              <w:rPr>
                                <w:rFonts w:ascii="SimSun" w:eastAsia="SimSun" w:hAnsi="SimSun" w:cs="SimSun"/>
                                <w:color w:val="000000"/>
                                <w:spacing w:val="0"/>
                                <w:w w:val="100"/>
                                <w:position w:val="0"/>
                                <w:sz w:val="15"/>
                                <w:szCs w:val="15"/>
                              </w:rPr>
                              <w:t>白</w:t>
                              <w:tab/>
                            </w:r>
                            <w:r>
                              <w:rPr>
                                <w:rFonts w:ascii="SimSun" w:eastAsia="SimSun" w:hAnsi="SimSun" w:cs="SimSun"/>
                                <w:i/>
                                <w:iCs/>
                                <w:color w:val="000000"/>
                                <w:spacing w:val="0"/>
                                <w:w w:val="100"/>
                                <w:position w:val="0"/>
                                <w:sz w:val="9"/>
                                <w:szCs w:val="9"/>
                              </w:rPr>
                              <w:t>心</w:t>
                            </w:r>
                          </w:p>
                          <w:p>
                            <w:pPr>
                              <w:pStyle w:val="Style31"/>
                              <w:keepNext w:val="0"/>
                              <w:keepLines w:val="0"/>
                              <w:widowControl w:val="0"/>
                              <w:shd w:val="clear" w:color="auto" w:fill="auto"/>
                              <w:tabs>
                                <w:tab w:pos="518" w:val="left"/>
                              </w:tabs>
                              <w:bidi w:val="0"/>
                              <w:spacing w:before="0" w:after="0" w:line="240" w:lineRule="auto"/>
                              <w:ind w:left="0" w:right="0" w:firstLine="0"/>
                              <w:jc w:val="right"/>
                            </w:pPr>
                            <w:r>
                              <w:rPr>
                                <w:color w:val="000000"/>
                                <w:spacing w:val="0"/>
                                <w:w w:val="100"/>
                                <w:position w:val="0"/>
                              </w:rPr>
                              <w:t>算</w:t>
                              <w:tab/>
                              <w:t>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xbxContent>
                      </wps:txbx>
                      <wps:bodyPr lIns="0" tIns="0" rIns="0" bIns="0">
                        <a:noAutoFit/>
                      </wps:bodyPr>
                    </wps:wsp>
                  </a:graphicData>
                </a:graphic>
              </wp:anchor>
            </w:drawing>
          </mc:Choice>
          <mc:Fallback>
            <w:pict>
              <v:shape id="_x0000_s1290" type="#_x0000_t202" style="position:absolute;margin-left:278.80000000000001pt;margin-top:45.350000000000001pt;width:188.65000000000001pt;height:23.5pt;z-index:-125829177;mso-wrap-distance-left:231.pt;mso-wrap-distance-top:5.75pt;mso-wrap-distance-right:9.pt;mso-wrap-distance-bottom:5.5499999999999998pt;mso-position-horizontal-relative:page" filled="f" stroked="f">
                <v:textbox inset="0,0,0,0">
                  <w:txbxContent>
                    <w:p>
                      <w:pPr>
                        <w:pStyle w:val="Style34"/>
                        <w:keepNext w:val="0"/>
                        <w:keepLines w:val="0"/>
                        <w:widowControl w:val="0"/>
                        <w:shd w:val="clear" w:color="auto" w:fill="auto"/>
                        <w:tabs>
                          <w:tab w:pos="1339" w:val="left"/>
                        </w:tabs>
                        <w:bidi w:val="0"/>
                        <w:spacing w:before="0" w:after="0" w:line="240" w:lineRule="auto"/>
                        <w:ind w:left="0" w:right="0" w:firstLine="0"/>
                        <w:jc w:val="left"/>
                        <w:rPr>
                          <w:sz w:val="15"/>
                          <w:szCs w:val="15"/>
                        </w:rPr>
                      </w:pPr>
                      <w:r>
                        <w:rPr>
                          <w:color w:val="000000"/>
                          <w:spacing w:val="0"/>
                          <w:w w:val="100"/>
                          <w:position w:val="0"/>
                          <w:sz w:val="18"/>
                          <w:szCs w:val="18"/>
                        </w:rPr>
                        <w:t xml:space="preserve">1 </w:t>
                      </w:r>
                      <w:r>
                        <w:rPr>
                          <w:color w:val="000000"/>
                          <w:spacing w:val="0"/>
                          <w:w w:val="100"/>
                          <w:position w:val="0"/>
                          <w:sz w:val="18"/>
                          <w:szCs w:val="18"/>
                        </w:rPr>
                        <w:t xml:space="preserve">o ns RO </w:t>
                      </w:r>
                      <w:r>
                        <w:rPr>
                          <w:color w:val="000000"/>
                          <w:spacing w:val="0"/>
                          <w:w w:val="100"/>
                          <w:position w:val="0"/>
                          <w:sz w:val="18"/>
                          <w:szCs w:val="18"/>
                        </w:rPr>
                        <w:t>06%</w:t>
                        <w:tab/>
                        <w:t xml:space="preserve">1 </w:t>
                      </w:r>
                      <w:r>
                        <w:rPr>
                          <w:color w:val="000000"/>
                          <w:spacing w:val="0"/>
                          <w:w w:val="100"/>
                          <w:position w:val="0"/>
                          <w:sz w:val="18"/>
                          <w:szCs w:val="18"/>
                        </w:rPr>
                        <w:t xml:space="preserve">R </w:t>
                      </w:r>
                      <w:r>
                        <w:rPr>
                          <w:color w:val="000000"/>
                          <w:spacing w:val="0"/>
                          <w:w w:val="100"/>
                          <w:position w:val="0"/>
                          <w:sz w:val="18"/>
                          <w:szCs w:val="18"/>
                        </w:rPr>
                        <w:t xml:space="preserve">05 </w:t>
                      </w:r>
                      <w:r>
                        <w:rPr>
                          <w:rFonts w:ascii="SimSun" w:eastAsia="SimSun" w:hAnsi="SimSun" w:cs="SimSun"/>
                          <w:color w:val="000000"/>
                          <w:spacing w:val="0"/>
                          <w:w w:val="100"/>
                          <w:position w:val="0"/>
                          <w:sz w:val="15"/>
                          <w:szCs w:val="15"/>
                        </w:rPr>
                        <w:t>木 现金结</w:t>
                      </w:r>
                      <w:r>
                        <w:rPr>
                          <w:color w:val="000000"/>
                          <w:spacing w:val="0"/>
                          <w:w w:val="100"/>
                          <w:position w:val="0"/>
                          <w:sz w:val="18"/>
                          <w:szCs w:val="18"/>
                          <w:vertAlign w:val="superscript"/>
                        </w:rPr>
                        <w:t>3</w:t>
                      </w:r>
                      <w:r>
                        <w:rPr>
                          <w:rFonts w:ascii="SimSun" w:eastAsia="SimSun" w:hAnsi="SimSun" w:cs="SimSun"/>
                          <w:color w:val="000000"/>
                          <w:spacing w:val="0"/>
                          <w:w w:val="100"/>
                          <w:position w:val="0"/>
                          <w:sz w:val="15"/>
                          <w:szCs w:val="15"/>
                        </w:rPr>
                        <w:t>兀</w:t>
                      </w:r>
                      <w:r>
                        <w:rPr>
                          <w:color w:val="000000"/>
                          <w:spacing w:val="0"/>
                          <w:w w:val="100"/>
                          <w:position w:val="0"/>
                          <w:sz w:val="18"/>
                          <w:szCs w:val="18"/>
                        </w:rPr>
                        <w:t>/</w:t>
                      </w:r>
                      <w:r>
                        <w:rPr>
                          <w:rFonts w:ascii="SimSun" w:eastAsia="SimSun" w:hAnsi="SimSun" w:cs="SimSun"/>
                          <w:color w:val="000000"/>
                          <w:spacing w:val="0"/>
                          <w:w w:val="100"/>
                          <w:position w:val="0"/>
                          <w:sz w:val="15"/>
                          <w:szCs w:val="15"/>
                        </w:rPr>
                        <w:t>平</w:t>
                      </w:r>
                    </w:p>
                    <w:p>
                      <w:pPr>
                        <w:pStyle w:val="Style34"/>
                        <w:keepNext w:val="0"/>
                        <w:keepLines w:val="0"/>
                        <w:widowControl w:val="0"/>
                        <w:shd w:val="clear" w:color="auto" w:fill="auto"/>
                        <w:tabs>
                          <w:tab w:pos="1282" w:val="left"/>
                          <w:tab w:pos="2688" w:val="left"/>
                        </w:tabs>
                        <w:bidi w:val="0"/>
                        <w:spacing w:before="0" w:after="0" w:line="240" w:lineRule="auto"/>
                        <w:ind w:left="0" w:right="0" w:firstLine="0"/>
                        <w:jc w:val="left"/>
                        <w:rPr>
                          <w:sz w:val="9"/>
                          <w:szCs w:val="9"/>
                        </w:rPr>
                      </w:pPr>
                      <w:r>
                        <w:rPr>
                          <w:color w:val="000000"/>
                          <w:spacing w:val="0"/>
                          <w:w w:val="100"/>
                          <w:position w:val="0"/>
                          <w:sz w:val="18"/>
                          <w:szCs w:val="18"/>
                        </w:rPr>
                        <w:t xml:space="preserve">18.05 </w:t>
                      </w:r>
                      <w:r>
                        <w:rPr>
                          <w:color w:val="000000"/>
                          <w:spacing w:val="0"/>
                          <w:w w:val="100"/>
                          <w:position w:val="0"/>
                          <w:sz w:val="18"/>
                          <w:szCs w:val="18"/>
                        </w:rPr>
                        <w:t>80.06/</w:t>
                      </w:r>
                      <w:r>
                        <w:rPr>
                          <w:rFonts w:ascii="SimSun" w:eastAsia="SimSun" w:hAnsi="SimSun" w:cs="SimSun"/>
                          <w:color w:val="000000"/>
                          <w:spacing w:val="0"/>
                          <w:w w:val="100"/>
                          <w:position w:val="0"/>
                          <w:sz w:val="18"/>
                          <w:szCs w:val="18"/>
                        </w:rPr>
                        <w:t>。</w:t>
                      </w:r>
                      <w:r>
                        <w:rPr>
                          <w:color w:val="000000"/>
                          <w:spacing w:val="0"/>
                          <w:w w:val="100"/>
                          <w:position w:val="0"/>
                          <w:sz w:val="18"/>
                          <w:szCs w:val="18"/>
                        </w:rPr>
                        <w:tab/>
                      </w:r>
                      <w:r>
                        <w:rPr>
                          <w:color w:val="000000"/>
                          <w:spacing w:val="0"/>
                          <w:w w:val="100"/>
                          <w:position w:val="0"/>
                          <w:sz w:val="18"/>
                          <w:szCs w:val="18"/>
                        </w:rPr>
                        <w:t xml:space="preserve">18.05 </w:t>
                      </w:r>
                      <w:r>
                        <w:rPr>
                          <w:rFonts w:ascii="SimSun" w:eastAsia="SimSun" w:hAnsi="SimSun" w:cs="SimSun"/>
                          <w:color w:val="000000"/>
                          <w:spacing w:val="0"/>
                          <w:w w:val="100"/>
                          <w:position w:val="0"/>
                          <w:sz w:val="15"/>
                          <w:szCs w:val="15"/>
                        </w:rPr>
                        <w:t>白</w:t>
                        <w:tab/>
                      </w:r>
                      <w:r>
                        <w:rPr>
                          <w:rFonts w:ascii="SimSun" w:eastAsia="SimSun" w:hAnsi="SimSun" w:cs="SimSun"/>
                          <w:i/>
                          <w:iCs/>
                          <w:color w:val="000000"/>
                          <w:spacing w:val="0"/>
                          <w:w w:val="100"/>
                          <w:position w:val="0"/>
                          <w:sz w:val="9"/>
                          <w:szCs w:val="9"/>
                        </w:rPr>
                        <w:t>心</w:t>
                      </w:r>
                    </w:p>
                    <w:p>
                      <w:pPr>
                        <w:pStyle w:val="Style31"/>
                        <w:keepNext w:val="0"/>
                        <w:keepLines w:val="0"/>
                        <w:widowControl w:val="0"/>
                        <w:shd w:val="clear" w:color="auto" w:fill="auto"/>
                        <w:tabs>
                          <w:tab w:pos="518" w:val="left"/>
                        </w:tabs>
                        <w:bidi w:val="0"/>
                        <w:spacing w:before="0" w:after="0" w:line="240" w:lineRule="auto"/>
                        <w:ind w:left="0" w:right="0" w:firstLine="0"/>
                        <w:jc w:val="right"/>
                      </w:pPr>
                      <w:r>
                        <w:rPr>
                          <w:color w:val="000000"/>
                          <w:spacing w:val="0"/>
                          <w:w w:val="100"/>
                          <w:position w:val="0"/>
                        </w:rPr>
                        <w:t>算</w:t>
                        <w:tab/>
                        <w:t>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xbxContent>
                </v:textbox>
                <w10:wrap type="topAndBottom" anchorx="page"/>
              </v:shape>
            </w:pict>
          </mc:Fallback>
        </mc:AlternateContent>
      </w:r>
      <w:r>
        <mc:AlternateContent>
          <mc:Choice Requires="wps">
            <w:drawing>
              <wp:anchor distT="114300" distB="5977255" distL="114300" distR="6002655" simplePos="0" relativeHeight="125829578" behindDoc="0" locked="0" layoutInCell="1" allowOverlap="1">
                <wp:simplePos x="0" y="0"/>
                <wp:positionH relativeFrom="page">
                  <wp:posOffset>721360</wp:posOffset>
                </wp:positionH>
                <wp:positionV relativeFrom="paragraph">
                  <wp:posOffset>1002665</wp:posOffset>
                </wp:positionV>
                <wp:extent cx="262255" cy="149225"/>
                <wp:wrapTopAndBottom/>
                <wp:docPr id="266" name="Shape 266"/>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xbxContent>
                      </wps:txbx>
                      <wps:bodyPr wrap="none" lIns="0" tIns="0" rIns="0" bIns="0">
                        <a:noAutoFit/>
                      </wps:bodyPr>
                    </wps:wsp>
                  </a:graphicData>
                </a:graphic>
              </wp:anchor>
            </w:drawing>
          </mc:Choice>
          <mc:Fallback>
            <w:pict>
              <v:shape id="_x0000_s1292" type="#_x0000_t202" style="position:absolute;margin-left:56.800000000000004pt;margin-top:78.950000000000003pt;width:20.650000000000002pt;height:11.75pt;z-index:-125829175;mso-wrap-distance-left:9.pt;mso-wrap-distance-top:9.pt;mso-wrap-distance-right:472.65000000000003pt;mso-wrap-distance-bottom:470.65000000000003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xbxContent>
                </v:textbox>
                <w10:wrap type="topAndBottom" anchorx="page"/>
              </v:shape>
            </w:pict>
          </mc:Fallback>
        </mc:AlternateContent>
      </w:r>
      <w:r>
        <mc:AlternateContent>
          <mc:Choice Requires="wps">
            <w:drawing>
              <wp:anchor distT="114300" distB="5982970" distL="2921635" distR="3168015" simplePos="0" relativeHeight="125829580" behindDoc="0" locked="0" layoutInCell="1" allowOverlap="1">
                <wp:simplePos x="0" y="0"/>
                <wp:positionH relativeFrom="page">
                  <wp:posOffset>3528695</wp:posOffset>
                </wp:positionH>
                <wp:positionV relativeFrom="paragraph">
                  <wp:posOffset>1002665</wp:posOffset>
                </wp:positionV>
                <wp:extent cx="289560" cy="143510"/>
                <wp:wrapTopAndBottom/>
                <wp:docPr id="268" name="Shape 268"/>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22.54</w:t>
                            </w:r>
                          </w:p>
                        </w:txbxContent>
                      </wps:txbx>
                      <wps:bodyPr wrap="none" lIns="0" tIns="0" rIns="0" bIns="0">
                        <a:noAutoFit/>
                      </wps:bodyPr>
                    </wps:wsp>
                  </a:graphicData>
                </a:graphic>
              </wp:anchor>
            </w:drawing>
          </mc:Choice>
          <mc:Fallback>
            <w:pict>
              <v:shape id="_x0000_s1294" type="#_x0000_t202" style="position:absolute;margin-left:277.85000000000002pt;margin-top:78.950000000000003pt;width:22.800000000000001pt;height:11.300000000000001pt;z-index:-125829173;mso-wrap-distance-left:230.05000000000001pt;mso-wrap-distance-top:9.pt;mso-wrap-distance-right:249.45000000000002pt;mso-wrap-distance-bottom:471.10000000000002pt;mso-position-horizontal-relative:page"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22.54</w:t>
                      </w:r>
                    </w:p>
                  </w:txbxContent>
                </v:textbox>
                <w10:wrap type="topAndBottom" anchorx="page"/>
              </v:shape>
            </w:pict>
          </mc:Fallback>
        </mc:AlternateContent>
      </w:r>
      <w:r>
        <mc:AlternateContent>
          <mc:Choice Requires="wps">
            <w:drawing>
              <wp:anchor distT="114300" distB="5982970" distL="3775075" distR="2314575" simplePos="0" relativeHeight="125829582" behindDoc="0" locked="0" layoutInCell="1" allowOverlap="1">
                <wp:simplePos x="0" y="0"/>
                <wp:positionH relativeFrom="page">
                  <wp:posOffset>4382135</wp:posOffset>
                </wp:positionH>
                <wp:positionV relativeFrom="paragraph">
                  <wp:posOffset>1002665</wp:posOffset>
                </wp:positionV>
                <wp:extent cx="289560" cy="143510"/>
                <wp:wrapTopAndBottom/>
                <wp:docPr id="270" name="Shape 270"/>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22.54</w:t>
                            </w:r>
                          </w:p>
                        </w:txbxContent>
                      </wps:txbx>
                      <wps:bodyPr wrap="none" lIns="0" tIns="0" rIns="0" bIns="0">
                        <a:noAutoFit/>
                      </wps:bodyPr>
                    </wps:wsp>
                  </a:graphicData>
                </a:graphic>
              </wp:anchor>
            </w:drawing>
          </mc:Choice>
          <mc:Fallback>
            <w:pict>
              <v:shape id="_x0000_s1296" type="#_x0000_t202" style="position:absolute;margin-left:345.05000000000001pt;margin-top:78.950000000000003pt;width:22.800000000000001pt;height:11.300000000000001pt;z-index:-125829171;mso-wrap-distance-left:297.25pt;mso-wrap-distance-top:9.pt;mso-wrap-distance-right:182.25pt;mso-wrap-distance-bottom:471.10000000000002pt;mso-position-horizontal-relative:page"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22.54</w:t>
                      </w:r>
                    </w:p>
                  </w:txbxContent>
                </v:textbox>
                <w10:wrap type="topAndBottom" anchorx="page"/>
              </v:shape>
            </w:pict>
          </mc:Fallback>
        </mc:AlternateContent>
      </w:r>
      <w:r>
        <mc:AlternateContent>
          <mc:Choice Requires="wps">
            <w:drawing>
              <wp:anchor distT="318770" distB="5772785" distL="114300" distR="4972685" simplePos="0" relativeHeight="125829584" behindDoc="0" locked="0" layoutInCell="1" allowOverlap="1">
                <wp:simplePos x="0" y="0"/>
                <wp:positionH relativeFrom="page">
                  <wp:posOffset>721360</wp:posOffset>
                </wp:positionH>
                <wp:positionV relativeFrom="paragraph">
                  <wp:posOffset>1207135</wp:posOffset>
                </wp:positionV>
                <wp:extent cx="1292225" cy="149225"/>
                <wp:wrapTopAndBottom/>
                <wp:docPr id="272" name="Shape 272"/>
                <a:graphic xmlns:a="http://schemas.openxmlformats.org/drawingml/2006/main">
                  <a:graphicData uri="http://schemas.microsoft.com/office/word/2010/wordprocessingShape">
                    <wps:wsp>
                      <wps:cNvSpPr txBox="1"/>
                      <wps:spPr>
                        <a:xfrm>
                          <a:ext cx="1292225"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大额销货退回的详细情况</w:t>
                            </w:r>
                          </w:p>
                        </w:txbxContent>
                      </wps:txbx>
                      <wps:bodyPr wrap="none" lIns="0" tIns="0" rIns="0" bIns="0">
                        <a:noAutoFit/>
                      </wps:bodyPr>
                    </wps:wsp>
                  </a:graphicData>
                </a:graphic>
              </wp:anchor>
            </w:drawing>
          </mc:Choice>
          <mc:Fallback>
            <w:pict>
              <v:shape id="_x0000_s1298" type="#_x0000_t202" style="position:absolute;margin-left:56.800000000000004pt;margin-top:95.049999999999997pt;width:101.75pt;height:11.75pt;z-index:-125829169;mso-wrap-distance-left:9.pt;mso-wrap-distance-top:25.100000000000001pt;mso-wrap-distance-right:391.55000000000001pt;mso-wrap-distance-bottom:454.55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大额销货退回的详细情况</w:t>
                      </w:r>
                    </w:p>
                  </w:txbxContent>
                </v:textbox>
                <w10:wrap type="topAndBottom" anchorx="page"/>
              </v:shape>
            </w:pict>
          </mc:Fallback>
        </mc:AlternateContent>
      </w:r>
      <w:r>
        <mc:AlternateContent>
          <mc:Choice Requires="wps">
            <w:drawing>
              <wp:anchor distT="321310" distB="5773420" distL="1931035" distR="4079240" simplePos="0" relativeHeight="125829586" behindDoc="0" locked="0" layoutInCell="1" allowOverlap="1">
                <wp:simplePos x="0" y="0"/>
                <wp:positionH relativeFrom="page">
                  <wp:posOffset>2538095</wp:posOffset>
                </wp:positionH>
                <wp:positionV relativeFrom="paragraph">
                  <wp:posOffset>1209675</wp:posOffset>
                </wp:positionV>
                <wp:extent cx="368935" cy="146050"/>
                <wp:wrapTopAndBottom/>
                <wp:docPr id="274" name="Shape 274"/>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300" type="#_x0000_t202" style="position:absolute;margin-left:199.84999999999999pt;margin-top:95.25pt;width:29.050000000000001pt;height:11.5pt;z-index:-125829167;mso-wrap-distance-left:152.05000000000001pt;mso-wrap-distance-top:25.300000000000001pt;mso-wrap-distance-right:321.19999999999999pt;mso-wrap-distance-bottom:454.60000000000002pt;mso-position-horizontal-relative:page" filled="f" stroked="f">
                <v:textbox inset="0,0,0,0">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v:shape>
            </w:pict>
          </mc:Fallback>
        </mc:AlternateContent>
      </w:r>
      <w:r>
        <mc:AlternateContent>
          <mc:Choice Requires="wps">
            <w:drawing>
              <wp:anchor distT="516890" distB="5269865" distL="114300" distR="4457700" simplePos="0" relativeHeight="125829588" behindDoc="0" locked="0" layoutInCell="1" allowOverlap="1">
                <wp:simplePos x="0" y="0"/>
                <wp:positionH relativeFrom="page">
                  <wp:posOffset>721360</wp:posOffset>
                </wp:positionH>
                <wp:positionV relativeFrom="paragraph">
                  <wp:posOffset>1405255</wp:posOffset>
                </wp:positionV>
                <wp:extent cx="1807210" cy="454025"/>
                <wp:wrapTopAndBottom/>
                <wp:docPr id="276" name="Shape 276"/>
                <a:graphic xmlns:a="http://schemas.openxmlformats.org/drawingml/2006/main">
                  <a:graphicData uri="http://schemas.microsoft.com/office/word/2010/wordprocessingShape">
                    <wps:wsp>
                      <wps:cNvSpPr txBox="1"/>
                      <wps:spPr>
                        <a:xfrm>
                          <a:ext cx="1807210" cy="4540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按类别对本期将发生的日常关联交 易进行总金额预计的，在报告期内 的实际履行情况</w:t>
                            </w:r>
                          </w:p>
                        </w:txbxContent>
                      </wps:txbx>
                      <wps:bodyPr lIns="0" tIns="0" rIns="0" bIns="0">
                        <a:noAutoFit/>
                      </wps:bodyPr>
                    </wps:wsp>
                  </a:graphicData>
                </a:graphic>
              </wp:anchor>
            </w:drawing>
          </mc:Choice>
          <mc:Fallback>
            <w:pict>
              <v:shape id="_x0000_s1302" type="#_x0000_t202" style="position:absolute;margin-left:56.800000000000004pt;margin-top:110.65000000000001pt;width:142.30000000000001pt;height:35.75pt;z-index:-125829165;mso-wrap-distance-left:9.pt;mso-wrap-distance-top:40.700000000000003pt;mso-wrap-distance-right:351.pt;mso-wrap-distance-bottom:414.94999999999999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both"/>
                      </w:pPr>
                      <w:r>
                        <w:rPr>
                          <w:b/>
                          <w:bCs/>
                          <w:color w:val="FFFFFF"/>
                          <w:spacing w:val="0"/>
                          <w:w w:val="100"/>
                          <w:position w:val="0"/>
                        </w:rPr>
                        <w:t>按类别对本期将发生的日常关联交 易进行总金额预计的，在报告期内 的实际履行情况</w:t>
                      </w:r>
                    </w:p>
                  </w:txbxContent>
                </v:textbox>
                <w10:wrap type="topAndBottom" anchorx="page"/>
              </v:shape>
            </w:pict>
          </mc:Fallback>
        </mc:AlternateContent>
      </w:r>
      <w:r>
        <mc:AlternateContent>
          <mc:Choice Requires="wps">
            <w:drawing>
              <wp:anchor distT="675005" distB="5419725" distL="1931035" distR="4079240" simplePos="0" relativeHeight="125829590" behindDoc="0" locked="0" layoutInCell="1" allowOverlap="1">
                <wp:simplePos x="0" y="0"/>
                <wp:positionH relativeFrom="page">
                  <wp:posOffset>2538095</wp:posOffset>
                </wp:positionH>
                <wp:positionV relativeFrom="paragraph">
                  <wp:posOffset>1563370</wp:posOffset>
                </wp:positionV>
                <wp:extent cx="368935" cy="146050"/>
                <wp:wrapTopAndBottom/>
                <wp:docPr id="278" name="Shape 278"/>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304" type="#_x0000_t202" style="position:absolute;margin-left:199.84999999999999pt;margin-top:123.10000000000001pt;width:29.050000000000001pt;height:11.5pt;z-index:-125829163;mso-wrap-distance-left:152.05000000000001pt;mso-wrap-distance-top:53.149999999999999pt;mso-wrap-distance-right:321.19999999999999pt;mso-wrap-distance-bottom:426.7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v:shape>
            </w:pict>
          </mc:Fallback>
        </mc:AlternateContent>
      </w:r>
      <w:r>
        <mc:AlternateContent>
          <mc:Choice Requires="wps">
            <w:drawing>
              <wp:anchor distT="1025525" distB="5069205" distL="117475" distR="4457065" simplePos="0" relativeHeight="125829592" behindDoc="0" locked="0" layoutInCell="1" allowOverlap="1">
                <wp:simplePos x="0" y="0"/>
                <wp:positionH relativeFrom="page">
                  <wp:posOffset>724535</wp:posOffset>
                </wp:positionH>
                <wp:positionV relativeFrom="paragraph">
                  <wp:posOffset>1913890</wp:posOffset>
                </wp:positionV>
                <wp:extent cx="1804670" cy="146050"/>
                <wp:wrapTopAndBottom/>
                <wp:docPr id="280" name="Shape 280"/>
                <a:graphic xmlns:a="http://schemas.openxmlformats.org/drawingml/2006/main">
                  <a:graphicData uri="http://schemas.microsoft.com/office/word/2010/wordprocessingShape">
                    <wps:wsp>
                      <wps:cNvSpPr txBox="1"/>
                      <wps:spPr>
                        <a:xfrm>
                          <a:ext cx="1804670" cy="1460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交易价格与市场参考价格差异较大</w:t>
                            </w:r>
                          </w:p>
                        </w:txbxContent>
                      </wps:txbx>
                      <wps:bodyPr wrap="none" lIns="0" tIns="0" rIns="0" bIns="0">
                        <a:noAutoFit/>
                      </wps:bodyPr>
                    </wps:wsp>
                  </a:graphicData>
                </a:graphic>
              </wp:anchor>
            </w:drawing>
          </mc:Choice>
          <mc:Fallback>
            <w:pict>
              <v:shape id="_x0000_s1306" type="#_x0000_t202" style="position:absolute;margin-left:57.050000000000004pt;margin-top:150.70000000000002pt;width:142.09999999999999pt;height:11.5pt;z-index:-125829161;mso-wrap-distance-left:9.25pt;mso-wrap-distance-top:80.75pt;mso-wrap-distance-right:350.94999999999999pt;mso-wrap-distance-bottom:399.15000000000003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交易价格与市场参考价格差异较大</w:t>
                      </w:r>
                    </w:p>
                  </w:txbxContent>
                </v:textbox>
                <w10:wrap type="topAndBottom" anchorx="page"/>
              </v:shape>
            </w:pict>
          </mc:Fallback>
        </mc:AlternateContent>
      </w:r>
      <w:r>
        <mc:AlternateContent>
          <mc:Choice Requires="wps">
            <w:drawing>
              <wp:anchor distT="1174750" distB="4916805" distL="123190" distR="5893435" simplePos="0" relativeHeight="125829594" behindDoc="0" locked="0" layoutInCell="1" allowOverlap="1">
                <wp:simplePos x="0" y="0"/>
                <wp:positionH relativeFrom="page">
                  <wp:posOffset>730250</wp:posOffset>
                </wp:positionH>
                <wp:positionV relativeFrom="paragraph">
                  <wp:posOffset>2063115</wp:posOffset>
                </wp:positionV>
                <wp:extent cx="362585" cy="149225"/>
                <wp:wrapTopAndBottom/>
                <wp:docPr id="282" name="Shape 282"/>
                <a:graphic xmlns:a="http://schemas.openxmlformats.org/drawingml/2006/main">
                  <a:graphicData uri="http://schemas.microsoft.com/office/word/2010/wordprocessingShape">
                    <wps:wsp>
                      <wps:cNvSpPr txBox="1"/>
                      <wps:spPr>
                        <a:xfrm>
                          <a:ext cx="362585"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的原因</w:t>
                            </w:r>
                          </w:p>
                        </w:txbxContent>
                      </wps:txbx>
                      <wps:bodyPr wrap="none" lIns="0" tIns="0" rIns="0" bIns="0">
                        <a:noAutoFit/>
                      </wps:bodyPr>
                    </wps:wsp>
                  </a:graphicData>
                </a:graphic>
              </wp:anchor>
            </w:drawing>
          </mc:Choice>
          <mc:Fallback>
            <w:pict>
              <v:shape id="_x0000_s1308" type="#_x0000_t202" style="position:absolute;margin-left:57.5pt;margin-top:162.45000000000002pt;width:28.550000000000001pt;height:11.75pt;z-index:-125829159;mso-wrap-distance-left:9.7000000000000011pt;mso-wrap-distance-top:92.5pt;mso-wrap-distance-right:464.05000000000001pt;mso-wrap-distance-bottom:387.15000000000003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的原因</w:t>
                      </w:r>
                    </w:p>
                  </w:txbxContent>
                </v:textbox>
                <w10:wrap type="topAndBottom" anchorx="page"/>
              </v:shape>
            </w:pict>
          </mc:Fallback>
        </mc:AlternateContent>
      </w:r>
      <w:r>
        <mc:AlternateContent>
          <mc:Choice Requires="wps">
            <w:drawing>
              <wp:anchor distT="1101725" distB="4993005" distL="1931035" distR="4079240" simplePos="0" relativeHeight="125829596" behindDoc="0" locked="0" layoutInCell="1" allowOverlap="1">
                <wp:simplePos x="0" y="0"/>
                <wp:positionH relativeFrom="page">
                  <wp:posOffset>2538095</wp:posOffset>
                </wp:positionH>
                <wp:positionV relativeFrom="paragraph">
                  <wp:posOffset>1990090</wp:posOffset>
                </wp:positionV>
                <wp:extent cx="368935" cy="146050"/>
                <wp:wrapTopAndBottom/>
                <wp:docPr id="284" name="Shape 284"/>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31"/>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310" type="#_x0000_t202" style="position:absolute;margin-left:199.84999999999999pt;margin-top:156.70000000000002pt;width:29.050000000000001pt;height:11.5pt;z-index:-125829157;mso-wrap-distance-left:152.05000000000001pt;mso-wrap-distance-top:86.75pt;mso-wrap-distance-right:321.19999999999999pt;mso-wrap-distance-bottom:393.15000000000003pt;mso-position-horizontal-relative:page" filled="f" stroked="f">
                <v:textbox inset="0,0,0,0">
                  <w:txbxContent>
                    <w:p>
                      <w:pPr>
                        <w:pStyle w:val="Style31"/>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v:shape>
            </w:pict>
          </mc:Fallback>
        </mc:AlternateContent>
      </w:r>
      <w:r>
        <mc:AlternateContent>
          <mc:Choice Requires="wps">
            <w:drawing>
              <wp:anchor distT="1577340" distB="2895600" distL="114300" distR="3494405" simplePos="0" relativeHeight="125829598" behindDoc="0" locked="0" layoutInCell="1" allowOverlap="1">
                <wp:simplePos x="0" y="0"/>
                <wp:positionH relativeFrom="page">
                  <wp:posOffset>721360</wp:posOffset>
                </wp:positionH>
                <wp:positionV relativeFrom="paragraph">
                  <wp:posOffset>2465705</wp:posOffset>
                </wp:positionV>
                <wp:extent cx="2770505" cy="1767840"/>
                <wp:wrapTopAndBottom/>
                <wp:docPr id="286" name="Shape 286"/>
                <a:graphic xmlns:a="http://schemas.openxmlformats.org/drawingml/2006/main">
                  <a:graphicData uri="http://schemas.microsoft.com/office/word/2010/wordprocessingShape">
                    <wps:wsp>
                      <wps:cNvSpPr txBox="1"/>
                      <wps:spPr>
                        <a:xfrm>
                          <a:ext cx="2770505" cy="1767840"/>
                        </a:xfrm>
                        <a:prstGeom prst="rect"/>
                        <a:noFill/>
                      </wps:spPr>
                      <wps:txbx>
                        <w:txbxContent>
                          <w:p>
                            <w:pPr>
                              <w:pStyle w:val="Style49"/>
                              <w:keepNext/>
                              <w:keepLines/>
                              <w:widowControl w:val="0"/>
                              <w:shd w:val="clear" w:color="auto" w:fill="auto"/>
                              <w:tabs>
                                <w:tab w:pos="302"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资产或股权收购、出售发生的关联交易</w:t>
                            </w:r>
                            <w:bookmarkEnd w:id="349"/>
                            <w:bookmarkEnd w:id="350"/>
                            <w:bookmarkEnd w:id="35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9"/>
                              <w:keepNext/>
                              <w:keepLines/>
                              <w:widowControl w:val="0"/>
                              <w:shd w:val="clear" w:color="auto" w:fill="auto"/>
                              <w:tabs>
                                <w:tab w:pos="317"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共同对外投资的关联交易</w:t>
                            </w:r>
                            <w:bookmarkEnd w:id="353"/>
                            <w:bookmarkEnd w:id="354"/>
                            <w:bookmarkEnd w:id="35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txbxContent>
                      </wps:txbx>
                      <wps:bodyPr lIns="0" tIns="0" rIns="0" bIns="0">
                        <a:noAutoFit/>
                      </wps:bodyPr>
                    </wps:wsp>
                  </a:graphicData>
                </a:graphic>
              </wp:anchor>
            </w:drawing>
          </mc:Choice>
          <mc:Fallback>
            <w:pict>
              <v:shape id="_x0000_s1312" type="#_x0000_t202" style="position:absolute;margin-left:56.800000000000004pt;margin-top:194.15000000000001pt;width:218.15000000000001pt;height:139.20000000000002pt;z-index:-125829155;mso-wrap-distance-left:9.pt;mso-wrap-distance-top:124.2pt;mso-wrap-distance-right:275.15000000000003pt;mso-wrap-distance-bottom:228.pt;mso-position-horizontal-relative:page" filled="f" stroked="f">
                <v:textbox inset="0,0,0,0">
                  <w:txbxContent>
                    <w:p>
                      <w:pPr>
                        <w:pStyle w:val="Style49"/>
                        <w:keepNext/>
                        <w:keepLines/>
                        <w:widowControl w:val="0"/>
                        <w:shd w:val="clear" w:color="auto" w:fill="auto"/>
                        <w:tabs>
                          <w:tab w:pos="302"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资产或股权收购、出售发生的关联交易</w:t>
                      </w:r>
                      <w:bookmarkEnd w:id="349"/>
                      <w:bookmarkEnd w:id="350"/>
                      <w:bookmarkEnd w:id="35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9"/>
                        <w:keepNext/>
                        <w:keepLines/>
                        <w:widowControl w:val="0"/>
                        <w:shd w:val="clear" w:color="auto" w:fill="auto"/>
                        <w:tabs>
                          <w:tab w:pos="317"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共同对外投资的关联交易</w:t>
                      </w:r>
                      <w:bookmarkEnd w:id="353"/>
                      <w:bookmarkEnd w:id="354"/>
                      <w:bookmarkEnd w:id="35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txbxContent>
                </v:textbox>
                <w10:wrap type="topAndBottom" anchorx="page"/>
              </v:shape>
            </w:pict>
          </mc:Fallback>
        </mc:AlternateContent>
      </w:r>
      <w:r>
        <mc:AlternateContent>
          <mc:Choice Requires="wps">
            <w:drawing>
              <wp:anchor distT="3580130" distB="1892300" distL="114300" distR="4295775" simplePos="0" relativeHeight="125829600" behindDoc="0" locked="0" layoutInCell="1" allowOverlap="1">
                <wp:simplePos x="0" y="0"/>
                <wp:positionH relativeFrom="page">
                  <wp:posOffset>721360</wp:posOffset>
                </wp:positionH>
                <wp:positionV relativeFrom="paragraph">
                  <wp:posOffset>4468495</wp:posOffset>
                </wp:positionV>
                <wp:extent cx="1969135" cy="768350"/>
                <wp:wrapTopAndBottom/>
                <wp:docPr id="288" name="Shape 288"/>
                <a:graphic xmlns:a="http://schemas.openxmlformats.org/drawingml/2006/main">
                  <a:graphicData uri="http://schemas.microsoft.com/office/word/2010/wordprocessingShape">
                    <wps:wsp>
                      <wps:cNvSpPr txBox="1"/>
                      <wps:spPr>
                        <a:xfrm>
                          <a:ext cx="1969135" cy="768350"/>
                        </a:xfrm>
                        <a:prstGeom prst="rect"/>
                        <a:noFill/>
                      </wps:spPr>
                      <wps:txbx>
                        <w:txbxContent>
                          <w:p>
                            <w:pPr>
                              <w:pStyle w:val="Style49"/>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r>
                              <w:rPr>
                                <w:color w:val="000000"/>
                                <w:spacing w:val="0"/>
                                <w:w w:val="100"/>
                                <w:position w:val="0"/>
                              </w:rPr>
                              <w:t>、关联债权债务往来</w:t>
                            </w:r>
                            <w:bookmarkEnd w:id="357"/>
                            <w:bookmarkEnd w:id="358"/>
                            <w:bookmarkEnd w:id="35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公司报告期不存在关联债权债务往来。</w:t>
                            </w:r>
                          </w:p>
                        </w:txbxContent>
                      </wps:txbx>
                      <wps:bodyPr lIns="0" tIns="0" rIns="0" bIns="0">
                        <a:noAutoFit/>
                      </wps:bodyPr>
                    </wps:wsp>
                  </a:graphicData>
                </a:graphic>
              </wp:anchor>
            </w:drawing>
          </mc:Choice>
          <mc:Fallback>
            <w:pict>
              <v:shape id="_x0000_s1314" type="#_x0000_t202" style="position:absolute;margin-left:56.800000000000004pt;margin-top:351.85000000000002pt;width:155.05000000000001pt;height:60.5pt;z-index:-125829153;mso-wrap-distance-left:9.pt;mso-wrap-distance-top:281.90000000000003pt;mso-wrap-distance-right:338.25pt;mso-wrap-distance-bottom:149.pt;mso-position-horizontal-relative:page" filled="f" stroked="f">
                <v:textbox inset="0,0,0,0">
                  <w:txbxContent>
                    <w:p>
                      <w:pPr>
                        <w:pStyle w:val="Style49"/>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r>
                        <w:rPr>
                          <w:color w:val="000000"/>
                          <w:spacing w:val="0"/>
                          <w:w w:val="100"/>
                          <w:position w:val="0"/>
                        </w:rPr>
                        <w:t>、关联债权债务往来</w:t>
                      </w:r>
                      <w:bookmarkEnd w:id="357"/>
                      <w:bookmarkEnd w:id="358"/>
                      <w:bookmarkEnd w:id="35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公司报告期不存在关联债权债务往来。</w:t>
                      </w:r>
                    </w:p>
                  </w:txbxContent>
                </v:textbox>
                <w10:wrap type="topAndBottom" anchorx="page"/>
              </v:shape>
            </w:pict>
          </mc:Fallback>
        </mc:AlternateContent>
      </w:r>
      <w:r>
        <mc:AlternateContent>
          <mc:Choice Requires="wps">
            <w:drawing>
              <wp:anchor distT="4582795" distB="0" distL="114300" distR="114300" simplePos="0" relativeHeight="125829602" behindDoc="0" locked="0" layoutInCell="1" allowOverlap="1">
                <wp:simplePos x="0" y="0"/>
                <wp:positionH relativeFrom="page">
                  <wp:posOffset>721360</wp:posOffset>
                </wp:positionH>
                <wp:positionV relativeFrom="paragraph">
                  <wp:posOffset>5471160</wp:posOffset>
                </wp:positionV>
                <wp:extent cx="6150610" cy="1657985"/>
                <wp:wrapTopAndBottom/>
                <wp:docPr id="290" name="Shape 290"/>
                <a:graphic xmlns:a="http://schemas.openxmlformats.org/drawingml/2006/main">
                  <a:graphicData uri="http://schemas.microsoft.com/office/word/2010/wordprocessingShape">
                    <wps:wsp>
                      <wps:cNvSpPr txBox="1"/>
                      <wps:spPr>
                        <a:xfrm>
                          <a:ext cx="6150610" cy="1657985"/>
                        </a:xfrm>
                        <a:prstGeom prst="rect"/>
                        <a:noFill/>
                      </wps:spPr>
                      <wps:txbx>
                        <w:txbxContent>
                          <w:p>
                            <w:pPr>
                              <w:pStyle w:val="Style49"/>
                              <w:keepNext/>
                              <w:keepLines/>
                              <w:widowControl w:val="0"/>
                              <w:shd w:val="clear" w:color="auto" w:fill="auto"/>
                              <w:bidi w:val="0"/>
                              <w:spacing w:before="0" w:after="240" w:line="240" w:lineRule="auto"/>
                              <w:ind w:left="0" w:right="0" w:firstLine="0"/>
                              <w:jc w:val="left"/>
                            </w:pPr>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r>
                              <w:rPr>
                                <w:color w:val="000000"/>
                                <w:spacing w:val="0"/>
                                <w:w w:val="100"/>
                                <w:position w:val="0"/>
                              </w:rPr>
                              <w:t>、其他重大关联交易</w:t>
                            </w:r>
                            <w:bookmarkEnd w:id="360"/>
                            <w:bookmarkEnd w:id="361"/>
                            <w:bookmarkEnd w:id="362"/>
                          </w:p>
                          <w:p>
                            <w:pPr>
                              <w:pStyle w:val="Style31"/>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5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、非公开发行股票</w:t>
                            </w:r>
                          </w:p>
                          <w:p>
                            <w:pPr>
                              <w:pStyle w:val="Style31"/>
                              <w:keepNext w:val="0"/>
                              <w:keepLines w:val="0"/>
                              <w:widowControl w:val="0"/>
                              <w:shd w:val="clear" w:color="auto" w:fill="auto"/>
                              <w:bidi w:val="0"/>
                              <w:spacing w:before="0" w:after="120" w:line="350" w:lineRule="exact"/>
                              <w:ind w:left="0" w:right="0" w:firstLine="3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日，召开第三届董事会第十五次会议、第三届监事会第十五次会议及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一次临时股东大会，审议通过了《关于公司</w:t>
                            </w:r>
                            <w:r>
                              <w:rPr>
                                <w:color w:val="000000"/>
                                <w:spacing w:val="0"/>
                                <w:w w:val="100"/>
                                <w:position w:val="0"/>
                                <w:sz w:val="18"/>
                                <w:szCs w:val="18"/>
                              </w:rPr>
                              <w:t>〈</w:t>
                            </w: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w:t>
                            </w:r>
                            <w:r>
                              <w:rPr>
                                <w:color w:val="000000"/>
                                <w:spacing w:val="0"/>
                                <w:w w:val="100"/>
                                <w:position w:val="0"/>
                                <w:sz w:val="18"/>
                                <w:szCs w:val="18"/>
                              </w:rPr>
                              <w:t>〉</w:t>
                            </w:r>
                            <w:r>
                              <w:rPr>
                                <w:color w:val="000000"/>
                                <w:spacing w:val="0"/>
                                <w:w w:val="100"/>
                                <w:position w:val="0"/>
                              </w:rPr>
                              <w:t>的议案》、《关于公司非公开发行股票涉及关联交易 事项的议案》等议案，同意公司向控股股东北京达安世纪投资管理有限公司发行股票，拟发行数量不超过本次非公开发行前 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，拟募集资金总额不超过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万元，扣除发行费用后的募集资金净额将全部用于补充公司流动资金。详见公</w:t>
                            </w:r>
                          </w:p>
                        </w:txbxContent>
                      </wps:txbx>
                      <wps:bodyPr lIns="0" tIns="0" rIns="0" bIns="0">
                        <a:noAutoFit/>
                      </wps:bodyPr>
                    </wps:wsp>
                  </a:graphicData>
                </a:graphic>
              </wp:anchor>
            </w:drawing>
          </mc:Choice>
          <mc:Fallback>
            <w:pict>
              <v:shape id="_x0000_s1316" type="#_x0000_t202" style="position:absolute;margin-left:56.800000000000004pt;margin-top:430.80000000000001pt;width:484.30000000000001pt;height:130.55000000000001pt;z-index:-125829151;mso-wrap-distance-left:9.pt;mso-wrap-distance-top:360.85000000000002pt;mso-wrap-distance-right:9.pt;mso-position-horizontal-relative:page" filled="f" stroked="f">
                <v:textbox inset="0,0,0,0">
                  <w:txbxContent>
                    <w:p>
                      <w:pPr>
                        <w:pStyle w:val="Style49"/>
                        <w:keepNext/>
                        <w:keepLines/>
                        <w:widowControl w:val="0"/>
                        <w:shd w:val="clear" w:color="auto" w:fill="auto"/>
                        <w:bidi w:val="0"/>
                        <w:spacing w:before="0" w:after="240" w:line="240" w:lineRule="auto"/>
                        <w:ind w:left="0" w:right="0" w:firstLine="0"/>
                        <w:jc w:val="left"/>
                      </w:pPr>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r>
                        <w:rPr>
                          <w:color w:val="000000"/>
                          <w:spacing w:val="0"/>
                          <w:w w:val="100"/>
                          <w:position w:val="0"/>
                        </w:rPr>
                        <w:t>、其他重大关联交易</w:t>
                      </w:r>
                      <w:bookmarkEnd w:id="360"/>
                      <w:bookmarkEnd w:id="361"/>
                      <w:bookmarkEnd w:id="362"/>
                    </w:p>
                    <w:p>
                      <w:pPr>
                        <w:pStyle w:val="Style31"/>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5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、非公开发行股票</w:t>
                      </w:r>
                    </w:p>
                    <w:p>
                      <w:pPr>
                        <w:pStyle w:val="Style31"/>
                        <w:keepNext w:val="0"/>
                        <w:keepLines w:val="0"/>
                        <w:widowControl w:val="0"/>
                        <w:shd w:val="clear" w:color="auto" w:fill="auto"/>
                        <w:bidi w:val="0"/>
                        <w:spacing w:before="0" w:after="120" w:line="350" w:lineRule="exact"/>
                        <w:ind w:left="0" w:right="0" w:firstLine="3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日，召开第三届董事会第十五次会议、第三届监事会第十五次会议及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一次临时股东大会，审议通过了《关于公司</w:t>
                      </w:r>
                      <w:r>
                        <w:rPr>
                          <w:color w:val="000000"/>
                          <w:spacing w:val="0"/>
                          <w:w w:val="100"/>
                          <w:position w:val="0"/>
                          <w:sz w:val="18"/>
                          <w:szCs w:val="18"/>
                        </w:rPr>
                        <w:t>〈</w:t>
                      </w: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w:t>
                      </w:r>
                      <w:r>
                        <w:rPr>
                          <w:color w:val="000000"/>
                          <w:spacing w:val="0"/>
                          <w:w w:val="100"/>
                          <w:position w:val="0"/>
                          <w:sz w:val="18"/>
                          <w:szCs w:val="18"/>
                        </w:rPr>
                        <w:t>〉</w:t>
                      </w:r>
                      <w:r>
                        <w:rPr>
                          <w:color w:val="000000"/>
                          <w:spacing w:val="0"/>
                          <w:w w:val="100"/>
                          <w:position w:val="0"/>
                        </w:rPr>
                        <w:t>的议案》、《关于公司非公开发行股票涉及关联交易 事项的议案》等议案，同意公司向控股股东北京达安世纪投资管理有限公司发行股票，拟发行数量不超过本次非公开发行前 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，拟募集资金总额不超过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万元，扣除发行费用后的募集资金净额将全部用于补充公司流动资金。详见公</w:t>
                      </w:r>
                    </w:p>
                  </w:txbxContent>
                </v:textbox>
                <w10:wrap type="topAndBottom" anchorx="page"/>
              </v:shape>
            </w:pict>
          </mc:Fallback>
        </mc:AlternateContent>
      </w:r>
    </w:p>
    <w:p>
      <w:pPr>
        <w:pStyle w:val="Style90"/>
        <w:keepNext w:val="0"/>
        <w:keepLines w:val="0"/>
        <w:widowControl w:val="0"/>
        <w:shd w:val="clear" w:color="auto" w:fill="auto"/>
        <w:tabs>
          <w:tab w:pos="2970" w:val="left"/>
          <w:tab w:pos="6311" w:val="left"/>
        </w:tabs>
        <w:bidi w:val="0"/>
        <w:spacing w:before="0" w:after="0" w:line="240" w:lineRule="auto"/>
        <w:ind w:left="0" w:right="0"/>
        <w:jc w:val="left"/>
        <w:rPr>
          <w:sz w:val="10"/>
          <w:szCs w:val="10"/>
        </w:rPr>
      </w:pPr>
      <w:r>
        <w:rPr>
          <w:color w:val="000000"/>
          <w:spacing w:val="0"/>
          <w:w w:val="100"/>
          <w:position w:val="0"/>
          <w:sz w:val="12"/>
          <w:szCs w:val="12"/>
        </w:rPr>
        <w:t xml:space="preserve">co/ E L </w:t>
      </w:r>
      <w:r>
        <w:rPr>
          <w:rFonts w:ascii="SimSun" w:eastAsia="SimSun" w:hAnsi="SimSun" w:cs="SimSun"/>
          <w:color w:val="000000"/>
          <w:spacing w:val="0"/>
          <w:w w:val="100"/>
          <w:position w:val="0"/>
          <w:sz w:val="10"/>
          <w:szCs w:val="10"/>
        </w:rPr>
        <w:t>¥ 耳¥ 工口 租^ 贝</w:t>
        <w:tab/>
      </w:r>
      <w:r>
        <w:rPr>
          <w:color w:val="000000"/>
          <w:spacing w:val="0"/>
          <w:w w:val="100"/>
          <w:position w:val="0"/>
          <w:sz w:val="12"/>
          <w:szCs w:val="12"/>
          <w:vertAlign w:val="superscript"/>
        </w:rPr>
        <w:t>1.01</w:t>
      </w:r>
      <w:r>
        <w:rPr>
          <w:color w:val="000000"/>
          <w:spacing w:val="0"/>
          <w:w w:val="100"/>
          <w:position w:val="0"/>
          <w:sz w:val="12"/>
          <w:szCs w:val="12"/>
        </w:rPr>
        <w:t xml:space="preserve"> </w:t>
      </w:r>
      <w:r>
        <w:rPr>
          <w:rFonts w:ascii="SimSun" w:eastAsia="SimSun" w:hAnsi="SimSun" w:cs="SimSun"/>
          <w:color w:val="000000"/>
          <w:spacing w:val="0"/>
          <w:w w:val="100"/>
          <w:position w:val="0"/>
          <w:sz w:val="10"/>
          <w:szCs w:val="10"/>
        </w:rPr>
        <w:t>^兀</w:t>
        <w:tab/>
      </w:r>
      <w:r>
        <w:rPr>
          <w:color w:val="000000"/>
          <w:spacing w:val="0"/>
          <w:w w:val="100"/>
          <w:position w:val="0"/>
          <w:sz w:val="12"/>
          <w:szCs w:val="12"/>
        </w:rPr>
        <w:t xml:space="preserve">TF1 </w:t>
      </w:r>
      <w:r>
        <w:rPr>
          <w:rFonts w:ascii="SimSun" w:eastAsia="SimSun" w:hAnsi="SimSun" w:cs="SimSun"/>
          <w:i/>
          <w:iCs/>
          <w:color w:val="000000"/>
          <w:spacing w:val="0"/>
          <w:w w:val="100"/>
          <w:position w:val="0"/>
          <w:sz w:val="9"/>
          <w:szCs w:val="9"/>
        </w:rPr>
        <w:t>一人</w:t>
      </w:r>
      <w:r>
        <w:rPr>
          <w:rFonts w:ascii="Arial" w:eastAsia="Arial" w:hAnsi="Arial" w:cs="Arial"/>
          <w:i/>
          <w:iCs/>
          <w:color w:val="000000"/>
          <w:spacing w:val="0"/>
          <w:w w:val="100"/>
          <w:position w:val="0"/>
          <w:sz w:val="10"/>
          <w:szCs w:val="10"/>
        </w:rPr>
        <w:t>L</w:t>
      </w:r>
      <w:r>
        <w:rPr>
          <w:rFonts w:ascii="SimSun" w:eastAsia="SimSun" w:hAnsi="SimSun" w:cs="SimSun"/>
          <w:i/>
          <w:iCs/>
          <w:color w:val="000000"/>
          <w:spacing w:val="0"/>
          <w:w w:val="100"/>
          <w:position w:val="0"/>
          <w:sz w:val="9"/>
          <w:szCs w:val="9"/>
        </w:rPr>
        <w:t>士</w:t>
      </w:r>
      <w:r>
        <w:rPr>
          <w:color w:val="000000"/>
          <w:spacing w:val="0"/>
          <w:w w:val="100"/>
          <w:position w:val="0"/>
          <w:sz w:val="12"/>
          <w:szCs w:val="12"/>
        </w:rPr>
        <w:t xml:space="preserve"> 3 </w:t>
      </w:r>
      <w:r>
        <w:rPr>
          <w:rFonts w:ascii="SimSun" w:eastAsia="SimSun" w:hAnsi="SimSun" w:cs="SimSun"/>
          <w:color w:val="000000"/>
          <w:spacing w:val="0"/>
          <w:w w:val="100"/>
          <w:position w:val="0"/>
          <w:sz w:val="10"/>
          <w:szCs w:val="10"/>
        </w:rPr>
        <w:t>二</w:t>
      </w:r>
    </w:p>
    <w:p>
      <w:pPr>
        <w:pStyle w:val="Style34"/>
        <w:keepNext w:val="0"/>
        <w:keepLines w:val="0"/>
        <w:widowControl w:val="0"/>
        <w:shd w:val="clear" w:color="auto" w:fill="auto"/>
        <w:tabs>
          <w:tab w:pos="3906" w:val="left"/>
          <w:tab w:pos="5265" w:val="left"/>
        </w:tabs>
        <w:bidi w:val="0"/>
        <w:spacing w:before="0" w:after="0" w:line="240" w:lineRule="auto"/>
        <w:ind w:left="0" w:right="0" w:firstLine="220"/>
        <w:jc w:val="left"/>
        <w:rPr>
          <w:sz w:val="15"/>
          <w:szCs w:val="15"/>
        </w:rPr>
      </w:pPr>
      <w:r>
        <w:rPr>
          <w:color w:val="000000"/>
          <w:spacing w:val="0"/>
          <w:w w:val="100"/>
          <w:position w:val="0"/>
          <w:sz w:val="18"/>
          <w:szCs w:val="18"/>
        </w:rPr>
        <w:t>5%</w:t>
      </w:r>
      <w:r>
        <w:rPr>
          <w:rFonts w:ascii="SimSun" w:eastAsia="SimSun" w:hAnsi="SimSun" w:cs="SimSun"/>
          <w:color w:val="000000"/>
          <w:spacing w:val="0"/>
          <w:w w:val="100"/>
          <w:position w:val="0"/>
          <w:sz w:val="15"/>
          <w:szCs w:val="15"/>
        </w:rPr>
        <w:t>以上关联租联方房市场定</w:t>
      </w:r>
      <w:r>
        <w:rPr>
          <w:color w:val="000000"/>
          <w:spacing w:val="0"/>
          <w:w w:val="100"/>
          <w:position w:val="0"/>
          <w:sz w:val="18"/>
          <w:szCs w:val="18"/>
        </w:rPr>
        <w:t>/</w:t>
      </w:r>
      <w:r>
        <w:rPr>
          <w:rFonts w:ascii="SimSun" w:eastAsia="SimSun" w:hAnsi="SimSun" w:cs="SimSun"/>
          <w:color w:val="000000"/>
          <w:spacing w:val="0"/>
          <w:w w:val="100"/>
          <w:position w:val="0"/>
          <w:sz w:val="15"/>
          <w:szCs w:val="15"/>
        </w:rPr>
        <w:t>平米</w:t>
      </w:r>
      <w:r>
        <w:rPr>
          <w:color w:val="000000"/>
          <w:spacing w:val="0"/>
          <w:w w:val="100"/>
          <w:position w:val="0"/>
          <w:sz w:val="18"/>
          <w:szCs w:val="18"/>
        </w:rPr>
        <w:t>/</w:t>
        <w:tab/>
        <w:t>4 49 19 94%</w:t>
        <w:tab/>
        <w:t>4 49</w:t>
      </w:r>
      <w:r>
        <w:rPr>
          <w:rFonts w:ascii="SimSun" w:eastAsia="SimSun" w:hAnsi="SimSun" w:cs="SimSun"/>
          <w:color w:val="000000"/>
          <w:spacing w:val="0"/>
          <w:w w:val="100"/>
          <w:position w:val="0"/>
          <w:sz w:val="15"/>
          <w:szCs w:val="15"/>
        </w:rPr>
        <w:t>否 现金出</w:t>
      </w:r>
      <w:r>
        <w:rPr>
          <w:color w:val="000000"/>
          <w:spacing w:val="0"/>
          <w:w w:val="100"/>
          <w:position w:val="0"/>
          <w:sz w:val="12"/>
          <w:szCs w:val="12"/>
          <w:vertAlign w:val="superscript"/>
        </w:rPr>
        <w:t>3</w:t>
      </w:r>
      <w:r>
        <w:rPr>
          <w:rFonts w:ascii="SimSun" w:eastAsia="SimSun" w:hAnsi="SimSun" w:cs="SimSun"/>
          <w:color w:val="000000"/>
          <w:spacing w:val="0"/>
          <w:w w:val="100"/>
          <w:position w:val="0"/>
          <w:sz w:val="15"/>
          <w:szCs w:val="15"/>
        </w:rPr>
        <w:t>兀</w:t>
      </w:r>
      <w:r>
        <w:rPr>
          <w:color w:val="000000"/>
          <w:spacing w:val="0"/>
          <w:w w:val="100"/>
          <w:position w:val="0"/>
          <w:sz w:val="18"/>
          <w:szCs w:val="18"/>
        </w:rPr>
        <w:t>,</w:t>
      </w:r>
      <w:r>
        <w:rPr>
          <w:rFonts w:ascii="SimSun" w:eastAsia="SimSun" w:hAnsi="SimSun" w:cs="SimSun"/>
          <w:color w:val="000000"/>
          <w:spacing w:val="0"/>
          <w:w w:val="100"/>
          <w:position w:val="0"/>
          <w:sz w:val="15"/>
          <w:szCs w:val="15"/>
        </w:rPr>
        <w:t>平</w:t>
      </w:r>
    </w:p>
    <w:p>
      <w:pPr>
        <w:pStyle w:val="Style31"/>
        <w:keepNext w:val="0"/>
        <w:keepLines w:val="0"/>
        <w:widowControl w:val="0"/>
        <w:shd w:val="clear" w:color="auto" w:fill="auto"/>
        <w:tabs>
          <w:tab w:pos="1569" w:val="left"/>
          <w:tab w:pos="5898" w:val="left"/>
          <w:tab w:pos="6546" w:val="left"/>
        </w:tabs>
        <w:bidi w:val="0"/>
        <w:spacing w:before="0" w:after="0" w:line="240" w:lineRule="auto"/>
        <w:ind w:left="0" w:right="0" w:firstLine="220"/>
        <w:jc w:val="left"/>
      </w:pPr>
      <w:r>
        <w:rPr>
          <w:color w:val="000000"/>
          <w:spacing w:val="0"/>
          <w:w w:val="100"/>
          <w:position w:val="0"/>
        </w:rPr>
        <w:t>股东赁</w:t>
        <w:tab/>
        <w:t>联万房价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否</w:t>
        <w:tab/>
        <w:t>算米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p>
      <w:pPr>
        <w:pStyle w:val="Style31"/>
        <w:keepNext w:val="0"/>
        <w:keepLines w:val="0"/>
        <w:widowControl w:val="0"/>
        <w:pBdr>
          <w:bottom w:val="single" w:sz="4" w:space="0" w:color="auto"/>
        </w:pBdr>
        <w:shd w:val="clear" w:color="auto" w:fill="auto"/>
        <w:tabs>
          <w:tab w:pos="3178" w:val="left"/>
        </w:tabs>
        <w:bidi w:val="0"/>
        <w:spacing w:before="0" w:after="0" w:line="240" w:lineRule="auto"/>
        <w:ind w:left="1580" w:right="0" w:firstLine="0"/>
        <w:jc w:val="left"/>
      </w:pPr>
      <w:r>
        <w:rPr>
          <w:color w:val="000000"/>
          <w:spacing w:val="0"/>
          <w:w w:val="100"/>
          <w:position w:val="0"/>
        </w:rPr>
        <w:t>产</w:t>
        <w:tab/>
        <w:t>天</w:t>
        <w:br w:type="page"/>
      </w:r>
      <w:r>
        <w:rPr>
          <w:rStyle w:val="CharStyle35"/>
          <w:rFonts w:ascii="SimSun" w:eastAsia="SimSun" w:hAnsi="SimSun" w:cs="SimSun"/>
          <w:sz w:val="15"/>
          <w:szCs w:val="15"/>
        </w:rPr>
        <w:t>司分别于</w:t>
      </w:r>
      <w:r>
        <w:rPr>
          <w:rStyle w:val="CharStyle35"/>
        </w:rPr>
        <w:t>2020</w:t>
      </w:r>
      <w:r>
        <w:rPr>
          <w:rStyle w:val="CharStyle35"/>
          <w:rFonts w:ascii="SimSun" w:eastAsia="SimSun" w:hAnsi="SimSun" w:cs="SimSun"/>
          <w:sz w:val="15"/>
          <w:szCs w:val="15"/>
        </w:rPr>
        <w:t>年</w:t>
      </w:r>
      <w:r>
        <w:rPr>
          <w:rStyle w:val="CharStyle35"/>
        </w:rPr>
        <w:t>2</w:t>
      </w:r>
      <w:r>
        <w:rPr>
          <w:rStyle w:val="CharStyle35"/>
          <w:rFonts w:ascii="SimSun" w:eastAsia="SimSun" w:hAnsi="SimSun" w:cs="SimSun"/>
          <w:sz w:val="15"/>
          <w:szCs w:val="15"/>
        </w:rPr>
        <w:t>月</w:t>
      </w:r>
      <w:r>
        <w:rPr>
          <w:rStyle w:val="CharStyle35"/>
        </w:rPr>
        <w:t>25</w:t>
      </w:r>
      <w:r>
        <w:rPr>
          <w:rStyle w:val="CharStyle35"/>
          <w:rFonts w:ascii="SimSun" w:eastAsia="SimSun" w:hAnsi="SimSun" w:cs="SimSun"/>
          <w:sz w:val="15"/>
          <w:szCs w:val="15"/>
        </w:rPr>
        <w:t>日和</w:t>
      </w:r>
      <w:r>
        <w:rPr>
          <w:rStyle w:val="CharStyle35"/>
        </w:rPr>
        <w:t>2020</w:t>
      </w:r>
      <w:r>
        <w:rPr>
          <w:rStyle w:val="CharStyle35"/>
          <w:rFonts w:ascii="SimSun" w:eastAsia="SimSun" w:hAnsi="SimSun" w:cs="SimSun"/>
          <w:sz w:val="15"/>
          <w:szCs w:val="15"/>
        </w:rPr>
        <w:t>年</w:t>
      </w:r>
      <w:r>
        <w:rPr>
          <w:rStyle w:val="CharStyle35"/>
        </w:rPr>
        <w:t>3</w:t>
      </w:r>
      <w:r>
        <w:rPr>
          <w:rStyle w:val="CharStyle35"/>
          <w:rFonts w:ascii="SimSun" w:eastAsia="SimSun" w:hAnsi="SimSun" w:cs="SimSun"/>
          <w:sz w:val="15"/>
          <w:szCs w:val="15"/>
        </w:rPr>
        <w:t>月</w:t>
      </w:r>
      <w:r>
        <w:rPr>
          <w:rStyle w:val="CharStyle35"/>
        </w:rPr>
        <w:t>14</w:t>
      </w:r>
      <w:r>
        <w:rPr>
          <w:rStyle w:val="CharStyle35"/>
          <w:rFonts w:ascii="SimSun" w:eastAsia="SimSun" w:hAnsi="SimSun" w:cs="SimSun"/>
          <w:sz w:val="15"/>
          <w:szCs w:val="15"/>
        </w:rPr>
        <w:t>日在巨潮资讯网(</w:t>
      </w:r>
      <w:r>
        <w:fldChar w:fldCharType="begin"/>
      </w:r>
      <w:r>
        <w:rPr/>
        <w:instrText> HYPERLINK "http://www.cninfo.com.cn/)%e4%b8%8a%e6%8a%ab%e9%9c%b2%e7%9a%84%e7%9b%b8%e5%85%b3%e5%85%ac%e5%91%8a%e3%80%82" </w:instrText>
      </w:r>
      <w:r>
        <w:fldChar w:fldCharType="separate"/>
      </w:r>
      <w:r>
        <w:rPr>
          <w:rStyle w:val="CharStyle35"/>
        </w:rPr>
        <w:t>http</w:t>
      </w:r>
      <w:r>
        <w:rPr>
          <w:rStyle w:val="CharStyle35"/>
        </w:rPr>
        <w:t>:</w:t>
      </w:r>
      <w:r>
        <w:rPr>
          <w:rStyle w:val="CharStyle35"/>
        </w:rPr>
        <w:t>//www.cninfo.com.cn/</w:t>
      </w:r>
      <w:r>
        <w:rPr>
          <w:rStyle w:val="CharStyle35"/>
          <w:rFonts w:ascii="SimSun" w:eastAsia="SimSun" w:hAnsi="SimSun" w:cs="SimSun"/>
          <w:sz w:val="15"/>
          <w:szCs w:val="15"/>
        </w:rPr>
        <w:t>)</w:t>
      </w:r>
      <w:r>
        <w:rPr>
          <w:rStyle w:val="CharStyle35"/>
          <w:rFonts w:ascii="SimSun" w:eastAsia="SimSun" w:hAnsi="SimSun" w:cs="SimSun"/>
          <w:sz w:val="15"/>
          <w:szCs w:val="15"/>
        </w:rPr>
        <w:t>上披露的相关公告。</w:t>
      </w:r>
      <w:r>
        <w:fldChar w:fldCharType="end"/>
      </w:r>
    </w:p>
    <w:p>
      <w:pPr>
        <w:pStyle w:val="Style31"/>
        <w:keepNext w:val="0"/>
        <w:keepLines w:val="0"/>
        <w:widowControl w:val="0"/>
        <w:shd w:val="clear" w:color="auto" w:fill="auto"/>
        <w:tabs>
          <w:tab w:pos="814" w:val="left"/>
        </w:tabs>
        <w:bidi w:val="0"/>
        <w:spacing w:before="0" w:after="0" w:line="350" w:lineRule="exact"/>
        <w:ind w:left="0" w:right="0" w:firstLine="460"/>
        <w:jc w:val="both"/>
      </w:pPr>
      <w:bookmarkStart w:id="366" w:name="bookmark366"/>
      <w:r>
        <w:rPr>
          <w:rFonts w:ascii="Times New Roman" w:eastAsia="Times New Roman" w:hAnsi="Times New Roman" w:cs="Times New Roman"/>
          <w:color w:val="000000"/>
          <w:spacing w:val="0"/>
          <w:w w:val="100"/>
          <w:position w:val="0"/>
          <w:sz w:val="18"/>
          <w:szCs w:val="18"/>
        </w:rPr>
        <w:t>2</w:t>
      </w:r>
      <w:bookmarkEnd w:id="366"/>
      <w:r>
        <w:rPr>
          <w:color w:val="000000"/>
          <w:spacing w:val="0"/>
          <w:w w:val="100"/>
          <w:position w:val="0"/>
        </w:rPr>
        <w:t>、</w:t>
        <w:tab/>
        <w:t>关联担保</w:t>
      </w:r>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日，召开第三届董事会第十六次会议、第三届监事会第十六次会议及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度股东大会，审议通过了《关于实际控制人及全资子公司为公司申请流动资金贷款提供反担保暨关联交易的议案》，同意公 司向国家开发银行北京市分行申请流动资金贷款，共计人民币贰仟万元整(</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万元)，用于补充公司日常流动资金。北 京中关村科技融资担保有限公司为此贷款提供担保，公司实际控制人刘铁峰先生、全资子公司上海百华悦邦电子科技有限公 司向北京中关村科技融资担保有限公司提供反担保。详见公司分别于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 (</w:t>
      </w:r>
      <w:r>
        <w:fldChar w:fldCharType="begin"/>
      </w:r>
      <w:r>
        <w:rPr/>
        <w:instrText> HYPERLINK "http://www.cninfo.com.cn/)%e4%b8%8a%e6%8a%ab%e9%9c%b2%e7%9a%84%e7%9b%b8%e5%85%b3%e5%85%ac%e5%91%8a%e3%80%82"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上披露的相关公告。</w:t>
      </w:r>
      <w:r>
        <w:fldChar w:fldCharType="end"/>
      </w:r>
    </w:p>
    <w:p>
      <w:pPr>
        <w:pStyle w:val="Style31"/>
        <w:keepNext w:val="0"/>
        <w:keepLines w:val="0"/>
        <w:widowControl w:val="0"/>
        <w:shd w:val="clear" w:color="auto" w:fill="auto"/>
        <w:tabs>
          <w:tab w:pos="814" w:val="left"/>
        </w:tabs>
        <w:bidi w:val="0"/>
        <w:spacing w:before="0" w:after="0" w:line="350" w:lineRule="exact"/>
        <w:ind w:left="0" w:right="0" w:firstLine="460"/>
        <w:jc w:val="both"/>
      </w:pPr>
      <w:bookmarkStart w:id="367" w:name="bookmark367"/>
      <w:r>
        <w:rPr>
          <w:rFonts w:ascii="Times New Roman" w:eastAsia="Times New Roman" w:hAnsi="Times New Roman" w:cs="Times New Roman"/>
          <w:color w:val="000000"/>
          <w:spacing w:val="0"/>
          <w:w w:val="100"/>
          <w:position w:val="0"/>
          <w:sz w:val="18"/>
          <w:szCs w:val="18"/>
        </w:rPr>
        <w:t>3</w:t>
      </w:r>
      <w:bookmarkEnd w:id="367"/>
      <w:r>
        <w:rPr>
          <w:color w:val="000000"/>
          <w:spacing w:val="0"/>
          <w:w w:val="100"/>
          <w:position w:val="0"/>
        </w:rPr>
        <w:t>、</w:t>
        <w:tab/>
        <w:t>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w:t>
      </w:r>
    </w:p>
    <w:p>
      <w:pPr>
        <w:pStyle w:val="Style31"/>
        <w:keepNext w:val="0"/>
        <w:keepLines w:val="0"/>
        <w:widowControl w:val="0"/>
        <w:shd w:val="clear" w:color="auto" w:fill="auto"/>
        <w:bidi w:val="0"/>
        <w:spacing w:before="0" w:after="200" w:line="350" w:lineRule="exact"/>
        <w:ind w:left="0" w:right="0" w:firstLine="46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日召开第三届董事会第十七次会议、第三届监事会第十七次会议和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 次临时股东大会，审议通过了《关于终止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股股票事项的议案》。详见公司于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 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股股票事项的公告》。</w:t>
      </w:r>
    </w:p>
    <w:p>
      <w:pPr>
        <w:pStyle w:val="Style45"/>
        <w:keepNext w:val="0"/>
        <w:keepLines w:val="0"/>
        <w:widowControl w:val="0"/>
        <w:shd w:val="clear" w:color="auto" w:fill="auto"/>
        <w:bidi w:val="0"/>
        <w:spacing w:before="0" w:after="0" w:line="240" w:lineRule="auto"/>
        <w:ind w:left="91" w:right="0" w:firstLine="0"/>
        <w:jc w:val="left"/>
      </w:pPr>
      <w:r>
        <w:rPr>
          <w:color w:val="000000"/>
          <w:spacing w:val="0"/>
          <w:w w:val="100"/>
          <w:position w:val="0"/>
        </w:rPr>
        <w:t>重大关联交易临时报告披露网站相关查询</w:t>
      </w:r>
    </w:p>
    <w:tbl>
      <w:tblPr>
        <w:tblOverlap w:val="never"/>
        <w:jc w:val="center"/>
        <w:tblLayout w:type="fixed"/>
      </w:tblPr>
      <w:tblGrid>
        <w:gridCol w:w="3826"/>
        <w:gridCol w:w="2136"/>
        <w:gridCol w:w="3610"/>
      </w:tblGrid>
      <w:tr>
        <w:trPr>
          <w:trHeight w:val="4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临时公告名称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临时公告披露日期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临时公告披露网站名称</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关于非公开发行股票涉及关联交易的公告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exact"/>
              <w:ind w:left="0" w:right="0" w:firstLine="0"/>
              <w:jc w:val="left"/>
            </w:pPr>
            <w:r>
              <w:rPr>
                <w:b/>
                <w:bCs/>
                <w:color w:val="FFFFFF"/>
                <w:spacing w:val="0"/>
                <w:w w:val="100"/>
                <w:position w:val="0"/>
              </w:rPr>
              <w:t>关于实际控制人及全资子公司为公司申请流 动资金贷款提供反担保暨关联交易的公告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终止</w:t>
            </w: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年非公开发行</w:t>
            </w:r>
            <w:r>
              <w:rPr>
                <w:rFonts w:ascii="Times New Roman" w:eastAsia="Times New Roman" w:hAnsi="Times New Roman" w:cs="Times New Roman"/>
                <w:b/>
                <w:bCs/>
                <w:color w:val="FFFFFF"/>
                <w:spacing w:val="0"/>
                <w:w w:val="100"/>
                <w:position w:val="0"/>
                <w:sz w:val="18"/>
                <w:szCs w:val="18"/>
              </w:rPr>
              <w:t>A</w:t>
            </w:r>
            <w:r>
              <w:rPr>
                <w:b/>
                <w:bCs/>
                <w:color w:val="FFFFFF"/>
                <w:spacing w:val="0"/>
                <w:w w:val="100"/>
                <w:position w:val="0"/>
              </w:rPr>
              <w:t>股股票事项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十六、重大合同及其履行情况</w:t>
      </w:r>
      <w:bookmarkEnd w:id="368"/>
      <w:bookmarkEnd w:id="369"/>
      <w:bookmarkEnd w:id="370"/>
    </w:p>
    <w:p>
      <w:pPr>
        <w:pStyle w:val="Style49"/>
        <w:keepNext/>
        <w:keepLines/>
        <w:widowControl w:val="0"/>
        <w:shd w:val="clear" w:color="auto" w:fill="auto"/>
        <w:tabs>
          <w:tab w:pos="368"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w:t>
        <w:tab/>
        <w:t>托管、承包、租赁事项情况</w:t>
      </w:r>
      <w:bookmarkEnd w:id="371"/>
      <w:bookmarkEnd w:id="372"/>
      <w:bookmarkEnd w:id="374"/>
    </w:p>
    <w:p>
      <w:pPr>
        <w:pStyle w:val="Style49"/>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371" w:name="bookmark371"/>
      <w:bookmarkStart w:id="372" w:name="bookmark372"/>
      <w:bookmarkStart w:id="375" w:name="bookmark375"/>
      <w:bookmarkStart w:id="376" w:name="bookmark376"/>
      <w:bookmarkEnd w:id="375"/>
      <w:r>
        <w:rPr>
          <w:color w:val="000000"/>
          <w:spacing w:val="0"/>
          <w:w w:val="100"/>
          <w:position w:val="0"/>
        </w:rPr>
        <w:t>托管情况</w:t>
      </w:r>
      <w:bookmarkEnd w:id="371"/>
      <w:bookmarkEnd w:id="372"/>
      <w:bookmarkEnd w:id="37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96"/>
        <w:keepNext w:val="0"/>
        <w:keepLines w:val="0"/>
        <w:widowControl w:val="0"/>
        <w:numPr>
          <w:ilvl w:val="0"/>
          <w:numId w:val="13"/>
        </w:numPr>
        <w:shd w:val="clear" w:color="auto" w:fill="auto"/>
        <w:tabs>
          <w:tab w:pos="493" w:val="left"/>
        </w:tabs>
        <w:bidi w:val="0"/>
        <w:spacing w:before="0" w:line="240" w:lineRule="auto"/>
        <w:ind w:left="0" w:right="0" w:firstLine="0"/>
        <w:jc w:val="left"/>
      </w:pPr>
      <w:bookmarkStart w:id="377" w:name="bookmark377"/>
      <w:bookmarkStart w:id="378" w:name="bookmark378"/>
      <w:bookmarkEnd w:id="377"/>
      <w:r>
        <w:rPr>
          <w:color w:val="000000"/>
          <w:spacing w:val="0"/>
          <w:w w:val="100"/>
          <w:position w:val="0"/>
        </w:rPr>
        <w:t>承包情况</w:t>
      </w:r>
      <w:bookmarkEnd w:id="37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96"/>
        <w:keepNext w:val="0"/>
        <w:keepLines w:val="0"/>
        <w:widowControl w:val="0"/>
        <w:numPr>
          <w:ilvl w:val="0"/>
          <w:numId w:val="13"/>
        </w:numPr>
        <w:shd w:val="clear" w:color="auto" w:fill="auto"/>
        <w:tabs>
          <w:tab w:pos="493" w:val="left"/>
        </w:tabs>
        <w:bidi w:val="0"/>
        <w:spacing w:before="0" w:line="240" w:lineRule="auto"/>
        <w:ind w:left="0" w:right="0" w:firstLine="0"/>
        <w:jc w:val="left"/>
      </w:pPr>
      <w:bookmarkStart w:id="379" w:name="bookmark379"/>
      <w:bookmarkStart w:id="380" w:name="bookmark380"/>
      <w:bookmarkEnd w:id="379"/>
      <w:r>
        <w:rPr>
          <w:color w:val="000000"/>
          <w:spacing w:val="0"/>
          <w:w w:val="100"/>
          <w:position w:val="0"/>
        </w:rPr>
        <w:t>租赁情况</w:t>
      </w:r>
      <w:bookmarkEnd w:id="38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49"/>
        <w:keepNext/>
        <w:keepLines/>
        <w:widowControl w:val="0"/>
        <w:shd w:val="clear" w:color="auto" w:fill="auto"/>
        <w:tabs>
          <w:tab w:pos="378" w:val="left"/>
        </w:tabs>
        <w:bidi w:val="0"/>
        <w:spacing w:before="0" w:after="3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重大担保</w:t>
      </w:r>
      <w:bookmarkEnd w:id="381"/>
      <w:bookmarkEnd w:id="382"/>
      <w:bookmarkEnd w:id="384"/>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widowControl w:val="0"/>
        <w:spacing w:line="1" w:lineRule="exact"/>
      </w:pPr>
      <w:r>
        <mc:AlternateContent>
          <mc:Choice Requires="wps">
            <w:drawing>
              <wp:anchor distT="0" distB="391160" distL="0" distR="0" simplePos="0" relativeHeight="125829604" behindDoc="0" locked="0" layoutInCell="1" allowOverlap="1">
                <wp:simplePos x="0" y="0"/>
                <wp:positionH relativeFrom="page">
                  <wp:posOffset>811530</wp:posOffset>
                </wp:positionH>
                <wp:positionV relativeFrom="paragraph">
                  <wp:posOffset>0</wp:posOffset>
                </wp:positionV>
                <wp:extent cx="829310" cy="176530"/>
                <wp:wrapTopAndBottom/>
                <wp:docPr id="292" name="Shape 292"/>
                <a:graphic xmlns:a="http://schemas.openxmlformats.org/drawingml/2006/main">
                  <a:graphicData uri="http://schemas.microsoft.com/office/word/2010/wordprocessingShape">
                    <wps:wsp>
                      <wps:cNvSpPr txBox="1"/>
                      <wps:spPr>
                        <a:xfrm>
                          <a:ext cx="829310" cy="176530"/>
                        </a:xfrm>
                        <a:prstGeom prst="rect"/>
                        <a:noFill/>
                      </wps:spPr>
                      <wps:txbx>
                        <w:txbxContent>
                          <w:p>
                            <w:pPr>
                              <w:pStyle w:val="Style69"/>
                              <w:keepNext/>
                              <w:keepLines/>
                              <w:widowControl w:val="0"/>
                              <w:shd w:val="clear" w:color="auto" w:fill="auto"/>
                              <w:bidi w:val="0"/>
                              <w:spacing w:before="0" w:after="0" w:line="240" w:lineRule="auto"/>
                              <w:ind w:left="0" w:right="0" w:firstLine="0"/>
                              <w:jc w:val="left"/>
                            </w:pPr>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3"/>
                            <w:bookmarkEnd w:id="364"/>
                            <w:bookmarkEnd w:id="365"/>
                          </w:p>
                        </w:txbxContent>
                      </wps:txbx>
                      <wps:bodyPr wrap="none" lIns="0" tIns="0" rIns="0" bIns="0">
                        <a:noAutoFit/>
                      </wps:bodyPr>
                    </wps:wsp>
                  </a:graphicData>
                </a:graphic>
              </wp:anchor>
            </w:drawing>
          </mc:Choice>
          <mc:Fallback>
            <w:pict>
              <v:shape id="_x0000_s1318" type="#_x0000_t202" style="position:absolute;margin-left:63.899999999999999pt;margin-top:0;width:65.299999999999997pt;height:13.9pt;z-index:-125829149;mso-wrap-distance-left:0;mso-wrap-distance-right:0;mso-wrap-distance-bottom:30.800000000000001pt;mso-position-horizontal-relative:page" filled="f" stroked="f">
                <v:textbox inset="0,0,0,0">
                  <w:txbxContent>
                    <w:p>
                      <w:pPr>
                        <w:pStyle w:val="Style69"/>
                        <w:keepNext/>
                        <w:keepLines/>
                        <w:widowControl w:val="0"/>
                        <w:shd w:val="clear" w:color="auto" w:fill="auto"/>
                        <w:bidi w:val="0"/>
                        <w:spacing w:before="0" w:after="0" w:line="240" w:lineRule="auto"/>
                        <w:ind w:left="0" w:right="0" w:firstLine="0"/>
                        <w:jc w:val="left"/>
                      </w:pPr>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3"/>
                      <w:bookmarkEnd w:id="364"/>
                      <w:bookmarkEnd w:id="365"/>
                    </w:p>
                  </w:txbxContent>
                </v:textbox>
                <w10:wrap type="topAndBottom" anchorx="page"/>
              </v:shape>
            </w:pict>
          </mc:Fallback>
        </mc:AlternateContent>
      </w:r>
      <w:r>
        <mc:AlternateContent>
          <mc:Choice Requires="wps">
            <w:drawing>
              <wp:anchor distT="399415" distB="24765" distL="0" distR="0" simplePos="0" relativeHeight="125829606" behindDoc="0" locked="0" layoutInCell="1" allowOverlap="1">
                <wp:simplePos x="0" y="0"/>
                <wp:positionH relativeFrom="page">
                  <wp:posOffset>6294755</wp:posOffset>
                </wp:positionH>
                <wp:positionV relativeFrom="paragraph">
                  <wp:posOffset>399415</wp:posOffset>
                </wp:positionV>
                <wp:extent cx="594360" cy="143510"/>
                <wp:wrapTopAndBottom/>
                <wp:docPr id="294" name="Shape 294"/>
                <a:graphic xmlns:a="http://schemas.openxmlformats.org/drawingml/2006/main">
                  <a:graphicData uri="http://schemas.microsoft.com/office/word/2010/wordprocessingShape">
                    <wps:wsp>
                      <wps:cNvSpPr txBox="1"/>
                      <wps:spPr>
                        <a:xfrm>
                          <a:ext cx="59436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xbxContent>
                      </wps:txbx>
                      <wps:bodyPr wrap="none" lIns="0" tIns="0" rIns="0" bIns="0">
                        <a:noAutoFit/>
                      </wps:bodyPr>
                    </wps:wsp>
                  </a:graphicData>
                </a:graphic>
              </wp:anchor>
            </w:drawing>
          </mc:Choice>
          <mc:Fallback>
            <w:pict>
              <v:shape id="_x0000_s1320" type="#_x0000_t202" style="position:absolute;margin-left:495.65000000000003pt;margin-top:31.449999999999999pt;width:46.800000000000004pt;height:11.300000000000001pt;z-index:-125829147;mso-wrap-distance-left:0;mso-wrap-distance-top:31.449999999999999pt;mso-wrap-distance-right:0;mso-wrap-distance-bottom:1.9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xbxContent>
                </v:textbox>
                <w10:wrap type="topAndBottom" anchorx="page"/>
              </v:shape>
            </w:pict>
          </mc:Fallback>
        </mc:AlternateConten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公司及其子公司对外担保情况（不包括对子公司的担保）</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867" w:val="left"/>
          <w:tab w:pos="8016" w:val="left"/>
        </w:tabs>
        <w:bidi w:val="0"/>
        <w:spacing w:before="0" w:after="0" w:line="240" w:lineRule="auto"/>
        <w:ind w:left="0" w:right="0" w:firstLine="0"/>
        <w:jc w:val="center"/>
      </w:pPr>
      <w:r>
        <w:rPr>
          <w:b/>
          <w:bCs/>
          <w:color w:val="FFFFFF"/>
          <w:spacing w:val="0"/>
          <w:w w:val="100"/>
          <w:position w:val="0"/>
        </w:rPr>
        <w:t>担保对象名 担保额度相关公告披 担保</w:t>
        <w:tab/>
        <w:t>实际担保</w:t>
        <w:tab/>
        <w:t>是否履 是否为</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306" w:val="left"/>
          <w:tab w:pos="2611" w:val="left"/>
          <w:tab w:pos="4867" w:val="left"/>
          <w:tab w:pos="5587" w:val="left"/>
          <w:tab w:pos="6715" w:val="left"/>
          <w:tab w:pos="8429" w:val="left"/>
        </w:tabs>
        <w:bidi w:val="0"/>
        <w:spacing w:before="0" w:after="0" w:line="240" w:lineRule="auto"/>
        <w:ind w:left="0" w:right="0" w:firstLine="0"/>
        <w:jc w:val="center"/>
      </w:pPr>
      <w:r>
        <w:rPr>
          <w:b/>
          <w:bCs/>
          <w:color w:val="FFFFFF"/>
          <w:spacing w:val="0"/>
          <w:w w:val="100"/>
          <w:position w:val="0"/>
        </w:rPr>
        <w:t>称</w:t>
        <w:tab/>
        <w:t>露日期</w:t>
        <w:tab/>
        <w:t>额度实际发生日期</w:t>
        <w:tab/>
        <w:t>金额</w:t>
        <w:tab/>
        <w:t>担保类型</w:t>
        <w:tab/>
        <w:t>担保期行完毕</w:t>
        <w:tab/>
        <w:t>碧方</w:t>
      </w:r>
    </w:p>
    <w:p>
      <w:pPr>
        <w:widowControl w:val="0"/>
        <w:spacing w:line="1" w:lineRule="exact"/>
      </w:pPr>
      <w:r>
        <mc:AlternateContent>
          <mc:Choice Requires="wps">
            <w:drawing>
              <wp:anchor distT="91440" distB="73025" distL="0" distR="0" simplePos="0" relativeHeight="125829608" behindDoc="0" locked="0" layoutInCell="1" allowOverlap="1">
                <wp:simplePos x="0" y="0"/>
                <wp:positionH relativeFrom="page">
                  <wp:posOffset>738505</wp:posOffset>
                </wp:positionH>
                <wp:positionV relativeFrom="paragraph">
                  <wp:posOffset>91440</wp:posOffset>
                </wp:positionV>
                <wp:extent cx="490855" cy="152400"/>
                <wp:wrapTopAndBottom/>
                <wp:docPr id="296" name="Shape 296"/>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上海百邦</w:t>
                            </w:r>
                          </w:p>
                        </w:txbxContent>
                      </wps:txbx>
                      <wps:bodyPr wrap="none" lIns="0" tIns="0" rIns="0" bIns="0">
                        <a:noAutoFit/>
                      </wps:bodyPr>
                    </wps:wsp>
                  </a:graphicData>
                </a:graphic>
              </wp:anchor>
            </w:drawing>
          </mc:Choice>
          <mc:Fallback>
            <w:pict>
              <v:shape id="_x0000_s1322" type="#_x0000_t202" style="position:absolute;margin-left:58.149999999999999pt;margin-top:7.2000000000000002pt;width:38.649999999999999pt;height:12.pt;z-index:-125829145;mso-wrap-distance-left:0;mso-wrap-distance-top:7.2000000000000002pt;mso-wrap-distance-right:0;mso-wrap-distance-bottom:5.7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上海百邦</w:t>
                      </w:r>
                    </w:p>
                  </w:txbxContent>
                </v:textbox>
                <w10:wrap type="topAndBottom" anchorx="page"/>
              </v:shape>
            </w:pict>
          </mc:Fallback>
        </mc:AlternateContent>
      </w:r>
      <w:r>
        <mc:AlternateContent>
          <mc:Choice Requires="wps">
            <w:drawing>
              <wp:anchor distT="94615" distB="73025" distL="0" distR="0" simplePos="0" relativeHeight="125829610" behindDoc="0" locked="0" layoutInCell="1" allowOverlap="1">
                <wp:simplePos x="0" y="0"/>
                <wp:positionH relativeFrom="page">
                  <wp:posOffset>1497330</wp:posOffset>
                </wp:positionH>
                <wp:positionV relativeFrom="paragraph">
                  <wp:posOffset>94615</wp:posOffset>
                </wp:positionV>
                <wp:extent cx="975360" cy="149225"/>
                <wp:wrapTopAndBottom/>
                <wp:docPr id="298" name="Shape 298"/>
                <a:graphic xmlns:a="http://schemas.openxmlformats.org/drawingml/2006/main">
                  <a:graphicData uri="http://schemas.microsoft.com/office/word/2010/wordprocessingShape">
                    <wps:wsp>
                      <wps:cNvSpPr txBox="1"/>
                      <wps:spPr>
                        <a:xfrm>
                          <a:ext cx="97536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xbxContent>
                      </wps:txbx>
                      <wps:bodyPr wrap="none" lIns="0" tIns="0" rIns="0" bIns="0">
                        <a:noAutoFit/>
                      </wps:bodyPr>
                    </wps:wsp>
                  </a:graphicData>
                </a:graphic>
              </wp:anchor>
            </w:drawing>
          </mc:Choice>
          <mc:Fallback>
            <w:pict>
              <v:shape id="_x0000_s1324" type="#_x0000_t202" style="position:absolute;margin-left:117.90000000000001pt;margin-top:7.4500000000000002pt;width:76.799999999999997pt;height:11.75pt;z-index:-125829143;mso-wrap-distance-left:0;mso-wrap-distance-top:7.4500000000000002pt;mso-wrap-distance-right:0;mso-wrap-distance-bottom:5.7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2018</w:t>
                      </w:r>
                      <w:r>
                        <w:rPr>
                          <w:rFonts w:ascii="SimSun" w:eastAsia="SimSun" w:hAnsi="SimSun" w:cs="SimSun"/>
                          <w:color w:val="000000"/>
                          <w:spacing w:val="0"/>
                          <w:w w:val="100"/>
                          <w:position w:val="0"/>
                          <w:sz w:val="15"/>
                          <w:szCs w:val="15"/>
                        </w:rPr>
                        <w:t>年</w:t>
                      </w:r>
                      <w:r>
                        <w:rPr>
                          <w:color w:val="000000"/>
                          <w:spacing w:val="0"/>
                          <w:w w:val="100"/>
                          <w:position w:val="0"/>
                          <w:sz w:val="18"/>
                          <w:szCs w:val="18"/>
                        </w:rPr>
                        <w:t>04</w:t>
                      </w:r>
                      <w:r>
                        <w:rPr>
                          <w:rFonts w:ascii="SimSun" w:eastAsia="SimSun" w:hAnsi="SimSun" w:cs="SimSun"/>
                          <w:color w:val="000000"/>
                          <w:spacing w:val="0"/>
                          <w:w w:val="100"/>
                          <w:position w:val="0"/>
                          <w:sz w:val="15"/>
                          <w:szCs w:val="15"/>
                        </w:rPr>
                        <w:t>月</w:t>
                      </w:r>
                      <w:r>
                        <w:rPr>
                          <w:color w:val="000000"/>
                          <w:spacing w:val="0"/>
                          <w:w w:val="100"/>
                          <w:position w:val="0"/>
                          <w:sz w:val="18"/>
                          <w:szCs w:val="18"/>
                        </w:rPr>
                        <w:t>20</w:t>
                      </w:r>
                      <w:r>
                        <w:rPr>
                          <w:rFonts w:ascii="SimSun" w:eastAsia="SimSun" w:hAnsi="SimSun" w:cs="SimSun"/>
                          <w:color w:val="000000"/>
                          <w:spacing w:val="0"/>
                          <w:w w:val="100"/>
                          <w:position w:val="0"/>
                          <w:sz w:val="15"/>
                          <w:szCs w:val="15"/>
                        </w:rPr>
                        <w:t>日</w:t>
                      </w:r>
                    </w:p>
                  </w:txbxContent>
                </v:textbox>
                <w10:wrap type="topAndBottom" anchorx="page"/>
              </v:shape>
            </w:pict>
          </mc:Fallback>
        </mc:AlternateContent>
      </w:r>
      <w:r>
        <mc:AlternateContent>
          <mc:Choice Requires="wps">
            <w:drawing>
              <wp:anchor distT="0" distB="0" distL="0" distR="0" simplePos="0" relativeHeight="125829612" behindDoc="0" locked="0" layoutInCell="1" allowOverlap="1">
                <wp:simplePos x="0" y="0"/>
                <wp:positionH relativeFrom="page">
                  <wp:posOffset>2997200</wp:posOffset>
                </wp:positionH>
                <wp:positionV relativeFrom="paragraph">
                  <wp:posOffset>0</wp:posOffset>
                </wp:positionV>
                <wp:extent cx="783590" cy="316865"/>
                <wp:wrapTopAndBottom/>
                <wp:docPr id="300" name="Shape 300"/>
                <a:graphic xmlns:a="http://schemas.openxmlformats.org/drawingml/2006/main">
                  <a:graphicData uri="http://schemas.microsoft.com/office/word/2010/wordprocessingShape">
                    <wps:wsp>
                      <wps:cNvSpPr txBox="1"/>
                      <wps:spPr>
                        <a:xfrm>
                          <a:ext cx="783590" cy="316865"/>
                        </a:xfrm>
                        <a:prstGeom prst="rect"/>
                        <a:noFill/>
                      </wps:spPr>
                      <wps:txbx>
                        <w:txbxContent>
                          <w:p>
                            <w:pPr>
                              <w:pStyle w:val="Style34"/>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8"/>
                                <w:szCs w:val="18"/>
                              </w:rPr>
                              <w:t xml:space="preserve">2018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20</w:t>
                              <w:br/>
                            </w:r>
                            <w:r>
                              <w:rPr>
                                <w:rFonts w:ascii="SimSun" w:eastAsia="SimSun" w:hAnsi="SimSun" w:cs="SimSun"/>
                                <w:color w:val="000000"/>
                                <w:spacing w:val="0"/>
                                <w:w w:val="100"/>
                                <w:position w:val="0"/>
                                <w:sz w:val="15"/>
                                <w:szCs w:val="15"/>
                              </w:rPr>
                              <w:t>日</w:t>
                            </w:r>
                          </w:p>
                        </w:txbxContent>
                      </wps:txbx>
                      <wps:bodyPr lIns="0" tIns="0" rIns="0" bIns="0">
                        <a:noAutoFit/>
                      </wps:bodyPr>
                    </wps:wsp>
                  </a:graphicData>
                </a:graphic>
              </wp:anchor>
            </w:drawing>
          </mc:Choice>
          <mc:Fallback>
            <w:pict>
              <v:shape id="_x0000_s1326" type="#_x0000_t202" style="position:absolute;margin-left:236.pt;margin-top:0;width:61.700000000000003pt;height:24.949999999999999pt;z-index:-12582914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8"/>
                          <w:szCs w:val="18"/>
                        </w:rPr>
                        <w:t xml:space="preserve">2018 </w:t>
                      </w:r>
                      <w:r>
                        <w:rPr>
                          <w:rFonts w:ascii="SimSun" w:eastAsia="SimSun" w:hAnsi="SimSun" w:cs="SimSun"/>
                          <w:color w:val="000000"/>
                          <w:spacing w:val="0"/>
                          <w:w w:val="100"/>
                          <w:position w:val="0"/>
                          <w:sz w:val="15"/>
                          <w:szCs w:val="15"/>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5"/>
                          <w:szCs w:val="15"/>
                        </w:rPr>
                        <w:t xml:space="preserve">月 </w:t>
                      </w:r>
                      <w:r>
                        <w:rPr>
                          <w:color w:val="000000"/>
                          <w:spacing w:val="0"/>
                          <w:w w:val="100"/>
                          <w:position w:val="0"/>
                          <w:sz w:val="18"/>
                          <w:szCs w:val="18"/>
                        </w:rPr>
                        <w:t>20</w:t>
                        <w:br/>
                      </w:r>
                      <w:r>
                        <w:rPr>
                          <w:rFonts w:ascii="SimSun" w:eastAsia="SimSun" w:hAnsi="SimSun" w:cs="SimSun"/>
                          <w:color w:val="000000"/>
                          <w:spacing w:val="0"/>
                          <w:w w:val="100"/>
                          <w:position w:val="0"/>
                          <w:sz w:val="15"/>
                          <w:szCs w:val="15"/>
                        </w:rPr>
                        <w:t>日</w:t>
                      </w:r>
                    </w:p>
                  </w:txbxContent>
                </v:textbox>
                <w10:wrap type="topAndBottom" anchorx="page"/>
              </v:shape>
            </w:pict>
          </mc:Fallback>
        </mc:AlternateContent>
      </w:r>
      <w:r>
        <mc:AlternateContent>
          <mc:Choice Requires="wps">
            <w:drawing>
              <wp:anchor distT="8890" distB="3175" distL="0" distR="0" simplePos="0" relativeHeight="125829614" behindDoc="0" locked="0" layoutInCell="1" allowOverlap="1">
                <wp:simplePos x="0" y="0"/>
                <wp:positionH relativeFrom="page">
                  <wp:posOffset>4530090</wp:posOffset>
                </wp:positionH>
                <wp:positionV relativeFrom="paragraph">
                  <wp:posOffset>8890</wp:posOffset>
                </wp:positionV>
                <wp:extent cx="481330" cy="304800"/>
                <wp:wrapTopAndBottom/>
                <wp:docPr id="302" name="Shape 302"/>
                <a:graphic xmlns:a="http://schemas.openxmlformats.org/drawingml/2006/main">
                  <a:graphicData uri="http://schemas.microsoft.com/office/word/2010/wordprocessingShape">
                    <wps:wsp>
                      <wps:cNvSpPr txBox="1"/>
                      <wps:spPr>
                        <a:xfrm>
                          <a:ext cx="481330" cy="304800"/>
                        </a:xfrm>
                        <a:prstGeom prst="rect"/>
                        <a:noFill/>
                      </wps:spPr>
                      <wps:txbx>
                        <w:txbxContent>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连带责任</w:t>
                              <w:br/>
                              <w:t>保证</w:t>
                            </w:r>
                          </w:p>
                        </w:txbxContent>
                      </wps:txbx>
                      <wps:bodyPr lIns="0" tIns="0" rIns="0" bIns="0">
                        <a:noAutoFit/>
                      </wps:bodyPr>
                    </wps:wsp>
                  </a:graphicData>
                </a:graphic>
              </wp:anchor>
            </w:drawing>
          </mc:Choice>
          <mc:Fallback>
            <w:pict>
              <v:shape id="_x0000_s1328" type="#_x0000_t202" style="position:absolute;margin-left:356.69999999999999pt;margin-top:0.70000000000000007pt;width:37.899999999999999pt;height:24.pt;z-index:-125829139;mso-wrap-distance-left:0;mso-wrap-distance-top:0.70000000000000007pt;mso-wrap-distance-right:0;mso-wrap-distance-bottom:0.25pt;mso-position-horizontal-relative:page" filled="f" stroked="f">
                <v:textbox inset="0,0,0,0">
                  <w:txbxContent>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连带责任</w:t>
                        <w:br/>
                        <w:t>保证</w:t>
                      </w:r>
                    </w:p>
                  </w:txbxContent>
                </v:textbox>
                <w10:wrap type="topAndBottom" anchorx="page"/>
              </v:shape>
            </w:pict>
          </mc:Fallback>
        </mc:AlternateConten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采用复合方式担保的具体情况说明 无</w:t>
      </w:r>
    </w:p>
    <w:p>
      <w:pPr>
        <w:pStyle w:val="Style69"/>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5"/>
      <w:bookmarkEnd w:id="386"/>
      <w:bookmarkEnd w:id="38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49"/>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、委托他人进行现金资产管理情况</w:t>
      </w:r>
      <w:bookmarkEnd w:id="389"/>
      <w:bookmarkEnd w:id="390"/>
      <w:bookmarkEnd w:id="392"/>
    </w:p>
    <w:p>
      <w:pPr>
        <w:pStyle w:val="Style69"/>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3"/>
      <w:bookmarkEnd w:id="394"/>
      <w:bookmarkEnd w:id="39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w:t>
      </w:r>
    </w:p>
    <w:tbl>
      <w:tblPr>
        <w:tblOverlap w:val="never"/>
        <w:jc w:val="center"/>
        <w:tblLayout w:type="fixed"/>
      </w:tblPr>
      <w:tblGrid>
        <w:gridCol w:w="1632"/>
        <w:gridCol w:w="2290"/>
        <w:gridCol w:w="2088"/>
        <w:gridCol w:w="359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pPr>
            <w:r>
              <w:rPr>
                <w:b/>
                <w:bCs/>
                <w:color w:val="FFFFFF"/>
                <w:spacing w:val="0"/>
                <w:w w:val="100"/>
                <w:position w:val="0"/>
              </w:rPr>
              <w:t>具体类型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委托理财的资金来源</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委托理财发生额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598" w:val="left"/>
              </w:tabs>
              <w:bidi w:val="0"/>
              <w:spacing w:before="0" w:after="0" w:line="240" w:lineRule="auto"/>
              <w:ind w:left="0" w:right="0" w:firstLine="0"/>
              <w:jc w:val="center"/>
            </w:pPr>
            <w:r>
              <w:rPr>
                <w:b/>
                <w:bCs/>
                <w:color w:val="FFFFFF"/>
                <w:spacing w:val="0"/>
                <w:w w:val="100"/>
                <w:position w:val="0"/>
              </w:rPr>
              <w:t>未到期余额</w:t>
              <w:tab/>
              <w:t>逾期未收回的金额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银行理财产品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募集资金及自有资金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14,000.00</w:t>
            </w:r>
          </w:p>
        </w:tc>
        <w:tc>
          <w:tcPr>
            <w:tcBorders/>
            <w:shd w:val="clear" w:color="auto" w:fill="FFFFFF"/>
            <w:vAlign w:val="center"/>
          </w:tcPr>
          <w:p>
            <w:pPr>
              <w:pStyle w:val="Style2"/>
              <w:keepNext w:val="0"/>
              <w:keepLines w:val="0"/>
              <w:widowControl w:val="0"/>
              <w:shd w:val="clear" w:color="auto" w:fill="auto"/>
              <w:tabs>
                <w:tab w:pos="1843"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60" w:right="0" w:firstLine="0"/>
              <w:jc w:val="left"/>
              <w:rPr>
                <w:sz w:val="18"/>
                <w:szCs w:val="18"/>
              </w:rPr>
            </w:pPr>
            <w:r>
              <w:rPr>
                <w:rFonts w:ascii="Times New Roman" w:eastAsia="Times New Roman" w:hAnsi="Times New Roman" w:cs="Times New Roman"/>
                <w:b/>
                <w:bCs/>
                <w:color w:val="FFFFFF"/>
                <w:spacing w:val="0"/>
                <w:w w:val="100"/>
                <w:position w:val="0"/>
                <w:sz w:val="18"/>
                <w:szCs w:val="18"/>
              </w:rPr>
              <w:t>14,000.00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843" w:val="left"/>
              </w:tabs>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w:t>
              <w:tab/>
              <w:t>-</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9"/>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7"/>
      <w:bookmarkEnd w:id="398"/>
      <w:bookmarkEnd w:id="400"/>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49"/>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4</w:t>
      </w:r>
      <w:bookmarkEnd w:id="403"/>
      <w:r>
        <w:rPr>
          <w:color w:val="000000"/>
          <w:spacing w:val="0"/>
          <w:w w:val="100"/>
          <w:position w:val="0"/>
        </w:rPr>
        <w:t>、其他重大合同</w:t>
      </w:r>
      <w:bookmarkEnd w:id="401"/>
      <w:bookmarkEnd w:id="402"/>
      <w:bookmarkEnd w:id="404"/>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公司报告期不存在其他重大合同。</w:t>
      </w:r>
    </w:p>
    <w:p>
      <w:pPr>
        <w:pStyle w:val="Style39"/>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十七、社会责任情况</w:t>
      </w:r>
      <w:bookmarkEnd w:id="405"/>
      <w:bookmarkEnd w:id="406"/>
      <w:bookmarkEnd w:id="407"/>
    </w:p>
    <w:p>
      <w:pPr>
        <w:pStyle w:val="Style49"/>
        <w:keepNext/>
        <w:keepLines/>
        <w:widowControl w:val="0"/>
        <w:shd w:val="clear" w:color="auto" w:fill="auto"/>
        <w:tabs>
          <w:tab w:pos="368" w:val="left"/>
        </w:tabs>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履行社会责任情况</w:t>
      </w:r>
      <w:bookmarkEnd w:id="408"/>
      <w:bookmarkEnd w:id="409"/>
      <w:bookmarkEnd w:id="411"/>
    </w:p>
    <w:p>
      <w:pPr>
        <w:pStyle w:val="Style31"/>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公司始终重视消费者权益保护，坚决打击手机维修假店冒用公司名称或假冒苹果公司授权欺诈消费者行为，坚决打击内 部工程师与外部勾结侵占消费者资源的红线行为。</w:t>
      </w:r>
    </w:p>
    <w:p>
      <w:pPr>
        <w:pStyle w:val="Style49"/>
        <w:keepNext/>
        <w:keepLines/>
        <w:widowControl w:val="0"/>
        <w:shd w:val="clear" w:color="auto" w:fill="auto"/>
        <w:tabs>
          <w:tab w:pos="378"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履行精准扶贫社会责任情况</w:t>
      </w:r>
      <w:bookmarkEnd w:id="412"/>
      <w:bookmarkEnd w:id="413"/>
      <w:bookmarkEnd w:id="415"/>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公司报告年度暂未开展精准扶贫工作，也暂无后续精准扶贫计划。</w:t>
      </w:r>
    </w:p>
    <w:p>
      <w:pPr>
        <w:pStyle w:val="Style49"/>
        <w:keepNext/>
        <w:keepLines/>
        <w:widowControl w:val="0"/>
        <w:shd w:val="clear" w:color="auto" w:fill="auto"/>
        <w:tabs>
          <w:tab w:pos="378" w:val="left"/>
        </w:tabs>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3</w:t>
      </w:r>
      <w:bookmarkEnd w:id="418"/>
      <w:r>
        <w:rPr>
          <w:color w:val="000000"/>
          <w:spacing w:val="0"/>
          <w:w w:val="100"/>
          <w:position w:val="0"/>
        </w:rPr>
        <w:t>、</w:t>
        <w:tab/>
        <w:t>环境保护相关的情况</w:t>
      </w:r>
      <w:bookmarkEnd w:id="416"/>
      <w:bookmarkEnd w:id="417"/>
      <w:bookmarkEnd w:id="419"/>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公司及子公司不属于环境保护部门公布的重点排污单位。报告期内，公司及下属子公司严格执行国家有关环境保护的法 律法规，未因违反相关法律法规受到环保部门的行政处罚。</w:t>
      </w:r>
    </w:p>
    <w:p>
      <w:pPr>
        <w:pStyle w:val="Style39"/>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十八、其他重大事项的说明</w:t>
      </w:r>
      <w:bookmarkEnd w:id="420"/>
      <w:bookmarkEnd w:id="421"/>
      <w:bookmarkEnd w:id="422"/>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公司报告期不存在需要说明的其他重大事项。</w:t>
      </w:r>
    </w:p>
    <w:p>
      <w:pPr>
        <w:pStyle w:val="Style39"/>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十九、公司子公司重大事项</w:t>
      </w:r>
      <w:bookmarkEnd w:id="423"/>
      <w:bookmarkEnd w:id="424"/>
      <w:bookmarkEnd w:id="425"/>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报告期内，公司全资子公司上海百邦与苹果电脑贸易（上海）有限公司续签了《苹果授权服务供应商协议》，约定上海 百邦为苹果公司所售苹果产品在中国大陆地区提供售后服务，合同履行期限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br w:type="page"/>
      </w:r>
    </w:p>
    <w:p>
      <w:pPr>
        <w:pStyle w:val="Style22"/>
        <w:keepNext/>
        <w:keepLines/>
        <w:widowControl w:val="0"/>
        <w:shd w:val="clear" w:color="auto" w:fill="auto"/>
        <w:bidi w:val="0"/>
        <w:spacing w:before="0" w:line="240" w:lineRule="auto"/>
        <w:ind w:left="0" w:right="0" w:firstLine="0"/>
        <w:jc w:val="center"/>
      </w:pPr>
      <w:bookmarkStart w:id="426" w:name="bookmark426"/>
      <w:bookmarkStart w:id="427" w:name="bookmark427"/>
      <w:bookmarkStart w:id="428" w:name="bookmark428"/>
      <w:r>
        <w:rPr>
          <w:spacing w:val="0"/>
          <w:w w:val="100"/>
          <w:position w:val="0"/>
        </w:rPr>
        <w:t>第六节股份变动及股东情况</w:t>
      </w:r>
      <w:bookmarkEnd w:id="426"/>
      <w:bookmarkEnd w:id="427"/>
      <w:bookmarkEnd w:id="428"/>
    </w:p>
    <w:p>
      <w:pPr>
        <w:pStyle w:val="Style39"/>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一</w:t>
      </w:r>
      <w:bookmarkEnd w:id="431"/>
      <w:r>
        <w:rPr>
          <w:color w:val="000000"/>
          <w:spacing w:val="0"/>
          <w:w w:val="100"/>
          <w:position w:val="0"/>
          <w:sz w:val="24"/>
          <w:szCs w:val="24"/>
        </w:rPr>
        <w:t>、股份变动情况</w:t>
      </w:r>
      <w:bookmarkEnd w:id="429"/>
      <w:bookmarkEnd w:id="430"/>
      <w:bookmarkEnd w:id="432"/>
    </w:p>
    <w:p>
      <w:pPr>
        <w:pStyle w:val="Style49"/>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、股份变动情况</w:t>
      </w:r>
      <w:bookmarkEnd w:id="433"/>
      <w:bookmarkEnd w:id="434"/>
      <w:bookmarkEnd w:id="436"/>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tbl>
      <w:tblPr>
        <w:tblOverlap w:val="never"/>
        <w:jc w:val="center"/>
        <w:tblLayout w:type="fixed"/>
      </w:tblPr>
      <w:tblGrid>
        <w:gridCol w:w="2227"/>
        <w:gridCol w:w="950"/>
        <w:gridCol w:w="1618"/>
        <w:gridCol w:w="1642"/>
        <w:gridCol w:w="811"/>
        <w:gridCol w:w="787"/>
        <w:gridCol w:w="864"/>
        <w:gridCol w:w="682"/>
      </w:tblGrid>
      <w:tr>
        <w:trPr>
          <w:trHeight w:val="408" w:hRule="exact"/>
        </w:trPr>
        <w:tc>
          <w:tcPr>
            <w:tcBorders/>
            <w:shd w:val="clear" w:color="auto" w:fill="A6A6A6"/>
            <w:vAlign w:val="top"/>
          </w:tcPr>
          <w:p>
            <w:pPr>
              <w:widowControl w:val="0"/>
              <w:rPr>
                <w:sz w:val="10"/>
                <w:szCs w:val="10"/>
              </w:rPr>
            </w:pP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本次变动前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本次变动增减(+ ,</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本次变动后</w:t>
            </w:r>
          </w:p>
        </w:tc>
      </w:tr>
      <w:tr>
        <w:trPr>
          <w:trHeight w:val="710"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数量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比例发行新股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31" w:val="left"/>
              </w:tabs>
              <w:bidi w:val="0"/>
              <w:spacing w:before="0" w:after="0" w:line="202" w:lineRule="exact"/>
              <w:ind w:left="0" w:right="0" w:firstLine="0"/>
              <w:jc w:val="right"/>
              <w:rPr>
                <w:sz w:val="18"/>
                <w:szCs w:val="18"/>
              </w:rPr>
            </w:pPr>
            <w:r>
              <w:rPr>
                <w:b/>
                <w:bCs/>
                <w:color w:val="FFFFFF"/>
                <w:spacing w:val="0"/>
                <w:w w:val="100"/>
                <w:position w:val="0"/>
                <w:sz w:val="15"/>
                <w:szCs w:val="15"/>
              </w:rPr>
              <w:t>公积金转 送股</w:t>
              <w:tab/>
            </w:r>
            <w:r>
              <w:rPr>
                <w:rFonts w:ascii="Times New Roman" w:eastAsia="Times New Roman" w:hAnsi="Times New Roman" w:cs="Times New Roman"/>
                <w:color w:val="FFFFFF"/>
                <w:spacing w:val="0"/>
                <w:w w:val="100"/>
                <w:position w:val="0"/>
                <w:sz w:val="18"/>
                <w:szCs w:val="18"/>
              </w:rPr>
              <w:t>rm</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400" w:firstLine="0"/>
              <w:jc w:val="right"/>
            </w:pPr>
            <w:r>
              <w:rPr>
                <w:b/>
                <w:bCs/>
                <w:color w:val="FFFFFF"/>
                <w:spacing w:val="0"/>
                <w:w w:val="100"/>
                <w:position w:val="0"/>
              </w:rPr>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小计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20" w:firstLine="0"/>
              <w:jc w:val="right"/>
            </w:pPr>
            <w:r>
              <w:rPr>
                <w:b/>
                <w:bCs/>
                <w:color w:val="FFFFFF"/>
                <w:spacing w:val="0"/>
                <w:w w:val="100"/>
                <w:position w:val="0"/>
              </w:rPr>
              <w:t>数量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220" w:firstLine="0"/>
              <w:jc w:val="right"/>
            </w:pPr>
            <w:r>
              <w:rPr>
                <w:b/>
                <w:bCs/>
                <w:color w:val="FFFFFF"/>
                <w:spacing w:val="0"/>
                <w:w w:val="100"/>
                <w:position w:val="0"/>
              </w:rPr>
              <w:t>比例</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一、有限售条件股份</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50,594,819</w:t>
            </w:r>
          </w:p>
        </w:tc>
        <w:tc>
          <w:tcPr>
            <w:tcBorders/>
            <w:shd w:val="clear" w:color="auto" w:fill="F9ECF3"/>
            <w:vAlign w:val="center"/>
          </w:tcPr>
          <w:p>
            <w:pPr>
              <w:pStyle w:val="Style2"/>
              <w:keepNext w:val="0"/>
              <w:keepLines w:val="0"/>
              <w:widowControl w:val="0"/>
              <w:shd w:val="clear" w:color="auto" w:fill="auto"/>
              <w:tabs>
                <w:tab w:pos="1429"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3875%</w:t>
              <w:tab/>
              <w:t>-</w:t>
            </w:r>
          </w:p>
        </w:tc>
        <w:tc>
          <w:tcPr>
            <w:tcBorders/>
            <w:shd w:val="clear" w:color="auto" w:fill="F9ECF3"/>
            <w:vAlign w:val="center"/>
          </w:tcPr>
          <w:p>
            <w:pPr>
              <w:pStyle w:val="Style2"/>
              <w:keepNext w:val="0"/>
              <w:keepLines w:val="0"/>
              <w:widowControl w:val="0"/>
              <w:shd w:val="clear" w:color="auto" w:fill="auto"/>
              <w:tabs>
                <w:tab w:pos="1441"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-1,423,433</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-1,423,433</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49,171,386</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3774%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、其他内资持股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50,234,819</w:t>
            </w:r>
          </w:p>
        </w:tc>
        <w:tc>
          <w:tcPr>
            <w:tcBorders>
              <w:top w:val="single" w:sz="4"/>
            </w:tcBorders>
            <w:shd w:val="clear" w:color="auto" w:fill="FFFFFF"/>
            <w:vAlign w:val="center"/>
          </w:tcPr>
          <w:p>
            <w:pPr>
              <w:pStyle w:val="Style2"/>
              <w:keepNext w:val="0"/>
              <w:keepLines w:val="0"/>
              <w:widowControl w:val="0"/>
              <w:shd w:val="clear" w:color="auto" w:fill="auto"/>
              <w:tabs>
                <w:tab w:pos="1414"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38.47%</w:t>
              <w:tab/>
              <w:t>-</w:t>
            </w:r>
          </w:p>
        </w:tc>
        <w:tc>
          <w:tcPr>
            <w:tcBorders>
              <w:top w:val="single" w:sz="4"/>
            </w:tcBorders>
            <w:shd w:val="clear" w:color="auto" w:fill="FFFFFF"/>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48,960,186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其中：境内法人持股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45,425280</w:t>
            </w:r>
          </w:p>
        </w:tc>
        <w:tc>
          <w:tcPr>
            <w:tcBorders>
              <w:top w:val="single" w:sz="4"/>
            </w:tcBorders>
            <w:shd w:val="clear" w:color="auto" w:fill="F9ECF3"/>
            <w:vAlign w:val="center"/>
          </w:tcPr>
          <w:p>
            <w:pPr>
              <w:pStyle w:val="Style2"/>
              <w:keepNext w:val="0"/>
              <w:keepLines w:val="0"/>
              <w:widowControl w:val="0"/>
              <w:shd w:val="clear" w:color="auto" w:fill="auto"/>
              <w:tabs>
                <w:tab w:pos="1414"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34.79%</w:t>
              <w:tab/>
              <w:t>-</w:t>
            </w:r>
          </w:p>
        </w:tc>
        <w:tc>
          <w:tcPr>
            <w:tcBorders>
              <w:top w:val="single" w:sz="4"/>
            </w:tcBorders>
            <w:shd w:val="clear" w:color="auto" w:fill="F9ECF3"/>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45,425280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境内自然人持股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4,809,539</w:t>
            </w:r>
          </w:p>
        </w:tc>
        <w:tc>
          <w:tcPr>
            <w:tcBorders>
              <w:top w:val="single" w:sz="4"/>
            </w:tcBorders>
            <w:shd w:val="clear" w:color="auto" w:fill="FFFFFF"/>
            <w:vAlign w:val="center"/>
          </w:tcPr>
          <w:p>
            <w:pPr>
              <w:pStyle w:val="Style2"/>
              <w:keepNext w:val="0"/>
              <w:keepLines w:val="0"/>
              <w:widowControl w:val="0"/>
              <w:shd w:val="clear" w:color="auto" w:fill="auto"/>
              <w:tabs>
                <w:tab w:pos="1418"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3.68%</w:t>
              <w:tab/>
              <w:t>-</w:t>
            </w:r>
          </w:p>
        </w:tc>
        <w:tc>
          <w:tcPr>
            <w:tcBorders>
              <w:top w:val="single" w:sz="4"/>
            </w:tcBorders>
            <w:shd w:val="clear" w:color="auto" w:fill="FFFFFF"/>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3,534,906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、外资持股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tcBorders>
            <w:shd w:val="clear" w:color="auto" w:fill="F9ECF3"/>
            <w:vAlign w:val="center"/>
          </w:tcPr>
          <w:p>
            <w:pPr>
              <w:pStyle w:val="Style2"/>
              <w:keepNext w:val="0"/>
              <w:keepLines w:val="0"/>
              <w:widowControl w:val="0"/>
              <w:shd w:val="clear" w:color="auto" w:fill="auto"/>
              <w:tabs>
                <w:tab w:pos="1422"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028%</w:t>
              <w:tab/>
              <w:t>-</w:t>
            </w:r>
          </w:p>
        </w:tc>
        <w:tc>
          <w:tcPr>
            <w:tcBorders>
              <w:top w:val="single" w:sz="4"/>
            </w:tcBorders>
            <w:shd w:val="clear" w:color="auto" w:fill="F9ECF3"/>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-148,800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境外自然人持股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tcBorders>
            <w:shd w:val="clear" w:color="auto" w:fill="FFFFFF"/>
            <w:vAlign w:val="center"/>
          </w:tcPr>
          <w:p>
            <w:pPr>
              <w:pStyle w:val="Style2"/>
              <w:keepNext w:val="0"/>
              <w:keepLines w:val="0"/>
              <w:widowControl w:val="0"/>
              <w:shd w:val="clear" w:color="auto" w:fill="auto"/>
              <w:tabs>
                <w:tab w:pos="1422"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0.28%</w:t>
              <w:tab/>
              <w:t>-</w:t>
            </w:r>
          </w:p>
        </w:tc>
        <w:tc>
          <w:tcPr>
            <w:tcBorders>
              <w:top w:val="single" w:sz="4"/>
            </w:tcBorders>
            <w:shd w:val="clear" w:color="auto" w:fill="FFFFFF"/>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二、无限售条件股份</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79,977,421</w:t>
            </w:r>
          </w:p>
        </w:tc>
        <w:tc>
          <w:tcPr>
            <w:tcBorders>
              <w:top w:val="single" w:sz="4"/>
            </w:tcBorders>
            <w:shd w:val="clear" w:color="auto" w:fill="F9ECF3"/>
            <w:vAlign w:val="center"/>
          </w:tcPr>
          <w:p>
            <w:pPr>
              <w:pStyle w:val="Style2"/>
              <w:keepNext w:val="0"/>
              <w:keepLines w:val="0"/>
              <w:widowControl w:val="0"/>
              <w:shd w:val="clear" w:color="auto" w:fill="auto"/>
              <w:tabs>
                <w:tab w:pos="1419"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6125%</w:t>
              <w:tab/>
              <w:t>-</w:t>
            </w:r>
          </w:p>
        </w:tc>
        <w:tc>
          <w:tcPr>
            <w:tcBorders>
              <w:top w:val="single" w:sz="4"/>
            </w:tcBorders>
            <w:shd w:val="clear" w:color="auto" w:fill="F9ECF3"/>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1,124,553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1,124,553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81,101,974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6226%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79,977,421</w:t>
            </w:r>
          </w:p>
        </w:tc>
        <w:tc>
          <w:tcPr>
            <w:tcBorders>
              <w:top w:val="single" w:sz="4"/>
            </w:tcBorders>
            <w:shd w:val="clear" w:color="auto" w:fill="FFFFFF"/>
            <w:vAlign w:val="center"/>
          </w:tcPr>
          <w:p>
            <w:pPr>
              <w:pStyle w:val="Style2"/>
              <w:keepNext w:val="0"/>
              <w:keepLines w:val="0"/>
              <w:widowControl w:val="0"/>
              <w:shd w:val="clear" w:color="auto" w:fill="auto"/>
              <w:tabs>
                <w:tab w:pos="1419"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61.25%</w:t>
              <w:tab/>
              <w:t>-</w:t>
            </w:r>
          </w:p>
        </w:tc>
        <w:tc>
          <w:tcPr>
            <w:tcBorders>
              <w:top w:val="single" w:sz="4"/>
            </w:tcBorders>
            <w:shd w:val="clear" w:color="auto" w:fill="FFFFFF"/>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1,124,553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1,124,553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81,101,974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62.26%</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三、股份总数</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130,572240</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126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tab/>
              <w:t>-</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1436" w:val="left"/>
              </w:tabs>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-298,880</w:t>
            </w:r>
          </w:p>
        </w:tc>
        <w:tc>
          <w:tcPr>
            <w:gridSpan w:val="2"/>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-298,880 130273,360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年高级管理人员合计解除限售</w:t>
      </w:r>
      <w:r>
        <w:rPr>
          <w:rFonts w:ascii="Times New Roman" w:eastAsia="Times New Roman" w:hAnsi="Times New Roman" w:cs="Times New Roman"/>
          <w:color w:val="000000"/>
          <w:spacing w:val="0"/>
          <w:w w:val="100"/>
          <w:position w:val="0"/>
          <w:sz w:val="18"/>
          <w:szCs w:val="18"/>
        </w:rPr>
        <w:t>1,024,649</w:t>
      </w:r>
      <w:r>
        <w:rPr>
          <w:color w:val="000000"/>
          <w:spacing w:val="0"/>
          <w:w w:val="100"/>
          <w:position w:val="0"/>
        </w:rPr>
        <w:t>股。</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日，通过中国证券登记结算有限责任公司深圳分公司申请解除</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名激励对象所 持有的</w:t>
      </w:r>
      <w:r>
        <w:rPr>
          <w:rFonts w:ascii="Times New Roman" w:eastAsia="Times New Roman" w:hAnsi="Times New Roman" w:cs="Times New Roman"/>
          <w:color w:val="000000"/>
          <w:spacing w:val="0"/>
          <w:w w:val="100"/>
          <w:position w:val="0"/>
          <w:sz w:val="18"/>
          <w:szCs w:val="18"/>
        </w:rPr>
        <w:t>99,904</w:t>
      </w:r>
      <w:r>
        <w:rPr>
          <w:color w:val="000000"/>
          <w:spacing w:val="0"/>
          <w:w w:val="100"/>
          <w:position w:val="0"/>
        </w:rPr>
        <w:t>股限售股份。</w:t>
      </w:r>
    </w:p>
    <w:p>
      <w:pPr>
        <w:pStyle w:val="Style31"/>
        <w:keepNext w:val="0"/>
        <w:keepLines w:val="0"/>
        <w:widowControl w:val="0"/>
        <w:shd w:val="clear" w:color="auto" w:fill="auto"/>
        <w:bidi w:val="0"/>
        <w:spacing w:before="0" w:after="80" w:line="358"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日，通过中国证券登记结算有限责任公司深圳分公司完成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年两次股权激励计划中不符 合要求的限制性股票的回购注销，本次回购注销限制性股票数量合计</w:t>
      </w:r>
      <w:r>
        <w:rPr>
          <w:rFonts w:ascii="Times New Roman" w:eastAsia="Times New Roman" w:hAnsi="Times New Roman" w:cs="Times New Roman"/>
          <w:color w:val="000000"/>
          <w:spacing w:val="0"/>
          <w:w w:val="100"/>
          <w:position w:val="0"/>
          <w:sz w:val="18"/>
          <w:szCs w:val="18"/>
        </w:rPr>
        <w:t>298,880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公司总股本由</w:t>
      </w:r>
      <w:r>
        <w:rPr>
          <w:rFonts w:ascii="Times New Roman" w:eastAsia="Times New Roman" w:hAnsi="Times New Roman" w:cs="Times New Roman"/>
          <w:color w:val="000000"/>
          <w:spacing w:val="0"/>
          <w:w w:val="100"/>
          <w:position w:val="0"/>
          <w:sz w:val="18"/>
          <w:szCs w:val="18"/>
        </w:rPr>
        <w:t>130,572,240</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 xml:space="preserve">130,273,360 </w:t>
      </w:r>
      <w:r>
        <w:rPr>
          <w:color w:val="000000"/>
          <w:spacing w:val="0"/>
          <w:w w:val="100"/>
          <w:position w:val="0"/>
        </w:rPr>
        <w:t>股。</w:t>
      </w:r>
    </w:p>
    <w:p>
      <w:pPr>
        <w:pStyle w:val="Style31"/>
        <w:keepNext w:val="0"/>
        <w:keepLines w:val="0"/>
        <w:widowControl w:val="0"/>
        <w:shd w:val="clear" w:color="auto" w:fill="auto"/>
        <w:bidi w:val="0"/>
        <w:spacing w:before="0" w:after="140" w:line="353" w:lineRule="exact"/>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350"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日召开第三届董事会第十七次会议、第三届监事会第十七次会议审议通过了《关于回购注销部分限 制性股票和注销部分股票期权的议案》、《关于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年限制性股票激励计划第一个解除限售期解除限售条件成就的议案》， 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w:t>
      </w:r>
      <w:r>
        <w:rPr>
          <w:color w:val="000000"/>
          <w:spacing w:val="0"/>
          <w:w w:val="100"/>
          <w:position w:val="0"/>
        </w:rPr>
        <w:t>(</w:t>
      </w:r>
      <w:r>
        <w:fldChar w:fldCharType="begin"/>
      </w:r>
      <w:r>
        <w:rPr/>
        <w:instrText> HYPERLINK "http://www.cninfo.com.cn/)%e4%b8%8a%e6%8a%ab%e9%9c%b2%e7%9a%84%e3%80%8a%e5%85%b3%e4%ba%8e%e5%9b%9e%e8%b4%ad%e6%b3%a8%e9%94%80%e9%83%a8%e5%88%86%e9%99%90%e5%88%b6%e6%80%a7%e8%82%a1%e7%a5%a8%e5%92%8c%e6%b3%a8%e9%94%80%e9%83%a8%e5%88%86"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上披露的《关于回购注销部分限制性股票和注销部分</w:t>
      </w:r>
      <w:r>
        <w:fldChar w:fldCharType="end"/>
      </w:r>
      <w:r>
        <w:rPr>
          <w:color w:val="000000"/>
          <w:spacing w:val="0"/>
          <w:w w:val="100"/>
          <w:position w:val="0"/>
        </w:rPr>
        <w:t xml:space="preserve"> 股票期权的公告》、《关于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年限制性股票激励计划第一个解除限售期解除限售条件成就的公告》。公司于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年第二次临时股东大会，审议通过了《关于回购注销部分限制性股票和注销部分股票期权的议案》，详见公司于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w:t>
      </w:r>
      <w:r>
        <w:fldChar w:fldCharType="begin"/>
      </w:r>
      <w:r>
        <w:rPr/>
        <w:instrText> HYPERLINK "http://www.cninfo.com.cn/)%e4%b8%8a%e6%8a%ab%e9%9c%b2%e7%9a%84%e3%80%8a2020%e5%b9%b4%e7%ac%ac%e4%ba%8c%e6%ac%a1%e4%b8%b4%e6%97%b6%e8%82%a1%e4%b8%9c%e5%a4%a7%e4%bc%9a%e5%86%b3%e8%ae%ae%e5%85%ac%e5%91%8a%e3%80%8b%e3%80%82"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年第二次临时股东大会决议公告》。</w:t>
      </w:r>
      <w:r>
        <w:fldChar w:fldCharType="end"/>
      </w:r>
    </w:p>
    <w:p>
      <w:pPr>
        <w:pStyle w:val="Style31"/>
        <w:keepNext w:val="0"/>
        <w:keepLines w:val="0"/>
        <w:widowControl w:val="0"/>
        <w:shd w:val="clear" w:color="auto" w:fill="auto"/>
        <w:bidi w:val="0"/>
        <w:spacing w:before="0" w:after="120" w:line="353" w:lineRule="exact"/>
        <w:ind w:left="0" w:right="0" w:firstLine="0"/>
        <w:jc w:val="both"/>
      </w:pPr>
      <w:r>
        <w:rPr>
          <w:color w:val="000000"/>
          <w:spacing w:val="0"/>
          <w:w w:val="100"/>
          <w:position w:val="0"/>
        </w:rPr>
        <w:t>股份变动的过户情况</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380"/>
        <w:jc w:val="left"/>
      </w:pPr>
      <w:r>
        <w:rPr>
          <w:color w:val="000000"/>
          <w:spacing w:val="0"/>
          <w:w w:val="100"/>
          <w:position w:val="0"/>
        </w:rPr>
        <w:t>限制性股票回购注销的过户：经中国登记结算有限责任公司深圳分公司确认，公司于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年两次股权激励计划中国不符合要求的限制性股票的回购注销，本次回购注销限制性股票数量合计</w:t>
      </w:r>
      <w:r>
        <w:rPr>
          <w:rFonts w:ascii="Times New Roman" w:eastAsia="Times New Roman" w:hAnsi="Times New Roman" w:cs="Times New Roman"/>
          <w:color w:val="000000"/>
          <w:spacing w:val="0"/>
          <w:w w:val="100"/>
          <w:position w:val="0"/>
          <w:sz w:val="18"/>
          <w:szCs w:val="18"/>
        </w:rPr>
        <w:t>29,888</w:t>
      </w:r>
      <w:r>
        <w:rPr>
          <w:color w:val="000000"/>
          <w:spacing w:val="0"/>
          <w:w w:val="100"/>
          <w:position w:val="0"/>
        </w:rPr>
        <w:t xml:space="preserve">股。详见公司于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w:t>
      </w:r>
      <w:r>
        <w:rPr>
          <w:color w:val="000000"/>
          <w:spacing w:val="0"/>
          <w:w w:val="100"/>
          <w:position w:val="0"/>
        </w:rPr>
        <w:t>(</w:t>
      </w:r>
      <w:r>
        <w:fldChar w:fldCharType="begin"/>
      </w:r>
      <w:r>
        <w:rPr/>
        <w:instrText> HYPERLINK "http://www.cninfo.com.cn/)%e4%b8%8a%e6%8a%ab%e9%9c%b2%e7%9a%84%e3%80%8a%e5%85%b3%e4%ba%8e%e9%83%a8%e5%88%86%e9%99%90%e5%88%b6%e6%80%a7%e8%82%a1%e7%a5%a8%e5%9b%9e%e8%b4%ad%e6%b3%a8%e9%94%80%e5%ae%8c%e6%88%90%e7%9a%84%e5%85%ac%e5%91%8a%e3%80%8b%e3%80%82"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上披露的《关于部分限制性股票回购注销完成的公告》。</w:t>
      </w:r>
      <w:r>
        <w:fldChar w:fldCharType="end"/>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、限售股份变动情况</w:t>
      </w:r>
      <w:bookmarkEnd w:id="437"/>
      <w:bookmarkEnd w:id="438"/>
      <w:bookmarkEnd w:id="44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06"/>
        <w:gridCol w:w="1094"/>
        <w:gridCol w:w="677"/>
        <w:gridCol w:w="1104"/>
        <w:gridCol w:w="1056"/>
        <w:gridCol w:w="1661"/>
        <w:gridCol w:w="2726"/>
      </w:tblGrid>
      <w:tr>
        <w:trPr>
          <w:trHeight w:val="80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both"/>
            </w:pPr>
            <w:r>
              <w:rPr>
                <w:b/>
                <w:bCs/>
                <w:color w:val="FFFFFF"/>
                <w:spacing w:val="0"/>
                <w:w w:val="100"/>
                <w:position w:val="0"/>
              </w:rPr>
              <w:t>股东名称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期初限售股 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本期增 加限售 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本期解除限 售股数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期末限售股 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限售原因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拟解除限售日期</w:t>
            </w:r>
          </w:p>
        </w:tc>
      </w:tr>
      <w:tr>
        <w:trPr>
          <w:trHeight w:val="54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北京达安世纪投 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40,625280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40,625,280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首发限售</w:t>
            </w:r>
            <w:r>
              <w:rPr>
                <w:rFonts w:ascii="Times New Roman" w:eastAsia="Times New Roman" w:hAnsi="Times New Roman" w:cs="Times New Roman"/>
                <w:color w:val="000000"/>
                <w:spacing w:val="0"/>
                <w:w w:val="100"/>
                <w:position w:val="0"/>
                <w:sz w:val="18"/>
                <w:szCs w:val="18"/>
              </w:rPr>
              <w:t>40,625280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日解除限售</w:t>
            </w:r>
            <w:r>
              <w:rPr>
                <w:rFonts w:ascii="Times New Roman" w:eastAsia="Times New Roman" w:hAnsi="Times New Roman" w:cs="Times New Roman"/>
                <w:color w:val="000000"/>
                <w:spacing w:val="0"/>
                <w:w w:val="100"/>
                <w:position w:val="0"/>
                <w:sz w:val="18"/>
                <w:szCs w:val="18"/>
              </w:rPr>
              <w:t xml:space="preserve">40,625280 </w:t>
            </w:r>
            <w:r>
              <w:rPr>
                <w:color w:val="000000"/>
                <w:spacing w:val="0"/>
                <w:w w:val="100"/>
                <w:position w:val="0"/>
              </w:rPr>
              <w:t>股</w:t>
            </w: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北京悦华众城投 资管理中心(有 限合伙)</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4,800,000 </w:t>
            </w:r>
            <w:r>
              <w:rPr>
                <w:color w:val="000000"/>
                <w:spacing w:val="0"/>
                <w:w w:val="100"/>
                <w:position w:val="0"/>
              </w:rPr>
              <w:t>首发限售</w:t>
            </w:r>
            <w:r>
              <w:rPr>
                <w:rFonts w:ascii="Times New Roman" w:eastAsia="Times New Roman" w:hAnsi="Times New Roman" w:cs="Times New Roman"/>
                <w:color w:val="000000"/>
                <w:spacing w:val="0"/>
                <w:w w:val="100"/>
                <w:position w:val="0"/>
                <w:sz w:val="18"/>
                <w:szCs w:val="18"/>
              </w:rPr>
              <w:t xml:space="preserve">4,800,000 </w:t>
            </w:r>
            <w:r>
              <w:rPr>
                <w:color w:val="000000"/>
                <w:spacing w:val="0"/>
                <w:w w:val="100"/>
                <w:position w:val="0"/>
              </w:rPr>
              <w:t>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日解除限售</w:t>
            </w:r>
            <w:r>
              <w:rPr>
                <w:rFonts w:ascii="Times New Roman" w:eastAsia="Times New Roman" w:hAnsi="Times New Roman" w:cs="Times New Roman"/>
                <w:color w:val="000000"/>
                <w:spacing w:val="0"/>
                <w:w w:val="100"/>
                <w:position w:val="0"/>
                <w:sz w:val="18"/>
                <w:szCs w:val="18"/>
              </w:rPr>
              <w:t xml:space="preserve">4,800,000 </w:t>
            </w:r>
            <w:r>
              <w:rPr>
                <w:color w:val="000000"/>
                <w:spacing w:val="0"/>
                <w:w w:val="100"/>
                <w:position w:val="0"/>
              </w:rPr>
              <w:t>股</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陈进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4,053,600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1,013,400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3,040,200</w:t>
            </w:r>
            <w:r>
              <w:rPr>
                <w:color w:val="000000"/>
                <w:spacing w:val="0"/>
                <w:w w:val="100"/>
                <w:position w:val="0"/>
              </w:rPr>
              <w:t>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高管锁定股每年按照其持股数的</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刘保元</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司法处理中</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CHEN LI YA</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211,200 </w:t>
            </w:r>
            <w:r>
              <w:rPr>
                <w:color w:val="000000"/>
                <w:spacing w:val="0"/>
                <w:w w:val="100"/>
                <w:position w:val="0"/>
              </w:rPr>
              <w:t>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股权激励限制性股票根据股权激励 计划约定条件分期、按比例解锁</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徐艳</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r>
              <w:rPr>
                <w:rFonts w:ascii="Times New Roman" w:eastAsia="Times New Roman" w:hAnsi="Times New Roman" w:cs="Times New Roman"/>
                <w:color w:val="000000"/>
                <w:spacing w:val="0"/>
                <w:w w:val="100"/>
                <w:position w:val="0"/>
                <w:sz w:val="18"/>
                <w:szCs w:val="18"/>
              </w:rPr>
              <w:t>84,000</w:t>
            </w:r>
            <w:r>
              <w:rPr>
                <w:color w:val="000000"/>
                <w:spacing w:val="0"/>
                <w:w w:val="100"/>
                <w:position w:val="0"/>
              </w:rPr>
              <w:t>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司法处理中</w:t>
            </w:r>
          </w:p>
        </w:tc>
      </w:tr>
      <w:tr>
        <w:trPr>
          <w:trHeight w:val="10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李岩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62,550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33,750</w:t>
            </w:r>
            <w:r>
              <w:rPr>
                <w:color w:val="000000"/>
                <w:spacing w:val="0"/>
                <w:w w:val="100"/>
                <w:position w:val="0"/>
              </w:rPr>
              <w:t>股， 股权激励限售</w:t>
            </w:r>
            <w:r>
              <w:rPr>
                <w:rFonts w:ascii="Times New Roman" w:eastAsia="Times New Roman" w:hAnsi="Times New Roman" w:cs="Times New Roman"/>
                <w:color w:val="000000"/>
                <w:spacing w:val="0"/>
                <w:w w:val="100"/>
                <w:position w:val="0"/>
                <w:sz w:val="18"/>
                <w:szCs w:val="18"/>
              </w:rPr>
              <w:t xml:space="preserve">28,800 </w:t>
            </w:r>
            <w:r>
              <w:rPr>
                <w:color w:val="000000"/>
                <w:spacing w:val="0"/>
                <w:w w:val="100"/>
                <w:position w:val="0"/>
              </w:rPr>
              <w:t>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高管锁定股每年按照其持股数的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解锁,股权激励限制性股票根据 股权激励计划约定条件分期、按比 例解锁</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曾水龙</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9,600 </w:t>
            </w:r>
            <w:r>
              <w:rPr>
                <w:color w:val="000000"/>
                <w:spacing w:val="0"/>
                <w:w w:val="100"/>
                <w:position w:val="0"/>
              </w:rPr>
              <w:t>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股权激励限制性股票根据股权激励 计划约定条件分期、按比例解锁</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谢峰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9,600 </w:t>
            </w:r>
            <w:r>
              <w:rPr>
                <w:color w:val="000000"/>
                <w:spacing w:val="0"/>
                <w:w w:val="100"/>
                <w:position w:val="0"/>
              </w:rPr>
              <w:t>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股权激励限制性股票根据股权激励 计划约定条件分期、按比例解锁</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魏亚锋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股权激励限制性股票根据股权激励 计划约定条件分期、按比例解锁</w:t>
            </w:r>
          </w:p>
        </w:tc>
      </w:tr>
      <w:tr>
        <w:trPr>
          <w:trHeight w:val="10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其他股东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235,539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215,583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19,956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股权激励限售股 </w:t>
            </w:r>
            <w:r>
              <w:rPr>
                <w:rFonts w:ascii="Times New Roman" w:eastAsia="Times New Roman" w:hAnsi="Times New Roman" w:cs="Times New Roman"/>
                <w:color w:val="000000"/>
                <w:spacing w:val="0"/>
                <w:w w:val="100"/>
                <w:position w:val="0"/>
                <w:sz w:val="18"/>
                <w:szCs w:val="18"/>
              </w:rPr>
              <w:t>15,456</w:t>
            </w:r>
            <w:r>
              <w:rPr>
                <w:color w:val="000000"/>
                <w:spacing w:val="0"/>
                <w:w w:val="100"/>
                <w:position w:val="0"/>
              </w:rPr>
              <w:t>股，高管锁定 股</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高管锁定股每年按照其持股数的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解锁,股权激励限制性股票根据 股权激励计划约定条件分期、按比 例解锁</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50,594,819</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1,423,433</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49,171,386</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一</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二</w:t>
      </w:r>
      <w:bookmarkEnd w:id="443"/>
      <w:r>
        <w:rPr>
          <w:color w:val="000000"/>
          <w:spacing w:val="0"/>
          <w:w w:val="100"/>
          <w:position w:val="0"/>
          <w:sz w:val="24"/>
          <w:szCs w:val="24"/>
        </w:rPr>
        <w:t>、证券发行与上市情况</w:t>
      </w:r>
      <w:bookmarkEnd w:id="441"/>
      <w:bookmarkEnd w:id="442"/>
      <w:bookmarkEnd w:id="444"/>
    </w:p>
    <w:p>
      <w:pPr>
        <w:pStyle w:val="Style49"/>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、报告期内证券发行（不含优先股）情况</w:t>
      </w:r>
      <w:bookmarkEnd w:id="445"/>
      <w:bookmarkEnd w:id="446"/>
      <w:bookmarkEnd w:id="44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、公司股份总数及股东结构的变动、公司资产和负债结构的变动情况说明</w:t>
      </w:r>
      <w:bookmarkEnd w:id="449"/>
      <w:bookmarkEnd w:id="450"/>
      <w:bookmarkEnd w:id="452"/>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60" w:line="358"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日，通过中国证券登记结算有限责任公司深圳分公司完成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年两次股权激励计划中不 符合要求的限制性股票的回购注销，本次回购注销限制性股票数量合计</w:t>
      </w:r>
      <w:r>
        <w:rPr>
          <w:rFonts w:ascii="Times New Roman" w:eastAsia="Times New Roman" w:hAnsi="Times New Roman" w:cs="Times New Roman"/>
          <w:color w:val="000000"/>
          <w:spacing w:val="0"/>
          <w:w w:val="100"/>
          <w:position w:val="0"/>
          <w:sz w:val="18"/>
          <w:szCs w:val="18"/>
        </w:rPr>
        <w:t>29,888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公司总股本由</w:t>
      </w:r>
      <w:r>
        <w:rPr>
          <w:rFonts w:ascii="Times New Roman" w:eastAsia="Times New Roman" w:hAnsi="Times New Roman" w:cs="Times New Roman"/>
          <w:color w:val="000000"/>
          <w:spacing w:val="0"/>
          <w:w w:val="100"/>
          <w:position w:val="0"/>
          <w:sz w:val="18"/>
          <w:szCs w:val="18"/>
        </w:rPr>
        <w:t>130,572,240</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 xml:space="preserve">130,273,360 </w:t>
      </w:r>
      <w:r>
        <w:rPr>
          <w:color w:val="000000"/>
          <w:spacing w:val="0"/>
          <w:w w:val="100"/>
          <w:position w:val="0"/>
        </w:rPr>
        <w:t>股。</w:t>
      </w:r>
    </w:p>
    <w:p>
      <w:pPr>
        <w:pStyle w:val="Style49"/>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、现存的内部职工股情况</w:t>
      </w:r>
      <w:bookmarkEnd w:id="453"/>
      <w:bookmarkEnd w:id="454"/>
      <w:bookmarkEnd w:id="45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三</w:t>
      </w:r>
      <w:bookmarkEnd w:id="459"/>
      <w:r>
        <w:rPr>
          <w:color w:val="000000"/>
          <w:spacing w:val="0"/>
          <w:w w:val="100"/>
          <w:position w:val="0"/>
          <w:sz w:val="24"/>
          <w:szCs w:val="24"/>
        </w:rPr>
        <w:t>、股东和实际控制人情况</w:t>
      </w:r>
      <w:bookmarkEnd w:id="457"/>
      <w:bookmarkEnd w:id="458"/>
      <w:bookmarkEnd w:id="460"/>
    </w:p>
    <w:p>
      <w:pPr>
        <w:pStyle w:val="Style49"/>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、公司股东数量及持股情况</w:t>
      </w:r>
      <w:bookmarkEnd w:id="461"/>
      <w:bookmarkEnd w:id="462"/>
      <w:bookmarkEnd w:id="4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81"/>
        <w:gridCol w:w="1210"/>
        <w:gridCol w:w="1008"/>
        <w:gridCol w:w="1128"/>
        <w:gridCol w:w="998"/>
        <w:gridCol w:w="1027"/>
        <w:gridCol w:w="1090"/>
        <w:gridCol w:w="845"/>
        <w:gridCol w:w="1080"/>
      </w:tblGrid>
      <w:tr>
        <w:trPr>
          <w:trHeight w:val="128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8" w:lineRule="exact"/>
              <w:ind w:left="0" w:right="0" w:firstLine="0"/>
              <w:jc w:val="center"/>
            </w:pPr>
            <w:r>
              <w:rPr>
                <w:b/>
                <w:bCs/>
                <w:color w:val="FFFFFF"/>
                <w:spacing w:val="0"/>
                <w:w w:val="100"/>
                <w:position w:val="0"/>
              </w:rPr>
              <w:t>报告期末普 通股股东总 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7,616</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年度报告 披露日前 上一月末 普通股股 东总数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7,009</w:t>
            </w:r>
          </w:p>
        </w:tc>
        <w:tc>
          <w:tcPr>
            <w:gridSpan w:val="2"/>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报告期末</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表决权恢</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670" w:val="left"/>
              </w:tabs>
              <w:bidi w:val="0"/>
              <w:spacing w:before="0" w:after="40" w:line="240" w:lineRule="auto"/>
              <w:ind w:left="0" w:right="0" w:firstLine="0"/>
              <w:jc w:val="left"/>
              <w:rPr>
                <w:sz w:val="18"/>
                <w:szCs w:val="18"/>
              </w:rPr>
            </w:pPr>
            <w:r>
              <w:rPr>
                <w:b/>
                <w:bCs/>
                <w:color w:val="FFFFFF"/>
                <w:spacing w:val="0"/>
                <w:w w:val="100"/>
                <w:position w:val="0"/>
                <w:sz w:val="15"/>
                <w:szCs w:val="15"/>
              </w:rPr>
              <w:t>复的优先</w:t>
              <w:tab/>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股股东总</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380"/>
              <w:jc w:val="left"/>
            </w:pPr>
            <w:r>
              <w:rPr>
                <w:b/>
                <w:bCs/>
                <w:color w:val="FFFFFF"/>
                <w:spacing w:val="0"/>
                <w:w w:val="100"/>
                <w:position w:val="0"/>
              </w:rPr>
              <w:t>数</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年度报告披露日前上 一月末表决权恢复的 优先股股东总数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gridSpan w:val="9"/>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持股</w:t>
            </w: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以上的股东或前</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名股东持股情况</w:t>
            </w:r>
          </w:p>
        </w:tc>
      </w:tr>
      <w:tr>
        <w:trPr>
          <w:trHeight w:val="322" w:hRule="exact"/>
        </w:trPr>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报告期末持 股数量</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报告期内</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持有有限</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持有无限售</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质押或冻结情况</w:t>
            </w:r>
          </w:p>
        </w:tc>
      </w:tr>
      <w:tr>
        <w:trPr>
          <w:trHeight w:val="557"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股东名称</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股东性质</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持股比例</w:t>
            </w:r>
          </w:p>
        </w:tc>
        <w:tc>
          <w:tcPr>
            <w:vMerge/>
            <w:tcBorders/>
            <w:shd w:val="clear" w:color="auto" w:fill="A6A6A6"/>
            <w:vAlign w:val="center"/>
          </w:tcPr>
          <w:p>
            <w:pP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增减变动 情况</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售条件的 股份数量</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条件的股份 数量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股份状</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态</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60" w:firstLine="0"/>
              <w:jc w:val="right"/>
            </w:pPr>
            <w:r>
              <w:rPr>
                <w:b/>
                <w:bCs/>
                <w:color w:val="FFFFFF"/>
                <w:spacing w:val="0"/>
                <w:w w:val="100"/>
                <w:position w:val="0"/>
              </w:rPr>
              <w:t>数量</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北京达安世 纪投资管理 有限公司</w:t>
            </w:r>
          </w:p>
        </w:tc>
        <w:tc>
          <w:tcPr>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40,645,280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40,625,280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18,880,000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赵新宇</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30,653,840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-2,592,880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30,653,840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10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left"/>
            </w:pPr>
            <w:r>
              <w:rPr>
                <w:b/>
                <w:bCs/>
                <w:color w:val="FFFFFF"/>
                <w:spacing w:val="0"/>
                <w:w w:val="100"/>
                <w:position w:val="0"/>
              </w:rPr>
              <w:t>北京悦华众 城投资管理 中心（有限 合伙）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陈进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3,040200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-1,013,400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3,04W</w:t>
            </w:r>
            <w:r>
              <w:rPr>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高锋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2,033200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李树强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1,039,580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1,039,580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1,039,580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128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left"/>
            </w:pPr>
            <w:r>
              <w:rPr>
                <w:b/>
                <w:bCs/>
                <w:color w:val="FFFFFF"/>
                <w:spacing w:val="0"/>
                <w:w w:val="100"/>
                <w:position w:val="0"/>
              </w:rPr>
              <w:t>北京百华悦 邦科技股份 有限公司回 购专用证券 账户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境内非国有 法人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984"/>
        <w:gridCol w:w="1166"/>
        <w:gridCol w:w="960"/>
        <w:gridCol w:w="1032"/>
        <w:gridCol w:w="1152"/>
        <w:gridCol w:w="845"/>
        <w:gridCol w:w="1051"/>
      </w:tblGrid>
      <w:tr>
        <w:trPr>
          <w:trHeight w:val="1282"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both"/>
            </w:pPr>
            <w:r>
              <w:rPr>
                <w:b/>
                <w:bCs/>
                <w:color w:val="FFFFFF"/>
                <w:spacing w:val="0"/>
                <w:w w:val="100"/>
                <w:position w:val="0"/>
              </w:rPr>
              <w:t>报告期末普</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733" w:val="left"/>
              </w:tabs>
              <w:bidi w:val="0"/>
              <w:spacing w:before="0" w:after="40" w:line="240" w:lineRule="auto"/>
              <w:ind w:left="0" w:right="0" w:firstLine="0"/>
              <w:jc w:val="both"/>
              <w:rPr>
                <w:sz w:val="18"/>
                <w:szCs w:val="18"/>
              </w:rPr>
            </w:pPr>
            <w:r>
              <w:rPr>
                <w:b/>
                <w:bCs/>
                <w:color w:val="FFFFFF"/>
                <w:spacing w:val="0"/>
                <w:w w:val="100"/>
                <w:position w:val="0"/>
                <w:sz w:val="15"/>
                <w:szCs w:val="15"/>
              </w:rPr>
              <w:t>通股股东总</w:t>
              <w:tab/>
            </w:r>
            <w:r>
              <w:rPr>
                <w:rFonts w:ascii="Times New Roman" w:eastAsia="Times New Roman" w:hAnsi="Times New Roman" w:cs="Times New Roman"/>
                <w:color w:val="000000"/>
                <w:spacing w:val="0"/>
                <w:w w:val="100"/>
                <w:position w:val="0"/>
                <w:sz w:val="18"/>
                <w:szCs w:val="18"/>
              </w:rPr>
              <w:t>7,616</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480"/>
              <w:jc w:val="left"/>
            </w:pPr>
            <w:r>
              <w:rPr>
                <w:b/>
                <w:bCs/>
                <w:color w:val="FFFFFF"/>
                <w:spacing w:val="0"/>
                <w:w w:val="100"/>
                <w:position w:val="0"/>
              </w:rPr>
              <w:t>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center"/>
            </w:pPr>
            <w:r>
              <w:rPr>
                <w:b/>
                <w:bCs/>
                <w:color w:val="FFFFFF"/>
                <w:spacing w:val="0"/>
                <w:w w:val="100"/>
                <w:position w:val="0"/>
              </w:rPr>
              <w:t>年度报告 披露日前 上一月末 普通股股 东总数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7,009</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0"/>
              <w:jc w:val="center"/>
            </w:pPr>
            <w:r>
              <w:rPr>
                <w:b/>
                <w:bCs/>
                <w:color w:val="FFFFFF"/>
                <w:spacing w:val="0"/>
                <w:w w:val="100"/>
                <w:position w:val="0"/>
              </w:rPr>
              <w:t>报告期末 表决权恢 复的优先 股股东总</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2" w:lineRule="exact"/>
              <w:ind w:left="0" w:right="0" w:firstLine="380"/>
              <w:jc w:val="left"/>
            </w:pPr>
            <w:r>
              <w:rPr>
                <w:b/>
                <w:bCs/>
                <w:color w:val="FFFFFF"/>
                <w:spacing w:val="0"/>
                <w:w w:val="100"/>
                <w:position w:val="0"/>
              </w:rPr>
              <w:t>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pPr>
            <w:r>
              <w:rPr>
                <w:b/>
                <w:bCs/>
                <w:color w:val="FFFFFF"/>
                <w:spacing w:val="0"/>
                <w:w w:val="100"/>
                <w:position w:val="0"/>
              </w:rPr>
              <w:t>年度报告披露日前上 一月末表决权恢复的 优先股股东总数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tabs>
                <w:tab w:pos="1205" w:val="left"/>
              </w:tabs>
              <w:bidi w:val="0"/>
              <w:spacing w:before="0" w:after="0" w:line="240" w:lineRule="auto"/>
              <w:ind w:left="0" w:right="0" w:firstLine="0"/>
              <w:jc w:val="left"/>
            </w:pPr>
            <w:r>
              <w:rPr>
                <w:b/>
                <w:bCs/>
                <w:color w:val="EBEBEB"/>
                <w:spacing w:val="0"/>
                <w:w w:val="100"/>
                <w:position w:val="0"/>
              </w:rPr>
              <w:t>孙颖</w:t>
              <w:tab/>
            </w:r>
            <w:r>
              <w:rPr>
                <w:color w:val="000000"/>
                <w:spacing w:val="0"/>
                <w:w w:val="100"/>
                <w:position w:val="0"/>
              </w:rPr>
              <w:t>境内自然人</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877,000</w:t>
            </w:r>
          </w:p>
        </w:tc>
        <w:tc>
          <w:tcPr>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tabs>
                <w:tab w:pos="1205" w:val="left"/>
              </w:tabs>
              <w:bidi w:val="0"/>
              <w:spacing w:before="0" w:after="0" w:line="240" w:lineRule="auto"/>
              <w:ind w:left="0" w:right="0" w:firstLine="0"/>
              <w:jc w:val="left"/>
            </w:pPr>
            <w:r>
              <w:rPr>
                <w:b/>
                <w:bCs/>
                <w:color w:val="EBEBEB"/>
                <w:spacing w:val="0"/>
                <w:w w:val="100"/>
                <w:position w:val="0"/>
              </w:rPr>
              <w:t>梁金敏</w:t>
              <w:tab/>
            </w: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471,440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471,440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tabs>
                <w:tab w:pos="1205" w:val="left"/>
              </w:tabs>
              <w:bidi w:val="0"/>
              <w:spacing w:before="0" w:after="0" w:line="240" w:lineRule="auto"/>
              <w:ind w:left="0" w:right="0" w:firstLine="0"/>
              <w:jc w:val="left"/>
            </w:pPr>
            <w:r>
              <w:rPr>
                <w:b/>
                <w:bCs/>
                <w:color w:val="EBEBEB"/>
                <w:spacing w:val="0"/>
                <w:w w:val="100"/>
                <w:position w:val="0"/>
              </w:rPr>
              <w:t>刘玉艳</w:t>
              <w:tab/>
            </w:r>
            <w:r>
              <w:rPr>
                <w:color w:val="000000"/>
                <w:spacing w:val="0"/>
                <w:w w:val="100"/>
                <w:position w:val="0"/>
              </w:rPr>
              <w:t>境内自然人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450,700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450,700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787"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战略投资者或一般法人因配 售新股成为前</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名股东的 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63" w:hRule="exact"/>
        </w:trPr>
        <w:tc>
          <w:tcPr>
            <w:tcBorders/>
            <w:shd w:val="clear" w:color="auto" w:fill="A6A6A6"/>
            <w:vAlign w:val="top"/>
          </w:tcPr>
          <w:p>
            <w:pPr>
              <w:widowControl w:val="0"/>
              <w:rPr>
                <w:sz w:val="10"/>
                <w:szCs w:val="10"/>
              </w:rPr>
            </w:pPr>
          </w:p>
        </w:tc>
        <w:tc>
          <w:tcPr>
            <w:gridSpan w:val="7"/>
            <w:vMerge w:val="restart"/>
            <w:tcBorders>
              <w:top w:val="single" w:sz="4"/>
            </w:tcBorders>
            <w:shd w:val="clear" w:color="auto" w:fill="F9ECF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股东北京达安世纪投资管理有限公司与股东北京悦华众城投资管理中心（有限合伙）为同 一实际控制人刘铁峰所控制的企业。除此之外，公司未知前十名股东之间是否存在其他关 联关系。</w:t>
            </w:r>
          </w:p>
        </w:tc>
      </w:tr>
      <w:tr>
        <w:trPr>
          <w:trHeight w:val="624" w:hRule="exact"/>
        </w:trPr>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795" w:val="left"/>
              </w:tabs>
              <w:bidi w:val="0"/>
              <w:spacing w:before="0" w:after="0" w:line="240" w:lineRule="auto"/>
              <w:ind w:left="0" w:right="0" w:firstLine="0"/>
              <w:jc w:val="left"/>
            </w:pPr>
            <w:r>
              <w:rPr>
                <w:b/>
                <w:bCs/>
                <w:color w:val="FFFFFF"/>
                <w:spacing w:val="0"/>
                <w:w w:val="100"/>
                <w:position w:val="0"/>
              </w:rPr>
              <w:t>上述股东关联关系或</w:t>
              <w:tab/>
              <w:t>致</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丁</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动的说明</w:t>
            </w:r>
          </w:p>
        </w:tc>
        <w:tc>
          <w:tcPr>
            <w:gridSpan w:val="7"/>
            <w:vMerge/>
            <w:tcBorders/>
            <w:shd w:val="clear" w:color="auto" w:fill="F9ECF3"/>
            <w:vAlign w:val="center"/>
          </w:tcPr>
          <w:p>
            <w:pPr/>
          </w:p>
        </w:tc>
      </w:tr>
      <w:tr>
        <w:trPr>
          <w:trHeight w:val="331" w:hRule="exact"/>
        </w:trPr>
        <w:tc>
          <w:tcPr>
            <w:gridSpan w:val="8"/>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前</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名无限售条件股东持股情况</w:t>
            </w:r>
          </w:p>
        </w:tc>
      </w:tr>
      <w:tr>
        <w:trPr>
          <w:trHeight w:val="322" w:hRule="exact"/>
        </w:trPr>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股份种类</w:t>
            </w:r>
          </w:p>
        </w:tc>
      </w:tr>
      <w:tr>
        <w:trPr>
          <w:trHeight w:val="557"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股东名称</w:t>
            </w:r>
          </w:p>
        </w:tc>
        <w:tc>
          <w:tcPr>
            <w:tcBorders/>
            <w:shd w:val="clear" w:color="auto" w:fill="A6A6A6"/>
            <w:vAlign w:val="top"/>
          </w:tcPr>
          <w:p>
            <w:pPr>
              <w:widowControl w:val="0"/>
              <w:rPr>
                <w:sz w:val="10"/>
                <w:szCs w:val="10"/>
              </w:rPr>
            </w:pPr>
          </w:p>
        </w:tc>
        <w:tc>
          <w:tcPr>
            <w:gridSpan w:val="3"/>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报告期末持有无限售条件股份数量</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股份种</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类</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数量</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赵新宇</w:t>
            </w: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30,653,840</w:t>
            </w:r>
          </w:p>
        </w:tc>
        <w:tc>
          <w:tcPr>
            <w:tcBorders/>
            <w:shd w:val="clear" w:color="auto" w:fill="F9ECF3"/>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30,653,840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高锋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2,033,200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2,033,200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李树强</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1,039,580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1,039,580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北京百华悦邦科技股份有限 公司回购专用证券账户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877,000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877,000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孙颖</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480,000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梁金敏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471,440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471,440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刘玉艳</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450,700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450,700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法国兴业银行</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398,800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398,800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孙益民</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391,200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5" w:lineRule="exact"/>
              <w:ind w:left="0" w:right="0" w:firstLine="160"/>
              <w:jc w:val="both"/>
            </w:pPr>
            <w:r>
              <w:rPr>
                <w:color w:val="000000"/>
                <w:spacing w:val="0"/>
                <w:w w:val="100"/>
                <w:position w:val="0"/>
              </w:rPr>
              <w:t>人民币 普通股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391,200</w:t>
            </w: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both"/>
            </w:pPr>
            <w:r>
              <w:rPr>
                <w:b/>
                <w:bCs/>
                <w:color w:val="FFFFFF"/>
                <w:spacing w:val="0"/>
                <w:w w:val="100"/>
                <w:position w:val="0"/>
              </w:rPr>
              <w:t>上海明,投资管理有限公司 一明波价值成长</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期私募投 资基金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390,960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160"/>
              <w:jc w:val="both"/>
            </w:pPr>
            <w:r>
              <w:rPr>
                <w:color w:val="000000"/>
                <w:spacing w:val="0"/>
                <w:w w:val="100"/>
                <w:position w:val="0"/>
              </w:rPr>
              <w:t>人民币 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390,960</w:t>
            </w:r>
          </w:p>
        </w:tc>
      </w:tr>
      <w:tr>
        <w:trPr>
          <w:trHeight w:val="33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前</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名无限售流通股股东</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926"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8" w:lineRule="exact"/>
              <w:ind w:left="0" w:right="0" w:firstLine="0"/>
              <w:jc w:val="both"/>
            </w:pPr>
            <w:r>
              <w:rPr>
                <w:b/>
                <w:bCs/>
                <w:color w:val="FFFFFF"/>
                <w:spacing w:val="0"/>
                <w:w w:val="100"/>
                <w:position w:val="0"/>
              </w:rPr>
              <w:t>之间，以及前</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名无限售流 通股股东和前</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名股东之 间关联关系或一致行动的说 明</w:t>
            </w:r>
          </w:p>
        </w:tc>
        <w:tc>
          <w:tcPr>
            <w:gridSpan w:val="7"/>
            <w:tcBorders/>
            <w:shd w:val="clear" w:color="auto" w:fill="F9ECF3"/>
            <w:vAlign w:val="top"/>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之间是否存在关联关系，也未知是否属于一致行动人。</w:t>
            </w:r>
          </w:p>
        </w:tc>
      </w:tr>
      <w:tr>
        <w:trPr>
          <w:trHeight w:val="105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参与融资融券业务股东情况 说明</w:t>
            </w:r>
          </w:p>
        </w:tc>
        <w:tc>
          <w:tcPr>
            <w:gridSpan w:val="7"/>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股东李树强通过国联证券股份有限公司客户信用交易担保证券账户，持有公司股份 </w:t>
            </w:r>
            <w:r>
              <w:rPr>
                <w:rFonts w:ascii="Times New Roman" w:eastAsia="Times New Roman" w:hAnsi="Times New Roman" w:cs="Times New Roman"/>
                <w:color w:val="000000"/>
                <w:spacing w:val="0"/>
                <w:w w:val="100"/>
                <w:position w:val="0"/>
                <w:sz w:val="18"/>
                <w:szCs w:val="18"/>
              </w:rPr>
              <w:t>1,039,580</w:t>
            </w:r>
            <w:r>
              <w:rPr>
                <w:color w:val="000000"/>
                <w:spacing w:val="0"/>
                <w:w w:val="100"/>
                <w:position w:val="0"/>
              </w:rPr>
              <w:t>股。股东梁金敏通过中国银河证券股份有限公司客户信用交易担保证券账户， 持有公司股份</w:t>
            </w:r>
            <w:r>
              <w:rPr>
                <w:rFonts w:ascii="Times New Roman" w:eastAsia="Times New Roman" w:hAnsi="Times New Roman" w:cs="Times New Roman"/>
                <w:color w:val="000000"/>
                <w:spacing w:val="0"/>
                <w:w w:val="100"/>
                <w:position w:val="0"/>
                <w:sz w:val="18"/>
                <w:szCs w:val="18"/>
              </w:rPr>
              <w:t>471,440</w:t>
            </w:r>
            <w:r>
              <w:rPr>
                <w:color w:val="000000"/>
                <w:spacing w:val="0"/>
                <w:w w:val="100"/>
                <w:position w:val="0"/>
              </w:rPr>
              <w:t>股。股东刘玉艳通过长城证券股份有限公司客户信用交易担保证券 账户，持有公司股份</w:t>
            </w:r>
            <w:r>
              <w:rPr>
                <w:rFonts w:ascii="Times New Roman" w:eastAsia="Times New Roman" w:hAnsi="Times New Roman" w:cs="Times New Roman"/>
                <w:color w:val="000000"/>
                <w:spacing w:val="0"/>
                <w:w w:val="100"/>
                <w:position w:val="0"/>
                <w:sz w:val="18"/>
                <w:szCs w:val="18"/>
              </w:rPr>
              <w:t>450,700</w:t>
            </w:r>
            <w:r>
              <w:rPr>
                <w:color w:val="000000"/>
                <w:spacing w:val="0"/>
                <w:w w:val="100"/>
                <w:position w:val="0"/>
              </w:rPr>
              <w:t>股。</w:t>
            </w:r>
          </w:p>
        </w:tc>
      </w:tr>
    </w:tbl>
    <w:p>
      <w:pPr>
        <w:pStyle w:val="Style45"/>
        <w:keepNext w:val="0"/>
        <w:keepLines w:val="0"/>
        <w:widowControl w:val="0"/>
        <w:shd w:val="clear" w:color="auto" w:fill="auto"/>
        <w:bidi w:val="0"/>
        <w:spacing w:before="0" w:after="0" w:line="240" w:lineRule="auto"/>
        <w:ind w:left="72"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9"/>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、公司控股股东情况</w:t>
      </w:r>
      <w:bookmarkEnd w:id="465"/>
      <w:bookmarkEnd w:id="466"/>
      <w:bookmarkEnd w:id="46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198"/>
        <w:gridCol w:w="1814"/>
        <w:gridCol w:w="1786"/>
        <w:gridCol w:w="1963"/>
        <w:gridCol w:w="1877"/>
      </w:tblGrid>
      <w:tr>
        <w:trPr>
          <w:trHeight w:val="74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b/>
                <w:bCs/>
                <w:color w:val="FFFFFF"/>
                <w:spacing w:val="0"/>
                <w:w w:val="100"/>
                <w:position w:val="0"/>
              </w:rPr>
              <w:t>控股股东名称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center"/>
            </w:pPr>
            <w:r>
              <w:rPr>
                <w:b/>
                <w:bCs/>
                <w:color w:val="FFFFFF"/>
                <w:spacing w:val="0"/>
                <w:w w:val="100"/>
                <w:position w:val="0"/>
              </w:rPr>
              <w:t>法定代表人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单位负 责人</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成立日期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组织机构代码</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主要经营业务</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北京达安世纪投资管理</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刘铁峰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91110105667529885A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投资管理;投资咨询。</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北京悦华众城投资管理</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中心（有限合伙）</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北京达安世纪投资 管理有限公司（委派 刘铁峰为代表）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91110105587699892K</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投资管理;投资咨询。</w:t>
            </w:r>
          </w:p>
        </w:tc>
      </w:tr>
      <w:tr>
        <w:trPr>
          <w:trHeight w:val="82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控股股东报告期内控股 和参股的其他境内外上 市公司的股权情况</w:t>
            </w:r>
          </w:p>
        </w:tc>
        <w:tc>
          <w:tcPr>
            <w:gridSpan w:val="4"/>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9"/>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3</w:t>
      </w:r>
      <w:bookmarkEnd w:id="471"/>
      <w:r>
        <w:rPr>
          <w:color w:val="000000"/>
          <w:spacing w:val="0"/>
          <w:w w:val="100"/>
          <w:position w:val="0"/>
        </w:rPr>
        <w:t>、公司实际控制人及其一致行动人</w:t>
      </w:r>
      <w:bookmarkEnd w:id="469"/>
      <w:bookmarkEnd w:id="470"/>
      <w:bookmarkEnd w:id="47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5"/>
        <w:gridCol w:w="2664"/>
        <w:gridCol w:w="1670"/>
        <w:gridCol w:w="2851"/>
      </w:tblGrid>
      <w:tr>
        <w:trPr>
          <w:trHeight w:val="74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实际控制人姓名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与实际控制人关系</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国籍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是否取得其他国家或地区居 留权</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刘铁峰</w:t>
            </w:r>
          </w:p>
        </w:tc>
        <w:tc>
          <w:tcPr>
            <w:tcBorders/>
            <w:shd w:val="clear" w:color="auto" w:fill="7E3F63"/>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主要职业及职务</w:t>
            </w:r>
          </w:p>
        </w:tc>
        <w:tc>
          <w:tcPr>
            <w:gridSpan w:val="3"/>
            <w:tcBorders>
              <w:top w:val="single" w:sz="4"/>
            </w:tcBorders>
            <w:shd w:val="clear" w:color="auto" w:fill="A22B6F"/>
            <w:vAlign w:val="top"/>
          </w:tcPr>
          <w:p>
            <w:pPr>
              <w:widowControl w:val="0"/>
              <w:rPr>
                <w:sz w:val="10"/>
                <w:szCs w:val="10"/>
              </w:rPr>
            </w:pPr>
          </w:p>
        </w:tc>
      </w:tr>
      <w:tr>
        <w:trPr>
          <w:trHeight w:val="74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6" w:lineRule="exact"/>
              <w:ind w:left="0" w:right="0" w:firstLine="0"/>
              <w:jc w:val="left"/>
            </w:pPr>
            <w:r>
              <w:rPr>
                <w:b/>
                <w:bCs/>
                <w:color w:val="FFFFFF"/>
                <w:spacing w:val="0"/>
                <w:w w:val="100"/>
                <w:position w:val="0"/>
              </w:rPr>
              <w:t>过去</w:t>
            </w:r>
            <w:r>
              <w:rPr>
                <w:rFonts w:ascii="Times New Roman" w:eastAsia="Times New Roman" w:hAnsi="Times New Roman" w:cs="Times New Roman"/>
                <w:b/>
                <w:bCs/>
                <w:color w:val="FFFFFF"/>
                <w:spacing w:val="0"/>
                <w:w w:val="100"/>
                <w:position w:val="0"/>
                <w:sz w:val="18"/>
                <w:szCs w:val="18"/>
              </w:rPr>
              <w:t>10</w:t>
            </w:r>
            <w:r>
              <w:rPr>
                <w:b/>
                <w:bCs/>
                <w:color w:val="FFFFFF"/>
                <w:spacing w:val="0"/>
                <w:w w:val="100"/>
                <w:position w:val="0"/>
              </w:rPr>
              <w:t>年曾控股的境内外 上市公司情况</w:t>
            </w:r>
          </w:p>
        </w:tc>
        <w:tc>
          <w:tcPr>
            <w:gridSpan w:val="3"/>
            <w:tcBorders>
              <w:top w:val="single" w:sz="4"/>
              <w:bottom w:val="single" w:sz="4"/>
            </w:tcBorders>
            <w:shd w:val="clear" w:color="auto" w:fill="A22B6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76015" cy="2536190"/>
            <wp:docPr id="304" name="Picutre 304"/>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39"/>
                    <a:stretch/>
                  </pic:blipFill>
                  <pic:spPr>
                    <a:xfrm>
                      <a:ext cx="3676015" cy="2536190"/>
                    </a:xfrm>
                    <a:prstGeom prst="rect"/>
                  </pic:spPr>
                </pic:pic>
              </a:graphicData>
            </a:graphic>
          </wp:inline>
        </w:drawing>
      </w:r>
    </w:p>
    <w:p>
      <w:pPr>
        <w:widowControl w:val="0"/>
        <w:spacing w:after="2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4</w:t>
      </w:r>
      <w:bookmarkEnd w:id="47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3"/>
      <w:bookmarkEnd w:id="474"/>
      <w:bookmarkEnd w:id="47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5</w:t>
      </w:r>
      <w:bookmarkEnd w:id="479"/>
      <w:r>
        <w:rPr>
          <w:color w:val="000000"/>
          <w:spacing w:val="0"/>
          <w:w w:val="100"/>
          <w:position w:val="0"/>
        </w:rPr>
        <w:t>、控股股东、实际控制人、重组方及其他承诺主体股份限制减持情况</w:t>
      </w:r>
      <w:bookmarkEnd w:id="477"/>
      <w:bookmarkEnd w:id="478"/>
      <w:bookmarkEnd w:id="480"/>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66" w:h="17375"/>
          <w:pgMar w:top="1574" w:right="1112" w:bottom="1733"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560" w:line="240" w:lineRule="auto"/>
        <w:ind w:left="0" w:right="0" w:firstLine="0"/>
        <w:jc w:val="center"/>
      </w:pPr>
      <w:bookmarkStart w:id="481" w:name="bookmark481"/>
      <w:bookmarkStart w:id="482" w:name="bookmark482"/>
      <w:bookmarkStart w:id="483" w:name="bookmark483"/>
      <w:r>
        <w:rPr>
          <w:spacing w:val="0"/>
          <w:w w:val="100"/>
          <w:position w:val="0"/>
        </w:rPr>
        <w:t>第七节优先股相关情况</w:t>
      </w:r>
      <w:bookmarkEnd w:id="481"/>
      <w:bookmarkEnd w:id="482"/>
      <w:bookmarkEnd w:id="48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66" w:h="17375"/>
          <w:pgMar w:top="2227" w:right="1272" w:bottom="2227" w:left="1042" w:header="0" w:footer="3" w:gutter="0"/>
          <w:cols w:space="720"/>
          <w:noEndnote/>
          <w:rtlGutter w:val="0"/>
          <w:docGrid w:linePitch="360"/>
        </w:sectPr>
      </w:pPr>
      <w:r>
        <w:rPr>
          <w:color w:val="000000"/>
          <w:spacing w:val="0"/>
          <w:w w:val="100"/>
          <w:position w:val="0"/>
        </w:rPr>
        <w:t>报告期公司不存在优先股。</w:t>
      </w:r>
    </w:p>
    <w:p>
      <w:pPr>
        <w:pStyle w:val="Style22"/>
        <w:keepNext/>
        <w:keepLines/>
        <w:widowControl w:val="0"/>
        <w:shd w:val="clear" w:color="auto" w:fill="auto"/>
        <w:bidi w:val="0"/>
        <w:spacing w:before="0" w:after="560" w:line="240" w:lineRule="auto"/>
        <w:ind w:left="0" w:right="0" w:firstLine="0"/>
        <w:jc w:val="center"/>
      </w:pPr>
      <w:bookmarkStart w:id="484" w:name="bookmark484"/>
      <w:bookmarkStart w:id="485" w:name="bookmark485"/>
      <w:bookmarkStart w:id="486" w:name="bookmark486"/>
      <w:r>
        <w:rPr>
          <w:spacing w:val="0"/>
          <w:w w:val="100"/>
          <w:position w:val="0"/>
        </w:rPr>
        <w:t>第八节可转换公司债券相关情况</w:t>
      </w:r>
      <w:bookmarkEnd w:id="484"/>
      <w:bookmarkEnd w:id="485"/>
      <w:bookmarkEnd w:id="48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66" w:h="17375"/>
          <w:pgMar w:top="2227" w:right="1272" w:bottom="2227" w:left="1042" w:header="0" w:footer="3" w:gutter="0"/>
          <w:cols w:space="720"/>
          <w:noEndnote/>
          <w:rtlGutter w:val="0"/>
          <w:docGrid w:linePitch="360"/>
        </w:sectPr>
      </w:pPr>
      <w:r>
        <w:rPr>
          <w:color w:val="000000"/>
          <w:spacing w:val="0"/>
          <w:w w:val="100"/>
          <w:position w:val="0"/>
        </w:rPr>
        <w:t>报告期公司不存在可转换公司债券。</w:t>
      </w:r>
    </w:p>
    <w:p>
      <w:pPr>
        <w:pStyle w:val="Style22"/>
        <w:keepNext/>
        <w:keepLines/>
        <w:widowControl w:val="0"/>
        <w:shd w:val="clear" w:color="auto" w:fill="auto"/>
        <w:bidi w:val="0"/>
        <w:spacing w:before="620" w:after="520" w:line="240" w:lineRule="auto"/>
        <w:ind w:left="0" w:right="0" w:firstLine="0"/>
        <w:jc w:val="center"/>
      </w:pPr>
      <w:bookmarkStart w:id="487" w:name="bookmark487"/>
      <w:bookmarkStart w:id="488" w:name="bookmark488"/>
      <w:bookmarkStart w:id="489" w:name="bookmark489"/>
      <w:r>
        <w:rPr>
          <w:spacing w:val="0"/>
          <w:w w:val="100"/>
          <w:position w:val="0"/>
        </w:rPr>
        <w:t>第九节董事、监事、高级管理人员和员工情况</w:t>
      </w:r>
      <w:bookmarkEnd w:id="487"/>
      <w:bookmarkEnd w:id="488"/>
      <w:bookmarkEnd w:id="489"/>
    </w:p>
    <w:p>
      <w:pPr>
        <w:pStyle w:val="Style39"/>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一</w:t>
      </w:r>
      <w:bookmarkEnd w:id="492"/>
      <w:r>
        <w:rPr>
          <w:color w:val="000000"/>
          <w:spacing w:val="0"/>
          <w:w w:val="100"/>
          <w:position w:val="0"/>
          <w:sz w:val="24"/>
          <w:szCs w:val="24"/>
        </w:rPr>
        <w:t>、董事、监事和高级管理人员持股变动</w:t>
      </w:r>
      <w:bookmarkEnd w:id="490"/>
      <w:bookmarkEnd w:id="491"/>
      <w:bookmarkEnd w:id="493"/>
    </w:p>
    <w:tbl>
      <w:tblPr>
        <w:tblOverlap w:val="never"/>
        <w:jc w:val="center"/>
        <w:tblLayout w:type="fixed"/>
      </w:tblPr>
      <w:tblGrid>
        <w:gridCol w:w="797"/>
        <w:gridCol w:w="806"/>
        <w:gridCol w:w="883"/>
        <w:gridCol w:w="701"/>
        <w:gridCol w:w="710"/>
        <w:gridCol w:w="888"/>
        <w:gridCol w:w="778"/>
        <w:gridCol w:w="830"/>
        <w:gridCol w:w="1594"/>
        <w:gridCol w:w="1594"/>
      </w:tblGrid>
      <w:tr>
        <w:trPr>
          <w:trHeight w:val="10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姓名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职务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任职状态</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性别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年龄</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003" w:val="left"/>
              </w:tabs>
              <w:bidi w:val="0"/>
              <w:spacing w:before="0" w:after="0" w:line="312" w:lineRule="exact"/>
              <w:ind w:left="0" w:right="0" w:firstLine="0"/>
              <w:jc w:val="right"/>
            </w:pPr>
            <w:r>
              <w:rPr>
                <w:b/>
                <w:bCs/>
                <w:color w:val="FFFFFF"/>
                <w:spacing w:val="0"/>
                <w:w w:val="100"/>
                <w:position w:val="0"/>
              </w:rPr>
              <w:t>任期起始任期终止期初持股 日期</w:t>
              <w:tab/>
              <w:t>日期数（股）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right"/>
            </w:pPr>
            <w:r>
              <w:rPr>
                <w:b/>
                <w:bCs/>
                <w:color w:val="FFFFFF"/>
                <w:spacing w:val="0"/>
                <w:w w:val="100"/>
                <w:position w:val="0"/>
              </w:rPr>
              <w:t>本期增持本期减持</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right"/>
            </w:pPr>
            <w:r>
              <w:rPr>
                <w:b/>
                <w:bCs/>
                <w:color w:val="FFFFFF"/>
                <w:spacing w:val="0"/>
                <w:w w:val="100"/>
                <w:position w:val="0"/>
              </w:rPr>
              <w:t>股份数量股份数量</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792" w:val="left"/>
              </w:tabs>
              <w:bidi w:val="0"/>
              <w:spacing w:before="0" w:after="120" w:line="240" w:lineRule="auto"/>
              <w:ind w:left="0" w:right="0" w:firstLine="0"/>
              <w:jc w:val="both"/>
            </w:pPr>
            <w:r>
              <w:rPr>
                <w:b/>
                <w:bCs/>
                <w:color w:val="FFFFFF"/>
                <w:spacing w:val="0"/>
                <w:w w:val="100"/>
                <w:position w:val="0"/>
              </w:rPr>
              <w:t>（股）</w:t>
              <w:tab/>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2" w:lineRule="exact"/>
              <w:ind w:left="0" w:right="0" w:firstLine="0"/>
              <w:jc w:val="right"/>
            </w:pPr>
            <w:r>
              <w:rPr>
                <w:b/>
                <w:bCs/>
                <w:color w:val="FFFFFF"/>
                <w:spacing w:val="0"/>
                <w:w w:val="100"/>
                <w:position w:val="0"/>
              </w:rPr>
              <w:t>其他增减期末持股 变动（股）数（股）</w:t>
            </w:r>
          </w:p>
        </w:tc>
      </w:tr>
      <w:tr>
        <w:trPr>
          <w:trHeight w:val="734"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rPr>
                <w:sz w:val="18"/>
                <w:szCs w:val="18"/>
              </w:rPr>
            </w:pPr>
            <w:r>
              <w:rPr>
                <w:rFonts w:ascii="Times New Roman" w:eastAsia="Times New Roman" w:hAnsi="Times New Roman" w:cs="Times New Roman"/>
                <w:b/>
                <w:bCs/>
                <w:color w:val="FFFFFF"/>
                <w:spacing w:val="0"/>
                <w:w w:val="100"/>
                <w:position w:val="0"/>
                <w:sz w:val="18"/>
                <w:szCs w:val="18"/>
              </w:rPr>
              <w:t>CHEN LI YA</w:t>
            </w:r>
          </w:p>
        </w:tc>
        <w:tc>
          <w:tcPr>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董事、财 务负责</w:t>
            </w:r>
          </w:p>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人、董事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shd w:val="clear" w:color="auto" w:fill="FFFFFF"/>
            <w:vAlign w:val="bottom"/>
          </w:tcPr>
          <w:p>
            <w:pPr>
              <w:pStyle w:val="Style2"/>
              <w:keepNext w:val="0"/>
              <w:keepLines w:val="0"/>
              <w:widowControl w:val="0"/>
              <w:shd w:val="clear" w:color="auto" w:fill="auto"/>
              <w:tabs>
                <w:tab w:pos="1492" w:val="left"/>
              </w:tabs>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shd w:val="clear" w:color="auto" w:fill="FFFFFF"/>
            <w:vAlign w:val="bottom"/>
          </w:tcPr>
          <w:p>
            <w:pPr>
              <w:pStyle w:val="Style2"/>
              <w:keepNext w:val="0"/>
              <w:keepLines w:val="0"/>
              <w:widowControl w:val="0"/>
              <w:shd w:val="clear" w:color="auto" w:fill="auto"/>
              <w:tabs>
                <w:tab w:pos="956" w:val="left"/>
              </w:tabs>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72,000</w:t>
              <w:tab/>
              <w:t>288,000</w:t>
            </w:r>
          </w:p>
        </w:tc>
      </w:tr>
      <w:tr>
        <w:trPr>
          <w:trHeight w:val="283" w:hRule="exact"/>
        </w:trPr>
        <w:tc>
          <w:tcPr>
            <w:tcBorders/>
            <w:shd w:val="clear" w:color="auto" w:fill="A6A6A6"/>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A6A6A6"/>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240"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陈进</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11</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12</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4,053,600</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-1,013,400</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-3,040,200</w:t>
            </w:r>
          </w:p>
        </w:tc>
      </w:tr>
      <w:tr>
        <w:trPr>
          <w:trHeight w:val="274" w:hRule="exact"/>
        </w:trPr>
        <w:tc>
          <w:tcPr>
            <w:tcBorders/>
            <w:shd w:val="clear" w:color="auto" w:fill="A6A6A6"/>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日</w:t>
            </w: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r>
      <w:tr>
        <w:trPr>
          <w:trHeight w:val="274" w:hRule="exact"/>
        </w:trPr>
        <w:tc>
          <w:tcPr>
            <w:tcBorders/>
            <w:shd w:val="clear" w:color="auto" w:fill="A6A6A6"/>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朱翠明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监事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shd w:val="clear" w:color="auto" w:fill="FFFFFF"/>
            <w:vAlign w:val="bottom"/>
          </w:tcPr>
          <w:p>
            <w:pPr>
              <w:pStyle w:val="Style2"/>
              <w:keepNext w:val="0"/>
              <w:keepLines w:val="0"/>
              <w:widowControl w:val="0"/>
              <w:shd w:val="clear" w:color="auto" w:fill="auto"/>
              <w:tabs>
                <w:tab w:pos="1161" w:val="left"/>
              </w:tabs>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tab/>
              <w:t>1,500</w:t>
            </w:r>
          </w:p>
        </w:tc>
        <w:tc>
          <w:tcPr>
            <w:tcBorders/>
            <w:shd w:val="clear" w:color="auto" w:fill="FFFFFF"/>
            <w:vAlign w:val="bottom"/>
          </w:tcPr>
          <w:p>
            <w:pPr>
              <w:pStyle w:val="Style2"/>
              <w:keepNext w:val="0"/>
              <w:keepLines w:val="0"/>
              <w:widowControl w:val="0"/>
              <w:shd w:val="clear" w:color="auto" w:fill="auto"/>
              <w:tabs>
                <w:tab w:pos="44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tab/>
              <w:t>4,500</w:t>
            </w:r>
          </w:p>
        </w:tc>
      </w:tr>
      <w:tr>
        <w:trPr>
          <w:trHeight w:val="278" w:hRule="exact"/>
        </w:trPr>
        <w:tc>
          <w:tcPr>
            <w:tcBorders/>
            <w:shd w:val="clear" w:color="auto" w:fill="A6A6A6"/>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A6A6A6"/>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240"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李岩</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20</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12</w:t>
            </w:r>
          </w:p>
        </w:tc>
        <w:tc>
          <w:tcPr>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95,400</w:t>
            </w:r>
          </w:p>
        </w:tc>
        <w:tc>
          <w:tcPr>
            <w:tcBorders/>
            <w:shd w:val="clear" w:color="auto" w:fill="F9ECF3"/>
            <w:vAlign w:val="center"/>
          </w:tcPr>
          <w:p>
            <w:pPr>
              <w:pStyle w:val="Style2"/>
              <w:keepNext w:val="0"/>
              <w:keepLines w:val="0"/>
              <w:widowControl w:val="0"/>
              <w:shd w:val="clear" w:color="auto" w:fill="auto"/>
              <w:tabs>
                <w:tab w:pos="1492" w:val="left"/>
              </w:tabs>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shd w:val="clear" w:color="auto" w:fill="F9ECF3"/>
            <w:vAlign w:val="bottom"/>
          </w:tcPr>
          <w:p>
            <w:pPr>
              <w:pStyle w:val="Style2"/>
              <w:keepNext w:val="0"/>
              <w:keepLines w:val="0"/>
              <w:widowControl w:val="0"/>
              <w:shd w:val="clear" w:color="auto" w:fill="auto"/>
              <w:tabs>
                <w:tab w:pos="1057" w:val="left"/>
              </w:tabs>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21,600</w:t>
              <w:tab/>
              <w:t>73,800</w:t>
            </w:r>
          </w:p>
        </w:tc>
      </w:tr>
      <w:tr>
        <w:trPr>
          <w:trHeight w:val="274" w:hRule="exact"/>
        </w:trPr>
        <w:tc>
          <w:tcPr>
            <w:tcBorders/>
            <w:shd w:val="clear" w:color="auto" w:fill="A6A6A6"/>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日</w:t>
            </w: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魏亚锋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职工代表 监事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tcBorders>
            <w:shd w:val="clear" w:color="auto" w:fill="FFFFFF"/>
            <w:vAlign w:val="center"/>
          </w:tcPr>
          <w:p>
            <w:pPr>
              <w:pStyle w:val="Style2"/>
              <w:keepNext w:val="0"/>
              <w:keepLines w:val="0"/>
              <w:widowControl w:val="0"/>
              <w:shd w:val="clear" w:color="auto" w:fill="auto"/>
              <w:tabs>
                <w:tab w:pos="1151" w:val="left"/>
              </w:tabs>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tab/>
              <w:t>3,000</w:t>
            </w:r>
          </w:p>
        </w:tc>
        <w:tc>
          <w:tcPr>
            <w:tcBorders>
              <w:top w:val="single" w:sz="4"/>
            </w:tcBorders>
            <w:shd w:val="clear" w:color="auto" w:fill="FFFFFF"/>
            <w:vAlign w:val="center"/>
          </w:tcPr>
          <w:p>
            <w:pPr>
              <w:pStyle w:val="Style2"/>
              <w:keepNext w:val="0"/>
              <w:keepLines w:val="0"/>
              <w:widowControl w:val="0"/>
              <w:shd w:val="clear" w:color="auto" w:fill="auto"/>
              <w:tabs>
                <w:tab w:pos="451"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tab/>
              <w:t>9,000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合计</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4,527,000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-1,017,900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93,600 3,415,500</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二</w:t>
      </w:r>
      <w:bookmarkEnd w:id="496"/>
      <w:r>
        <w:rPr>
          <w:color w:val="000000"/>
          <w:spacing w:val="0"/>
          <w:w w:val="100"/>
          <w:position w:val="0"/>
          <w:sz w:val="24"/>
          <w:szCs w:val="24"/>
        </w:rPr>
        <w:t>、公司董事、监事、高级管理人员变动情况</w:t>
      </w:r>
      <w:bookmarkEnd w:id="494"/>
      <w:bookmarkEnd w:id="495"/>
      <w:bookmarkEnd w:id="497"/>
    </w:p>
    <w:p>
      <w:pPr>
        <w:pStyle w:val="Style45"/>
        <w:keepNext w:val="0"/>
        <w:keepLines w:val="0"/>
        <w:widowControl w:val="0"/>
        <w:shd w:val="clear" w:color="auto" w:fill="auto"/>
        <w:bidi w:val="0"/>
        <w:spacing w:before="0" w:after="0" w:line="240" w:lineRule="auto"/>
        <w:ind w:left="7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6"/>
        <w:gridCol w:w="1310"/>
        <w:gridCol w:w="926"/>
        <w:gridCol w:w="1411"/>
        <w:gridCol w:w="346"/>
        <w:gridCol w:w="4253"/>
      </w:tblGrid>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姓名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担任的职务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类型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日期</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原因</w:t>
            </w: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谢迎新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李振江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w:t>
            </w:r>
          </w:p>
        </w:tc>
        <w:tc>
          <w:tcPr>
            <w:tcBorders>
              <w:top w:val="single" w:sz="4"/>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职工代表大会选举</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CHEN LI YA</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w:t>
            </w:r>
          </w:p>
        </w:tc>
        <w:tc>
          <w:tcPr>
            <w:tcBorders>
              <w:top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为进一步完善公司治理结构，提高公司财务工作的 质量及公司财务团队的成长，辞去财务负责人职务， 继续担任公司董事、董事会秘书</w:t>
            </w:r>
          </w:p>
        </w:tc>
      </w:tr>
      <w:tr>
        <w:trPr>
          <w:trHeight w:val="59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魏亚锋</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4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w:t>
            </w:r>
          </w:p>
        </w:tc>
        <w:tc>
          <w:tcPr>
            <w:tcBorders>
              <w:top w:val="single" w:sz="4"/>
              <w:bottom w:val="single" w:sz="4"/>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三</w:t>
      </w:r>
      <w:bookmarkEnd w:id="500"/>
      <w:r>
        <w:rPr>
          <w:color w:val="000000"/>
          <w:spacing w:val="0"/>
          <w:w w:val="100"/>
          <w:position w:val="0"/>
          <w:sz w:val="24"/>
          <w:szCs w:val="24"/>
        </w:rPr>
        <w:t>、任职情况</w:t>
      </w:r>
      <w:bookmarkEnd w:id="498"/>
      <w:bookmarkEnd w:id="499"/>
      <w:bookmarkEnd w:id="501"/>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220" w:line="240" w:lineRule="auto"/>
        <w:ind w:left="0" w:right="0" w:firstLine="440"/>
        <w:jc w:val="both"/>
      </w:pPr>
      <w:bookmarkStart w:id="502" w:name="bookmark502"/>
      <w:r>
        <w:rPr>
          <w:rFonts w:ascii="Times New Roman" w:eastAsia="Times New Roman" w:hAnsi="Times New Roman" w:cs="Times New Roman"/>
          <w:b/>
          <w:bCs/>
          <w:color w:val="000000"/>
          <w:spacing w:val="0"/>
          <w:w w:val="100"/>
          <w:position w:val="0"/>
          <w:sz w:val="18"/>
          <w:szCs w:val="18"/>
        </w:rPr>
        <w:t>1</w:t>
      </w:r>
      <w:bookmarkEnd w:id="502"/>
      <w:r>
        <w:rPr>
          <w:b/>
          <w:bCs/>
          <w:color w:val="000000"/>
          <w:spacing w:val="0"/>
          <w:w w:val="100"/>
          <w:position w:val="0"/>
        </w:rPr>
        <w:t>、董事</w:t>
      </w:r>
    </w:p>
    <w:p>
      <w:pPr>
        <w:pStyle w:val="Style31"/>
        <w:keepNext w:val="0"/>
        <w:keepLines w:val="0"/>
        <w:widowControl w:val="0"/>
        <w:shd w:val="clear" w:color="auto" w:fill="auto"/>
        <w:bidi w:val="0"/>
        <w:spacing w:before="0" w:after="100" w:line="240" w:lineRule="auto"/>
        <w:ind w:left="0" w:right="0" w:firstLine="440"/>
        <w:jc w:val="both"/>
      </w:pPr>
      <w:r>
        <w:rPr>
          <w:b/>
          <w:bCs/>
          <w:color w:val="000000"/>
          <w:spacing w:val="0"/>
          <w:w w:val="100"/>
          <w:position w:val="0"/>
        </w:rPr>
        <w:t>刘铁峰</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月出生，北京大学光华管理学院工商管理硕士学位、哈佛商学院企业家项目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Owner/President</w:t>
        <w:br w:type="page"/>
      </w:r>
      <w:r>
        <w:rPr>
          <w:rFonts w:ascii="Times New Roman" w:eastAsia="Times New Roman" w:hAnsi="Times New Roman" w:cs="Times New Roman"/>
          <w:color w:val="000000"/>
          <w:spacing w:val="0"/>
          <w:w w:val="100"/>
          <w:position w:val="0"/>
          <w:sz w:val="18"/>
          <w:szCs w:val="18"/>
        </w:rPr>
        <w:t>Management Program）</w:t>
      </w:r>
      <w:r>
        <w:rPr>
          <w:color w:val="000000"/>
          <w:spacing w:val="0"/>
          <w:w w:val="100"/>
          <w:position w:val="0"/>
        </w:rPr>
        <w:t>毕业。先后在北京市人民政府外事办公室、荷兰托克公司、美国迪尔公司、诺基亚（中国）投资有限 公司、三星电子（中国）有限公司、北京金环天朗通讯科技有限公司、杭州华飞通讯科技有限公司任职；</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月至今任公司董事长兼总经理。</w:t>
      </w:r>
    </w:p>
    <w:p>
      <w:pPr>
        <w:pStyle w:val="Style31"/>
        <w:keepNext w:val="0"/>
        <w:keepLines w:val="0"/>
        <w:widowControl w:val="0"/>
        <w:shd w:val="clear" w:color="auto" w:fill="auto"/>
        <w:bidi w:val="0"/>
        <w:spacing w:before="0" w:after="100" w:line="317" w:lineRule="exact"/>
        <w:ind w:left="0" w:right="0" w:firstLine="380"/>
        <w:jc w:val="both"/>
      </w:pPr>
      <w:r>
        <w:rPr>
          <w:b/>
          <w:bCs/>
          <w:color w:val="000000"/>
          <w:spacing w:val="0"/>
          <w:w w:val="100"/>
          <w:position w:val="0"/>
        </w:rPr>
        <w:t>陈进</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月出生，本科学历。先后在</w:t>
      </w:r>
      <w:r>
        <w:rPr>
          <w:rFonts w:ascii="Times New Roman" w:eastAsia="Times New Roman" w:hAnsi="Times New Roman" w:cs="Times New Roman"/>
          <w:color w:val="000000"/>
          <w:spacing w:val="0"/>
          <w:w w:val="100"/>
          <w:position w:val="0"/>
          <w:sz w:val="18"/>
          <w:szCs w:val="18"/>
        </w:rPr>
        <w:t>D&amp;A</w:t>
      </w:r>
      <w:r>
        <w:rPr>
          <w:color w:val="000000"/>
          <w:spacing w:val="0"/>
          <w:w w:val="100"/>
          <w:position w:val="0"/>
        </w:rPr>
        <w:t>贸易投资顾问有限公司、戴尔（中国）有限公司、苹果电脑贸易 （上海）有限公司任职；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w:t>
      </w:r>
    </w:p>
    <w:p>
      <w:pPr>
        <w:pStyle w:val="Style31"/>
        <w:keepNext w:val="0"/>
        <w:keepLines w:val="0"/>
        <w:widowControl w:val="0"/>
        <w:shd w:val="clear" w:color="auto" w:fill="auto"/>
        <w:bidi w:val="0"/>
        <w:spacing w:before="0" w:after="100" w:line="317" w:lineRule="exact"/>
        <w:ind w:left="0" w:right="0" w:firstLine="380"/>
        <w:jc w:val="both"/>
      </w:pPr>
      <w:r>
        <w:rPr>
          <w:rFonts w:ascii="Times New Roman" w:eastAsia="Times New Roman" w:hAnsi="Times New Roman" w:cs="Times New Roman"/>
          <w:b/>
          <w:bCs/>
          <w:color w:val="000000"/>
          <w:spacing w:val="0"/>
          <w:w w:val="100"/>
          <w:position w:val="0"/>
          <w:sz w:val="18"/>
          <w:szCs w:val="18"/>
        </w:rPr>
        <w:t>CHEN LI YA</w:t>
      </w:r>
      <w:r>
        <w:rPr>
          <w:color w:val="000000"/>
          <w:spacing w:val="0"/>
          <w:w w:val="100"/>
          <w:position w:val="0"/>
        </w:rPr>
        <w:t>：</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月出生，加拿大国籍，硕士学历。先后在普华永道会计师事务所、康龙化成（北京）新药 技术有限公司、中华水电公司任职。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月任公司财务负责人，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月至今任董事会秘书，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 今任公司董事。</w:t>
      </w:r>
    </w:p>
    <w:p>
      <w:pPr>
        <w:pStyle w:val="Style31"/>
        <w:keepNext w:val="0"/>
        <w:keepLines w:val="0"/>
        <w:widowControl w:val="0"/>
        <w:shd w:val="clear" w:color="auto" w:fill="auto"/>
        <w:bidi w:val="0"/>
        <w:spacing w:before="0" w:after="100" w:line="312" w:lineRule="exact"/>
        <w:ind w:left="0" w:right="0" w:firstLine="380"/>
        <w:jc w:val="both"/>
      </w:pPr>
      <w:r>
        <w:rPr>
          <w:b/>
          <w:bCs/>
          <w:color w:val="000000"/>
          <w:spacing w:val="0"/>
          <w:w w:val="100"/>
          <w:position w:val="0"/>
        </w:rPr>
        <w:t>周海涛</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月出生，本科学历，中国注册会计师。先后在北京轻工业学院机械工程系、北京首都影视文化研 究所、中信会计师事务所、北京龙洲会计师事务所、北京中伦信会计师事务所、中和正信会计师事务所、信永中和会计师事 务所（特殊普通合伙）任职。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月至今任公司独立董事。</w:t>
      </w:r>
    </w:p>
    <w:p>
      <w:pPr>
        <w:pStyle w:val="Style31"/>
        <w:keepNext w:val="0"/>
        <w:keepLines w:val="0"/>
        <w:widowControl w:val="0"/>
        <w:shd w:val="clear" w:color="auto" w:fill="auto"/>
        <w:bidi w:val="0"/>
        <w:spacing w:before="0" w:after="240" w:line="314" w:lineRule="exact"/>
        <w:ind w:left="0" w:right="0" w:firstLine="380"/>
        <w:jc w:val="both"/>
      </w:pPr>
      <w:r>
        <w:rPr>
          <w:b/>
          <w:bCs/>
          <w:color w:val="000000"/>
          <w:spacing w:val="0"/>
          <w:w w:val="100"/>
          <w:position w:val="0"/>
        </w:rPr>
        <w:t>郑瑞志</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月出生，中国国籍，无境外永久居留权，硕士学位，清华大学民商法专业。</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年，就 职于民政部，担任科员职务。</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年，就职于北京市众天律师事务所，担任实习律师、律师职务。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年至今，就 职于北京市时代九和律师事务所，任高级合伙人。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月至今任公司独立董事。</w:t>
      </w:r>
    </w:p>
    <w:p>
      <w:pPr>
        <w:pStyle w:val="Style31"/>
        <w:keepNext w:val="0"/>
        <w:keepLines w:val="0"/>
        <w:widowControl w:val="0"/>
        <w:shd w:val="clear" w:color="auto" w:fill="auto"/>
        <w:tabs>
          <w:tab w:pos="682" w:val="left"/>
        </w:tabs>
        <w:bidi w:val="0"/>
        <w:spacing w:before="0" w:after="0" w:line="360" w:lineRule="auto"/>
        <w:ind w:left="0" w:right="0" w:firstLine="380"/>
        <w:jc w:val="both"/>
      </w:pPr>
      <w:bookmarkStart w:id="503" w:name="bookmark503"/>
      <w:r>
        <w:rPr>
          <w:rFonts w:ascii="Times New Roman" w:eastAsia="Times New Roman" w:hAnsi="Times New Roman" w:cs="Times New Roman"/>
          <w:b/>
          <w:bCs/>
          <w:color w:val="000000"/>
          <w:spacing w:val="0"/>
          <w:w w:val="100"/>
          <w:position w:val="0"/>
          <w:sz w:val="18"/>
          <w:szCs w:val="18"/>
        </w:rPr>
        <w:t>2</w:t>
      </w:r>
      <w:bookmarkEnd w:id="503"/>
      <w:r>
        <w:rPr>
          <w:b/>
          <w:bCs/>
          <w:color w:val="000000"/>
          <w:spacing w:val="0"/>
          <w:w w:val="100"/>
          <w:position w:val="0"/>
        </w:rPr>
        <w:t>、</w:t>
        <w:tab/>
        <w:t>监事</w:t>
      </w:r>
    </w:p>
    <w:p>
      <w:pPr>
        <w:pStyle w:val="Style31"/>
        <w:keepNext w:val="0"/>
        <w:keepLines w:val="0"/>
        <w:widowControl w:val="0"/>
        <w:shd w:val="clear" w:color="auto" w:fill="auto"/>
        <w:bidi w:val="0"/>
        <w:spacing w:before="0" w:after="100" w:line="317" w:lineRule="exact"/>
        <w:ind w:left="0" w:right="0" w:firstLine="380"/>
        <w:jc w:val="both"/>
      </w:pPr>
      <w:r>
        <w:rPr>
          <w:b/>
          <w:bCs/>
          <w:color w:val="000000"/>
          <w:spacing w:val="0"/>
          <w:w w:val="100"/>
          <w:position w:val="0"/>
        </w:rPr>
        <w:t>贾云莉</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月出生，中国国籍，无境外永久居留权，大学本科学历，河北经贸大学会计学专业。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 公司财务中心至今，历任财务主管、</w:t>
      </w:r>
      <w:r>
        <w:rPr>
          <w:rFonts w:ascii="Times New Roman" w:eastAsia="Times New Roman" w:hAnsi="Times New Roman" w:cs="Times New Roman"/>
          <w:color w:val="000000"/>
          <w:spacing w:val="0"/>
          <w:w w:val="100"/>
          <w:position w:val="0"/>
          <w:sz w:val="18"/>
          <w:szCs w:val="18"/>
        </w:rPr>
        <w:t>SSC</w:t>
      </w:r>
      <w:r>
        <w:rPr>
          <w:color w:val="000000"/>
          <w:spacing w:val="0"/>
          <w:w w:val="100"/>
          <w:position w:val="0"/>
        </w:rPr>
        <w:t>副经理。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月至今任公司监事会主席。</w:t>
      </w:r>
    </w:p>
    <w:p>
      <w:pPr>
        <w:pStyle w:val="Style31"/>
        <w:keepNext w:val="0"/>
        <w:keepLines w:val="0"/>
        <w:widowControl w:val="0"/>
        <w:shd w:val="clear" w:color="auto" w:fill="auto"/>
        <w:bidi w:val="0"/>
        <w:spacing w:before="0" w:after="100" w:line="317" w:lineRule="exact"/>
        <w:ind w:left="0" w:right="0" w:firstLine="380"/>
        <w:jc w:val="both"/>
      </w:pPr>
      <w:r>
        <w:rPr>
          <w:b/>
          <w:bCs/>
          <w:color w:val="000000"/>
          <w:spacing w:val="0"/>
          <w:w w:val="100"/>
          <w:position w:val="0"/>
        </w:rPr>
        <w:t>朱翠明</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月出生，中国国籍，无境外永久居留权，本科学位，青岛大学会计专业。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年，就职 于山东宏景有限公司财务部。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年加入公司，现任公司运营主管。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月至今任公司监事。</w:t>
      </w:r>
    </w:p>
    <w:p>
      <w:pPr>
        <w:pStyle w:val="Style31"/>
        <w:keepNext w:val="0"/>
        <w:keepLines w:val="0"/>
        <w:widowControl w:val="0"/>
        <w:shd w:val="clear" w:color="auto" w:fill="auto"/>
        <w:bidi w:val="0"/>
        <w:spacing w:before="0" w:after="100" w:line="312" w:lineRule="exact"/>
        <w:ind w:left="0" w:right="0" w:firstLine="380"/>
        <w:jc w:val="both"/>
      </w:pPr>
      <w:r>
        <w:rPr>
          <w:b/>
          <w:bCs/>
          <w:color w:val="000000"/>
          <w:spacing w:val="0"/>
          <w:w w:val="100"/>
          <w:position w:val="0"/>
        </w:rPr>
        <w:t>李振江</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月出生，中国国籍，无境外永久居留权，大专学历。先后在广州松下环境公司、诺基亚通讯有限 公司任职。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月至今任公司技术培训工程师。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月至今任公司监事。</w:t>
      </w:r>
    </w:p>
    <w:p>
      <w:pPr>
        <w:pStyle w:val="Style31"/>
        <w:keepNext w:val="0"/>
        <w:keepLines w:val="0"/>
        <w:widowControl w:val="0"/>
        <w:shd w:val="clear" w:color="auto" w:fill="auto"/>
        <w:bidi w:val="0"/>
        <w:spacing w:before="0" w:after="240" w:line="312" w:lineRule="exact"/>
        <w:ind w:left="0" w:right="0" w:firstLine="380"/>
        <w:jc w:val="both"/>
      </w:pPr>
      <w:r>
        <w:rPr>
          <w:b/>
          <w:bCs/>
          <w:color w:val="000000"/>
          <w:spacing w:val="0"/>
          <w:w w:val="100"/>
          <w:position w:val="0"/>
        </w:rPr>
        <w:t>魏亚锋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月出生，中国国籍，无境外永久居留权，专科学历，微软系统工程师，华为数通工程师。先后在 北京人和人美电子商务有限公司、河北华为通讯有限公司、河北国讯通讯器材有限公司任职。</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月至今任公司运维经 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月任公司监事。</w:t>
      </w:r>
    </w:p>
    <w:p>
      <w:pPr>
        <w:pStyle w:val="Style31"/>
        <w:keepNext w:val="0"/>
        <w:keepLines w:val="0"/>
        <w:widowControl w:val="0"/>
        <w:shd w:val="clear" w:color="auto" w:fill="auto"/>
        <w:tabs>
          <w:tab w:pos="682" w:val="left"/>
        </w:tabs>
        <w:bidi w:val="0"/>
        <w:spacing w:before="0" w:after="0" w:line="360" w:lineRule="auto"/>
        <w:ind w:left="0" w:right="0" w:firstLine="380"/>
        <w:jc w:val="both"/>
      </w:pPr>
      <w:bookmarkStart w:id="504" w:name="bookmark504"/>
      <w:r>
        <w:rPr>
          <w:rFonts w:ascii="Times New Roman" w:eastAsia="Times New Roman" w:hAnsi="Times New Roman" w:cs="Times New Roman"/>
          <w:b/>
          <w:bCs/>
          <w:color w:val="000000"/>
          <w:spacing w:val="0"/>
          <w:w w:val="100"/>
          <w:position w:val="0"/>
          <w:sz w:val="18"/>
          <w:szCs w:val="18"/>
        </w:rPr>
        <w:t>3</w:t>
      </w:r>
      <w:bookmarkEnd w:id="504"/>
      <w:r>
        <w:rPr>
          <w:b/>
          <w:bCs/>
          <w:color w:val="000000"/>
          <w:spacing w:val="0"/>
          <w:w w:val="100"/>
          <w:position w:val="0"/>
        </w:rPr>
        <w:t>、</w:t>
        <w:tab/>
        <w:t>高级管理人员</w:t>
      </w:r>
    </w:p>
    <w:p>
      <w:pPr>
        <w:pStyle w:val="Style31"/>
        <w:keepNext w:val="0"/>
        <w:keepLines w:val="0"/>
        <w:widowControl w:val="0"/>
        <w:shd w:val="clear" w:color="auto" w:fill="auto"/>
        <w:bidi w:val="0"/>
        <w:spacing w:before="0" w:after="100" w:line="312" w:lineRule="exact"/>
        <w:ind w:left="0" w:right="0" w:firstLine="380"/>
        <w:jc w:val="both"/>
      </w:pPr>
      <w:r>
        <w:rPr>
          <w:b/>
          <w:bCs/>
          <w:color w:val="000000"/>
          <w:spacing w:val="0"/>
          <w:w w:val="100"/>
          <w:position w:val="0"/>
        </w:rPr>
        <w:t>刘铁峰</w:t>
      </w:r>
      <w:r>
        <w:rPr>
          <w:color w:val="000000"/>
          <w:spacing w:val="0"/>
          <w:w w:val="100"/>
          <w:position w:val="0"/>
        </w:rPr>
        <w:t>：个人简介参见本节董事介绍部分。</w:t>
      </w:r>
    </w:p>
    <w:p>
      <w:pPr>
        <w:pStyle w:val="Style31"/>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b/>
          <w:bCs/>
          <w:color w:val="000000"/>
          <w:spacing w:val="0"/>
          <w:w w:val="100"/>
          <w:position w:val="0"/>
          <w:sz w:val="18"/>
          <w:szCs w:val="18"/>
        </w:rPr>
        <w:t>CHEN LI YA</w:t>
      </w:r>
      <w:r>
        <w:rPr>
          <w:color w:val="000000"/>
          <w:spacing w:val="0"/>
          <w:w w:val="100"/>
          <w:position w:val="0"/>
        </w:rPr>
        <w:t>:个人简介参见本节董事介绍部分。</w:t>
      </w:r>
    </w:p>
    <w:p>
      <w:pPr>
        <w:pStyle w:val="Style31"/>
        <w:keepNext w:val="0"/>
        <w:keepLines w:val="0"/>
        <w:widowControl w:val="0"/>
        <w:shd w:val="clear" w:color="auto" w:fill="auto"/>
        <w:bidi w:val="0"/>
        <w:spacing w:before="0" w:after="0" w:line="310" w:lineRule="exact"/>
        <w:ind w:left="0" w:right="0" w:firstLine="380"/>
        <w:jc w:val="both"/>
      </w:pPr>
      <w:r>
        <w:rPr>
          <w:b/>
          <w:bCs/>
          <w:color w:val="000000"/>
          <w:spacing w:val="0"/>
          <w:w w:val="100"/>
          <w:position w:val="0"/>
        </w:rPr>
        <w:t>谢迎新</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月出生，中国国籍，无境外永久居留权，中央财经大学本科学历。中国注册会计师。曾任传奇文 化发展集团有限公司</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w:t>
      </w:r>
      <w:r>
        <w:rPr>
          <w:color w:val="000000"/>
          <w:spacing w:val="0"/>
          <w:w w:val="100"/>
          <w:position w:val="0"/>
        </w:rPr>
        <w:t>北京万达旅业投资有限公司财务经理，中青旅控股股份有限公司财务部总经理助理兼观光旅游事 业部财务负责人，致同会计师事务所（原京都天华会计师事务所）审计副经理。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月加入公司，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 司财务负责人。</w:t>
      </w:r>
    </w:p>
    <w:p>
      <w:pPr>
        <w:pStyle w:val="Style31"/>
        <w:keepNext w:val="0"/>
        <w:keepLines w:val="0"/>
        <w:widowControl w:val="0"/>
        <w:shd w:val="clear" w:color="auto" w:fill="auto"/>
        <w:bidi w:val="0"/>
        <w:spacing w:before="0" w:after="360" w:line="312" w:lineRule="exact"/>
        <w:ind w:left="0" w:right="0" w:firstLine="380"/>
        <w:jc w:val="both"/>
      </w:pPr>
      <w:r>
        <w:rPr>
          <w:b/>
          <w:bCs/>
          <w:color w:val="000000"/>
          <w:spacing w:val="0"/>
          <w:w w:val="100"/>
          <w:position w:val="0"/>
        </w:rPr>
        <w:t>李岩</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月在联想（北京） 有限公司任经理；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月至今任公司合规部负责人和苹果业务负责人，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月任公司监事，</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月至今任公司副总经理。</w:t>
      </w:r>
    </w:p>
    <w:p>
      <w:pPr>
        <w:pStyle w:val="Style31"/>
        <w:keepNext w:val="0"/>
        <w:keepLines w:val="0"/>
        <w:widowControl w:val="0"/>
        <w:shd w:val="clear" w:color="auto" w:fill="auto"/>
        <w:bidi w:val="0"/>
        <w:spacing w:before="0" w:after="100" w:line="341" w:lineRule="exact"/>
        <w:ind w:left="0" w:right="0" w:firstLine="0"/>
        <w:jc w:val="both"/>
        <w:sectPr>
          <w:footnotePr>
            <w:pos w:val="pageBottom"/>
            <w:numFmt w:val="decimal"/>
            <w:numRestart w:val="continuous"/>
          </w:footnotePr>
          <w:pgSz w:w="11966" w:h="17375"/>
          <w:pgMar w:top="1570" w:right="1097" w:bottom="1775" w:left="1038" w:header="0" w:footer="3" w:gutter="0"/>
          <w:cols w:space="720"/>
          <w:noEndnote/>
          <w:rtlGutter w:val="0"/>
          <w:docGrid w:linePitch="360"/>
        </w:sectPr>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427"/>
        <w:gridCol w:w="1387"/>
        <w:gridCol w:w="1315"/>
        <w:gridCol w:w="878"/>
        <w:gridCol w:w="1603"/>
      </w:tblGrid>
      <w:tr>
        <w:trPr>
          <w:trHeight w:val="73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任职人员 姓名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股东单位名称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在股东单位担</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任的职务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任期起始日</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任期终</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止日期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在股东单位是否</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领取报酬津贴</w:t>
            </w:r>
          </w:p>
        </w:tc>
      </w:tr>
      <w:tr>
        <w:trPr>
          <w:trHeight w:val="70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刘铁峰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北京达安世纪投资管理有限公司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刘铁峰</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北京悦华众城投资管理中心（有限合伙）</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执行事务合伙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人委派代表</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bottom w:val="single" w:sz="4"/>
            </w:tcBorders>
            <w:shd w:val="clear" w:color="auto" w:fill="F9ECF3"/>
            <w:vAlign w:val="top"/>
          </w:tcPr>
          <w:p>
            <w:pPr>
              <w:widowControl w:val="0"/>
              <w:rPr>
                <w:sz w:val="10"/>
                <w:szCs w:val="10"/>
              </w:rPr>
            </w:pP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81"/>
        <w:gridCol w:w="3139"/>
        <w:gridCol w:w="1080"/>
        <w:gridCol w:w="2573"/>
        <w:gridCol w:w="1584"/>
      </w:tblGrid>
      <w:tr>
        <w:trPr>
          <w:trHeight w:val="10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center"/>
            </w:pPr>
            <w:r>
              <w:rPr>
                <w:b/>
                <w:bCs/>
                <w:color w:val="FFFFFF"/>
                <w:spacing w:val="0"/>
                <w:w w:val="100"/>
                <w:position w:val="0"/>
              </w:rPr>
              <w:t>任职人员姓 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其他单位名称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220"/>
              <w:jc w:val="left"/>
            </w:pPr>
            <w:r>
              <w:rPr>
                <w:b/>
                <w:bCs/>
                <w:color w:val="FFFFFF"/>
                <w:spacing w:val="0"/>
                <w:w w:val="100"/>
                <w:position w:val="0"/>
              </w:rPr>
              <w:t>在其他单</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220"/>
              <w:jc w:val="left"/>
            </w:pPr>
            <w:r>
              <w:rPr>
                <w:b/>
                <w:bCs/>
                <w:color w:val="FFFFFF"/>
                <w:spacing w:val="0"/>
                <w:w w:val="100"/>
                <w:position w:val="0"/>
              </w:rPr>
              <w:t>位担任的</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400"/>
              <w:jc w:val="left"/>
            </w:pPr>
            <w:r>
              <w:rPr>
                <w:b/>
                <w:bCs/>
                <w:color w:val="FFFFFF"/>
                <w:spacing w:val="0"/>
                <w:w w:val="100"/>
                <w:position w:val="0"/>
              </w:rPr>
              <w:t>职务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154" w:lineRule="exact"/>
              <w:ind w:left="540" w:right="0" w:hanging="400"/>
              <w:jc w:val="left"/>
            </w:pPr>
            <w:r>
              <w:rPr>
                <w:b/>
                <w:bCs/>
                <w:color w:val="FFFFFF"/>
                <w:spacing w:val="0"/>
                <w:w w:val="100"/>
                <w:position w:val="0"/>
              </w:rPr>
              <w:t>任期起始日任期终止日期 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00" w:line="240" w:lineRule="auto"/>
              <w:ind w:left="0" w:right="0" w:firstLine="0"/>
              <w:jc w:val="center"/>
            </w:pPr>
            <w:r>
              <w:rPr>
                <w:b/>
                <w:bCs/>
                <w:color w:val="FFFFFF"/>
                <w:spacing w:val="0"/>
                <w:w w:val="100"/>
                <w:position w:val="0"/>
              </w:rPr>
              <w:t>在其他单位是否</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领取报酬津贴</w:t>
            </w: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刘铁峰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DAAN Investment Company Limited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否</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陈进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北京淡海科技有限公司</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经理</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否</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周海涛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5"/>
                <w:szCs w:val="15"/>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特殊普通合 伙</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是</w:t>
            </w: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周海涛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天津力神电池股份有限公司</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是</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郑瑞志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北京市时代九和律师事务所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高级合伙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是</w:t>
            </w:r>
          </w:p>
        </w:tc>
      </w:tr>
      <w:tr>
        <w:trPr>
          <w:trHeight w:val="74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郑瑞志</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科迈化工股份有限公司</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是</w:t>
            </w:r>
          </w:p>
        </w:tc>
      </w:tr>
    </w:tbl>
    <w:p>
      <w:pPr>
        <w:pStyle w:val="Style31"/>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60" w:line="354" w:lineRule="exact"/>
        <w:ind w:left="0" w:right="0" w:firstLine="440"/>
        <w:jc w:val="both"/>
      </w:pPr>
      <w:r>
        <w:rPr>
          <w:color w:val="000000"/>
          <w:spacing w:val="0"/>
          <w:w w:val="100"/>
          <w:position w:val="0"/>
        </w:rPr>
        <w:t>公司副总经理李岩，于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日卖出公司股票</w:t>
      </w:r>
      <w:r>
        <w:rPr>
          <w:rFonts w:ascii="Times New Roman" w:eastAsia="Times New Roman" w:hAnsi="Times New Roman" w:cs="Times New Roman"/>
          <w:color w:val="000000"/>
          <w:spacing w:val="0"/>
          <w:w w:val="100"/>
          <w:position w:val="0"/>
          <w:sz w:val="18"/>
          <w:szCs w:val="18"/>
        </w:rPr>
        <w:t>9,375</w:t>
      </w:r>
      <w:r>
        <w:rPr>
          <w:color w:val="000000"/>
          <w:spacing w:val="0"/>
          <w:w w:val="100"/>
          <w:position w:val="0"/>
        </w:rPr>
        <w:t>股，涉及金额为</w:t>
      </w:r>
      <w:r>
        <w:rPr>
          <w:rFonts w:ascii="Times New Roman" w:eastAsia="Times New Roman" w:hAnsi="Times New Roman" w:cs="Times New Roman"/>
          <w:color w:val="000000"/>
          <w:spacing w:val="0"/>
          <w:w w:val="100"/>
          <w:position w:val="0"/>
          <w:sz w:val="18"/>
          <w:szCs w:val="18"/>
        </w:rPr>
        <w:t>194,625</w:t>
      </w:r>
      <w:r>
        <w:rPr>
          <w:color w:val="000000"/>
          <w:spacing w:val="0"/>
          <w:w w:val="100"/>
          <w:position w:val="0"/>
        </w:rPr>
        <w:t>元。卖出公司股票的时间发生在公司披 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年年度报告前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日内。深圳证券交易所认为上述行为违反了《创业板上市公司规范运作指引》第</w:t>
      </w:r>
      <w:r>
        <w:rPr>
          <w:rFonts w:ascii="Times New Roman" w:eastAsia="Times New Roman" w:hAnsi="Times New Roman" w:cs="Times New Roman"/>
          <w:color w:val="000000"/>
          <w:spacing w:val="0"/>
          <w:w w:val="100"/>
          <w:position w:val="0"/>
          <w:sz w:val="18"/>
          <w:szCs w:val="18"/>
        </w:rPr>
        <w:t>3.8.17</w:t>
      </w:r>
      <w:r>
        <w:rPr>
          <w:color w:val="000000"/>
          <w:spacing w:val="0"/>
          <w:w w:val="100"/>
          <w:position w:val="0"/>
        </w:rPr>
        <w:t>条的规定，并 出具监管函的监管措施。公司及副总经理李岩充分重视上述问题，吸取教训，及时整改，并采取了切实有效措施杜绝上述问 题的再次发生。</w:t>
      </w:r>
    </w:p>
    <w:p>
      <w:pPr>
        <w:pStyle w:val="Style39"/>
        <w:keepNext/>
        <w:keepLines/>
        <w:widowControl w:val="0"/>
        <w:shd w:val="clear" w:color="auto" w:fill="auto"/>
        <w:bidi w:val="0"/>
        <w:spacing w:before="0" w:after="200" w:line="240" w:lineRule="auto"/>
        <w:ind w:left="0" w:right="0" w:firstLine="0"/>
        <w:jc w:val="both"/>
      </w:pPr>
      <w:bookmarkStart w:id="505" w:name="bookmark505"/>
      <w:bookmarkStart w:id="506" w:name="bookmark506"/>
      <w:bookmarkStart w:id="507" w:name="bookmark507"/>
      <w:bookmarkStart w:id="508" w:name="bookmark508"/>
      <w:r>
        <w:rPr>
          <w:color w:val="000000"/>
          <w:spacing w:val="0"/>
          <w:w w:val="100"/>
          <w:position w:val="0"/>
          <w:sz w:val="24"/>
          <w:szCs w:val="24"/>
        </w:rPr>
        <w:t>四</w:t>
      </w:r>
      <w:bookmarkEnd w:id="507"/>
      <w:r>
        <w:rPr>
          <w:color w:val="000000"/>
          <w:spacing w:val="0"/>
          <w:w w:val="100"/>
          <w:position w:val="0"/>
          <w:sz w:val="24"/>
          <w:szCs w:val="24"/>
        </w:rPr>
        <w:t>、董事、监事、高级管理人员报酬情况</w:t>
      </w:r>
      <w:bookmarkEnd w:id="505"/>
      <w:bookmarkEnd w:id="506"/>
      <w:bookmarkEnd w:id="508"/>
    </w:p>
    <w:p>
      <w:pPr>
        <w:pStyle w:val="Style31"/>
        <w:keepNext w:val="0"/>
        <w:keepLines w:val="0"/>
        <w:widowControl w:val="0"/>
        <w:shd w:val="clear" w:color="auto" w:fill="auto"/>
        <w:bidi w:val="0"/>
        <w:spacing w:before="0" w:after="0" w:line="354" w:lineRule="exact"/>
        <w:ind w:left="0" w:right="0" w:firstLine="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774" w:val="left"/>
        </w:tabs>
        <w:bidi w:val="0"/>
        <w:spacing w:before="0" w:after="0" w:line="354" w:lineRule="exact"/>
        <w:ind w:left="0" w:right="0" w:firstLine="440"/>
        <w:jc w:val="both"/>
      </w:pPr>
      <w:bookmarkStart w:id="509" w:name="bookmark509"/>
      <w:r>
        <w:rPr>
          <w:rFonts w:ascii="Times New Roman" w:eastAsia="Times New Roman" w:hAnsi="Times New Roman" w:cs="Times New Roman"/>
          <w:color w:val="000000"/>
          <w:spacing w:val="0"/>
          <w:w w:val="100"/>
          <w:position w:val="0"/>
          <w:sz w:val="18"/>
          <w:szCs w:val="18"/>
        </w:rPr>
        <w:t>1</w:t>
      </w:r>
      <w:bookmarkEnd w:id="509"/>
      <w:r>
        <w:rPr>
          <w:color w:val="000000"/>
          <w:spacing w:val="0"/>
          <w:w w:val="100"/>
          <w:position w:val="0"/>
        </w:rPr>
        <w:t>、</w:t>
        <w:tab/>
        <w:t>决策程序及依据</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根据《公司章程》、《股东大会议事规则》、《薪酬考核委员会工作细则》等相关规定，公司董事、监事的报酬由公司 股东大会决定，公司高级管理人员的报酬由公司董事会决定。薪酬与考核委员会研究和审查董事、高级管理人员的薪酬政策 与方案。</w:t>
      </w:r>
    </w:p>
    <w:p>
      <w:pPr>
        <w:pStyle w:val="Style31"/>
        <w:keepNext w:val="0"/>
        <w:keepLines w:val="0"/>
        <w:widowControl w:val="0"/>
        <w:shd w:val="clear" w:color="auto" w:fill="auto"/>
        <w:tabs>
          <w:tab w:pos="794" w:val="left"/>
        </w:tabs>
        <w:bidi w:val="0"/>
        <w:spacing w:before="0" w:after="0" w:line="354" w:lineRule="exact"/>
        <w:ind w:left="0" w:right="0" w:firstLine="440"/>
        <w:jc w:val="both"/>
      </w:pPr>
      <w:bookmarkStart w:id="510" w:name="bookmark510"/>
      <w:r>
        <w:rPr>
          <w:rFonts w:ascii="Times New Roman" w:eastAsia="Times New Roman" w:hAnsi="Times New Roman" w:cs="Times New Roman"/>
          <w:color w:val="000000"/>
          <w:spacing w:val="0"/>
          <w:w w:val="100"/>
          <w:position w:val="0"/>
          <w:sz w:val="18"/>
          <w:szCs w:val="18"/>
        </w:rPr>
        <w:t>2</w:t>
      </w:r>
      <w:bookmarkEnd w:id="510"/>
      <w:r>
        <w:rPr>
          <w:color w:val="000000"/>
          <w:spacing w:val="0"/>
          <w:w w:val="100"/>
          <w:position w:val="0"/>
        </w:rPr>
        <w:t>、</w:t>
        <w:tab/>
        <w:t>董事、监事和高级管理人员报酬的实际支付情况</w:t>
      </w:r>
    </w:p>
    <w:p>
      <w:pPr>
        <w:pStyle w:val="Style31"/>
        <w:keepNext w:val="0"/>
        <w:keepLines w:val="0"/>
        <w:widowControl w:val="0"/>
        <w:shd w:val="clear" w:color="auto" w:fill="auto"/>
        <w:bidi w:val="0"/>
        <w:spacing w:before="0" w:after="120" w:line="354" w:lineRule="exact"/>
        <w:ind w:left="0" w:right="0" w:firstLine="440"/>
        <w:jc w:val="both"/>
      </w:pPr>
      <w:r>
        <w:rPr>
          <w:color w:val="000000"/>
          <w:spacing w:val="0"/>
          <w:w w:val="100"/>
          <w:position w:val="0"/>
        </w:rPr>
        <w:t>公司独立董事的董事津贴按月支付，其他人员依据公司盈利水平及董事、监事、高级管理人员的分工及履职情况确定。</w:t>
      </w:r>
      <w:r>
        <w:br w:type="page"/>
      </w:r>
    </w:p>
    <w:p>
      <w:pPr>
        <w:pStyle w:val="Style31"/>
        <w:keepNext w:val="0"/>
        <w:keepLines w:val="0"/>
        <w:widowControl w:val="0"/>
        <w:shd w:val="clear" w:color="auto" w:fill="auto"/>
        <w:bidi w:val="0"/>
        <w:spacing w:before="0" w:after="520" w:line="240" w:lineRule="auto"/>
        <w:ind w:left="0" w:right="0" w:firstLine="480"/>
        <w:jc w:val="left"/>
      </w:pPr>
      <w:r>
        <w:rPr>
          <w:color w:val="000000"/>
          <w:spacing w:val="0"/>
          <w:w w:val="100"/>
          <w:position w:val="0"/>
        </w:rPr>
        <w:t>报告期内，公司董事、监事和高管人员报酬支付总额为</w:t>
      </w:r>
      <w:r>
        <w:rPr>
          <w:rFonts w:ascii="Times New Roman" w:eastAsia="Times New Roman" w:hAnsi="Times New Roman" w:cs="Times New Roman"/>
          <w:color w:val="000000"/>
          <w:spacing w:val="0"/>
          <w:w w:val="100"/>
          <w:position w:val="0"/>
          <w:sz w:val="18"/>
          <w:szCs w:val="18"/>
        </w:rPr>
        <w:t>201.79</w:t>
      </w:r>
      <w:r>
        <w:rPr>
          <w:color w:val="000000"/>
          <w:spacing w:val="0"/>
          <w:w w:val="100"/>
          <w:position w:val="0"/>
        </w:rPr>
        <w:t>万元。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1349"/>
        <w:gridCol w:w="1891"/>
        <w:gridCol w:w="970"/>
        <w:gridCol w:w="1152"/>
        <w:gridCol w:w="1358"/>
        <w:gridCol w:w="1483"/>
        <w:gridCol w:w="1363"/>
      </w:tblGrid>
      <w:tr>
        <w:trPr>
          <w:trHeight w:val="72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姓名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职务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性别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年龄</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任职状态</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right"/>
            </w:pPr>
            <w:r>
              <w:rPr>
                <w:b/>
                <w:bCs/>
                <w:color w:val="FFFFFF"/>
                <w:spacing w:val="0"/>
                <w:w w:val="100"/>
                <w:position w:val="0"/>
              </w:rPr>
              <w:t>从公司获得的</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税前报酬总额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是否在公司关</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联方获取报酬</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刘铁峰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CHEN LI YA</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董事兼董事会秘书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71.05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陈进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周海涛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郑瑞志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李岩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贾云莉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朱翠明</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谢迎新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魏亚锋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离任</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0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201.79</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rPr>
                <w:sz w:val="18"/>
                <w:szCs w:val="18"/>
              </w:rPr>
            </w:pPr>
            <w:r>
              <w:rPr>
                <w:rFonts w:ascii="Times New Roman" w:eastAsia="Times New Roman" w:hAnsi="Times New Roman" w:cs="Times New Roman"/>
                <w:b/>
                <w:bCs/>
                <w:color w:val="FFFFFF"/>
                <w:spacing w:val="0"/>
                <w:w w:val="100"/>
                <w:position w:val="0"/>
                <w:sz w:val="18"/>
                <w:szCs w:val="18"/>
              </w:rPr>
              <w:t>--</w:t>
            </w:r>
          </w:p>
        </w:tc>
      </w:tr>
    </w:tbl>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公司董事、高级管理人员报告期内被授予的股权激励情况 </w:t>
      </w:r>
      <w:r>
        <w:rPr>
          <w:rFonts w:ascii="SimHei" w:eastAsia="SimHei" w:hAnsi="SimHei" w:cs="SimHei"/>
          <w:color w:val="000000"/>
          <w:spacing w:val="0"/>
          <w:w w:val="100"/>
          <w:position w:val="0"/>
          <w:sz w:val="26"/>
          <w:szCs w:val="26"/>
        </w:rPr>
        <w:t>寸</w:t>
      </w:r>
      <w:r>
        <w:rPr>
          <w:color w:val="000000"/>
          <w:spacing w:val="0"/>
          <w:w w:val="100"/>
          <w:position w:val="0"/>
        </w:rPr>
        <w:t>适用</w:t>
      </w:r>
      <w:r>
        <w:rPr>
          <w:rFonts w:ascii="SimHei" w:eastAsia="SimHei" w:hAnsi="SimHei" w:cs="SimHei"/>
          <w:color w:val="000000"/>
          <w:spacing w:val="0"/>
          <w:w w:val="100"/>
          <w:position w:val="0"/>
          <w:sz w:val="26"/>
          <w:szCs w:val="26"/>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40"/>
        <w:gridCol w:w="811"/>
        <w:gridCol w:w="965"/>
        <w:gridCol w:w="974"/>
        <w:gridCol w:w="672"/>
        <w:gridCol w:w="955"/>
        <w:gridCol w:w="763"/>
        <w:gridCol w:w="994"/>
        <w:gridCol w:w="955"/>
        <w:gridCol w:w="778"/>
        <w:gridCol w:w="883"/>
      </w:tblGrid>
      <w:tr>
        <w:trPr>
          <w:trHeight w:val="19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姓名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职务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0" w:lineRule="exact"/>
              <w:ind w:left="0" w:right="160" w:firstLine="0"/>
              <w:jc w:val="right"/>
            </w:pPr>
            <w:r>
              <w:rPr>
                <w:b/>
                <w:bCs/>
                <w:color w:val="FFFFFF"/>
                <w:spacing w:val="0"/>
                <w:w w:val="100"/>
                <w:position w:val="0"/>
              </w:rPr>
              <w:t>报告期 内可行 权股数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160" w:right="0" w:firstLine="0"/>
              <w:jc w:val="left"/>
            </w:pPr>
            <w:r>
              <w:rPr>
                <w:b/>
                <w:bCs/>
                <w:color w:val="FFFFFF"/>
                <w:spacing w:val="0"/>
                <w:w w:val="100"/>
                <w:position w:val="0"/>
              </w:rPr>
              <w:t>报告期 内已行 权股数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1" w:lineRule="exact"/>
              <w:ind w:left="0" w:right="0" w:firstLine="0"/>
              <w:jc w:val="left"/>
              <w:rPr>
                <w:sz w:val="18"/>
                <w:szCs w:val="18"/>
              </w:rPr>
            </w:pPr>
            <w:r>
              <w:rPr>
                <w:b/>
                <w:bCs/>
                <w:color w:val="FFFFFF"/>
                <w:spacing w:val="0"/>
                <w:w w:val="100"/>
                <w:position w:val="0"/>
                <w:sz w:val="15"/>
                <w:szCs w:val="15"/>
              </w:rPr>
              <w:t>报告期 内已行 权股数 行权价 格（元</w:t>
            </w:r>
            <w:r>
              <w:rPr>
                <w:rFonts w:ascii="Times New Roman" w:eastAsia="Times New Roman" w:hAnsi="Times New Roman" w:cs="Times New Roman"/>
                <w:b/>
                <w:bCs/>
                <w:color w:val="FFFFFF"/>
                <w:spacing w:val="0"/>
                <w:w w:val="100"/>
                <w:position w:val="0"/>
                <w:sz w:val="18"/>
                <w:szCs w:val="18"/>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1" w:lineRule="exact"/>
              <w:ind w:left="0" w:right="0" w:firstLine="0"/>
              <w:jc w:val="center"/>
            </w:pPr>
            <w:r>
              <w:rPr>
                <w:b/>
                <w:bCs/>
                <w:color w:val="FFFFFF"/>
                <w:spacing w:val="0"/>
                <w:w w:val="100"/>
                <w:position w:val="0"/>
              </w:rPr>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pPr>
            <w:r>
              <w:rPr>
                <w:b/>
                <w:bCs/>
                <w:color w:val="FFFFFF"/>
                <w:spacing w:val="0"/>
                <w:w w:val="100"/>
                <w:position w:val="0"/>
              </w:rPr>
              <w:t>报告期 末市价</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rPr>
                <w:sz w:val="18"/>
                <w:szCs w:val="18"/>
              </w:rPr>
            </w:pPr>
            <w:r>
              <w:rPr>
                <w:b/>
                <w:bCs/>
                <w:color w:val="FFFFFF"/>
                <w:spacing w:val="0"/>
                <w:w w:val="100"/>
                <w:position w:val="0"/>
                <w:sz w:val="15"/>
                <w:szCs w:val="15"/>
              </w:rPr>
              <w:t>（元</w:t>
            </w:r>
            <w:r>
              <w:rPr>
                <w:rFonts w:ascii="Times New Roman" w:eastAsia="Times New Roman" w:hAnsi="Times New Roman" w:cs="Times New Roman"/>
                <w:b/>
                <w:bCs/>
                <w:color w:val="FFFFFF"/>
                <w:spacing w:val="0"/>
                <w:w w:val="100"/>
                <w:position w:val="0"/>
                <w:sz w:val="18"/>
                <w:szCs w:val="18"/>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320"/>
              <w:jc w:val="left"/>
            </w:pPr>
            <w:r>
              <w:rPr>
                <w:b/>
                <w:bCs/>
                <w:color w:val="FFFFFF"/>
                <w:spacing w:val="0"/>
                <w:w w:val="100"/>
                <w:position w:val="0"/>
              </w:rPr>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0" w:lineRule="exact"/>
              <w:ind w:left="140" w:right="0" w:firstLine="20"/>
              <w:jc w:val="both"/>
            </w:pPr>
            <w:r>
              <w:rPr>
                <w:b/>
                <w:bCs/>
                <w:color w:val="FFFFFF"/>
                <w:spacing w:val="0"/>
                <w:w w:val="100"/>
                <w:position w:val="0"/>
              </w:rPr>
              <w:t>期初持 有限制 性股票 数量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240"/>
              <w:jc w:val="left"/>
            </w:pPr>
            <w:r>
              <w:rPr>
                <w:b/>
                <w:bCs/>
                <w:color w:val="FFFFFF"/>
                <w:spacing w:val="0"/>
                <w:w w:val="100"/>
                <w:position w:val="0"/>
              </w:rPr>
              <w:t>本期已</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240"/>
              <w:jc w:val="left"/>
            </w:pPr>
            <w:r>
              <w:rPr>
                <w:b/>
                <w:bCs/>
                <w:color w:val="FFFFFF"/>
                <w:spacing w:val="0"/>
                <w:w w:val="100"/>
                <w:position w:val="0"/>
              </w:rPr>
              <w:t>解锁股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240"/>
              <w:jc w:val="left"/>
            </w:pPr>
            <w:r>
              <w:rPr>
                <w:b/>
                <w:bCs/>
                <w:color w:val="FFFFFF"/>
                <w:spacing w:val="0"/>
                <w:w w:val="100"/>
                <w:position w:val="0"/>
              </w:rPr>
              <w:t>份数量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1" w:lineRule="exact"/>
              <w:ind w:left="0" w:right="0" w:firstLine="0"/>
              <w:jc w:val="center"/>
            </w:pPr>
            <w:r>
              <w:rPr>
                <w:b/>
                <w:bCs/>
                <w:color w:val="FFFFFF"/>
                <w:spacing w:val="0"/>
                <w:w w:val="100"/>
                <w:position w:val="0"/>
              </w:rPr>
              <w:t>报告期 新授予 限制性 股票数 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left"/>
              <w:rPr>
                <w:sz w:val="18"/>
                <w:szCs w:val="18"/>
              </w:rPr>
            </w:pPr>
            <w:r>
              <w:rPr>
                <w:b/>
                <w:bCs/>
                <w:color w:val="FFFFFF"/>
                <w:spacing w:val="0"/>
                <w:w w:val="100"/>
                <w:position w:val="0"/>
                <w:sz w:val="15"/>
                <w:szCs w:val="15"/>
              </w:rPr>
              <w:t>限制性 股票的 授予价 格（元</w:t>
            </w:r>
            <w:r>
              <w:rPr>
                <w:rFonts w:ascii="Times New Roman" w:eastAsia="Times New Roman" w:hAnsi="Times New Roman" w:cs="Times New Roman"/>
                <w:b/>
                <w:bCs/>
                <w:color w:val="FFFFFF"/>
                <w:spacing w:val="0"/>
                <w:w w:val="100"/>
                <w:position w:val="0"/>
                <w:sz w:val="18"/>
                <w:szCs w:val="18"/>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240" w:firstLine="0"/>
              <w:jc w:val="right"/>
            </w:pPr>
            <w:r>
              <w:rPr>
                <w:b/>
                <w:bCs/>
                <w:color w:val="FFFFFF"/>
                <w:spacing w:val="0"/>
                <w:w w:val="100"/>
                <w:position w:val="0"/>
              </w:rPr>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0" w:lineRule="exact"/>
              <w:ind w:left="0" w:right="0" w:firstLine="0"/>
              <w:jc w:val="center"/>
            </w:pPr>
            <w:r>
              <w:rPr>
                <w:b/>
                <w:bCs/>
                <w:color w:val="FFFFFF"/>
                <w:spacing w:val="0"/>
                <w:w w:val="100"/>
                <w:position w:val="0"/>
              </w:rPr>
              <w:t>期末持 有限制 性股票 数量</w:t>
            </w:r>
          </w:p>
        </w:tc>
      </w:tr>
      <w:tr>
        <w:trPr>
          <w:trHeight w:val="240"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CHEN LI YA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vMerge/>
            <w:tcBorders/>
            <w:shd w:val="clear" w:color="auto" w:fill="A6A6A6"/>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211,200</w:t>
            </w:r>
          </w:p>
        </w:tc>
      </w:tr>
      <w:tr>
        <w:trPr>
          <w:trHeight w:val="230" w:hRule="exact"/>
        </w:trPr>
        <w:tc>
          <w:tcPr>
            <w:vMerge/>
            <w:tcBorders/>
            <w:shd w:val="clear" w:color="auto" w:fill="A6A6A6"/>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秘书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李岩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副总经 理</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28,800</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410,400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rPr>
                <w:sz w:val="18"/>
                <w:szCs w:val="18"/>
              </w:rPr>
            </w:pPr>
            <w:r>
              <w:rPr>
                <w:rFonts w:ascii="Times New Roman" w:eastAsia="Times New Roman" w:hAnsi="Times New Roman" w:cs="Times New Roman"/>
                <w:b/>
                <w:bCs/>
                <w:color w:val="FFFFFF"/>
                <w:spacing w:val="0"/>
                <w:w w:val="100"/>
                <w:position w:val="0"/>
                <w:sz w:val="18"/>
                <w:szCs w:val="18"/>
              </w:rPr>
              <w:t>170,400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rPr>
                <w:sz w:val="18"/>
                <w:szCs w:val="18"/>
              </w:rPr>
            </w:pPr>
            <w:r>
              <w:rPr>
                <w:rFonts w:ascii="Times New Roman" w:eastAsia="Times New Roman" w:hAnsi="Times New Roman" w:cs="Times New Roman"/>
                <w:b/>
                <w:bCs/>
                <w:color w:val="FFFFFF"/>
                <w:spacing w:val="0"/>
                <w:w w:val="100"/>
                <w:position w:val="0"/>
                <w:sz w:val="18"/>
                <w:szCs w:val="18"/>
              </w:rPr>
              <w:t>240,000</w:t>
            </w:r>
          </w:p>
        </w:tc>
      </w:tr>
      <w:tr>
        <w:trPr>
          <w:trHeight w:val="350" w:hRule="exact"/>
        </w:trPr>
        <w:tc>
          <w:tcPr>
            <w:tcBorders/>
            <w:shd w:val="clear" w:color="auto" w:fill="A6A6A6"/>
            <w:vAlign w:val="top"/>
          </w:tcPr>
          <w:p>
            <w:pPr>
              <w:widowControl w:val="0"/>
              <w:rPr>
                <w:sz w:val="10"/>
                <w:szCs w:val="10"/>
              </w:rPr>
            </w:pPr>
          </w:p>
        </w:tc>
        <w:tc>
          <w:tcPr>
            <w:gridSpan w:val="6"/>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日召开第三届董事会第十七次会议、</w:t>
            </w:r>
          </w:p>
        </w:tc>
        <w:tc>
          <w:tcPr>
            <w:gridSpan w:val="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第三届监事会第十七次会议，审议通过了《关</w:t>
            </w:r>
          </w:p>
        </w:tc>
      </w:tr>
      <w:tr>
        <w:trPr>
          <w:trHeight w:val="312" w:hRule="exact"/>
        </w:trPr>
        <w:tc>
          <w:tcPr>
            <w:tcBorders/>
            <w:shd w:val="clear" w:color="auto" w:fill="A6A6A6"/>
            <w:vAlign w:val="top"/>
          </w:tcPr>
          <w:p>
            <w:pPr>
              <w:widowControl w:val="0"/>
              <w:rPr>
                <w:sz w:val="10"/>
                <w:szCs w:val="10"/>
              </w:rPr>
            </w:pPr>
          </w:p>
        </w:tc>
        <w:tc>
          <w:tcPr>
            <w:gridSpan w:val="7"/>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年限制性股票激励计划第一个解除限售期解除限售条件成就的议案》</w:t>
            </w:r>
          </w:p>
        </w:tc>
        <w:tc>
          <w:tcPr>
            <w:gridSpan w:val="3"/>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。公司授予激励对象的限制性股</w:t>
            </w:r>
          </w:p>
        </w:tc>
      </w:tr>
      <w:tr>
        <w:trPr>
          <w:trHeight w:val="312" w:hRule="exact"/>
        </w:trPr>
        <w:tc>
          <w:tcPr>
            <w:tcBorders/>
            <w:shd w:val="clear" w:color="auto" w:fill="A6A6A6"/>
            <w:vAlign w:val="top"/>
          </w:tcPr>
          <w:p>
            <w:pPr>
              <w:widowControl w:val="0"/>
              <w:rPr>
                <w:sz w:val="10"/>
                <w:szCs w:val="10"/>
              </w:rPr>
            </w:pPr>
          </w:p>
        </w:tc>
        <w:tc>
          <w:tcPr>
            <w:gridSpan w:val="10"/>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票第一个解除限售期解除限售符合《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年限制性股票激励计划（草案）》规定的各项解除限售条件，其中</w:t>
            </w:r>
          </w:p>
        </w:tc>
      </w:tr>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备注</w:t>
            </w:r>
          </w:p>
        </w:tc>
        <w:tc>
          <w:tcPr>
            <w:gridSpan w:val="3"/>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激励对象</w:t>
            </w:r>
            <w:r>
              <w:rPr>
                <w:rFonts w:ascii="Times New Roman" w:eastAsia="Times New Roman" w:hAnsi="Times New Roman" w:cs="Times New Roman"/>
                <w:color w:val="000000"/>
                <w:spacing w:val="0"/>
                <w:w w:val="100"/>
                <w:position w:val="0"/>
                <w:sz w:val="18"/>
                <w:szCs w:val="18"/>
              </w:rPr>
              <w:t xml:space="preserve">CHEN LI YA </w:t>
            </w:r>
            <w:r>
              <w:rPr>
                <w:rFonts w:ascii="Times New Roman" w:eastAsia="Times New Roman" w:hAnsi="Times New Roman" w:cs="Times New Roman"/>
                <w:color w:val="000000"/>
                <w:spacing w:val="0"/>
                <w:w w:val="100"/>
                <w:position w:val="0"/>
                <w:sz w:val="18"/>
                <w:szCs w:val="18"/>
              </w:rPr>
              <w:t>76,800</w:t>
            </w:r>
            <w:r>
              <w:rPr>
                <w:color w:val="000000"/>
                <w:spacing w:val="0"/>
                <w:w w:val="100"/>
                <w:position w:val="0"/>
              </w:rPr>
              <w:t>股。</w:t>
            </w: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r>
      <w:tr>
        <w:trPr>
          <w:trHeight w:val="326" w:hRule="exact"/>
        </w:trPr>
        <w:tc>
          <w:tcPr>
            <w:tcBorders/>
            <w:shd w:val="clear" w:color="auto" w:fill="A6A6A6"/>
            <w:vAlign w:val="top"/>
          </w:tcPr>
          <w:p>
            <w:pPr>
              <w:widowControl w:val="0"/>
              <w:rPr>
                <w:sz w:val="10"/>
                <w:szCs w:val="10"/>
              </w:rPr>
            </w:pPr>
          </w:p>
        </w:tc>
        <w:tc>
          <w:tcPr>
            <w:gridSpan w:val="8"/>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日召开第三届董事会第十七次会议、</w:t>
            </w:r>
          </w:p>
        </w:tc>
        <w:tc>
          <w:tcPr>
            <w:gridSpan w:val="2"/>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w:t>
            </w:r>
          </w:p>
        </w:tc>
      </w:tr>
      <w:tr>
        <w:trPr>
          <w:trHeight w:val="312" w:hRule="exact"/>
        </w:trPr>
        <w:tc>
          <w:tcPr>
            <w:tcBorders/>
            <w:shd w:val="clear" w:color="auto" w:fill="A6A6A6"/>
            <w:vAlign w:val="top"/>
          </w:tcPr>
          <w:p>
            <w:pPr>
              <w:widowControl w:val="0"/>
              <w:rPr>
                <w:sz w:val="10"/>
                <w:szCs w:val="10"/>
              </w:rPr>
            </w:pPr>
          </w:p>
        </w:tc>
        <w:tc>
          <w:tcPr>
            <w:gridSpan w:val="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七次会议和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tc>
        <w:tc>
          <w:tcPr>
            <w:gridSpan w:val="6"/>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审议通过了《关于回购注销部分限制性股票和注销部分股票期权的</w:t>
            </w:r>
          </w:p>
        </w:tc>
      </w:tr>
      <w:tr>
        <w:trPr>
          <w:trHeight w:val="346" w:hRule="exact"/>
        </w:trPr>
        <w:tc>
          <w:tcPr>
            <w:tcBorders/>
            <w:shd w:val="clear" w:color="auto" w:fill="A6A6A6"/>
            <w:vAlign w:val="top"/>
          </w:tcPr>
          <w:p>
            <w:pPr>
              <w:widowControl w:val="0"/>
              <w:rPr>
                <w:sz w:val="10"/>
                <w:szCs w:val="10"/>
              </w:rPr>
            </w:pP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议案》，</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tc>
        <w:tc>
          <w:tcPr>
            <w:gridSpan w:val="8"/>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年两次股权激励的激励对象因离职而不再符合激励资格，以及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w:t>
            </w:r>
          </w:p>
        </w:tc>
      </w:tr>
    </w:tbl>
    <w:p>
      <w:pPr>
        <w:widowControl w:val="0"/>
        <w:spacing w:line="1" w:lineRule="exact"/>
      </w:pPr>
      <w:r>
        <w:br w:type="page"/>
      </w:r>
    </w:p>
    <w:tbl>
      <w:tblPr>
        <w:tblOverlap w:val="never"/>
        <w:jc w:val="center"/>
        <w:tblLayout w:type="fixed"/>
      </w:tblPr>
      <w:tblGrid>
        <w:gridCol w:w="3509"/>
        <w:gridCol w:w="816"/>
        <w:gridCol w:w="1694"/>
        <w:gridCol w:w="965"/>
        <w:gridCol w:w="1690"/>
        <w:gridCol w:w="850"/>
      </w:tblGrid>
      <w:tr>
        <w:trPr>
          <w:trHeight w:val="197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700" w:val="left"/>
              </w:tabs>
              <w:bidi w:val="0"/>
              <w:spacing w:before="0" w:after="120" w:line="240" w:lineRule="auto"/>
              <w:ind w:left="1860" w:right="0" w:firstLine="0"/>
              <w:jc w:val="left"/>
            </w:pPr>
            <w:r>
              <w:rPr>
                <w:b/>
                <w:bCs/>
                <w:color w:val="FFFFFF"/>
                <w:spacing w:val="0"/>
                <w:w w:val="100"/>
                <w:position w:val="0"/>
              </w:rPr>
              <w:t>报告期</w:t>
              <w:tab/>
              <w:t>报告期</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64" w:val="left"/>
                <w:tab w:pos="1666" w:val="left"/>
                <w:tab w:pos="2534" w:val="left"/>
              </w:tabs>
              <w:bidi w:val="0"/>
              <w:spacing w:before="0" w:after="120" w:line="240" w:lineRule="auto"/>
              <w:ind w:left="0" w:right="0" w:firstLine="0"/>
              <w:jc w:val="center"/>
            </w:pPr>
            <w:r>
              <w:rPr>
                <w:b/>
                <w:bCs/>
                <w:color w:val="FFFFFF"/>
                <w:spacing w:val="0"/>
                <w:w w:val="100"/>
                <w:position w:val="0"/>
              </w:rPr>
              <w:t>姓名</w:t>
              <w:tab/>
              <w:t>职务</w:t>
              <w:tab/>
              <w:t>内可行</w:t>
              <w:tab/>
              <w:t>内已行</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700" w:val="left"/>
              </w:tabs>
              <w:bidi w:val="0"/>
              <w:spacing w:before="0" w:after="120" w:line="240" w:lineRule="auto"/>
              <w:ind w:left="1860" w:right="0" w:firstLine="0"/>
              <w:jc w:val="left"/>
            </w:pPr>
            <w:r>
              <w:rPr>
                <w:b/>
                <w:bCs/>
                <w:color w:val="FFFFFF"/>
                <w:spacing w:val="0"/>
                <w:w w:val="100"/>
                <w:position w:val="0"/>
              </w:rPr>
              <w:t>权股数</w:t>
              <w:tab/>
              <w:t>权股数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left"/>
              <w:rPr>
                <w:sz w:val="18"/>
                <w:szCs w:val="18"/>
              </w:rPr>
            </w:pPr>
            <w:r>
              <w:rPr>
                <w:b/>
                <w:bCs/>
                <w:color w:val="FFFFFF"/>
                <w:spacing w:val="0"/>
                <w:w w:val="100"/>
                <w:position w:val="0"/>
                <w:sz w:val="15"/>
                <w:szCs w:val="15"/>
              </w:rPr>
              <w:t>报告期 内已行 权股数 行权价 格（元</w:t>
            </w:r>
            <w:r>
              <w:rPr>
                <w:rFonts w:ascii="Times New Roman" w:eastAsia="Times New Roman" w:hAnsi="Times New Roman" w:cs="Times New Roman"/>
                <w:b/>
                <w:bCs/>
                <w:color w:val="FFFFFF"/>
                <w:spacing w:val="0"/>
                <w:w w:val="100"/>
                <w:position w:val="0"/>
                <w:sz w:val="18"/>
                <w:szCs w:val="18"/>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180"/>
              <w:jc w:val="left"/>
            </w:pPr>
            <w:r>
              <w:rPr>
                <w:b/>
                <w:bCs/>
                <w:color w:val="FFFFFF"/>
                <w:spacing w:val="0"/>
                <w:w w:val="100"/>
                <w:position w:val="0"/>
              </w:rPr>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571" w:val="right"/>
              </w:tabs>
              <w:bidi w:val="0"/>
              <w:spacing w:before="0" w:after="120" w:line="240" w:lineRule="auto"/>
              <w:ind w:left="0" w:right="0" w:firstLine="160"/>
              <w:jc w:val="both"/>
            </w:pPr>
            <w:r>
              <w:rPr>
                <w:b/>
                <w:bCs/>
                <w:color w:val="FFFFFF"/>
                <w:spacing w:val="0"/>
                <w:w w:val="100"/>
                <w:position w:val="0"/>
              </w:rPr>
              <w:t>报告期</w:t>
              <w:tab/>
              <w:t>期初持</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557" w:val="right"/>
              </w:tabs>
              <w:bidi w:val="0"/>
              <w:spacing w:before="0" w:after="120" w:line="240" w:lineRule="auto"/>
              <w:ind w:left="0" w:right="0" w:firstLine="160"/>
              <w:jc w:val="both"/>
            </w:pPr>
            <w:r>
              <w:rPr>
                <w:b/>
                <w:bCs/>
                <w:color w:val="FFFFFF"/>
                <w:spacing w:val="0"/>
                <w:w w:val="100"/>
                <w:position w:val="0"/>
              </w:rPr>
              <w:t>末市价</w:t>
              <w:tab/>
              <w:t>有限制</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58" w:val="right"/>
              </w:tabs>
              <w:bidi w:val="0"/>
              <w:spacing w:before="0" w:after="120" w:line="240" w:lineRule="auto"/>
              <w:ind w:left="0" w:right="0" w:firstLine="220"/>
              <w:jc w:val="left"/>
            </w:pPr>
            <w:r>
              <w:rPr>
                <w:b/>
                <w:bCs/>
                <w:color w:val="FFFFFF"/>
                <w:spacing w:val="0"/>
                <w:w w:val="100"/>
                <w:position w:val="0"/>
              </w:rPr>
              <w:t>（元</w:t>
            </w:r>
            <w:r>
              <w:rPr>
                <w:rFonts w:ascii="Times New Roman" w:eastAsia="Times New Roman" w:hAnsi="Times New Roman" w:cs="Times New Roman"/>
                <w:b/>
                <w:bCs/>
                <w:color w:val="FFFFFF"/>
                <w:spacing w:val="0"/>
                <w:w w:val="100"/>
                <w:position w:val="0"/>
                <w:sz w:val="18"/>
                <w:szCs w:val="18"/>
              </w:rPr>
              <w:t>/</w:t>
              <w:tab/>
            </w:r>
            <w:r>
              <w:rPr>
                <w:b/>
                <w:bCs/>
                <w:color w:val="FFFFFF"/>
                <w:spacing w:val="0"/>
                <w:w w:val="100"/>
                <w:position w:val="0"/>
              </w:rPr>
              <w:t>性股票</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49" w:val="right"/>
              </w:tabs>
              <w:bidi w:val="0"/>
              <w:spacing w:before="0" w:after="120" w:line="240" w:lineRule="auto"/>
              <w:ind w:left="0" w:right="0" w:firstLine="220"/>
              <w:jc w:val="left"/>
            </w:pPr>
            <w:r>
              <w:rPr>
                <w:b/>
                <w:bCs/>
                <w:color w:val="FFFFFF"/>
                <w:spacing w:val="0"/>
                <w:w w:val="100"/>
                <w:position w:val="0"/>
              </w:rPr>
              <w:t>股）</w:t>
              <w:tab/>
              <w:t>数量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本期已</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解锁股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份数量</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138" w:val="center"/>
              </w:tabs>
              <w:bidi w:val="0"/>
              <w:spacing w:before="0" w:after="120" w:line="240" w:lineRule="auto"/>
              <w:ind w:left="0" w:right="0" w:firstLine="0"/>
              <w:jc w:val="left"/>
            </w:pPr>
            <w:r>
              <w:rPr>
                <w:b/>
                <w:bCs/>
                <w:color w:val="FFFFFF"/>
                <w:spacing w:val="0"/>
                <w:w w:val="100"/>
                <w:position w:val="0"/>
              </w:rPr>
              <w:t>报告期</w:t>
              <w:tab/>
              <w:t>限制性</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133" w:val="center"/>
              </w:tabs>
              <w:bidi w:val="0"/>
              <w:spacing w:before="0" w:after="120" w:line="240" w:lineRule="auto"/>
              <w:ind w:left="0" w:right="0" w:firstLine="0"/>
              <w:jc w:val="left"/>
            </w:pPr>
            <w:r>
              <w:rPr>
                <w:b/>
                <w:bCs/>
                <w:color w:val="FFFFFF"/>
                <w:spacing w:val="0"/>
                <w:w w:val="100"/>
                <w:position w:val="0"/>
              </w:rPr>
              <w:t>新授予</w:t>
              <w:tab/>
              <w:t>股票的</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123" w:val="center"/>
              </w:tabs>
              <w:bidi w:val="0"/>
              <w:spacing w:before="0" w:after="120" w:line="240" w:lineRule="auto"/>
              <w:ind w:left="0" w:right="0" w:firstLine="0"/>
              <w:jc w:val="left"/>
            </w:pPr>
            <w:r>
              <w:rPr>
                <w:b/>
                <w:bCs/>
                <w:color w:val="FFFFFF"/>
                <w:spacing w:val="0"/>
                <w:w w:val="100"/>
                <w:position w:val="0"/>
              </w:rPr>
              <w:t>限制性</w:t>
              <w:tab/>
              <w:t>授予价</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rPr>
                <w:sz w:val="18"/>
                <w:szCs w:val="18"/>
              </w:rPr>
            </w:pPr>
            <w:r>
              <w:rPr>
                <w:b/>
                <w:bCs/>
                <w:color w:val="FFFFFF"/>
                <w:spacing w:val="0"/>
                <w:w w:val="100"/>
                <w:position w:val="0"/>
                <w:sz w:val="15"/>
                <w:szCs w:val="15"/>
              </w:rPr>
              <w:t>股票数格（元</w:t>
            </w:r>
            <w:r>
              <w:rPr>
                <w:rFonts w:ascii="Times New Roman" w:eastAsia="Times New Roman" w:hAnsi="Times New Roman" w:cs="Times New Roman"/>
                <w:b/>
                <w:bCs/>
                <w:color w:val="FFFFFF"/>
                <w:spacing w:val="0"/>
                <w:w w:val="100"/>
                <w:position w:val="0"/>
                <w:sz w:val="18"/>
                <w:szCs w:val="18"/>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773" w:val="left"/>
              </w:tabs>
              <w:bidi w:val="0"/>
              <w:spacing w:before="0" w:after="120" w:line="240" w:lineRule="auto"/>
              <w:ind w:left="0" w:right="0" w:firstLine="0"/>
              <w:jc w:val="center"/>
            </w:pPr>
            <w:r>
              <w:rPr>
                <w:b/>
                <w:bCs/>
                <w:color w:val="FFFFFF"/>
                <w:spacing w:val="0"/>
                <w:w w:val="100"/>
                <w:position w:val="0"/>
              </w:rPr>
              <w:t>量</w:t>
              <w:tab/>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期末持 有限制 性股票 数量</w:t>
            </w:r>
          </w:p>
        </w:tc>
      </w:tr>
      <w:tr>
        <w:trPr>
          <w:trHeight w:val="658" w:hRule="exact"/>
        </w:trPr>
        <w:tc>
          <w:tcPr>
            <w:gridSpan w:val="6"/>
            <w:tcBorders>
              <w:bottom w:val="single" w:sz="4"/>
            </w:tcBorders>
            <w:shd w:val="clear" w:color="auto" w:fill="F9ECF3"/>
            <w:vAlign w:val="center"/>
          </w:tcPr>
          <w:p>
            <w:pPr>
              <w:pStyle w:val="Style2"/>
              <w:keepNext w:val="0"/>
              <w:keepLines w:val="0"/>
              <w:widowControl w:val="0"/>
              <w:shd w:val="clear" w:color="auto" w:fill="auto"/>
              <w:bidi w:val="0"/>
              <w:spacing w:before="0" w:after="0" w:line="302" w:lineRule="exact"/>
              <w:ind w:left="940" w:right="0" w:firstLine="0"/>
              <w:jc w:val="both"/>
            </w:pPr>
            <w:r>
              <w:rPr>
                <w:color w:val="000000"/>
                <w:spacing w:val="0"/>
                <w:w w:val="100"/>
                <w:position w:val="0"/>
              </w:rPr>
              <w:t>与股票期权激励计划第二个解除限售期公司业绩考核要求未能达标，回购注销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年股权激励涉及的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 励对象所持有的限制性股票</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万股，其中回购注销</w:t>
            </w:r>
            <w:r>
              <w:rPr>
                <w:rFonts w:ascii="Times New Roman" w:eastAsia="Times New Roman" w:hAnsi="Times New Roman" w:cs="Times New Roman"/>
                <w:color w:val="000000"/>
                <w:spacing w:val="0"/>
                <w:w w:val="100"/>
                <w:position w:val="0"/>
                <w:sz w:val="18"/>
                <w:szCs w:val="18"/>
              </w:rPr>
              <w:t xml:space="preserve">CHEN LI YA </w:t>
            </w:r>
            <w:r>
              <w:rPr>
                <w:rFonts w:ascii="Times New Roman" w:eastAsia="Times New Roman" w:hAnsi="Times New Roman" w:cs="Times New Roman"/>
                <w:color w:val="000000"/>
                <w:spacing w:val="0"/>
                <w:w w:val="100"/>
                <w:position w:val="0"/>
                <w:sz w:val="18"/>
                <w:szCs w:val="18"/>
              </w:rPr>
              <w:t>72,000</w:t>
            </w:r>
            <w:r>
              <w:rPr>
                <w:color w:val="000000"/>
                <w:spacing w:val="0"/>
                <w:w w:val="100"/>
                <w:position w:val="0"/>
              </w:rPr>
              <w:t>股，回购注销李岩</w:t>
            </w:r>
            <w:r>
              <w:rPr>
                <w:rFonts w:ascii="Times New Roman" w:eastAsia="Times New Roman" w:hAnsi="Times New Roman" w:cs="Times New Roman"/>
                <w:color w:val="000000"/>
                <w:spacing w:val="0"/>
                <w:w w:val="100"/>
                <w:position w:val="0"/>
                <w:sz w:val="18"/>
                <w:szCs w:val="18"/>
              </w:rPr>
              <w:t>21,600</w:t>
            </w:r>
            <w:r>
              <w:rPr>
                <w:color w:val="000000"/>
                <w:spacing w:val="0"/>
                <w:w w:val="100"/>
                <w:position w:val="0"/>
              </w:rPr>
              <w:t>股。</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五</w:t>
      </w:r>
      <w:bookmarkEnd w:id="513"/>
      <w:r>
        <w:rPr>
          <w:color w:val="000000"/>
          <w:spacing w:val="0"/>
          <w:w w:val="100"/>
          <w:position w:val="0"/>
          <w:sz w:val="24"/>
          <w:szCs w:val="24"/>
        </w:rPr>
        <w:t>、公司员工情况</w:t>
      </w:r>
      <w:bookmarkEnd w:id="511"/>
      <w:bookmarkEnd w:id="512"/>
      <w:bookmarkEnd w:id="514"/>
    </w:p>
    <w:p>
      <w:pPr>
        <w:pStyle w:val="Style49"/>
        <w:keepNext/>
        <w:keepLines/>
        <w:widowControl w:val="0"/>
        <w:shd w:val="clear" w:color="auto" w:fill="auto"/>
        <w:bidi w:val="0"/>
        <w:spacing w:before="0" w:after="30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、员工数量、专业构成及教育程度</w:t>
      </w:r>
      <w:bookmarkEnd w:id="515"/>
      <w:bookmarkEnd w:id="516"/>
      <w:bookmarkEnd w:id="518"/>
    </w:p>
    <w:tbl>
      <w:tblPr>
        <w:tblOverlap w:val="never"/>
        <w:jc w:val="center"/>
        <w:tblLayout w:type="fixed"/>
      </w:tblPr>
      <w:tblGrid>
        <w:gridCol w:w="4781"/>
        <w:gridCol w:w="4790"/>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母公司在职员工的数量（人）</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96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主要子公司在职员工的数量（人）</w:t>
            </w:r>
          </w:p>
        </w:tc>
        <w:tc>
          <w:tcPr>
            <w:tcBorders/>
            <w:shd w:val="clear" w:color="auto" w:fill="7E3F6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在职员工的数量合计（人）</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当期领取薪酬员工总人数（人）</w:t>
            </w:r>
          </w:p>
        </w:tc>
        <w:tc>
          <w:tcPr>
            <w:tcBorders>
              <w:top w:val="single" w:sz="4"/>
            </w:tcBorders>
            <w:shd w:val="clear" w:color="auto" w:fill="A22B6F"/>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母公司及主要子公司需承担费用的离退休职工人数（人）</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420" w:right="0" w:firstLine="0"/>
              <w:jc w:val="left"/>
            </w:pPr>
            <w:r>
              <w:rPr>
                <w:b/>
                <w:bCs/>
                <w:color w:val="FFFFFF"/>
                <w:spacing w:val="0"/>
                <w:w w:val="100"/>
                <w:position w:val="0"/>
              </w:rPr>
              <w:t>专业</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构成</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专业构成类别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专业构成人数（人）</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销售人员</w:t>
            </w:r>
          </w:p>
        </w:tc>
        <w:tc>
          <w:tcPr>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技术人员</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财务人员</w:t>
            </w:r>
          </w:p>
        </w:tc>
        <w:tc>
          <w:tcPr>
            <w:tcBorders>
              <w:top w:val="single" w:sz="4"/>
            </w:tcBorders>
            <w:shd w:val="clear" w:color="auto" w:fill="A22B6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行政人员</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服务顾问</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门店负责人员</w:t>
            </w:r>
          </w:p>
        </w:tc>
        <w:tc>
          <w:tcPr>
            <w:tcBorders>
              <w:top w:val="single" w:sz="4"/>
            </w:tcBorders>
            <w:shd w:val="clear" w:color="auto" w:fill="A22B6F"/>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804</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420" w:right="0" w:firstLine="0"/>
              <w:jc w:val="left"/>
            </w:pPr>
            <w:r>
              <w:rPr>
                <w:b/>
                <w:bCs/>
                <w:color w:val="FFFFFF"/>
                <w:spacing w:val="0"/>
                <w:w w:val="100"/>
                <w:position w:val="0"/>
              </w:rPr>
              <w:t>教育</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程度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教育程度类别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数量（人）</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硕士</w:t>
            </w:r>
          </w:p>
        </w:tc>
        <w:tc>
          <w:tcPr>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本科</w:t>
            </w:r>
          </w:p>
        </w:tc>
        <w:tc>
          <w:tcPr>
            <w:tcBorders>
              <w:top w:val="single" w:sz="4"/>
            </w:tcBorders>
            <w:shd w:val="clear" w:color="auto" w:fill="A22B6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专科</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专科以下</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804</w:t>
            </w:r>
          </w:p>
        </w:tc>
      </w:tr>
    </w:tbl>
    <w:p>
      <w:pPr>
        <w:widowControl w:val="0"/>
        <w:spacing w:after="359" w:line="1" w:lineRule="exact"/>
      </w:pPr>
    </w:p>
    <w:p>
      <w:pPr>
        <w:pStyle w:val="Style49"/>
        <w:keepNext/>
        <w:keepLines/>
        <w:widowControl w:val="0"/>
        <w:shd w:val="clear" w:color="auto" w:fill="auto"/>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、薪酬政策</w:t>
      </w:r>
      <w:bookmarkEnd w:id="519"/>
      <w:bookmarkEnd w:id="520"/>
      <w:bookmarkEnd w:id="522"/>
    </w:p>
    <w:p>
      <w:pPr>
        <w:pStyle w:val="Style31"/>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公司秉承为岗位付薪、为业绩付薪、为能力付薪的薪酬理念，以价值创造为激励导向，薪酬分配向业绩、能力优秀的员</w:t>
        <w:br w:type="page"/>
      </w:r>
      <w:r>
        <w:rPr>
          <w:color w:val="000000"/>
          <w:spacing w:val="0"/>
          <w:w w:val="100"/>
          <w:position w:val="0"/>
        </w:rPr>
        <w:t>工倾斜，确保薪酬资源能够有效吸引、激励和保留关键人才。</w:t>
      </w:r>
    </w:p>
    <w:p>
      <w:pPr>
        <w:pStyle w:val="Style31"/>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公司为员工提供包括基本工资、业绩奖金、津补贴、外派奖金及福利等薪酬政策，通过短期激励结合长期激励，激励为 公司发展做出贡献的优秀员工。公司薪酬向奋斗者倾斜，对于高绩效员工不但在业绩奖金上获得高回报，同时会获得职级晋 升，激励员工追求更高的业绩，激发员工追求职业晋升。</w:t>
      </w:r>
    </w:p>
    <w:p>
      <w:pPr>
        <w:pStyle w:val="Style49"/>
        <w:keepNext/>
        <w:keepLines/>
        <w:widowControl w:val="0"/>
        <w:shd w:val="clear" w:color="auto" w:fill="auto"/>
        <w:bidi w:val="0"/>
        <w:spacing w:before="0" w:after="20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、培训计划</w:t>
      </w:r>
      <w:bookmarkEnd w:id="523"/>
      <w:bookmarkEnd w:id="524"/>
      <w:bookmarkEnd w:id="526"/>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为实现公司与员工共同成长，搭建一只适应公司快速发展的梯队，打造学习型组织，公司培训计划既有长期系统学习， 又有业务实战锻炼。</w:t>
      </w:r>
    </w:p>
    <w:p>
      <w:pPr>
        <w:pStyle w:val="Style31"/>
        <w:keepNext w:val="0"/>
        <w:keepLines w:val="0"/>
        <w:widowControl w:val="0"/>
        <w:shd w:val="clear" w:color="auto" w:fill="auto"/>
        <w:bidi w:val="0"/>
        <w:spacing w:before="0" w:after="40" w:line="350" w:lineRule="exact"/>
        <w:ind w:left="0" w:right="0" w:firstLine="380"/>
        <w:jc w:val="both"/>
      </w:pPr>
      <w:bookmarkStart w:id="527" w:name="bookmark527"/>
      <w:r>
        <w:rPr>
          <w:rFonts w:ascii="Times New Roman" w:eastAsia="Times New Roman" w:hAnsi="Times New Roman" w:cs="Times New Roman"/>
          <w:color w:val="000000"/>
          <w:spacing w:val="0"/>
          <w:w w:val="100"/>
          <w:position w:val="0"/>
          <w:sz w:val="18"/>
          <w:szCs w:val="18"/>
        </w:rPr>
        <w:t>1</w:t>
      </w:r>
      <w:bookmarkEnd w:id="527"/>
      <w:r>
        <w:rPr>
          <w:color w:val="000000"/>
          <w:spacing w:val="0"/>
          <w:w w:val="100"/>
          <w:position w:val="0"/>
        </w:rPr>
        <w:t>、 新员工培养：通过新员工入职培训，传递企业价值观和核心理念，并塑造员工行为，使新员工迅速适应企业环境并 与其他团队成员展开良性互动。试用期内实行师傅带徒弟制，做到新员工有人帮扶，同时实现人才复制，最佳操作方式得到 提炼及传承。</w:t>
      </w:r>
    </w:p>
    <w:p>
      <w:pPr>
        <w:pStyle w:val="Style31"/>
        <w:keepNext w:val="0"/>
        <w:keepLines w:val="0"/>
        <w:widowControl w:val="0"/>
        <w:shd w:val="clear" w:color="auto" w:fill="auto"/>
        <w:tabs>
          <w:tab w:pos="698" w:val="left"/>
        </w:tabs>
        <w:bidi w:val="0"/>
        <w:spacing w:before="0" w:after="40" w:line="355" w:lineRule="exact"/>
        <w:ind w:left="0" w:right="0" w:firstLine="380"/>
        <w:jc w:val="both"/>
      </w:pPr>
      <w:bookmarkStart w:id="528" w:name="bookmark528"/>
      <w:r>
        <w:rPr>
          <w:rFonts w:ascii="Times New Roman" w:eastAsia="Times New Roman" w:hAnsi="Times New Roman" w:cs="Times New Roman"/>
          <w:color w:val="000000"/>
          <w:spacing w:val="0"/>
          <w:w w:val="100"/>
          <w:position w:val="0"/>
          <w:sz w:val="18"/>
          <w:szCs w:val="18"/>
        </w:rPr>
        <w:t>2</w:t>
      </w:r>
      <w:bookmarkEnd w:id="528"/>
      <w:r>
        <w:rPr>
          <w:color w:val="000000"/>
          <w:spacing w:val="0"/>
          <w:w w:val="100"/>
          <w:position w:val="0"/>
        </w:rPr>
        <w:t>、</w:t>
        <w:tab/>
        <w:t>基层员工专业技能培训、通用技能培训，提高专业知识和专业技能，增强个人能力提高工作效率，不断提升基层员 工的业务水平和操作技能，利用各种办公软件的使用培训学习、专业知识的培训学习，实现高效工作。</w:t>
      </w:r>
    </w:p>
    <w:p>
      <w:pPr>
        <w:pStyle w:val="Style31"/>
        <w:keepNext w:val="0"/>
        <w:keepLines w:val="0"/>
        <w:widowControl w:val="0"/>
        <w:shd w:val="clear" w:color="auto" w:fill="auto"/>
        <w:tabs>
          <w:tab w:pos="698" w:val="left"/>
        </w:tabs>
        <w:bidi w:val="0"/>
        <w:spacing w:before="0" w:after="40" w:line="365" w:lineRule="exact"/>
        <w:ind w:left="0" w:right="0" w:firstLine="380"/>
        <w:jc w:val="both"/>
      </w:pPr>
      <w:bookmarkStart w:id="529" w:name="bookmark529"/>
      <w:r>
        <w:rPr>
          <w:rFonts w:ascii="Times New Roman" w:eastAsia="Times New Roman" w:hAnsi="Times New Roman" w:cs="Times New Roman"/>
          <w:color w:val="000000"/>
          <w:spacing w:val="0"/>
          <w:w w:val="100"/>
          <w:position w:val="0"/>
          <w:sz w:val="18"/>
          <w:szCs w:val="18"/>
        </w:rPr>
        <w:t>3</w:t>
      </w:r>
      <w:bookmarkEnd w:id="529"/>
      <w:r>
        <w:rPr>
          <w:color w:val="000000"/>
          <w:spacing w:val="0"/>
          <w:w w:val="100"/>
          <w:position w:val="0"/>
        </w:rPr>
        <w:t>、</w:t>
        <w:tab/>
        <w:t>管理者培养；对高管人员进行培训，提升经营理念，开阔思路，增强决策潜力，战略开拓潜力和现代经管理潜力。 对中层管理人员进行培训，提高管理者的综合素质，完善知识结构，增强综合管理潜力，创新潜力和执行潜力。</w:t>
      </w:r>
    </w:p>
    <w:p>
      <w:pPr>
        <w:pStyle w:val="Style31"/>
        <w:keepNext w:val="0"/>
        <w:keepLines w:val="0"/>
        <w:widowControl w:val="0"/>
        <w:shd w:val="clear" w:color="auto" w:fill="auto"/>
        <w:bidi w:val="0"/>
        <w:spacing w:before="0" w:after="480" w:line="331"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在操作层面，利用线上直播录播、微课、短视频等多种多媒体媒介，讲解操作技能技巧，利用丰富的学习 资源，帮助员工提升操作技能，进一步完善了移动学习平台。之后将复制多媒体媒介传播知识的成功经验，搭建一个集知识 分享、经典案例分析、优秀操作技能分解等多媒体学习平台，形成碎片化的知识获取体系，最终构建一个学习型组织。</w:t>
      </w:r>
    </w:p>
    <w:p>
      <w:pPr>
        <w:pStyle w:val="Style49"/>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、劳务外包情况</w:t>
      </w:r>
      <w:bookmarkEnd w:id="530"/>
      <w:bookmarkEnd w:id="531"/>
      <w:bookmarkEnd w:id="533"/>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200" w:line="240" w:lineRule="auto"/>
        <w:ind w:left="0" w:right="0" w:firstLine="0"/>
        <w:jc w:val="left"/>
      </w:pPr>
      <w:r>
        <mc:AlternateContent>
          <mc:Choice Requires="wps">
            <w:drawing>
              <wp:anchor distT="0" distB="252730" distL="358140" distR="114300" simplePos="0" relativeHeight="125829616" behindDoc="0" locked="0" layoutInCell="1" allowOverlap="1">
                <wp:simplePos x="0" y="0"/>
                <wp:positionH relativeFrom="page">
                  <wp:posOffset>6259830</wp:posOffset>
                </wp:positionH>
                <wp:positionV relativeFrom="paragraph">
                  <wp:posOffset>12700</wp:posOffset>
                </wp:positionV>
                <wp:extent cx="389890" cy="143510"/>
                <wp:wrapSquare wrapText="left"/>
                <wp:docPr id="305" name="Shape 305"/>
                <a:graphic xmlns:a="http://schemas.openxmlformats.org/drawingml/2006/main">
                  <a:graphicData uri="http://schemas.microsoft.com/office/word/2010/wordprocessingShape">
                    <wps:wsp>
                      <wps:cNvSpPr txBox="1"/>
                      <wps:spPr>
                        <a:xfrm>
                          <a:ext cx="389890" cy="143510"/>
                        </a:xfrm>
                        <a:prstGeom prst="rect"/>
                        <a:noFill/>
                      </wps:spPr>
                      <wps:txbx>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116,580</w:t>
                            </w:r>
                          </w:p>
                        </w:txbxContent>
                      </wps:txbx>
                      <wps:bodyPr wrap="none" lIns="0" tIns="0" rIns="0" bIns="0">
                        <a:noAutoFit/>
                      </wps:bodyPr>
                    </wps:wsp>
                  </a:graphicData>
                </a:graphic>
              </wp:anchor>
            </w:drawing>
          </mc:Choice>
          <mc:Fallback>
            <w:pict>
              <v:shape id="_x0000_s1331" type="#_x0000_t202" style="position:absolute;margin-left:492.90000000000003pt;margin-top:1.pt;width:30.699999999999999pt;height:11.300000000000001pt;z-index:-125829137;mso-wrap-distance-left:28.199999999999999pt;mso-wrap-distance-right:9.pt;mso-wrap-distance-bottom:19.900000000000002pt;mso-position-horizontal-relative:page" filled="f" stroked="f">
                <v:textbox inset="0,0,0,0">
                  <w:txbxContent>
                    <w:p>
                      <w:pPr>
                        <w:pStyle w:val="Style34"/>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116,580</w:t>
                      </w:r>
                    </w:p>
                  </w:txbxContent>
                </v:textbox>
                <w10:wrap type="square" side="left" anchorx="page"/>
              </v:shape>
            </w:pict>
          </mc:Fallback>
        </mc:AlternateContent>
      </w:r>
      <w:r>
        <mc:AlternateContent>
          <mc:Choice Requires="wps">
            <w:drawing>
              <wp:anchor distT="252730" distB="0" distL="114300" distR="114300" simplePos="0" relativeHeight="125829618" behindDoc="0" locked="0" layoutInCell="1" allowOverlap="1">
                <wp:simplePos x="0" y="0"/>
                <wp:positionH relativeFrom="page">
                  <wp:posOffset>6015990</wp:posOffset>
                </wp:positionH>
                <wp:positionV relativeFrom="paragraph">
                  <wp:posOffset>265430</wp:posOffset>
                </wp:positionV>
                <wp:extent cx="633730" cy="143510"/>
                <wp:wrapSquare wrapText="left"/>
                <wp:docPr id="307" name="Shape 307"/>
                <a:graphic xmlns:a="http://schemas.openxmlformats.org/drawingml/2006/main">
                  <a:graphicData uri="http://schemas.microsoft.com/office/word/2010/wordprocessingShape">
                    <wps:wsp>
                      <wps:cNvSpPr txBox="1"/>
                      <wps:spPr>
                        <a:xfrm>
                          <a:ext cx="633730" cy="143510"/>
                        </a:xfrm>
                        <a:prstGeom prst="rect"/>
                        <a:noFill/>
                      </wps:spPr>
                      <wps:txbx>
                        <w:txbxContent>
                          <w:p>
                            <w:pPr>
                              <w:pStyle w:val="Style3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2,895,576.07</w:t>
                            </w:r>
                          </w:p>
                        </w:txbxContent>
                      </wps:txbx>
                      <wps:bodyPr wrap="none" lIns="0" tIns="0" rIns="0" bIns="0">
                        <a:noAutoFit/>
                      </wps:bodyPr>
                    </wps:wsp>
                  </a:graphicData>
                </a:graphic>
              </wp:anchor>
            </w:drawing>
          </mc:Choice>
          <mc:Fallback>
            <w:pict>
              <v:shape id="_x0000_s1333" type="#_x0000_t202" style="position:absolute;margin-left:473.69999999999999pt;margin-top:20.900000000000002pt;width:49.899999999999999pt;height:11.300000000000001pt;z-index:-125829135;mso-wrap-distance-left:9.pt;mso-wrap-distance-top:19.900000000000002pt;mso-wrap-distance-right:9.pt;mso-position-horizontal-relative:page" filled="f" stroked="f">
                <v:textbox inset="0,0,0,0">
                  <w:txbxContent>
                    <w:p>
                      <w:pPr>
                        <w:pStyle w:val="Style3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2,895,576.07</w:t>
                      </w:r>
                    </w:p>
                  </w:txbxContent>
                </v:textbox>
                <w10:wrap type="square" side="left" anchorx="page"/>
              </v:shape>
            </w:pict>
          </mc:Fallback>
        </mc:AlternateContent>
      </w:r>
      <w:r>
        <w:rPr>
          <w:b/>
          <w:bCs/>
          <w:color w:val="FFFFFF"/>
          <w:spacing w:val="0"/>
          <w:w w:val="100"/>
          <w:position w:val="0"/>
        </w:rPr>
        <w:t>劳务外包的工时总数（小时）</w: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200" w:line="240" w:lineRule="auto"/>
        <w:ind w:left="0" w:right="0" w:firstLine="0"/>
        <w:jc w:val="left"/>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66" w:h="17375"/>
          <w:pgMar w:top="1570" w:right="1097" w:bottom="1775" w:left="1038" w:header="0" w:footer="3" w:gutter="0"/>
          <w:cols w:space="720"/>
          <w:noEndnote/>
          <w:titlePg/>
          <w:rtlGutter w:val="0"/>
          <w:docGrid w:linePitch="360"/>
        </w:sectPr>
      </w:pPr>
      <w:r>
        <w:rPr>
          <w:b/>
          <w:bCs/>
          <w:color w:val="FFFFFF"/>
          <w:spacing w:val="0"/>
          <w:w w:val="100"/>
          <w:position w:val="0"/>
        </w:rPr>
        <w:t>劳务外包支付的报酬总额（元）</w:t>
      </w:r>
    </w:p>
    <w:p>
      <w:pPr>
        <w:pStyle w:val="Style22"/>
        <w:keepNext/>
        <w:keepLines/>
        <w:widowControl w:val="0"/>
        <w:shd w:val="clear" w:color="auto" w:fill="auto"/>
        <w:bidi w:val="0"/>
        <w:spacing w:before="600" w:after="560" w:line="240" w:lineRule="auto"/>
        <w:ind w:left="0" w:right="0" w:firstLine="0"/>
        <w:jc w:val="center"/>
      </w:pPr>
      <w:bookmarkStart w:id="534" w:name="bookmark534"/>
      <w:bookmarkStart w:id="535" w:name="bookmark535"/>
      <w:bookmarkStart w:id="536" w:name="bookmark536"/>
      <w:r>
        <w:rPr>
          <w:spacing w:val="0"/>
          <w:w w:val="100"/>
          <w:position w:val="0"/>
        </w:rPr>
        <w:t>第十节公司治理</w:t>
      </w:r>
      <w:bookmarkEnd w:id="534"/>
      <w:bookmarkEnd w:id="535"/>
      <w:bookmarkEnd w:id="536"/>
    </w:p>
    <w:p>
      <w:pPr>
        <w:pStyle w:val="Style39"/>
        <w:keepNext/>
        <w:keepLines/>
        <w:widowControl w:val="0"/>
        <w:shd w:val="clear" w:color="auto" w:fill="auto"/>
        <w:bidi w:val="0"/>
        <w:spacing w:before="0" w:after="1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一</w:t>
      </w:r>
      <w:bookmarkEnd w:id="539"/>
      <w:r>
        <w:rPr>
          <w:color w:val="000000"/>
          <w:spacing w:val="0"/>
          <w:w w:val="100"/>
          <w:position w:val="0"/>
          <w:sz w:val="24"/>
          <w:szCs w:val="24"/>
        </w:rPr>
        <w:t>、公司治理的基本状况</w:t>
      </w:r>
      <w:bookmarkEnd w:id="537"/>
      <w:bookmarkEnd w:id="538"/>
      <w:bookmarkEnd w:id="540"/>
    </w:p>
    <w:p>
      <w:pPr>
        <w:pStyle w:val="Style31"/>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《深圳证券交易所创业板上市公司规范运作指引》等法律、法规和中国证监会有关法律法规的要求，不断完善公司法人治理 结构，建立健全公司内部管理和控制体系，持续深入开展公司治理活动，促进公司规范运作，提高公司治理水平。</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截至报告期末，公司不存在向大股东、实际控制人提供未公开信息等治理非规范情况。公司治理的实际状况符合中国证 监会及深圳证券交易所有关上市公司治理的规范性文件的要求。</w:t>
      </w:r>
    </w:p>
    <w:p>
      <w:pPr>
        <w:pStyle w:val="Style31"/>
        <w:keepNext w:val="0"/>
        <w:keepLines w:val="0"/>
        <w:widowControl w:val="0"/>
        <w:shd w:val="clear" w:color="auto" w:fill="auto"/>
        <w:tabs>
          <w:tab w:pos="709" w:val="left"/>
        </w:tabs>
        <w:bidi w:val="0"/>
        <w:spacing w:before="0" w:after="0" w:line="350" w:lineRule="exact"/>
        <w:ind w:left="0" w:right="0" w:firstLine="380"/>
        <w:jc w:val="both"/>
      </w:pPr>
      <w:bookmarkStart w:id="541" w:name="bookmark541"/>
      <w:r>
        <w:rPr>
          <w:rFonts w:ascii="Times New Roman" w:eastAsia="Times New Roman" w:hAnsi="Times New Roman" w:cs="Times New Roman"/>
          <w:b/>
          <w:bCs/>
          <w:color w:val="000000"/>
          <w:spacing w:val="0"/>
          <w:w w:val="100"/>
          <w:position w:val="0"/>
          <w:sz w:val="18"/>
          <w:szCs w:val="18"/>
        </w:rPr>
        <w:t>1</w:t>
      </w:r>
      <w:bookmarkEnd w:id="541"/>
      <w:r>
        <w:rPr>
          <w:b/>
          <w:bCs/>
          <w:color w:val="000000"/>
          <w:spacing w:val="0"/>
          <w:w w:val="100"/>
          <w:position w:val="0"/>
        </w:rPr>
        <w:t>、</w:t>
        <w:tab/>
        <w:t>关于股东与股东大会</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公司严格按照《公司章程》和《股东大会议事规则》的规定和要求，规范股东大会的召集、召开及议事程序，平等对待 所有的股东，尽可能为股东参加股东大会提供便利，确保股东特别是中小股东能充分行使自己的权利。在涉及关联交易事项 表决时，关联股东均进行了回避。</w:t>
      </w:r>
    </w:p>
    <w:p>
      <w:pPr>
        <w:pStyle w:val="Style31"/>
        <w:keepNext w:val="0"/>
        <w:keepLines w:val="0"/>
        <w:widowControl w:val="0"/>
        <w:shd w:val="clear" w:color="auto" w:fill="auto"/>
        <w:tabs>
          <w:tab w:pos="724" w:val="left"/>
        </w:tabs>
        <w:bidi w:val="0"/>
        <w:spacing w:before="0" w:after="0" w:line="350" w:lineRule="exact"/>
        <w:ind w:left="0" w:right="0" w:firstLine="380"/>
        <w:jc w:val="both"/>
      </w:pPr>
      <w:bookmarkStart w:id="542" w:name="bookmark542"/>
      <w:r>
        <w:rPr>
          <w:rFonts w:ascii="Times New Roman" w:eastAsia="Times New Roman" w:hAnsi="Times New Roman" w:cs="Times New Roman"/>
          <w:b/>
          <w:bCs/>
          <w:color w:val="000000"/>
          <w:spacing w:val="0"/>
          <w:w w:val="100"/>
          <w:position w:val="0"/>
          <w:sz w:val="18"/>
          <w:szCs w:val="18"/>
        </w:rPr>
        <w:t>2</w:t>
      </w:r>
      <w:bookmarkEnd w:id="542"/>
      <w:r>
        <w:rPr>
          <w:b/>
          <w:bCs/>
          <w:color w:val="000000"/>
          <w:spacing w:val="0"/>
          <w:w w:val="100"/>
          <w:position w:val="0"/>
        </w:rPr>
        <w:t>、</w:t>
        <w:tab/>
        <w:t>关于公司与控股股东</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公司具有独立的业务和自主经营能力，在业务、人员、资产、机构、财务上独立于控股股东，公司董事会、监事会和内 部机构独立运作。公司控股股东行为规范，依法行使其权力并承担了相应义务，没有超越股东大会直接或间接干预公司的决 策和经营活动，不存在占用公司资金的情况。</w:t>
      </w:r>
    </w:p>
    <w:p>
      <w:pPr>
        <w:pStyle w:val="Style31"/>
        <w:keepNext w:val="0"/>
        <w:keepLines w:val="0"/>
        <w:widowControl w:val="0"/>
        <w:shd w:val="clear" w:color="auto" w:fill="auto"/>
        <w:tabs>
          <w:tab w:pos="724" w:val="left"/>
        </w:tabs>
        <w:bidi w:val="0"/>
        <w:spacing w:before="0" w:after="0" w:line="350" w:lineRule="exact"/>
        <w:ind w:left="0" w:right="0" w:firstLine="380"/>
        <w:jc w:val="both"/>
      </w:pPr>
      <w:bookmarkStart w:id="543" w:name="bookmark543"/>
      <w:r>
        <w:rPr>
          <w:rFonts w:ascii="Times New Roman" w:eastAsia="Times New Roman" w:hAnsi="Times New Roman" w:cs="Times New Roman"/>
          <w:b/>
          <w:bCs/>
          <w:color w:val="000000"/>
          <w:spacing w:val="0"/>
          <w:w w:val="100"/>
          <w:position w:val="0"/>
          <w:sz w:val="18"/>
          <w:szCs w:val="18"/>
        </w:rPr>
        <w:t>3</w:t>
      </w:r>
      <w:bookmarkEnd w:id="543"/>
      <w:r>
        <w:rPr>
          <w:b/>
          <w:bCs/>
          <w:color w:val="000000"/>
          <w:spacing w:val="0"/>
          <w:w w:val="100"/>
          <w:position w:val="0"/>
        </w:rPr>
        <w:t>、</w:t>
        <w:tab/>
        <w:t>关于董事与董事会</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公司严格按照《公司章程》和《董事会议事规则》的要求选举董事和独立董事，公司目前有董事五名，其中独立董事两 名，占全体董事的三分之一以上，其中一名独立董事为会计专业人士，董事会成员构成符合法律法规和《公司章程》的要求。 公司董事诚信、勤勉地履行职责，亲自出席董事会和股东大会，积极参加由北京证监局及深圳证券交易所组织的相关培训， 熟悉有关法律法规，并能够不受影响的独立履行职责。</w:t>
      </w:r>
    </w:p>
    <w:p>
      <w:pPr>
        <w:pStyle w:val="Style31"/>
        <w:keepNext w:val="0"/>
        <w:keepLines w:val="0"/>
        <w:widowControl w:val="0"/>
        <w:shd w:val="clear" w:color="auto" w:fill="auto"/>
        <w:tabs>
          <w:tab w:pos="724" w:val="left"/>
        </w:tabs>
        <w:bidi w:val="0"/>
        <w:spacing w:before="0" w:after="0" w:line="350" w:lineRule="exact"/>
        <w:ind w:left="0" w:right="0" w:firstLine="380"/>
        <w:jc w:val="both"/>
      </w:pPr>
      <w:bookmarkStart w:id="544" w:name="bookmark544"/>
      <w:r>
        <w:rPr>
          <w:rFonts w:ascii="Times New Roman" w:eastAsia="Times New Roman" w:hAnsi="Times New Roman" w:cs="Times New Roman"/>
          <w:b/>
          <w:bCs/>
          <w:color w:val="000000"/>
          <w:spacing w:val="0"/>
          <w:w w:val="100"/>
          <w:position w:val="0"/>
          <w:sz w:val="18"/>
          <w:szCs w:val="18"/>
        </w:rPr>
        <w:t>4</w:t>
      </w:r>
      <w:bookmarkEnd w:id="544"/>
      <w:r>
        <w:rPr>
          <w:b/>
          <w:bCs/>
          <w:color w:val="000000"/>
          <w:spacing w:val="0"/>
          <w:w w:val="100"/>
          <w:position w:val="0"/>
        </w:rPr>
        <w:t>、</w:t>
        <w:tab/>
        <w:t>关于监事与监事会</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公司严格按照《公司章程》规定的选聘程序选举监事，公司监事会设监事三名，其中职工监事一名，监事会及监事的人 数和构成符合法律、法规的要求。公司监事能够严格按照《公司章程》、《监事会议事规则》等的要求，认真履行监事的职 责，对公司运营情况、重大事项、关联交易的决策以及董事和高级管理人员履行职责的合法合规性进行有效的监督，积极维 护公司及股东的合法权益。</w:t>
      </w:r>
    </w:p>
    <w:p>
      <w:pPr>
        <w:pStyle w:val="Style31"/>
        <w:keepNext w:val="0"/>
        <w:keepLines w:val="0"/>
        <w:widowControl w:val="0"/>
        <w:shd w:val="clear" w:color="auto" w:fill="auto"/>
        <w:tabs>
          <w:tab w:pos="719" w:val="left"/>
        </w:tabs>
        <w:bidi w:val="0"/>
        <w:spacing w:before="0" w:after="0" w:line="350" w:lineRule="exact"/>
        <w:ind w:left="0" w:right="0" w:firstLine="380"/>
        <w:jc w:val="both"/>
      </w:pPr>
      <w:bookmarkStart w:id="545" w:name="bookmark545"/>
      <w:r>
        <w:rPr>
          <w:rFonts w:ascii="Times New Roman" w:eastAsia="Times New Roman" w:hAnsi="Times New Roman" w:cs="Times New Roman"/>
          <w:b/>
          <w:bCs/>
          <w:color w:val="000000"/>
          <w:spacing w:val="0"/>
          <w:w w:val="100"/>
          <w:position w:val="0"/>
          <w:sz w:val="18"/>
          <w:szCs w:val="18"/>
        </w:rPr>
        <w:t>5</w:t>
      </w:r>
      <w:bookmarkEnd w:id="545"/>
      <w:r>
        <w:rPr>
          <w:b/>
          <w:bCs/>
          <w:color w:val="000000"/>
          <w:spacing w:val="0"/>
          <w:w w:val="100"/>
          <w:position w:val="0"/>
        </w:rPr>
        <w:t>、</w:t>
        <w:tab/>
        <w:t>关于绩效评价与激励约束机制</w:t>
      </w:r>
    </w:p>
    <w:p>
      <w:pPr>
        <w:pStyle w:val="Style31"/>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公司建立了公正透明的董事、监事和高级管理人员的绩效评价标准和程序，建立了经理人员的薪酬与公司绩效相联系的 激励机制，保持了经理人员的稳定性。公司经理人员的任免履行了法定的程序，严格按照有关法律法规和公司章程的规定进 行。</w:t>
      </w:r>
    </w:p>
    <w:p>
      <w:pPr>
        <w:pStyle w:val="Style31"/>
        <w:keepNext w:val="0"/>
        <w:keepLines w:val="0"/>
        <w:widowControl w:val="0"/>
        <w:shd w:val="clear" w:color="auto" w:fill="auto"/>
        <w:tabs>
          <w:tab w:pos="724" w:val="left"/>
        </w:tabs>
        <w:bidi w:val="0"/>
        <w:spacing w:before="0" w:after="0" w:line="350" w:lineRule="exact"/>
        <w:ind w:left="0" w:right="0" w:firstLine="380"/>
        <w:jc w:val="both"/>
      </w:pPr>
      <w:bookmarkStart w:id="546" w:name="bookmark546"/>
      <w:r>
        <w:rPr>
          <w:rFonts w:ascii="Times New Roman" w:eastAsia="Times New Roman" w:hAnsi="Times New Roman" w:cs="Times New Roman"/>
          <w:b/>
          <w:bCs/>
          <w:color w:val="000000"/>
          <w:spacing w:val="0"/>
          <w:w w:val="100"/>
          <w:position w:val="0"/>
          <w:sz w:val="18"/>
          <w:szCs w:val="18"/>
        </w:rPr>
        <w:t>6</w:t>
      </w:r>
      <w:bookmarkEnd w:id="546"/>
      <w:r>
        <w:rPr>
          <w:b/>
          <w:bCs/>
          <w:color w:val="000000"/>
          <w:spacing w:val="0"/>
          <w:w w:val="100"/>
          <w:position w:val="0"/>
        </w:rPr>
        <w:t>、</w:t>
        <w:tab/>
        <w:t>关于相关利益者</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公司能够充分尊重和维护相关利益者的合法权益，积极参与相关利益者沟通交流，努力实现社会、股东、员工和管理层 各方利益协调平衡，共同推进公司持续健康的发展。</w:t>
      </w:r>
    </w:p>
    <w:p>
      <w:pPr>
        <w:pStyle w:val="Style31"/>
        <w:keepNext w:val="0"/>
        <w:keepLines w:val="0"/>
        <w:widowControl w:val="0"/>
        <w:shd w:val="clear" w:color="auto" w:fill="auto"/>
        <w:tabs>
          <w:tab w:pos="724" w:val="left"/>
        </w:tabs>
        <w:bidi w:val="0"/>
        <w:spacing w:before="0" w:after="0" w:line="350" w:lineRule="exact"/>
        <w:ind w:left="0" w:right="0" w:firstLine="380"/>
        <w:jc w:val="both"/>
      </w:pPr>
      <w:bookmarkStart w:id="547" w:name="bookmark547"/>
      <w:r>
        <w:rPr>
          <w:rFonts w:ascii="Times New Roman" w:eastAsia="Times New Roman" w:hAnsi="Times New Roman" w:cs="Times New Roman"/>
          <w:b/>
          <w:bCs/>
          <w:color w:val="000000"/>
          <w:spacing w:val="0"/>
          <w:w w:val="100"/>
          <w:position w:val="0"/>
          <w:sz w:val="18"/>
          <w:szCs w:val="18"/>
        </w:rPr>
        <w:t>7</w:t>
      </w:r>
      <w:bookmarkEnd w:id="547"/>
      <w:r>
        <w:rPr>
          <w:b/>
          <w:bCs/>
          <w:color w:val="000000"/>
          <w:spacing w:val="0"/>
          <w:w w:val="100"/>
          <w:position w:val="0"/>
        </w:rPr>
        <w:t>、</w:t>
        <w:tab/>
        <w:t>关于信息披露与透明度</w:t>
      </w:r>
    </w:p>
    <w:p>
      <w:pPr>
        <w:pStyle w:val="Style31"/>
        <w:keepNext w:val="0"/>
        <w:keepLines w:val="0"/>
        <w:widowControl w:val="0"/>
        <w:shd w:val="clear" w:color="auto" w:fill="auto"/>
        <w:bidi w:val="0"/>
        <w:spacing w:before="0" w:after="80" w:line="350" w:lineRule="exact"/>
        <w:ind w:left="0" w:right="0" w:firstLine="380"/>
        <w:jc w:val="both"/>
      </w:pPr>
      <w:r>
        <w:rPr>
          <w:color w:val="000000"/>
          <w:spacing w:val="0"/>
          <w:w w:val="100"/>
          <w:position w:val="0"/>
        </w:rPr>
        <w:t>公司严格按照《信息披露事务管理制度》，确定了信息披露的基本原则、信息披露义务人和职责、信息披露的内容、信</w:t>
        <w:br w:type="page"/>
      </w:r>
      <w:r>
        <w:rPr>
          <w:color w:val="000000"/>
          <w:spacing w:val="0"/>
          <w:w w:val="100"/>
          <w:position w:val="0"/>
        </w:rPr>
        <w:t>息的提供与收集、信息披露的程序、信息披露方式及保密措施等。公司指定《证券时报》、《证券日报》、《上海证券报》 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为公司信息披露的报纸和网站，公司指定董事会秘书负责信息披露工作、接待投资者 的来访和咨询。公平对待所有投资者，真实、准确、完整、及时地进行信息披露，提高公司透明度，保障全体股东的合法权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140" w:line="34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403"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1"/>
        <w:keepNext w:val="0"/>
        <w:keepLines w:val="0"/>
        <w:widowControl w:val="0"/>
        <w:shd w:val="clear" w:color="auto" w:fill="auto"/>
        <w:bidi w:val="0"/>
        <w:spacing w:before="0" w:after="360" w:line="347"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39"/>
        <w:keepNext/>
        <w:keepLines/>
        <w:widowControl w:val="0"/>
        <w:shd w:val="clear" w:color="auto" w:fill="auto"/>
        <w:bidi w:val="0"/>
        <w:spacing w:before="0" w:after="26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sz w:val="24"/>
          <w:szCs w:val="24"/>
        </w:rPr>
        <w:t>二</w:t>
      </w:r>
      <w:bookmarkEnd w:id="550"/>
      <w:r>
        <w:rPr>
          <w:color w:val="000000"/>
          <w:spacing w:val="0"/>
          <w:w w:val="100"/>
          <w:position w:val="0"/>
          <w:sz w:val="24"/>
          <w:szCs w:val="24"/>
        </w:rPr>
        <w:t>、 公司相对于控股股东在业务、人员、资产、机构、财务等方面的独立情况</w:t>
      </w:r>
      <w:bookmarkEnd w:id="548"/>
      <w:bookmarkEnd w:id="549"/>
      <w:bookmarkEnd w:id="551"/>
    </w:p>
    <w:p>
      <w:pPr>
        <w:pStyle w:val="Style31"/>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公司严格按照《公司法》、《证券法》等有关法律法规以及《公司章程》的要求规范运作，建立健全法人治理结构。公 司具有独立完整的业务及自主经营能力，在业务、人员、资产、机构、财务等方面与控股股东完全独立。</w:t>
      </w:r>
    </w:p>
    <w:p>
      <w:pPr>
        <w:pStyle w:val="Style39"/>
        <w:keepNext/>
        <w:keepLines/>
        <w:widowControl w:val="0"/>
        <w:shd w:val="clear" w:color="auto" w:fill="auto"/>
        <w:tabs>
          <w:tab w:pos="522" w:val="left"/>
        </w:tabs>
        <w:bidi w:val="0"/>
        <w:spacing w:before="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三</w:t>
      </w:r>
      <w:bookmarkEnd w:id="554"/>
      <w:r>
        <w:rPr>
          <w:color w:val="000000"/>
          <w:spacing w:val="0"/>
          <w:w w:val="100"/>
          <w:position w:val="0"/>
          <w:sz w:val="24"/>
          <w:szCs w:val="24"/>
        </w:rPr>
        <w:t>、</w:t>
        <w:tab/>
        <w:t>同业竞争情况</w:t>
      </w:r>
      <w:bookmarkEnd w:id="552"/>
      <w:bookmarkEnd w:id="553"/>
      <w:bookmarkEnd w:id="555"/>
    </w:p>
    <w:p>
      <w:pPr>
        <w:pStyle w:val="Style31"/>
        <w:keepNext w:val="0"/>
        <w:keepLines w:val="0"/>
        <w:widowControl w:val="0"/>
        <w:shd w:val="clear" w:color="auto" w:fill="auto"/>
        <w:bidi w:val="0"/>
        <w:spacing w:before="0" w:after="220" w:line="403"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522"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w:t>
        <w:tab/>
        <w:t>报告期内召开的年度股东大会和临时股东大会的有关情况</w:t>
      </w:r>
      <w:bookmarkEnd w:id="556"/>
      <w:bookmarkEnd w:id="557"/>
      <w:bookmarkEnd w:id="559"/>
    </w:p>
    <w:p>
      <w:pPr>
        <w:pStyle w:val="Style49"/>
        <w:keepNext/>
        <w:keepLines/>
        <w:widowControl w:val="0"/>
        <w:shd w:val="clear" w:color="auto" w:fill="auto"/>
        <w:bidi w:val="0"/>
        <w:spacing w:before="0" w:line="240" w:lineRule="auto"/>
        <w:ind w:left="0" w:right="0" w:firstLine="0"/>
        <w:jc w:val="left"/>
      </w:pPr>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60"/>
      <w:bookmarkEnd w:id="561"/>
      <w:bookmarkEnd w:id="562"/>
    </w:p>
    <w:tbl>
      <w:tblPr>
        <w:tblOverlap w:val="never"/>
        <w:jc w:val="center"/>
        <w:tblLayout w:type="fixed"/>
      </w:tblPr>
      <w:tblGrid>
        <w:gridCol w:w="1598"/>
        <w:gridCol w:w="1402"/>
        <w:gridCol w:w="1253"/>
        <w:gridCol w:w="1416"/>
        <w:gridCol w:w="1262"/>
        <w:gridCol w:w="2645"/>
      </w:tblGrid>
      <w:tr>
        <w:trPr>
          <w:trHeight w:val="74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会议届次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会议类型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投资者参与</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召开日期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披露日期</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披露索引</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59" w:lineRule="exact"/>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年第一次临 时股东大会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65.60%</w:t>
            </w:r>
          </w:p>
        </w:tc>
        <w:tc>
          <w:tcPr>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 决议公告》(</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年年度股东</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大会</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63.51%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年年度股东大会决议公 告》(</w:t>
            </w:r>
            <w:r>
              <w:rPr>
                <w:rFonts w:ascii="Times New Roman" w:eastAsia="Times New Roman" w:hAnsi="Times New Roman" w:cs="Times New Roman"/>
                <w:color w:val="000000"/>
                <w:spacing w:val="0"/>
                <w:w w:val="100"/>
                <w:position w:val="0"/>
                <w:sz w:val="18"/>
                <w:szCs w:val="18"/>
              </w:rPr>
              <w:t>2020-031</w:t>
            </w:r>
            <w:r>
              <w:rPr>
                <w:color w:val="000000"/>
                <w:spacing w:val="0"/>
                <w:w w:val="100"/>
                <w:position w:val="0"/>
              </w:rPr>
              <w:t>)</w:t>
            </w:r>
          </w:p>
        </w:tc>
      </w:tr>
      <w:tr>
        <w:trPr>
          <w:trHeight w:val="8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年第二次临</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时股东大会</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37.47%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 决议公告》(</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rPr>
              <w:t>)</w:t>
            </w:r>
          </w:p>
        </w:tc>
      </w:tr>
    </w:tbl>
    <w:p>
      <w:pPr>
        <w:widowControl w:val="0"/>
        <w:spacing w:after="359" w:line="1" w:lineRule="exact"/>
      </w:pPr>
    </w:p>
    <w:p>
      <w:pPr>
        <w:pStyle w:val="Style49"/>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、表决权恢复的优先股股东请求召开临时股东大会</w:t>
      </w:r>
      <w:bookmarkEnd w:id="563"/>
      <w:bookmarkEnd w:id="564"/>
      <w:bookmarkEnd w:id="56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五</w:t>
      </w:r>
      <w:bookmarkEnd w:id="569"/>
      <w:r>
        <w:rPr>
          <w:color w:val="000000"/>
          <w:spacing w:val="0"/>
          <w:w w:val="100"/>
          <w:position w:val="0"/>
          <w:sz w:val="24"/>
          <w:szCs w:val="24"/>
        </w:rPr>
        <w:t>、报告期内独立董事履行职责的情况</w:t>
      </w:r>
      <w:bookmarkEnd w:id="567"/>
      <w:bookmarkEnd w:id="568"/>
      <w:bookmarkEnd w:id="570"/>
    </w:p>
    <w:p>
      <w:pPr>
        <w:pStyle w:val="Style49"/>
        <w:keepNext/>
        <w:keepLines/>
        <w:widowControl w:val="0"/>
        <w:shd w:val="clear" w:color="auto" w:fill="auto"/>
        <w:bidi w:val="0"/>
        <w:spacing w:before="0" w:after="440" w:line="240" w:lineRule="auto"/>
        <w:ind w:left="0" w:right="0" w:firstLine="0"/>
        <w:jc w:val="left"/>
      </w:pPr>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71"/>
      <w:bookmarkEnd w:id="572"/>
      <w:bookmarkEnd w:id="573"/>
    </w:p>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360" w:line="240" w:lineRule="auto"/>
        <w:ind w:left="0" w:right="0" w:firstLine="0"/>
        <w:jc w:val="center"/>
      </w:pPr>
      <w:r>
        <w:rPr>
          <w:b/>
          <w:bCs/>
          <w:color w:val="FFFFFF"/>
          <w:spacing w:val="0"/>
          <w:w w:val="100"/>
          <w:position w:val="0"/>
        </w:rPr>
        <w:t>独立董事出席董事会及股东大会的情况</w:t>
      </w:r>
    </w:p>
    <w:p>
      <w:pPr>
        <w:widowControl w:val="0"/>
        <w:spacing w:line="1" w:lineRule="exact"/>
        <w:sectPr>
          <w:footnotePr>
            <w:pos w:val="pageBottom"/>
            <w:numFmt w:val="decimal"/>
            <w:numRestart w:val="continuous"/>
          </w:footnotePr>
          <w:pgSz w:w="11966" w:h="17375"/>
          <w:pgMar w:top="1571" w:right="1084" w:bottom="1712" w:left="1023" w:header="0" w:footer="3" w:gutter="0"/>
          <w:cols w:space="720"/>
          <w:noEndnote/>
          <w:rtlGutter w:val="0"/>
          <w:docGrid w:linePitch="360"/>
        </w:sectPr>
      </w:pPr>
      <w:r>
        <mc:AlternateContent>
          <mc:Choice Requires="wps">
            <w:drawing>
              <wp:anchor distT="158750" distB="115570" distL="0" distR="0" simplePos="0" relativeHeight="125829620" behindDoc="0" locked="0" layoutInCell="1" allowOverlap="1">
                <wp:simplePos x="0" y="0"/>
                <wp:positionH relativeFrom="page">
                  <wp:posOffset>744220</wp:posOffset>
                </wp:positionH>
                <wp:positionV relativeFrom="paragraph">
                  <wp:posOffset>158750</wp:posOffset>
                </wp:positionV>
                <wp:extent cx="716280" cy="146050"/>
                <wp:wrapTopAndBottom/>
                <wp:docPr id="327" name="Shape 327"/>
                <a:graphic xmlns:a="http://schemas.openxmlformats.org/drawingml/2006/main">
                  <a:graphicData uri="http://schemas.microsoft.com/office/word/2010/wordprocessingShape">
                    <wps:wsp>
                      <wps:cNvSpPr txBox="1"/>
                      <wps:spPr>
                        <a:xfrm>
                          <a:ext cx="716280" cy="146050"/>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left"/>
                            </w:pPr>
                            <w:r>
                              <w:rPr>
                                <w:b/>
                                <w:bCs/>
                                <w:color w:val="FFFFFF"/>
                                <w:spacing w:val="0"/>
                                <w:w w:val="100"/>
                                <w:position w:val="0"/>
                              </w:rPr>
                              <w:t>独立董事姓名</w:t>
                            </w:r>
                          </w:p>
                        </w:txbxContent>
                      </wps:txbx>
                      <wps:bodyPr wrap="none" lIns="0" tIns="0" rIns="0" bIns="0">
                        <a:noAutoFit/>
                      </wps:bodyPr>
                    </wps:wsp>
                  </a:graphicData>
                </a:graphic>
              </wp:anchor>
            </w:drawing>
          </mc:Choice>
          <mc:Fallback>
            <w:pict>
              <v:shape id="_x0000_s1353" type="#_x0000_t202" style="position:absolute;margin-left:58.600000000000001pt;margin-top:12.5pt;width:56.399999999999999pt;height:11.5pt;z-index:-125829133;mso-wrap-distance-left:0;mso-wrap-distance-top:12.5pt;mso-wrap-distance-right:0;mso-wrap-distance-bottom:9.0999999999999996pt;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left"/>
                      </w:pPr>
                      <w:r>
                        <w:rPr>
                          <w:b/>
                          <w:bCs/>
                          <w:color w:val="FFFFFF"/>
                          <w:spacing w:val="0"/>
                          <w:w w:val="100"/>
                          <w:position w:val="0"/>
                        </w:rPr>
                        <w:t>独立董事姓名</w:t>
                      </w:r>
                    </w:p>
                  </w:txbxContent>
                </v:textbox>
                <w10:wrap type="topAndBottom" anchorx="page"/>
              </v:shape>
            </w:pict>
          </mc:Fallback>
        </mc:AlternateContent>
      </w:r>
      <w:r>
        <mc:AlternateContent>
          <mc:Choice Requires="wps">
            <w:drawing>
              <wp:anchor distT="73025" distB="0" distL="0" distR="0" simplePos="0" relativeHeight="125829622" behindDoc="0" locked="0" layoutInCell="1" allowOverlap="1">
                <wp:simplePos x="0" y="0"/>
                <wp:positionH relativeFrom="page">
                  <wp:posOffset>1624965</wp:posOffset>
                </wp:positionH>
                <wp:positionV relativeFrom="paragraph">
                  <wp:posOffset>73025</wp:posOffset>
                </wp:positionV>
                <wp:extent cx="603250" cy="347345"/>
                <wp:wrapTopAndBottom/>
                <wp:docPr id="329" name="Shape 329"/>
                <a:graphic xmlns:a="http://schemas.openxmlformats.org/drawingml/2006/main">
                  <a:graphicData uri="http://schemas.microsoft.com/office/word/2010/wordprocessingShape">
                    <wps:wsp>
                      <wps:cNvSpPr txBox="1"/>
                      <wps:spPr>
                        <a:xfrm>
                          <a:ext cx="603250" cy="347345"/>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120" w:line="240" w:lineRule="auto"/>
                              <w:ind w:left="0" w:right="0" w:firstLine="0"/>
                              <w:jc w:val="left"/>
                            </w:pPr>
                            <w:r>
                              <w:rPr>
                                <w:b/>
                                <w:bCs/>
                                <w:color w:val="FFFFFF"/>
                                <w:spacing w:val="0"/>
                                <w:w w:val="100"/>
                                <w:position w:val="0"/>
                              </w:rPr>
                              <w:t>本报告期应</w:t>
                            </w:r>
                          </w:p>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left"/>
                            </w:pPr>
                            <w:r>
                              <w:rPr>
                                <w:b/>
                                <w:bCs/>
                                <w:color w:val="FFFFFF"/>
                                <w:spacing w:val="0"/>
                                <w:w w:val="100"/>
                                <w:position w:val="0"/>
                              </w:rPr>
                              <w:t>参加董事会</w:t>
                            </w:r>
                          </w:p>
                        </w:txbxContent>
                      </wps:txbx>
                      <wps:bodyPr lIns="0" tIns="0" rIns="0" bIns="0">
                        <a:noAutoFit/>
                      </wps:bodyPr>
                    </wps:wsp>
                  </a:graphicData>
                </a:graphic>
              </wp:anchor>
            </w:drawing>
          </mc:Choice>
          <mc:Fallback>
            <w:pict>
              <v:shape id="_x0000_s1355" type="#_x0000_t202" style="position:absolute;margin-left:127.95pt;margin-top:5.75pt;width:47.5pt;height:27.350000000000001pt;z-index:-125829131;mso-wrap-distance-left:0;mso-wrap-distance-top:5.75pt;mso-wrap-distance-right:0;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120" w:line="240" w:lineRule="auto"/>
                        <w:ind w:left="0" w:right="0" w:firstLine="0"/>
                        <w:jc w:val="left"/>
                      </w:pPr>
                      <w:r>
                        <w:rPr>
                          <w:b/>
                          <w:bCs/>
                          <w:color w:val="FFFFFF"/>
                          <w:spacing w:val="0"/>
                          <w:w w:val="100"/>
                          <w:position w:val="0"/>
                        </w:rPr>
                        <w:t>本报告期应</w:t>
                      </w:r>
                    </w:p>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left"/>
                      </w:pPr>
                      <w:r>
                        <w:rPr>
                          <w:b/>
                          <w:bCs/>
                          <w:color w:val="FFFFFF"/>
                          <w:spacing w:val="0"/>
                          <w:w w:val="100"/>
                          <w:position w:val="0"/>
                        </w:rPr>
                        <w:t>参加董事会</w:t>
                      </w:r>
                    </w:p>
                  </w:txbxContent>
                </v:textbox>
                <w10:wrap type="topAndBottom" anchorx="page"/>
              </v:shape>
            </w:pict>
          </mc:Fallback>
        </mc:AlternateContent>
      </w:r>
      <w:r>
        <mc:AlternateContent>
          <mc:Choice Requires="wps">
            <w:drawing>
              <wp:anchor distT="3175" distB="14605" distL="0" distR="0" simplePos="0" relativeHeight="125829624" behindDoc="0" locked="0" layoutInCell="1" allowOverlap="1">
                <wp:simplePos x="0" y="0"/>
                <wp:positionH relativeFrom="page">
                  <wp:posOffset>2366010</wp:posOffset>
                </wp:positionH>
                <wp:positionV relativeFrom="paragraph">
                  <wp:posOffset>3175</wp:posOffset>
                </wp:positionV>
                <wp:extent cx="603250" cy="402590"/>
                <wp:wrapTopAndBottom/>
                <wp:docPr id="331" name="Shape 331"/>
                <a:graphic xmlns:a="http://schemas.openxmlformats.org/drawingml/2006/main">
                  <a:graphicData uri="http://schemas.microsoft.com/office/word/2010/wordprocessingShape">
                    <wps:wsp>
                      <wps:cNvSpPr txBox="1"/>
                      <wps:spPr>
                        <a:xfrm>
                          <a:ext cx="603250" cy="402590"/>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07" w:lineRule="exact"/>
                              <w:ind w:left="0" w:right="0" w:firstLine="0"/>
                              <w:jc w:val="center"/>
                            </w:pPr>
                            <w:r>
                              <w:rPr>
                                <w:b/>
                                <w:bCs/>
                                <w:color w:val="FFFFFF"/>
                                <w:spacing w:val="0"/>
                                <w:w w:val="100"/>
                                <w:position w:val="0"/>
                              </w:rPr>
                              <w:t>现场出席董</w:t>
                              <w:br/>
                              <w:t>事会次数</w:t>
                            </w:r>
                          </w:p>
                        </w:txbxContent>
                      </wps:txbx>
                      <wps:bodyPr lIns="0" tIns="0" rIns="0" bIns="0">
                        <a:noAutoFit/>
                      </wps:bodyPr>
                    </wps:wsp>
                  </a:graphicData>
                </a:graphic>
              </wp:anchor>
            </w:drawing>
          </mc:Choice>
          <mc:Fallback>
            <w:pict>
              <v:shape id="_x0000_s1357" type="#_x0000_t202" style="position:absolute;margin-left:186.30000000000001pt;margin-top:0.25pt;width:47.5pt;height:31.699999999999999pt;z-index:-125829129;mso-wrap-distance-left:0;mso-wrap-distance-top:0.25pt;mso-wrap-distance-right:0;mso-wrap-distance-bottom:1.1500000000000001pt;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07" w:lineRule="exact"/>
                        <w:ind w:left="0" w:right="0" w:firstLine="0"/>
                        <w:jc w:val="center"/>
                      </w:pPr>
                      <w:r>
                        <w:rPr>
                          <w:b/>
                          <w:bCs/>
                          <w:color w:val="FFFFFF"/>
                          <w:spacing w:val="0"/>
                          <w:w w:val="100"/>
                          <w:position w:val="0"/>
                        </w:rPr>
                        <w:t>现场出席董</w:t>
                        <w:br/>
                        <w:t>事会次数</w:t>
                      </w:r>
                    </w:p>
                  </w:txbxContent>
                </v:textbox>
                <w10:wrap type="topAndBottom" anchorx="page"/>
              </v:shape>
            </w:pict>
          </mc:Fallback>
        </mc:AlternateContent>
      </w:r>
      <w:r>
        <mc:AlternateContent>
          <mc:Choice Requires="wps">
            <w:drawing>
              <wp:anchor distT="6350" distB="0" distL="0" distR="0" simplePos="0" relativeHeight="125829626" behindDoc="0" locked="0" layoutInCell="1" allowOverlap="1">
                <wp:simplePos x="0" y="0"/>
                <wp:positionH relativeFrom="page">
                  <wp:posOffset>3103245</wp:posOffset>
                </wp:positionH>
                <wp:positionV relativeFrom="paragraph">
                  <wp:posOffset>6350</wp:posOffset>
                </wp:positionV>
                <wp:extent cx="606425" cy="414655"/>
                <wp:wrapTopAndBottom/>
                <wp:docPr id="333" name="Shape 333"/>
                <a:graphic xmlns:a="http://schemas.openxmlformats.org/drawingml/2006/main">
                  <a:graphicData uri="http://schemas.microsoft.com/office/word/2010/wordprocessingShape">
                    <wps:wsp>
                      <wps:cNvSpPr txBox="1"/>
                      <wps:spPr>
                        <a:xfrm>
                          <a:ext cx="606425" cy="414655"/>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17" w:lineRule="exact"/>
                              <w:ind w:left="0" w:right="0" w:firstLine="0"/>
                              <w:jc w:val="left"/>
                            </w:pPr>
                            <w:r>
                              <w:rPr>
                                <w:b/>
                                <w:bCs/>
                                <w:color w:val="FFFFFF"/>
                                <w:spacing w:val="0"/>
                                <w:w w:val="100"/>
                                <w:position w:val="0"/>
                              </w:rPr>
                              <w:t>以通讯方式 参加董事会</w:t>
                            </w:r>
                          </w:p>
                        </w:txbxContent>
                      </wps:txbx>
                      <wps:bodyPr lIns="0" tIns="0" rIns="0" bIns="0">
                        <a:noAutoFit/>
                      </wps:bodyPr>
                    </wps:wsp>
                  </a:graphicData>
                </a:graphic>
              </wp:anchor>
            </w:drawing>
          </mc:Choice>
          <mc:Fallback>
            <w:pict>
              <v:shape id="_x0000_s1359" type="#_x0000_t202" style="position:absolute;margin-left:244.34999999999999pt;margin-top:0.5pt;width:47.75pt;height:32.649999999999999pt;z-index:-125829127;mso-wrap-distance-left:0;mso-wrap-distance-top:0.5pt;mso-wrap-distance-right:0;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17" w:lineRule="exact"/>
                        <w:ind w:left="0" w:right="0" w:firstLine="0"/>
                        <w:jc w:val="left"/>
                      </w:pPr>
                      <w:r>
                        <w:rPr>
                          <w:b/>
                          <w:bCs/>
                          <w:color w:val="FFFFFF"/>
                          <w:spacing w:val="0"/>
                          <w:w w:val="100"/>
                          <w:position w:val="0"/>
                        </w:rPr>
                        <w:t>以通讯方式 参加董事会</w:t>
                      </w:r>
                    </w:p>
                  </w:txbxContent>
                </v:textbox>
                <w10:wrap type="topAndBottom" anchorx="page"/>
              </v:shape>
            </w:pict>
          </mc:Fallback>
        </mc:AlternateContent>
      </w:r>
      <w:r>
        <mc:AlternateContent>
          <mc:Choice Requires="wps">
            <w:drawing>
              <wp:anchor distT="3175" distB="14605" distL="0" distR="0" simplePos="0" relativeHeight="125829628" behindDoc="0" locked="0" layoutInCell="1" allowOverlap="1">
                <wp:simplePos x="0" y="0"/>
                <wp:positionH relativeFrom="page">
                  <wp:posOffset>3844290</wp:posOffset>
                </wp:positionH>
                <wp:positionV relativeFrom="paragraph">
                  <wp:posOffset>3175</wp:posOffset>
                </wp:positionV>
                <wp:extent cx="603250" cy="402590"/>
                <wp:wrapTopAndBottom/>
                <wp:docPr id="335" name="Shape 335"/>
                <a:graphic xmlns:a="http://schemas.openxmlformats.org/drawingml/2006/main">
                  <a:graphicData uri="http://schemas.microsoft.com/office/word/2010/wordprocessingShape">
                    <wps:wsp>
                      <wps:cNvSpPr txBox="1"/>
                      <wps:spPr>
                        <a:xfrm>
                          <a:ext cx="603250" cy="402590"/>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07" w:lineRule="exact"/>
                              <w:ind w:left="0" w:right="0" w:firstLine="0"/>
                              <w:jc w:val="center"/>
                            </w:pPr>
                            <w:r>
                              <w:rPr>
                                <w:b/>
                                <w:bCs/>
                                <w:color w:val="FFFFFF"/>
                                <w:spacing w:val="0"/>
                                <w:w w:val="100"/>
                                <w:position w:val="0"/>
                              </w:rPr>
                              <w:t>委托出席董</w:t>
                              <w:br/>
                              <w:t>事会次数</w:t>
                            </w:r>
                          </w:p>
                        </w:txbxContent>
                      </wps:txbx>
                      <wps:bodyPr lIns="0" tIns="0" rIns="0" bIns="0">
                        <a:noAutoFit/>
                      </wps:bodyPr>
                    </wps:wsp>
                  </a:graphicData>
                </a:graphic>
              </wp:anchor>
            </w:drawing>
          </mc:Choice>
          <mc:Fallback>
            <w:pict>
              <v:shape id="_x0000_s1361" type="#_x0000_t202" style="position:absolute;margin-left:302.69999999999999pt;margin-top:0.25pt;width:47.5pt;height:31.699999999999999pt;z-index:-125829125;mso-wrap-distance-left:0;mso-wrap-distance-top:0.25pt;mso-wrap-distance-right:0;mso-wrap-distance-bottom:1.1500000000000001pt;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07" w:lineRule="exact"/>
                        <w:ind w:left="0" w:right="0" w:firstLine="0"/>
                        <w:jc w:val="center"/>
                      </w:pPr>
                      <w:r>
                        <w:rPr>
                          <w:b/>
                          <w:bCs/>
                          <w:color w:val="FFFFFF"/>
                          <w:spacing w:val="0"/>
                          <w:w w:val="100"/>
                          <w:position w:val="0"/>
                        </w:rPr>
                        <w:t>委托出席董</w:t>
                        <w:br/>
                        <w:t>事会次数</w:t>
                      </w:r>
                    </w:p>
                  </w:txbxContent>
                </v:textbox>
                <w10:wrap type="topAndBottom" anchorx="page"/>
              </v:shape>
            </w:pict>
          </mc:Fallback>
        </mc:AlternateContent>
      </w:r>
      <w:r>
        <mc:AlternateContent>
          <mc:Choice Requires="wps">
            <w:drawing>
              <wp:anchor distT="60960" distB="15240" distL="0" distR="0" simplePos="0" relativeHeight="125829630" behindDoc="0" locked="0" layoutInCell="1" allowOverlap="1">
                <wp:simplePos x="0" y="0"/>
                <wp:positionH relativeFrom="page">
                  <wp:posOffset>4581525</wp:posOffset>
                </wp:positionH>
                <wp:positionV relativeFrom="paragraph">
                  <wp:posOffset>60960</wp:posOffset>
                </wp:positionV>
                <wp:extent cx="603250" cy="344170"/>
                <wp:wrapTopAndBottom/>
                <wp:docPr id="337" name="Shape 337"/>
                <a:graphic xmlns:a="http://schemas.openxmlformats.org/drawingml/2006/main">
                  <a:graphicData uri="http://schemas.microsoft.com/office/word/2010/wordprocessingShape">
                    <wps:wsp>
                      <wps:cNvSpPr txBox="1"/>
                      <wps:spPr>
                        <a:xfrm>
                          <a:ext cx="603250" cy="344170"/>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120" w:line="240" w:lineRule="auto"/>
                              <w:ind w:left="0" w:right="0" w:firstLine="0"/>
                              <w:jc w:val="center"/>
                            </w:pPr>
                            <w:r>
                              <w:rPr>
                                <w:b/>
                                <w:bCs/>
                                <w:color w:val="FFFFFF"/>
                                <w:spacing w:val="0"/>
                                <w:w w:val="100"/>
                                <w:position w:val="0"/>
                              </w:rPr>
                              <w:t>缺席董事会</w:t>
                            </w:r>
                          </w:p>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center"/>
                            </w:pPr>
                            <w:r>
                              <w:rPr>
                                <w:b/>
                                <w:bCs/>
                                <w:color w:val="FFFFFF"/>
                                <w:spacing w:val="0"/>
                                <w:w w:val="100"/>
                                <w:position w:val="0"/>
                              </w:rPr>
                              <w:t>次数</w:t>
                            </w:r>
                          </w:p>
                        </w:txbxContent>
                      </wps:txbx>
                      <wps:bodyPr lIns="0" tIns="0" rIns="0" bIns="0">
                        <a:noAutoFit/>
                      </wps:bodyPr>
                    </wps:wsp>
                  </a:graphicData>
                </a:graphic>
              </wp:anchor>
            </w:drawing>
          </mc:Choice>
          <mc:Fallback>
            <w:pict>
              <v:shape id="_x0000_s1363" type="#_x0000_t202" style="position:absolute;margin-left:360.75pt;margin-top:4.7999999999999998pt;width:47.5pt;height:27.100000000000001pt;z-index:-125829123;mso-wrap-distance-left:0;mso-wrap-distance-top:4.7999999999999998pt;mso-wrap-distance-right:0;mso-wrap-distance-bottom:1.2pt;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120" w:line="240" w:lineRule="auto"/>
                        <w:ind w:left="0" w:right="0" w:firstLine="0"/>
                        <w:jc w:val="center"/>
                      </w:pPr>
                      <w:r>
                        <w:rPr>
                          <w:b/>
                          <w:bCs/>
                          <w:color w:val="FFFFFF"/>
                          <w:spacing w:val="0"/>
                          <w:w w:val="100"/>
                          <w:position w:val="0"/>
                        </w:rPr>
                        <w:t>缺席董事会</w:t>
                      </w:r>
                    </w:p>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center"/>
                      </w:pPr>
                      <w:r>
                        <w:rPr>
                          <w:b/>
                          <w:bCs/>
                          <w:color w:val="FFFFFF"/>
                          <w:spacing w:val="0"/>
                          <w:w w:val="100"/>
                          <w:position w:val="0"/>
                        </w:rPr>
                        <w:t>次数</w:t>
                      </w:r>
                    </w:p>
                  </w:txbxContent>
                </v:textbox>
                <w10:wrap type="topAndBottom" anchorx="page"/>
              </v:shape>
            </w:pict>
          </mc:Fallback>
        </mc:AlternateContent>
      </w:r>
      <w:r>
        <mc:AlternateContent>
          <mc:Choice Requires="wps">
            <w:drawing>
              <wp:anchor distT="73025" distB="0" distL="0" distR="0" simplePos="0" relativeHeight="125829632" behindDoc="0" locked="0" layoutInCell="1" allowOverlap="1">
                <wp:simplePos x="0" y="0"/>
                <wp:positionH relativeFrom="page">
                  <wp:posOffset>5322570</wp:posOffset>
                </wp:positionH>
                <wp:positionV relativeFrom="paragraph">
                  <wp:posOffset>73025</wp:posOffset>
                </wp:positionV>
                <wp:extent cx="600710" cy="347345"/>
                <wp:wrapTopAndBottom/>
                <wp:docPr id="339" name="Shape 339"/>
                <a:graphic xmlns:a="http://schemas.openxmlformats.org/drawingml/2006/main">
                  <a:graphicData uri="http://schemas.microsoft.com/office/word/2010/wordprocessingShape">
                    <wps:wsp>
                      <wps:cNvSpPr txBox="1"/>
                      <wps:spPr>
                        <a:xfrm>
                          <a:ext cx="600710" cy="347345"/>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120" w:line="240" w:lineRule="auto"/>
                              <w:ind w:left="0" w:right="0" w:firstLine="0"/>
                              <w:jc w:val="left"/>
                            </w:pPr>
                            <w:r>
                              <w:rPr>
                                <w:b/>
                                <w:bCs/>
                                <w:color w:val="FFFFFF"/>
                                <w:spacing w:val="0"/>
                                <w:w w:val="100"/>
                                <w:position w:val="0"/>
                              </w:rPr>
                              <w:t>是否连续两</w:t>
                            </w:r>
                          </w:p>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left"/>
                            </w:pPr>
                            <w:r>
                              <w:rPr>
                                <w:b/>
                                <w:bCs/>
                                <w:color w:val="FFFFFF"/>
                                <w:spacing w:val="0"/>
                                <w:w w:val="100"/>
                                <w:position w:val="0"/>
                              </w:rPr>
                              <w:t>次未亲自参</w:t>
                            </w:r>
                          </w:p>
                        </w:txbxContent>
                      </wps:txbx>
                      <wps:bodyPr lIns="0" tIns="0" rIns="0" bIns="0">
                        <a:noAutoFit/>
                      </wps:bodyPr>
                    </wps:wsp>
                  </a:graphicData>
                </a:graphic>
              </wp:anchor>
            </w:drawing>
          </mc:Choice>
          <mc:Fallback>
            <w:pict>
              <v:shape id="_x0000_s1365" type="#_x0000_t202" style="position:absolute;margin-left:419.10000000000002pt;margin-top:5.75pt;width:47.300000000000004pt;height:27.350000000000001pt;z-index:-125829121;mso-wrap-distance-left:0;mso-wrap-distance-top:5.75pt;mso-wrap-distance-right:0;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120" w:line="240" w:lineRule="auto"/>
                        <w:ind w:left="0" w:right="0" w:firstLine="0"/>
                        <w:jc w:val="left"/>
                      </w:pPr>
                      <w:r>
                        <w:rPr>
                          <w:b/>
                          <w:bCs/>
                          <w:color w:val="FFFFFF"/>
                          <w:spacing w:val="0"/>
                          <w:w w:val="100"/>
                          <w:position w:val="0"/>
                        </w:rPr>
                        <w:t>是否连续两</w:t>
                      </w:r>
                    </w:p>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240" w:lineRule="auto"/>
                        <w:ind w:left="0" w:right="0" w:firstLine="0"/>
                        <w:jc w:val="left"/>
                      </w:pPr>
                      <w:r>
                        <w:rPr>
                          <w:b/>
                          <w:bCs/>
                          <w:color w:val="FFFFFF"/>
                          <w:spacing w:val="0"/>
                          <w:w w:val="100"/>
                          <w:position w:val="0"/>
                        </w:rPr>
                        <w:t>次未亲自参</w:t>
                      </w:r>
                    </w:p>
                  </w:txbxContent>
                </v:textbox>
                <w10:wrap type="topAndBottom" anchorx="page"/>
              </v:shape>
            </w:pict>
          </mc:Fallback>
        </mc:AlternateContent>
      </w:r>
      <w:r>
        <mc:AlternateContent>
          <mc:Choice Requires="wps">
            <w:drawing>
              <wp:anchor distT="0" distB="12065" distL="0" distR="0" simplePos="0" relativeHeight="125829634" behindDoc="0" locked="0" layoutInCell="1" allowOverlap="1">
                <wp:simplePos x="0" y="0"/>
                <wp:positionH relativeFrom="page">
                  <wp:posOffset>6069330</wp:posOffset>
                </wp:positionH>
                <wp:positionV relativeFrom="paragraph">
                  <wp:posOffset>0</wp:posOffset>
                </wp:positionV>
                <wp:extent cx="594360" cy="408305"/>
                <wp:wrapTopAndBottom/>
                <wp:docPr id="341" name="Shape 341"/>
                <a:graphic xmlns:a="http://schemas.openxmlformats.org/drawingml/2006/main">
                  <a:graphicData uri="http://schemas.microsoft.com/office/word/2010/wordprocessingShape">
                    <wps:wsp>
                      <wps:cNvSpPr txBox="1"/>
                      <wps:spPr>
                        <a:xfrm>
                          <a:ext cx="594360" cy="408305"/>
                        </a:xfrm>
                        <a:prstGeom prst="rect"/>
                        <a:noFill/>
                      </wps:spPr>
                      <wps:txbx>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12" w:lineRule="exact"/>
                              <w:ind w:left="0" w:right="0" w:firstLine="0"/>
                              <w:jc w:val="center"/>
                            </w:pPr>
                            <w:r>
                              <w:rPr>
                                <w:b/>
                                <w:bCs/>
                                <w:color w:val="FFFFFF"/>
                                <w:spacing w:val="0"/>
                                <w:w w:val="100"/>
                                <w:position w:val="0"/>
                              </w:rPr>
                              <w:t>出席股东大</w:t>
                              <w:br/>
                              <w:t>会次数</w:t>
                            </w:r>
                          </w:p>
                        </w:txbxContent>
                      </wps:txbx>
                      <wps:bodyPr lIns="0" tIns="0" rIns="0" bIns="0">
                        <a:noAutoFit/>
                      </wps:bodyPr>
                    </wps:wsp>
                  </a:graphicData>
                </a:graphic>
              </wp:anchor>
            </w:drawing>
          </mc:Choice>
          <mc:Fallback>
            <w:pict>
              <v:shape id="_x0000_s1367" type="#_x0000_t202" style="position:absolute;margin-left:477.90000000000003pt;margin-top:0;width:46.800000000000004pt;height:32.149999999999999pt;z-index:-125829119;mso-wrap-distance-left:0;mso-wrap-distance-right:0;mso-wrap-distance-bottom:0.95000000000000007pt;mso-position-horizontal-relative:page" filled="f" stroked="f">
                <v:textbox inset="0,0,0,0">
                  <w:txbxContent>
                    <w:p>
                      <w:pPr>
                        <w:pStyle w:val="Style31"/>
                        <w:keepNext w:val="0"/>
                        <w:keepLines w:val="0"/>
                        <w:widowControl w:val="0"/>
                        <w:pBdr>
                          <w:top w:val="single" w:sz="0" w:space="0" w:color="A6A6A6"/>
                          <w:left w:val="single" w:sz="0" w:space="4" w:color="A6A6A6"/>
                          <w:bottom w:val="single" w:sz="0" w:space="0" w:color="A6A6A6"/>
                          <w:right w:val="single" w:sz="0" w:space="4" w:color="A6A6A6"/>
                        </w:pBdr>
                        <w:shd w:val="clear" w:color="auto" w:fill="A6A6A6"/>
                        <w:bidi w:val="0"/>
                        <w:spacing w:before="0" w:after="0" w:line="312" w:lineRule="exact"/>
                        <w:ind w:left="0" w:right="0" w:firstLine="0"/>
                        <w:jc w:val="center"/>
                      </w:pPr>
                      <w:r>
                        <w:rPr>
                          <w:b/>
                          <w:bCs/>
                          <w:color w:val="FFFFFF"/>
                          <w:spacing w:val="0"/>
                          <w:w w:val="100"/>
                          <w:position w:val="0"/>
                        </w:rPr>
                        <w:t>出席股东大</w:t>
                        <w:br/>
                        <w:t>会次数</w:t>
                      </w:r>
                    </w:p>
                  </w:txbxContent>
                </v:textbox>
                <w10:wrap type="topAndBottom" anchorx="page"/>
              </v:shape>
            </w:pict>
          </mc:Fallback>
        </mc:AlternateContent>
      </w:r>
    </w:p>
    <w:tbl>
      <w:tblPr>
        <w:tblOverlap w:val="never"/>
        <w:jc w:val="center"/>
        <w:tblLayout w:type="fixed"/>
      </w:tblPr>
      <w:tblGrid>
        <w:gridCol w:w="1411"/>
        <w:gridCol w:w="1450"/>
        <w:gridCol w:w="3850"/>
        <w:gridCol w:w="2866"/>
      </w:tblGrid>
      <w:tr>
        <w:trPr>
          <w:trHeight w:val="437" w:hRule="exact"/>
        </w:trPr>
        <w:tc>
          <w:tcPr>
            <w:gridSpan w:val="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独立董事出席董事会及股东大会的情况</w:t>
            </w:r>
          </w:p>
        </w:tc>
      </w:tr>
      <w:tr>
        <w:trPr>
          <w:trHeight w:val="672" w:hRule="exact"/>
        </w:trPr>
        <w:tc>
          <w:tcPr>
            <w:tcBorders/>
            <w:shd w:val="clear" w:color="auto" w:fill="A6A6A6"/>
            <w:vAlign w:val="top"/>
          </w:tcPr>
          <w:p>
            <w:pPr>
              <w:widowControl w:val="0"/>
              <w:rPr>
                <w:sz w:val="10"/>
                <w:szCs w:val="10"/>
              </w:rPr>
            </w:pP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次数</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80" w:right="0" w:firstLine="0"/>
              <w:jc w:val="left"/>
            </w:pPr>
            <w:r>
              <w:rPr>
                <w:b/>
                <w:bCs/>
                <w:color w:val="FFFFFF"/>
                <w:spacing w:val="0"/>
                <w:w w:val="100"/>
                <w:position w:val="0"/>
              </w:rPr>
              <w:t>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center"/>
            </w:pPr>
            <w:r>
              <w:rPr>
                <w:b/>
                <w:bCs/>
                <w:color w:val="FFFFFF"/>
                <w:spacing w:val="0"/>
                <w:w w:val="100"/>
                <w:position w:val="0"/>
              </w:rPr>
              <w:t>加董事会会 议</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周海涛</w:t>
            </w:r>
          </w:p>
        </w:tc>
        <w:tc>
          <w:tcPr>
            <w:tcBorders/>
            <w:shd w:val="clear" w:color="auto" w:fill="A22B6F"/>
            <w:vAlign w:val="top"/>
          </w:tcPr>
          <w:p>
            <w:pPr>
              <w:widowControl w:val="0"/>
              <w:rPr>
                <w:sz w:val="10"/>
                <w:szCs w:val="10"/>
              </w:rPr>
            </w:pPr>
          </w:p>
        </w:tc>
        <w:tc>
          <w:tcPr>
            <w:tcBorders/>
            <w:shd w:val="clear" w:color="auto" w:fill="7E3F63"/>
            <w:vAlign w:val="top"/>
          </w:tcPr>
          <w:p>
            <w:pPr>
              <w:widowControl w:val="0"/>
              <w:rPr>
                <w:sz w:val="10"/>
                <w:szCs w:val="10"/>
              </w:rPr>
            </w:pPr>
          </w:p>
        </w:tc>
        <w:tc>
          <w:tcPr>
            <w:tcBorders/>
            <w:shd w:val="clear" w:color="auto" w:fill="7E3F63"/>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郑瑞志</w:t>
            </w:r>
          </w:p>
        </w:tc>
        <w:tc>
          <w:tcPr>
            <w:tcBorders>
              <w:top w:val="single" w:sz="4"/>
              <w:bottom w:val="single" w:sz="4"/>
            </w:tcBorders>
            <w:shd w:val="clear" w:color="auto" w:fill="A22B6F"/>
            <w:vAlign w:val="top"/>
          </w:tcPr>
          <w:p>
            <w:pPr>
              <w:widowControl w:val="0"/>
              <w:rPr>
                <w:sz w:val="10"/>
                <w:szCs w:val="10"/>
              </w:rPr>
            </w:pPr>
          </w:p>
        </w:tc>
        <w:tc>
          <w:tcPr>
            <w:tcBorders>
              <w:top w:val="single" w:sz="4"/>
              <w:bottom w:val="single" w:sz="4"/>
            </w:tcBorders>
            <w:shd w:val="clear" w:color="auto" w:fill="A22B6F"/>
            <w:vAlign w:val="top"/>
          </w:tcPr>
          <w:p>
            <w:pPr>
              <w:widowControl w:val="0"/>
              <w:rPr>
                <w:sz w:val="10"/>
                <w:szCs w:val="10"/>
              </w:rPr>
            </w:pPr>
          </w:p>
        </w:tc>
        <w:tc>
          <w:tcPr>
            <w:tcBorders>
              <w:top w:val="single" w:sz="4"/>
              <w:bottom w:val="single" w:sz="4"/>
            </w:tcBorders>
            <w:shd w:val="clear" w:color="auto" w:fill="A22B6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报告期内无连续两次未亲自出席董事会的独立董事。</w:t>
      </w:r>
    </w:p>
    <w:p>
      <w:pPr>
        <w:pStyle w:val="Style49"/>
        <w:keepNext/>
        <w:keepLines/>
        <w:widowControl w:val="0"/>
        <w:shd w:val="clear" w:color="auto" w:fill="auto"/>
        <w:tabs>
          <w:tab w:pos="378" w:val="left"/>
        </w:tabs>
        <w:bidi w:val="0"/>
        <w:spacing w:before="0" w:after="22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w:t>
        <w:tab/>
        <w:t>独立董事对公司有关事项提出异议的情况</w:t>
      </w:r>
      <w:bookmarkEnd w:id="574"/>
      <w:bookmarkEnd w:id="575"/>
      <w:bookmarkEnd w:id="577"/>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报告期内独立董事对公司有关事项未提出异议。</w:t>
      </w:r>
    </w:p>
    <w:p>
      <w:pPr>
        <w:pStyle w:val="Style49"/>
        <w:keepNext/>
        <w:keepLines/>
        <w:widowControl w:val="0"/>
        <w:shd w:val="clear" w:color="auto" w:fill="auto"/>
        <w:tabs>
          <w:tab w:pos="378" w:val="left"/>
        </w:tabs>
        <w:bidi w:val="0"/>
        <w:spacing w:before="0" w:after="22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独立董事履行职责的其他说明</w:t>
      </w:r>
      <w:bookmarkEnd w:id="578"/>
      <w:bookmarkEnd w:id="579"/>
      <w:bookmarkEnd w:id="581"/>
    </w:p>
    <w:p>
      <w:pPr>
        <w:pStyle w:val="Style31"/>
        <w:keepNext w:val="0"/>
        <w:keepLines w:val="0"/>
        <w:widowControl w:val="0"/>
        <w:shd w:val="clear" w:color="auto" w:fill="auto"/>
        <w:bidi w:val="0"/>
        <w:spacing w:before="0" w:after="160" w:line="352"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0" w:line="353" w:lineRule="exact"/>
        <w:ind w:left="0" w:right="0" w:firstLine="460"/>
        <w:jc w:val="both"/>
      </w:pPr>
      <w:r>
        <w:rPr>
          <w:color w:val="000000"/>
          <w:spacing w:val="0"/>
          <w:w w:val="100"/>
          <w:position w:val="0"/>
        </w:rPr>
        <w:t>公司独立董事严格按照有关法律、法规和《公司章程》的规定，关注公司经营，勤勉尽责，对公司董事会及其专项委员 会审议的重大事项均发表了专业、客观的独立意见，在公司规范运作、科学决策、维护中小股东合法权益等方面发挥了积极 作用。</w:t>
      </w:r>
    </w:p>
    <w:p>
      <w:pPr>
        <w:pStyle w:val="Style31"/>
        <w:keepNext w:val="0"/>
        <w:keepLines w:val="0"/>
        <w:widowControl w:val="0"/>
        <w:shd w:val="clear" w:color="auto" w:fill="auto"/>
        <w:bidi w:val="0"/>
        <w:spacing w:before="0" w:after="460" w:line="350" w:lineRule="exact"/>
        <w:ind w:left="0" w:right="0" w:firstLine="460"/>
        <w:jc w:val="both"/>
      </w:pPr>
      <w:r>
        <w:rPr>
          <w:color w:val="000000"/>
          <w:spacing w:val="0"/>
          <w:w w:val="100"/>
          <w:position w:val="0"/>
        </w:rPr>
        <w:t>报告期内，独立董事对公司非公开发行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股股票、续聘会计师事务所、回购注销部分限制性股票和注销部分股票期权、 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股股票等事项都提出了科学合理的建议，公司董事会都予以采纳。内容详见与本报告同日在巨潮 资讯网披露的《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年度独立董事述职报告》。</w:t>
      </w:r>
    </w:p>
    <w:p>
      <w:pPr>
        <w:pStyle w:val="Style39"/>
        <w:keepNext/>
        <w:keepLines/>
        <w:widowControl w:val="0"/>
        <w:shd w:val="clear" w:color="auto" w:fill="auto"/>
        <w:bidi w:val="0"/>
        <w:spacing w:before="0" w:after="1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六</w:t>
      </w:r>
      <w:bookmarkEnd w:id="584"/>
      <w:r>
        <w:rPr>
          <w:color w:val="000000"/>
          <w:spacing w:val="0"/>
          <w:w w:val="100"/>
          <w:position w:val="0"/>
          <w:sz w:val="24"/>
          <w:szCs w:val="24"/>
        </w:rPr>
        <w:t>、董事会下设专门委员会在报告期内履行职责情况</w:t>
      </w:r>
      <w:bookmarkEnd w:id="582"/>
      <w:bookmarkEnd w:id="583"/>
      <w:bookmarkEnd w:id="585"/>
    </w:p>
    <w:p>
      <w:pPr>
        <w:pStyle w:val="Style31"/>
        <w:keepNext w:val="0"/>
        <w:keepLines w:val="0"/>
        <w:widowControl w:val="0"/>
        <w:shd w:val="clear" w:color="auto" w:fill="auto"/>
        <w:bidi w:val="0"/>
        <w:spacing w:before="0" w:after="0" w:line="352" w:lineRule="exact"/>
        <w:ind w:left="0" w:right="0" w:firstLine="460"/>
        <w:jc w:val="both"/>
      </w:pPr>
      <w:r>
        <w:rPr>
          <w:color w:val="000000"/>
          <w:spacing w:val="0"/>
          <w:w w:val="100"/>
          <w:position w:val="0"/>
        </w:rPr>
        <w:t>公司董事会下设审计委员会、提名委员会、薪酬与考核委员会和战略委员会。</w:t>
      </w:r>
    </w:p>
    <w:p>
      <w:pPr>
        <w:pStyle w:val="Style31"/>
        <w:keepNext w:val="0"/>
        <w:keepLines w:val="0"/>
        <w:widowControl w:val="0"/>
        <w:shd w:val="clear" w:color="auto" w:fill="auto"/>
        <w:bidi w:val="0"/>
        <w:spacing w:before="0" w:after="0" w:line="355" w:lineRule="exact"/>
        <w:ind w:left="0" w:right="0" w:firstLine="460"/>
        <w:jc w:val="both"/>
      </w:pPr>
      <w:r>
        <w:rPr>
          <w:color w:val="000000"/>
          <w:spacing w:val="0"/>
          <w:w w:val="100"/>
          <w:position w:val="0"/>
        </w:rPr>
        <w:t>报告期内，董事会各专门委员会根据《上市公司治理准则》和《公司章程》的规定，认真履职，充分发挥了专业优势和 职能作用，为董事会决策提供了良好的支持。</w:t>
      </w:r>
    </w:p>
    <w:p>
      <w:pPr>
        <w:pStyle w:val="Style31"/>
        <w:keepNext w:val="0"/>
        <w:keepLines w:val="0"/>
        <w:widowControl w:val="0"/>
        <w:shd w:val="clear" w:color="auto" w:fill="auto"/>
        <w:tabs>
          <w:tab w:pos="794" w:val="left"/>
        </w:tabs>
        <w:bidi w:val="0"/>
        <w:spacing w:before="0" w:after="0" w:line="352" w:lineRule="exact"/>
        <w:ind w:left="0" w:right="0" w:firstLine="460"/>
        <w:jc w:val="both"/>
      </w:pPr>
      <w:bookmarkStart w:id="586" w:name="bookmark586"/>
      <w:r>
        <w:rPr>
          <w:rFonts w:ascii="Times New Roman" w:eastAsia="Times New Roman" w:hAnsi="Times New Roman" w:cs="Times New Roman"/>
          <w:color w:val="000000"/>
          <w:spacing w:val="0"/>
          <w:w w:val="100"/>
          <w:position w:val="0"/>
          <w:sz w:val="18"/>
          <w:szCs w:val="18"/>
        </w:rPr>
        <w:t>1</w:t>
      </w:r>
      <w:bookmarkEnd w:id="586"/>
      <w:r>
        <w:rPr>
          <w:color w:val="000000"/>
          <w:spacing w:val="0"/>
          <w:w w:val="100"/>
          <w:position w:val="0"/>
        </w:rPr>
        <w:t>、</w:t>
        <w:tab/>
        <w:t>审计委员会履职情况</w:t>
      </w:r>
    </w:p>
    <w:p>
      <w:pPr>
        <w:pStyle w:val="Style31"/>
        <w:keepNext w:val="0"/>
        <w:keepLines w:val="0"/>
        <w:widowControl w:val="0"/>
        <w:shd w:val="clear" w:color="auto" w:fill="auto"/>
        <w:bidi w:val="0"/>
        <w:spacing w:before="0" w:after="0" w:line="355" w:lineRule="exact"/>
        <w:ind w:left="0" w:right="0" w:firstLine="460"/>
        <w:jc w:val="both"/>
      </w:pPr>
      <w:r>
        <w:rPr>
          <w:color w:val="000000"/>
          <w:spacing w:val="0"/>
          <w:w w:val="100"/>
          <w:position w:val="0"/>
        </w:rPr>
        <w:t>报告期内，公司董事会审计委员会按照相关规定履行职责，详细了解公司财务状况和经营情况，审议了公司的定期财务 报告等议案，审查了公司内部控制制度的执行情况，对公司财务状况和经营情况实施了有效的指导和监督。</w:t>
      </w:r>
    </w:p>
    <w:p>
      <w:pPr>
        <w:pStyle w:val="Style31"/>
        <w:keepNext w:val="0"/>
        <w:keepLines w:val="0"/>
        <w:widowControl w:val="0"/>
        <w:shd w:val="clear" w:color="auto" w:fill="auto"/>
        <w:tabs>
          <w:tab w:pos="814" w:val="left"/>
        </w:tabs>
        <w:bidi w:val="0"/>
        <w:spacing w:before="0" w:after="0" w:line="352" w:lineRule="exact"/>
        <w:ind w:left="0" w:right="0" w:firstLine="460"/>
        <w:jc w:val="both"/>
      </w:pPr>
      <w:bookmarkStart w:id="587" w:name="bookmark587"/>
      <w:r>
        <w:rPr>
          <w:rFonts w:ascii="Times New Roman" w:eastAsia="Times New Roman" w:hAnsi="Times New Roman" w:cs="Times New Roman"/>
          <w:color w:val="000000"/>
          <w:spacing w:val="0"/>
          <w:w w:val="100"/>
          <w:position w:val="0"/>
          <w:sz w:val="18"/>
          <w:szCs w:val="18"/>
        </w:rPr>
        <w:t>2</w:t>
      </w:r>
      <w:bookmarkEnd w:id="587"/>
      <w:r>
        <w:rPr>
          <w:color w:val="000000"/>
          <w:spacing w:val="0"/>
          <w:w w:val="100"/>
          <w:position w:val="0"/>
        </w:rPr>
        <w:t>、</w:t>
        <w:tab/>
        <w:t>薪酬与考核委员会履职情况</w:t>
      </w:r>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报告期内，董事会薪酬与考核委员会核查了公司董事、高级管理人员的薪资、津贴的发放情况，审议了股权激励调整事 宜和回购注销事宜，为公司董事、高管的薪酬管理及股权激励管理提供了指导意见。</w:t>
      </w:r>
    </w:p>
    <w:p>
      <w:pPr>
        <w:pStyle w:val="Style31"/>
        <w:keepNext w:val="0"/>
        <w:keepLines w:val="0"/>
        <w:widowControl w:val="0"/>
        <w:shd w:val="clear" w:color="auto" w:fill="auto"/>
        <w:tabs>
          <w:tab w:pos="814" w:val="left"/>
        </w:tabs>
        <w:bidi w:val="0"/>
        <w:spacing w:before="0" w:after="0" w:line="352" w:lineRule="exact"/>
        <w:ind w:left="0" w:right="0" w:firstLine="460"/>
        <w:jc w:val="both"/>
      </w:pPr>
      <w:bookmarkStart w:id="588" w:name="bookmark588"/>
      <w:r>
        <w:rPr>
          <w:rFonts w:ascii="Times New Roman" w:eastAsia="Times New Roman" w:hAnsi="Times New Roman" w:cs="Times New Roman"/>
          <w:color w:val="000000"/>
          <w:spacing w:val="0"/>
          <w:w w:val="100"/>
          <w:position w:val="0"/>
          <w:sz w:val="18"/>
          <w:szCs w:val="18"/>
        </w:rPr>
        <w:t>3</w:t>
      </w:r>
      <w:bookmarkEnd w:id="588"/>
      <w:r>
        <w:rPr>
          <w:color w:val="000000"/>
          <w:spacing w:val="0"/>
          <w:w w:val="100"/>
          <w:position w:val="0"/>
        </w:rPr>
        <w:t>、</w:t>
        <w:tab/>
        <w:t>提名委员会履职情况</w:t>
      </w:r>
    </w:p>
    <w:p>
      <w:pPr>
        <w:pStyle w:val="Style31"/>
        <w:keepNext w:val="0"/>
        <w:keepLines w:val="0"/>
        <w:widowControl w:val="0"/>
        <w:shd w:val="clear" w:color="auto" w:fill="auto"/>
        <w:bidi w:val="0"/>
        <w:spacing w:before="0" w:after="200" w:line="352" w:lineRule="exact"/>
        <w:ind w:left="0" w:right="0" w:firstLine="460"/>
        <w:jc w:val="both"/>
      </w:pPr>
      <w:r>
        <w:rPr>
          <w:color w:val="000000"/>
          <w:spacing w:val="0"/>
          <w:w w:val="100"/>
          <w:position w:val="0"/>
        </w:rPr>
        <w:t>公司董事会提名委员会按照相关规定履行职责，认真审核公司董事、高级管理人员的任职资格，积极参与公司董事及高</w:t>
        <w:br w:type="page"/>
      </w:r>
      <w:r>
        <w:rPr>
          <w:color w:val="000000"/>
          <w:spacing w:val="0"/>
          <w:w w:val="100"/>
          <w:position w:val="0"/>
        </w:rPr>
        <w:t>级管理人员的推荐及选举工作。</w:t>
      </w:r>
    </w:p>
    <w:p>
      <w:pPr>
        <w:pStyle w:val="Style31"/>
        <w:keepNext w:val="0"/>
        <w:keepLines w:val="0"/>
        <w:widowControl w:val="0"/>
        <w:shd w:val="clear" w:color="auto" w:fill="auto"/>
        <w:bidi w:val="0"/>
        <w:spacing w:before="0" w:after="0" w:line="410" w:lineRule="auto"/>
        <w:ind w:left="0" w:right="0" w:firstLine="460"/>
        <w:jc w:val="left"/>
      </w:pPr>
      <w:bookmarkStart w:id="589" w:name="bookmark589"/>
      <w:r>
        <w:rPr>
          <w:rFonts w:ascii="Times New Roman" w:eastAsia="Times New Roman" w:hAnsi="Times New Roman" w:cs="Times New Roman"/>
          <w:color w:val="000000"/>
          <w:spacing w:val="0"/>
          <w:w w:val="100"/>
          <w:position w:val="0"/>
          <w:sz w:val="18"/>
          <w:szCs w:val="18"/>
        </w:rPr>
        <w:t>4</w:t>
      </w:r>
      <w:bookmarkEnd w:id="589"/>
      <w:r>
        <w:rPr>
          <w:color w:val="000000"/>
          <w:spacing w:val="0"/>
          <w:w w:val="100"/>
          <w:position w:val="0"/>
        </w:rPr>
        <w:t>、战略委员会履职情况</w:t>
      </w:r>
    </w:p>
    <w:p>
      <w:pPr>
        <w:pStyle w:val="Style31"/>
        <w:keepNext w:val="0"/>
        <w:keepLines w:val="0"/>
        <w:widowControl w:val="0"/>
        <w:shd w:val="clear" w:color="auto" w:fill="auto"/>
        <w:bidi w:val="0"/>
        <w:spacing w:before="0" w:after="440" w:line="353" w:lineRule="exact"/>
        <w:ind w:left="0" w:right="0" w:firstLine="460"/>
        <w:jc w:val="both"/>
      </w:pPr>
      <w:r>
        <w:rPr>
          <w:color w:val="000000"/>
          <w:spacing w:val="0"/>
          <w:w w:val="100"/>
          <w:position w:val="0"/>
        </w:rPr>
        <w:t>公司董事会战略委员会结合公司所处行业的特点，对公司经营现状、发展前景、所处行业的风险和机遇进行了深入地了 解，为公司发展战略的制订实施提出了宝贵的建议，保证了公司发展规划和战略决策的科学性，为公司持续、稳健发展提供 了战略层面的支持。</w:t>
      </w:r>
    </w:p>
    <w:p>
      <w:pPr>
        <w:pStyle w:val="Style39"/>
        <w:keepNext/>
        <w:keepLines/>
        <w:widowControl w:val="0"/>
        <w:shd w:val="clear" w:color="auto" w:fill="auto"/>
        <w:tabs>
          <w:tab w:pos="522" w:val="left"/>
        </w:tabs>
        <w:bidi w:val="0"/>
        <w:spacing w:before="0" w:after="20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七</w:t>
      </w:r>
      <w:bookmarkEnd w:id="592"/>
      <w:r>
        <w:rPr>
          <w:color w:val="000000"/>
          <w:spacing w:val="0"/>
          <w:w w:val="100"/>
          <w:position w:val="0"/>
          <w:sz w:val="24"/>
          <w:szCs w:val="24"/>
        </w:rPr>
        <w:t>、</w:t>
        <w:tab/>
        <w:t>监事会工作情况</w:t>
      </w:r>
      <w:bookmarkEnd w:id="590"/>
      <w:bookmarkEnd w:id="591"/>
      <w:bookmarkEnd w:id="593"/>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39"/>
        <w:keepNext/>
        <w:keepLines/>
        <w:widowControl w:val="0"/>
        <w:shd w:val="clear" w:color="auto" w:fill="auto"/>
        <w:tabs>
          <w:tab w:pos="522" w:val="left"/>
        </w:tabs>
        <w:bidi w:val="0"/>
        <w:spacing w:before="0" w:after="20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八</w:t>
      </w:r>
      <w:bookmarkEnd w:id="596"/>
      <w:r>
        <w:rPr>
          <w:color w:val="000000"/>
          <w:spacing w:val="0"/>
          <w:w w:val="100"/>
          <w:position w:val="0"/>
          <w:sz w:val="24"/>
          <w:szCs w:val="24"/>
        </w:rPr>
        <w:t>、</w:t>
        <w:tab/>
        <w:t>高级管理人员的考评及激励情况</w:t>
      </w:r>
      <w:bookmarkEnd w:id="594"/>
      <w:bookmarkEnd w:id="595"/>
      <w:bookmarkEnd w:id="597"/>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公司建立了完善的高级管理人员绩效考评体系和薪酬制度，由公司董事会薪酬与考核委员提出公司高级管理人员薪酬方 案，经公司董事会审议通过后执行。公司高级管理人员年度薪酬由基本薪酬和绩效薪酬两部分构成，绩效薪酬由董事会授权 薪酬与考核委员会根据公司年度经营目标、各项财务指标完成情况以及各高级管理人员分管业务工作、个人年度履行职责情 况，对其进行绩效考核并评定。</w:t>
      </w:r>
    </w:p>
    <w:p>
      <w:pPr>
        <w:pStyle w:val="Style31"/>
        <w:keepNext w:val="0"/>
        <w:keepLines w:val="0"/>
        <w:widowControl w:val="0"/>
        <w:shd w:val="clear" w:color="auto" w:fill="auto"/>
        <w:bidi w:val="0"/>
        <w:spacing w:before="0" w:after="440" w:line="355" w:lineRule="exact"/>
        <w:ind w:left="0" w:right="0" w:firstLine="460"/>
        <w:jc w:val="both"/>
      </w:pPr>
      <w:r>
        <w:rPr>
          <w:color w:val="000000"/>
          <w:spacing w:val="0"/>
          <w:w w:val="100"/>
          <w:position w:val="0"/>
        </w:rPr>
        <w:t>公司的激励机制符合公司现状及相关法律、法规及《公司章程》的规定，有利于将股东利益、公司利益和员工利益结合 在一起。</w:t>
      </w:r>
    </w:p>
    <w:p>
      <w:pPr>
        <w:pStyle w:val="Style39"/>
        <w:keepNext/>
        <w:keepLines/>
        <w:widowControl w:val="0"/>
        <w:shd w:val="clear" w:color="auto" w:fill="auto"/>
        <w:tabs>
          <w:tab w:pos="522"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九</w:t>
      </w:r>
      <w:bookmarkEnd w:id="600"/>
      <w:r>
        <w:rPr>
          <w:color w:val="000000"/>
          <w:spacing w:val="0"/>
          <w:w w:val="100"/>
          <w:position w:val="0"/>
          <w:sz w:val="24"/>
          <w:szCs w:val="24"/>
        </w:rPr>
        <w:t>、</w:t>
        <w:tab/>
        <w:t>内部控制评价报告</w:t>
      </w:r>
      <w:bookmarkEnd w:id="598"/>
      <w:bookmarkEnd w:id="599"/>
      <w:bookmarkEnd w:id="601"/>
    </w:p>
    <w:p>
      <w:pPr>
        <w:pStyle w:val="Style49"/>
        <w:keepNext/>
        <w:keepLines/>
        <w:widowControl w:val="0"/>
        <w:shd w:val="clear" w:color="auto" w:fill="auto"/>
        <w:tabs>
          <w:tab w:pos="425"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报告期内发现的内部控制重大缺陷的具体情况</w:t>
      </w:r>
      <w:bookmarkEnd w:id="602"/>
      <w:bookmarkEnd w:id="603"/>
      <w:bookmarkEnd w:id="605"/>
    </w:p>
    <w:p>
      <w:pPr>
        <w:pStyle w:val="Style31"/>
        <w:keepNext w:val="0"/>
        <w:keepLines w:val="0"/>
        <w:widowControl w:val="0"/>
        <w:shd w:val="clear" w:color="auto" w:fill="auto"/>
        <w:bidi w:val="0"/>
        <w:spacing w:before="0" w:after="24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9"/>
        <w:keepNext/>
        <w:keepLines/>
        <w:widowControl w:val="0"/>
        <w:shd w:val="clear" w:color="auto" w:fill="auto"/>
        <w:tabs>
          <w:tab w:pos="425" w:val="left"/>
        </w:tabs>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内控自我评价报告</w:t>
      </w:r>
      <w:bookmarkEnd w:id="606"/>
      <w:bookmarkEnd w:id="607"/>
      <w:bookmarkEnd w:id="609"/>
    </w:p>
    <w:tbl>
      <w:tblPr>
        <w:tblOverlap w:val="never"/>
        <w:jc w:val="center"/>
        <w:tblLayout w:type="fixed"/>
      </w:tblPr>
      <w:tblGrid>
        <w:gridCol w:w="2827"/>
        <w:gridCol w:w="674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内部控制评价报告全文披露日期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内部控制评价报告全文披露索引</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2" w:lineRule="exact"/>
              <w:ind w:left="0" w:right="0" w:firstLine="0"/>
              <w:jc w:val="left"/>
            </w:pPr>
            <w:r>
              <w:rPr>
                <w:b/>
                <w:bCs/>
                <w:color w:val="FFFFFF"/>
                <w:spacing w:val="0"/>
                <w:w w:val="100"/>
                <w:position w:val="0"/>
              </w:rPr>
              <w:t>纳入评价范围单位资产总额占公 司合并财务报表资产总额的比例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left"/>
            </w:pPr>
            <w:r>
              <w:rPr>
                <w:b/>
                <w:bCs/>
                <w:color w:val="FFFFFF"/>
                <w:spacing w:val="0"/>
                <w:w w:val="100"/>
                <w:position w:val="0"/>
              </w:rPr>
              <w:t>纳入评价范围单位营业收入占公 司合并财务报表营业收入的比例</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缺陷认定标准</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类别</w:t>
            </w:r>
          </w:p>
        </w:tc>
        <w:tc>
          <w:tcPr>
            <w:tcBorders/>
            <w:shd w:val="clear" w:color="auto" w:fill="F9ECF3"/>
            <w:vAlign w:val="center"/>
          </w:tcPr>
          <w:p>
            <w:pPr>
              <w:pStyle w:val="Style2"/>
              <w:keepNext w:val="0"/>
              <w:keepLines w:val="0"/>
              <w:widowControl w:val="0"/>
              <w:shd w:val="clear" w:color="auto" w:fill="auto"/>
              <w:tabs>
                <w:tab w:pos="3274" w:val="left"/>
              </w:tabs>
              <w:bidi w:val="0"/>
              <w:spacing w:before="0" w:after="0" w:line="240" w:lineRule="auto"/>
              <w:ind w:left="0" w:right="0" w:firstLine="0"/>
              <w:jc w:val="center"/>
            </w:pPr>
            <w:r>
              <w:rPr>
                <w:color w:val="000000"/>
                <w:spacing w:val="0"/>
                <w:w w:val="100"/>
                <w:position w:val="0"/>
              </w:rPr>
              <w:t>财务报告</w:t>
              <w:tab/>
              <w:t>非财务报告</w:t>
            </w:r>
          </w:p>
        </w:tc>
      </w:tr>
      <w:tr>
        <w:trPr>
          <w:trHeight w:val="133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定性标准</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3682" w:val="left"/>
              </w:tabs>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、单独或连同其他缺陷对公司造成</w:t>
            </w:r>
          </w:p>
          <w:p>
            <w:pPr>
              <w:pStyle w:val="Style2"/>
              <w:keepNext w:val="0"/>
              <w:keepLines w:val="0"/>
              <w:widowControl w:val="0"/>
              <w:shd w:val="clear" w:color="auto" w:fill="auto"/>
              <w:tabs>
                <w:tab w:pos="3672" w:val="left"/>
              </w:tabs>
              <w:bidi w:val="0"/>
              <w:spacing w:before="0" w:after="0" w:line="302" w:lineRule="exact"/>
              <w:ind w:left="0" w:right="0" w:firstLine="0"/>
              <w:jc w:val="both"/>
            </w:pPr>
            <w:r>
              <w:rPr>
                <w:color w:val="000000"/>
                <w:spacing w:val="0"/>
                <w:w w:val="100"/>
                <w:position w:val="0"/>
              </w:rPr>
              <w:t>司董事、监事或高管人员的舞弊行为；（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重大损失或产生重大负面影响的，出</w:t>
            </w:r>
          </w:p>
          <w:p>
            <w:pPr>
              <w:pStyle w:val="Style2"/>
              <w:keepNext w:val="0"/>
              <w:keepLines w:val="0"/>
              <w:widowControl w:val="0"/>
              <w:shd w:val="clear" w:color="auto" w:fill="auto"/>
              <w:tabs>
                <w:tab w:pos="3686" w:val="left"/>
              </w:tabs>
              <w:bidi w:val="0"/>
              <w:spacing w:before="0" w:after="0" w:line="302" w:lineRule="exact"/>
              <w:ind w:left="0" w:right="0" w:firstLine="0"/>
              <w:jc w:val="center"/>
            </w:pPr>
            <w:r>
              <w:rPr>
                <w:color w:val="000000"/>
                <w:spacing w:val="0"/>
                <w:w w:val="100"/>
                <w:position w:val="0"/>
              </w:rPr>
              <w:t>发现当期财务报表的重大错报，而管理层未现以下情形认定为重大缺陷：（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能在内控运行过程中发现；（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）内部控制评</w:t>
              <w:tab/>
              <w:t>公司决策程序不科学；（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）违犯国</w:t>
            </w:r>
          </w:p>
        </w:tc>
      </w:tr>
    </w:tbl>
    <w:p>
      <w:pPr>
        <w:widowControl w:val="0"/>
        <w:spacing w:line="1" w:lineRule="exact"/>
      </w:pPr>
      <w:r>
        <w:br w:type="page"/>
      </w:r>
    </w:p>
    <w:tbl>
      <w:tblPr>
        <w:tblOverlap w:val="never"/>
        <w:jc w:val="center"/>
        <w:tblLayout w:type="fixed"/>
      </w:tblPr>
      <w:tblGrid>
        <w:gridCol w:w="2842"/>
        <w:gridCol w:w="6749"/>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内部控制评价报告全文披露日期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168" w:hRule="exact"/>
        </w:trPr>
        <w:tc>
          <w:tcPr>
            <w:tcBorders/>
            <w:shd w:val="clear" w:color="auto" w:fill="A6A6A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tabs>
                <w:tab w:pos="3682" w:val="left"/>
              </w:tabs>
              <w:bidi w:val="0"/>
              <w:spacing w:before="0" w:after="0" w:line="315" w:lineRule="exact"/>
              <w:ind w:left="0" w:right="0" w:firstLine="0"/>
              <w:jc w:val="both"/>
            </w:pPr>
            <w:r>
              <w:rPr>
                <w:color w:val="000000"/>
                <w:spacing w:val="0"/>
                <w:w w:val="100"/>
                <w:position w:val="0"/>
              </w:rPr>
              <w:t>价的结果</w:t>
            </w:r>
            <w:r>
              <w:rPr>
                <w:color w:val="000000"/>
                <w:spacing w:val="0"/>
                <w:w w:val="100"/>
                <w:position w:val="0"/>
                <w:sz w:val="18"/>
                <w:szCs w:val="18"/>
              </w:rPr>
              <w:t>，</w:t>
            </w:r>
            <w:r>
              <w:rPr>
                <w:color w:val="000000"/>
                <w:spacing w:val="0"/>
                <w:w w:val="100"/>
                <w:position w:val="0"/>
              </w:rPr>
              <w:t>重大缺陷未得到整改；（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w:t>
              <w:tab/>
              <w:t>家法律、法规；（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）媒体负面新闻</w:t>
            </w:r>
          </w:p>
          <w:p>
            <w:pPr>
              <w:pStyle w:val="Style2"/>
              <w:keepNext w:val="0"/>
              <w:keepLines w:val="0"/>
              <w:widowControl w:val="0"/>
              <w:shd w:val="clear" w:color="auto" w:fill="auto"/>
              <w:tabs>
                <w:tab w:pos="3662" w:val="left"/>
              </w:tabs>
              <w:bidi w:val="0"/>
              <w:spacing w:before="0" w:after="0" w:line="315" w:lineRule="exact"/>
              <w:ind w:left="0" w:right="0" w:firstLine="0"/>
              <w:jc w:val="both"/>
            </w:pPr>
            <w:r>
              <w:rPr>
                <w:color w:val="000000"/>
                <w:spacing w:val="0"/>
                <w:w w:val="100"/>
                <w:position w:val="0"/>
              </w:rPr>
              <w:t>员会和内部审计机构对内部控制的监督无</w:t>
              <w:tab/>
              <w:t>频现；（</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）重要业务缺乏制度控制</w:t>
            </w:r>
          </w:p>
          <w:p>
            <w:pPr>
              <w:pStyle w:val="Style2"/>
              <w:keepNext w:val="0"/>
              <w:keepLines w:val="0"/>
              <w:widowControl w:val="0"/>
              <w:shd w:val="clear" w:color="auto" w:fill="auto"/>
              <w:tabs>
                <w:tab w:pos="3667" w:val="left"/>
              </w:tabs>
              <w:bidi w:val="0"/>
              <w:spacing w:before="0" w:after="0" w:line="315" w:lineRule="exact"/>
              <w:ind w:left="0" w:right="0" w:firstLine="0"/>
              <w:jc w:val="both"/>
            </w:pPr>
            <w:r>
              <w:rPr>
                <w:color w:val="000000"/>
                <w:spacing w:val="0"/>
                <w:w w:val="100"/>
                <w:position w:val="0"/>
              </w:rPr>
              <w:t>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）或制度系统性失效。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未依照公认会计准则选择和应用会计政策；</w:t>
              <w:tab/>
              <w:t>单独或连同其他缺陷导致不能及时</w:t>
            </w:r>
          </w:p>
          <w:p>
            <w:pPr>
              <w:pStyle w:val="Style2"/>
              <w:keepNext w:val="0"/>
              <w:keepLines w:val="0"/>
              <w:widowControl w:val="0"/>
              <w:shd w:val="clear" w:color="auto" w:fill="auto"/>
              <w:tabs>
                <w:tab w:pos="3595"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防止可能造成公司损失或产生负面</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对于非常规或特殊交易的账务处理没有建立影响，虽未达到和超过重要性水平， 相应的控制机制或没有实施且没有相应的补但仍应引起董事会和管理层重视的 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）对于期末财务报告过程的控一个或多个内部控制缺陷的组合。 制存在一项或多项缺陷且不能合理保证编制 的财务报表达到真实、准确的目标。</w:t>
            </w:r>
          </w:p>
        </w:tc>
      </w:tr>
      <w:tr>
        <w:trPr>
          <w:trHeight w:val="165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定量标准</w:t>
            </w:r>
          </w:p>
        </w:tc>
        <w:tc>
          <w:tcPr>
            <w:tcBorders>
              <w:top w:val="single" w:sz="4"/>
            </w:tcBorders>
            <w:shd w:val="clear" w:color="auto" w:fill="F9ECF3"/>
            <w:vAlign w:val="center"/>
          </w:tcPr>
          <w:p>
            <w:pPr>
              <w:pStyle w:val="Style2"/>
              <w:keepNext w:val="0"/>
              <w:keepLines w:val="0"/>
              <w:widowControl w:val="0"/>
              <w:shd w:val="clear" w:color="auto" w:fill="auto"/>
              <w:tabs>
                <w:tab w:pos="3672" w:val="left"/>
              </w:tabs>
              <w:bidi w:val="0"/>
              <w:spacing w:before="0" w:after="0" w:line="298" w:lineRule="exact"/>
              <w:ind w:left="0" w:right="0" w:firstLine="0"/>
              <w:jc w:val="left"/>
              <w:rPr>
                <w:sz w:val="18"/>
                <w:szCs w:val="18"/>
              </w:rPr>
            </w:pPr>
            <w:r>
              <w:rPr>
                <w:color w:val="000000"/>
                <w:spacing w:val="0"/>
                <w:w w:val="100"/>
                <w:position w:val="0"/>
                <w:sz w:val="15"/>
                <w:szCs w:val="15"/>
              </w:rPr>
              <w:t>重大缺陷：财务报表的错报金额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5"/>
                <w:szCs w:val="15"/>
              </w:rPr>
              <w:t>利润总额的重大缺陷：直接损失金额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5"/>
                <w:szCs w:val="15"/>
              </w:rPr>
              <w:t xml:space="preserve">利润总额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；重要缺陷：利润总额的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sz w:val="15"/>
                <w:szCs w:val="15"/>
              </w:rPr>
              <w:t>错报金额</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5"/>
                <w:szCs w:val="15"/>
              </w:rPr>
              <w:t>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；重要缺陷：利润总额的</w:t>
            </w:r>
            <w:r>
              <w:rPr>
                <w:rFonts w:ascii="Times New Roman" w:eastAsia="Times New Roman" w:hAnsi="Times New Roman" w:cs="Times New Roman"/>
                <w:color w:val="000000"/>
                <w:spacing w:val="0"/>
                <w:w w:val="100"/>
                <w:position w:val="0"/>
                <w:sz w:val="18"/>
                <w:szCs w:val="18"/>
              </w:rPr>
              <w:t>1%W</w:t>
            </w:r>
          </w:p>
          <w:p>
            <w:pPr>
              <w:pStyle w:val="Style2"/>
              <w:keepNext w:val="0"/>
              <w:keepLines w:val="0"/>
              <w:widowControl w:val="0"/>
              <w:shd w:val="clear" w:color="auto" w:fill="auto"/>
              <w:tabs>
                <w:tab w:pos="3672" w:val="left"/>
                <w:tab w:pos="6274" w:val="left"/>
              </w:tabs>
              <w:bidi w:val="0"/>
              <w:spacing w:before="0" w:after="0" w:line="298" w:lineRule="exact"/>
              <w:ind w:left="0" w:right="0" w:firstLine="0"/>
              <w:jc w:val="left"/>
            </w:pP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一般缺陷：错报金额</w:t>
            </w:r>
            <w:r>
              <w:rPr>
                <w:color w:val="000000"/>
                <w:spacing w:val="0"/>
                <w:w w:val="100"/>
                <w:position w:val="0"/>
                <w:sz w:val="18"/>
                <w:szCs w:val="18"/>
              </w:rPr>
              <w:t>〈</w:t>
            </w:r>
            <w:r>
              <w:rPr>
                <w:color w:val="000000"/>
                <w:spacing w:val="0"/>
                <w:w w:val="100"/>
                <w:position w:val="0"/>
              </w:rPr>
              <w:t>利润</w:t>
              <w:tab/>
              <w:t>直接损失金额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w:t>
            </w:r>
          </w:p>
          <w:p>
            <w:pPr>
              <w:pStyle w:val="Style2"/>
              <w:keepNext w:val="0"/>
              <w:keepLines w:val="0"/>
              <w:widowControl w:val="0"/>
              <w:shd w:val="clear" w:color="auto" w:fill="auto"/>
              <w:tabs>
                <w:tab w:pos="3677" w:val="left"/>
              </w:tabs>
              <w:bidi w:val="0"/>
              <w:spacing w:before="0" w:after="120" w:line="298" w:lineRule="exact"/>
              <w:ind w:left="0" w:right="0" w:firstLine="0"/>
              <w:jc w:val="left"/>
            </w:pPr>
            <w:r>
              <w:rPr>
                <w:color w:val="000000"/>
                <w:spacing w:val="0"/>
                <w:w w:val="100"/>
                <w:position w:val="0"/>
              </w:rPr>
              <w:t>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般缺陷：直接损失金额</w:t>
            </w:r>
            <w:r>
              <w:rPr>
                <w:color w:val="000000"/>
                <w:spacing w:val="0"/>
                <w:w w:val="100"/>
                <w:position w:val="0"/>
                <w:sz w:val="18"/>
                <w:szCs w:val="18"/>
              </w:rPr>
              <w:t>〈</w:t>
            </w:r>
            <w:r>
              <w:rPr>
                <w:color w:val="000000"/>
                <w:spacing w:val="0"/>
                <w:w w:val="100"/>
                <w:position w:val="0"/>
              </w:rPr>
              <w:t>利润总额的</w:t>
            </w:r>
          </w:p>
          <w:p>
            <w:pPr>
              <w:pStyle w:val="Style2"/>
              <w:keepNext w:val="0"/>
              <w:keepLines w:val="0"/>
              <w:widowControl w:val="0"/>
              <w:shd w:val="clear" w:color="auto" w:fill="auto"/>
              <w:bidi w:val="0"/>
              <w:spacing w:before="0" w:after="60" w:line="346" w:lineRule="auto"/>
              <w:ind w:left="37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财务报告重大缺陷数量（个）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非财务报告重大缺陷数量（个）</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65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财务报告重要缺陷数量（个）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非财务报告重要缺陷数量（个）</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65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0"/>
        <w:jc w:val="left"/>
      </w:pPr>
      <w:bookmarkStart w:id="610" w:name="bookmark610"/>
      <w:bookmarkStart w:id="611" w:name="bookmark611"/>
      <w:bookmarkStart w:id="612" w:name="bookmark612"/>
      <w:r>
        <w:rPr>
          <w:color w:val="000000"/>
          <w:spacing w:val="0"/>
          <w:w w:val="100"/>
          <w:position w:val="0"/>
          <w:sz w:val="24"/>
          <w:szCs w:val="24"/>
        </w:rPr>
        <w:t>十、内部控制审计报告或鉴证报告</w:t>
      </w:r>
      <w:bookmarkEnd w:id="610"/>
      <w:bookmarkEnd w:id="611"/>
      <w:bookmarkEnd w:id="612"/>
    </w:p>
    <w:p>
      <w:pPr>
        <w:pStyle w:val="Style31"/>
        <w:keepNext w:val="0"/>
        <w:keepLines w:val="0"/>
        <w:widowControl w:val="0"/>
        <w:shd w:val="clear" w:color="auto" w:fill="auto"/>
        <w:bidi w:val="0"/>
        <w:spacing w:before="0" w:after="34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66" w:h="17375"/>
          <w:pgMar w:top="1571" w:right="1084" w:bottom="1712" w:left="1023" w:header="0" w:footer="3" w:gutter="0"/>
          <w:cols w:space="720"/>
          <w:noEndnote/>
          <w:rtlGutter w:val="0"/>
          <w:docGrid w:linePitch="360"/>
        </w:sectPr>
      </w:pPr>
      <w:r>
        <w:rPr>
          <w:color w:val="000000"/>
          <w:spacing w:val="0"/>
          <w:w w:val="100"/>
          <w:position w:val="0"/>
        </w:rPr>
        <w:t>不适用</w:t>
      </w:r>
    </w:p>
    <w:p>
      <w:pPr>
        <w:pStyle w:val="Style22"/>
        <w:keepNext/>
        <w:keepLines/>
        <w:widowControl w:val="0"/>
        <w:shd w:val="clear" w:color="auto" w:fill="auto"/>
        <w:bidi w:val="0"/>
        <w:spacing w:before="0" w:after="600" w:line="240" w:lineRule="auto"/>
        <w:ind w:left="0" w:right="0" w:firstLine="0"/>
        <w:jc w:val="center"/>
      </w:pPr>
      <w:bookmarkStart w:id="613" w:name="bookmark613"/>
      <w:bookmarkStart w:id="614" w:name="bookmark614"/>
      <w:bookmarkStart w:id="615" w:name="bookmark615"/>
      <w:r>
        <w:rPr>
          <w:spacing w:val="0"/>
          <w:w w:val="100"/>
          <w:position w:val="0"/>
        </w:rPr>
        <w:t>第十一节公司债券相关情况</w:t>
      </w:r>
      <w:bookmarkEnd w:id="613"/>
      <w:bookmarkEnd w:id="614"/>
      <w:bookmarkEnd w:id="61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360" w:line="240" w:lineRule="auto"/>
        <w:ind w:left="0" w:right="0" w:firstLine="0"/>
        <w:jc w:val="left"/>
        <w:sectPr>
          <w:headerReference w:type="default" r:id="rId51"/>
          <w:footerReference w:type="default" r:id="rId52"/>
          <w:headerReference w:type="even" r:id="rId53"/>
          <w:footerReference w:type="even" r:id="rId54"/>
          <w:footnotePr>
            <w:pos w:val="pageBottom"/>
            <w:numFmt w:val="decimal"/>
            <w:numRestart w:val="continuous"/>
          </w:footnotePr>
          <w:pgSz w:w="11966" w:h="17375"/>
          <w:pgMar w:top="2188" w:right="1335" w:bottom="2188" w:left="1042" w:header="0" w:footer="3" w:gutter="0"/>
          <w:cols w:space="720"/>
          <w:noEndnote/>
          <w:rtlGutter w:val="0"/>
          <w:docGrid w:linePitch="360"/>
        </w:sectPr>
      </w:pPr>
      <w:r>
        <w:rPr>
          <w:color w:val="000000"/>
          <w:spacing w:val="0"/>
          <w:w w:val="100"/>
          <w:position w:val="0"/>
        </w:rPr>
        <w:t>否</w:t>
      </w:r>
    </w:p>
    <w:p>
      <w:pPr>
        <w:pStyle w:val="Style22"/>
        <w:keepNext/>
        <w:keepLines/>
        <w:widowControl w:val="0"/>
        <w:shd w:val="clear" w:color="auto" w:fill="auto"/>
        <w:bidi w:val="0"/>
        <w:spacing w:before="600" w:after="560" w:line="240" w:lineRule="auto"/>
        <w:ind w:left="0" w:right="0" w:firstLine="0"/>
        <w:jc w:val="center"/>
      </w:pPr>
      <w:bookmarkStart w:id="616" w:name="bookmark616"/>
      <w:bookmarkStart w:id="617" w:name="bookmark617"/>
      <w:bookmarkStart w:id="618" w:name="bookmark618"/>
      <w:r>
        <w:rPr>
          <w:spacing w:val="0"/>
          <w:w w:val="100"/>
          <w:position w:val="0"/>
        </w:rPr>
        <w:t>第十二节财务报告</w:t>
      </w:r>
      <w:bookmarkEnd w:id="616"/>
      <w:bookmarkEnd w:id="617"/>
      <w:bookmarkEnd w:id="618"/>
    </w:p>
    <w:p>
      <w:pPr>
        <w:pStyle w:val="Style39"/>
        <w:keepNext/>
        <w:keepLines/>
        <w:widowControl w:val="0"/>
        <w:shd w:val="clear" w:color="auto" w:fill="auto"/>
        <w:bidi w:val="0"/>
        <w:spacing w:before="0" w:after="320" w:line="240" w:lineRule="auto"/>
        <w:ind w:left="0" w:right="0" w:firstLine="0"/>
        <w:jc w:val="left"/>
      </w:pPr>
      <w:bookmarkStart w:id="619" w:name="bookmark619"/>
      <w:bookmarkStart w:id="620" w:name="bookmark620"/>
      <w:bookmarkStart w:id="621" w:name="bookmark621"/>
      <w:r>
        <w:rPr>
          <w:color w:val="000000"/>
          <w:spacing w:val="0"/>
          <w:w w:val="100"/>
          <w:position w:val="0"/>
          <w:sz w:val="24"/>
          <w:szCs w:val="24"/>
        </w:rPr>
        <w:t>一、审计报告</w:t>
      </w:r>
      <w:bookmarkEnd w:id="619"/>
      <w:bookmarkEnd w:id="620"/>
      <w:bookmarkEnd w:id="621"/>
    </w:p>
    <w:tbl>
      <w:tblPr>
        <w:tblOverlap w:val="never"/>
        <w:jc w:val="center"/>
        <w:tblLayout w:type="fixed"/>
      </w:tblPr>
      <w:tblGrid>
        <w:gridCol w:w="4786"/>
        <w:gridCol w:w="4800"/>
      </w:tblGrid>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审计意见类型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审计报告签署日期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审计机构名称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审计报告文号</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P03726</w:t>
            </w:r>
            <w:r>
              <w:rPr>
                <w:color w:val="000000"/>
                <w:spacing w:val="0"/>
                <w:w w:val="100"/>
                <w:position w:val="0"/>
              </w:rPr>
              <w:t>号</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注册会计师姓名</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郑群、王江涛</w:t>
            </w:r>
          </w:p>
        </w:tc>
      </w:tr>
    </w:tbl>
    <w:p>
      <w:pPr>
        <w:pStyle w:val="Style45"/>
        <w:keepNext w:val="0"/>
        <w:keepLines w:val="0"/>
        <w:widowControl w:val="0"/>
        <w:shd w:val="clear" w:color="auto" w:fill="auto"/>
        <w:bidi w:val="0"/>
        <w:spacing w:before="0" w:after="0" w:line="240" w:lineRule="auto"/>
        <w:ind w:left="4387" w:right="0" w:firstLine="0"/>
        <w:jc w:val="left"/>
      </w:pPr>
      <w:r>
        <w:rPr>
          <w:color w:val="000000"/>
          <w:spacing w:val="0"/>
          <w:w w:val="100"/>
          <w:position w:val="0"/>
        </w:rPr>
        <w:t>审计报告正文</w:t>
      </w:r>
    </w:p>
    <w:p>
      <w:pPr>
        <w:pStyle w:val="Style31"/>
        <w:keepNext w:val="0"/>
        <w:keepLines w:val="0"/>
        <w:widowControl w:val="0"/>
        <w:shd w:val="clear" w:color="auto" w:fill="auto"/>
        <w:tabs>
          <w:tab w:pos="920" w:val="left"/>
        </w:tabs>
        <w:bidi w:val="0"/>
        <w:spacing w:before="0" w:after="40" w:line="350" w:lineRule="exact"/>
        <w:ind w:left="0" w:right="0" w:firstLine="480"/>
        <w:jc w:val="both"/>
      </w:pPr>
      <w:bookmarkStart w:id="622" w:name="bookmark622"/>
      <w:r>
        <w:rPr>
          <w:b/>
          <w:bCs/>
          <w:color w:val="000000"/>
          <w:spacing w:val="0"/>
          <w:w w:val="100"/>
          <w:position w:val="0"/>
        </w:rPr>
        <w:t>一</w:t>
      </w:r>
      <w:bookmarkEnd w:id="622"/>
      <w:r>
        <w:rPr>
          <w:b/>
          <w:bCs/>
          <w:color w:val="000000"/>
          <w:spacing w:val="0"/>
          <w:w w:val="100"/>
          <w:position w:val="0"/>
        </w:rPr>
        <w:t>、</w:t>
        <w:tab/>
        <w:t>审计意见</w:t>
      </w:r>
    </w:p>
    <w:p>
      <w:pPr>
        <w:pStyle w:val="Style31"/>
        <w:keepNext w:val="0"/>
        <w:keepLines w:val="0"/>
        <w:widowControl w:val="0"/>
        <w:shd w:val="clear" w:color="auto" w:fill="auto"/>
        <w:bidi w:val="0"/>
        <w:spacing w:before="0" w:after="40" w:line="341" w:lineRule="exact"/>
        <w:ind w:left="0" w:right="0" w:firstLine="480"/>
        <w:jc w:val="both"/>
      </w:pPr>
      <w:r>
        <w:rPr>
          <w:color w:val="000000"/>
          <w:spacing w:val="0"/>
          <w:w w:val="100"/>
          <w:position w:val="0"/>
        </w:rPr>
        <w:t>我们审计了北京百华悦邦科技股份有限公司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年度的合并及公司利润表、合并及公司现金流量表、合并及公司股东权益变动表以及财务报表附注。</w:t>
      </w:r>
    </w:p>
    <w:p>
      <w:pPr>
        <w:pStyle w:val="Style31"/>
        <w:keepNext w:val="0"/>
        <w:keepLines w:val="0"/>
        <w:widowControl w:val="0"/>
        <w:shd w:val="clear" w:color="auto" w:fill="auto"/>
        <w:bidi w:val="0"/>
        <w:spacing w:before="0" w:after="40" w:line="350" w:lineRule="exact"/>
        <w:ind w:left="0" w:right="0" w:firstLine="480"/>
        <w:jc w:val="both"/>
      </w:pPr>
      <w:r>
        <w:rPr>
          <w:color w:val="000000"/>
          <w:spacing w:val="0"/>
          <w:w w:val="100"/>
          <w:position w:val="0"/>
        </w:rPr>
        <w:t>我们认为，后附的财务报表在所有重大方面按照企业会计准则的规定编制，公允反映了百邦科技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年度的合并及公司经营成果和现金流量。</w:t>
      </w:r>
    </w:p>
    <w:p>
      <w:pPr>
        <w:pStyle w:val="Style31"/>
        <w:keepNext w:val="0"/>
        <w:keepLines w:val="0"/>
        <w:widowControl w:val="0"/>
        <w:shd w:val="clear" w:color="auto" w:fill="auto"/>
        <w:tabs>
          <w:tab w:pos="920" w:val="left"/>
        </w:tabs>
        <w:bidi w:val="0"/>
        <w:spacing w:before="0" w:after="40" w:line="350" w:lineRule="exact"/>
        <w:ind w:left="0" w:right="0" w:firstLine="480"/>
        <w:jc w:val="both"/>
      </w:pPr>
      <w:bookmarkStart w:id="623" w:name="bookmark623"/>
      <w:r>
        <w:rPr>
          <w:b/>
          <w:bCs/>
          <w:color w:val="000000"/>
          <w:spacing w:val="0"/>
          <w:w w:val="100"/>
          <w:position w:val="0"/>
        </w:rPr>
        <w:t>二</w:t>
      </w:r>
      <w:bookmarkEnd w:id="623"/>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40" w:line="350" w:lineRule="exact"/>
        <w:ind w:left="0" w:right="0" w:firstLine="4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阐述了我们在这些准则下的责任。按照中国注册会计师职业道德守则，我们独立于百邦科技，并履行了职业道德方面的其他 责任。我们相信，我们获取的审计证据是充分、适当的，为发表审计意见提供了基础。</w:t>
      </w:r>
    </w:p>
    <w:p>
      <w:pPr>
        <w:pStyle w:val="Style31"/>
        <w:keepNext w:val="0"/>
        <w:keepLines w:val="0"/>
        <w:widowControl w:val="0"/>
        <w:shd w:val="clear" w:color="auto" w:fill="auto"/>
        <w:tabs>
          <w:tab w:pos="925" w:val="left"/>
        </w:tabs>
        <w:bidi w:val="0"/>
        <w:spacing w:before="0" w:after="40" w:line="350" w:lineRule="exact"/>
        <w:ind w:left="0" w:right="0" w:firstLine="480"/>
        <w:jc w:val="both"/>
      </w:pPr>
      <w:bookmarkStart w:id="624" w:name="bookmark624"/>
      <w:r>
        <w:rPr>
          <w:b/>
          <w:bCs/>
          <w:color w:val="000000"/>
          <w:spacing w:val="0"/>
          <w:w w:val="100"/>
          <w:position w:val="0"/>
        </w:rPr>
        <w:t>三</w:t>
      </w:r>
      <w:bookmarkEnd w:id="624"/>
      <w:r>
        <w:rPr>
          <w:b/>
          <w:bCs/>
          <w:color w:val="000000"/>
          <w:spacing w:val="0"/>
          <w:w w:val="100"/>
          <w:position w:val="0"/>
        </w:rPr>
        <w:t>、</w:t>
        <w:tab/>
        <w:t>关键审计事项</w:t>
      </w:r>
    </w:p>
    <w:p>
      <w:pPr>
        <w:pStyle w:val="Style31"/>
        <w:keepNext w:val="0"/>
        <w:keepLines w:val="0"/>
        <w:widowControl w:val="0"/>
        <w:shd w:val="clear" w:color="auto" w:fill="auto"/>
        <w:bidi w:val="0"/>
        <w:spacing w:before="0" w:after="40" w:line="353" w:lineRule="exact"/>
        <w:ind w:left="0" w:right="0" w:firstLine="480"/>
        <w:jc w:val="both"/>
      </w:pPr>
      <w:r>
        <w:rPr>
          <w:color w:val="000000"/>
          <w:spacing w:val="0"/>
          <w:w w:val="100"/>
          <w:position w:val="0"/>
        </w:rPr>
        <w:t>关键审计事项是我们根据职业判断，认为对本年度财务报表审计最为重要的事项。这些事项的应对以对财务报表整体进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31"/>
        <w:keepNext w:val="0"/>
        <w:keepLines w:val="0"/>
        <w:widowControl w:val="0"/>
        <w:shd w:val="clear" w:color="auto" w:fill="auto"/>
        <w:bidi w:val="0"/>
        <w:spacing w:before="0" w:after="180" w:line="350"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、新机销售收入的总额或净额法确认</w:t>
      </w:r>
    </w:p>
    <w:p>
      <w:pPr>
        <w:pStyle w:val="Style31"/>
        <w:keepNext w:val="0"/>
        <w:keepLines w:val="0"/>
        <w:widowControl w:val="0"/>
        <w:numPr>
          <w:ilvl w:val="0"/>
          <w:numId w:val="15"/>
        </w:numPr>
        <w:shd w:val="clear" w:color="auto" w:fill="auto"/>
        <w:tabs>
          <w:tab w:pos="786" w:val="left"/>
        </w:tabs>
        <w:bidi w:val="0"/>
        <w:spacing w:before="0" w:after="0" w:line="432" w:lineRule="auto"/>
        <w:ind w:left="0" w:right="0" w:firstLine="480"/>
        <w:jc w:val="both"/>
      </w:pPr>
      <w:bookmarkStart w:id="625" w:name="bookmark625"/>
      <w:bookmarkEnd w:id="625"/>
      <w:r>
        <w:rPr>
          <w:color w:val="000000"/>
          <w:spacing w:val="0"/>
          <w:w w:val="100"/>
          <w:position w:val="0"/>
        </w:rPr>
        <w:t>事项描述</w:t>
      </w:r>
    </w:p>
    <w:p>
      <w:pPr>
        <w:pStyle w:val="Style31"/>
        <w:keepNext w:val="0"/>
        <w:keepLines w:val="0"/>
        <w:widowControl w:val="0"/>
        <w:numPr>
          <w:ilvl w:val="0"/>
          <w:numId w:val="15"/>
        </w:numPr>
        <w:shd w:val="clear" w:color="auto" w:fill="auto"/>
        <w:tabs>
          <w:tab w:pos="675" w:val="left"/>
        </w:tabs>
        <w:bidi w:val="0"/>
        <w:spacing w:before="0" w:after="40" w:line="350" w:lineRule="exact"/>
        <w:ind w:left="0" w:right="0" w:firstLine="480"/>
        <w:jc w:val="both"/>
      </w:pPr>
      <w:bookmarkStart w:id="626" w:name="bookmark626"/>
      <w:bookmarkEnd w:id="626"/>
      <w:r>
        <w:rPr>
          <w:color w:val="000000"/>
          <w:spacing w:val="0"/>
          <w:w w:val="100"/>
          <w:position w:val="0"/>
        </w:rPr>
        <w:t>如附注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合并财务报表注释</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日止，百邦科技营业收入金额为 人民币</w:t>
      </w:r>
      <w:r>
        <w:rPr>
          <w:rFonts w:ascii="Times New Roman" w:eastAsia="Times New Roman" w:hAnsi="Times New Roman" w:cs="Times New Roman"/>
          <w:color w:val="000000"/>
          <w:spacing w:val="0"/>
          <w:w w:val="100"/>
          <w:position w:val="0"/>
          <w:sz w:val="18"/>
          <w:szCs w:val="18"/>
        </w:rPr>
        <w:t>488,918,503.86</w:t>
      </w:r>
      <w:r>
        <w:rPr>
          <w:color w:val="000000"/>
          <w:spacing w:val="0"/>
          <w:w w:val="100"/>
          <w:position w:val="0"/>
        </w:rPr>
        <w:t>元。其中对经销商的新机销售收入金额为人民币</w:t>
      </w:r>
      <w:r>
        <w:rPr>
          <w:rFonts w:ascii="Times New Roman" w:eastAsia="Times New Roman" w:hAnsi="Times New Roman" w:cs="Times New Roman"/>
          <w:color w:val="000000"/>
          <w:spacing w:val="0"/>
          <w:w w:val="100"/>
          <w:position w:val="0"/>
          <w:sz w:val="18"/>
          <w:szCs w:val="18"/>
        </w:rPr>
        <w:t>178,479,960.99</w:t>
      </w:r>
      <w:r>
        <w:rPr>
          <w:color w:val="000000"/>
          <w:spacing w:val="0"/>
          <w:w w:val="100"/>
          <w:position w:val="0"/>
        </w:rPr>
        <w:t>元，对财务报表具有重要性。</w:t>
      </w:r>
    </w:p>
    <w:p>
      <w:pPr>
        <w:pStyle w:val="Style31"/>
        <w:keepNext w:val="0"/>
        <w:keepLines w:val="0"/>
        <w:widowControl w:val="0"/>
        <w:shd w:val="clear" w:color="auto" w:fill="auto"/>
        <w:bidi w:val="0"/>
        <w:spacing w:before="0" w:after="40" w:line="350" w:lineRule="exact"/>
        <w:ind w:left="0" w:right="0" w:firstLine="480"/>
        <w:jc w:val="both"/>
      </w:pPr>
      <w:r>
        <w:rPr>
          <w:color w:val="000000"/>
          <w:spacing w:val="0"/>
          <w:w w:val="100"/>
          <w:position w:val="0"/>
        </w:rPr>
        <w:t>百邦科技新机销售收入确认需要管理层运用重大判断以确定百邦科技在这些交易中是作为主要责任人还是代理人，从而 应当用总额法还是净额法确认相关收入，包括评估百邦科技是否承担履约的主要责任，是否承担存货风险和信用风险，以及 是否拥有定价能力。</w:t>
      </w:r>
    </w:p>
    <w:p>
      <w:pPr>
        <w:pStyle w:val="Style31"/>
        <w:keepNext w:val="0"/>
        <w:keepLines w:val="0"/>
        <w:widowControl w:val="0"/>
        <w:shd w:val="clear" w:color="auto" w:fill="auto"/>
        <w:bidi w:val="0"/>
        <w:spacing w:before="0" w:after="180" w:line="350" w:lineRule="exact"/>
        <w:ind w:left="0" w:right="0" w:firstLine="480"/>
        <w:jc w:val="both"/>
      </w:pPr>
      <w:r>
        <w:rPr>
          <w:color w:val="000000"/>
          <w:spacing w:val="0"/>
          <w:w w:val="100"/>
          <w:position w:val="0"/>
        </w:rPr>
        <w:t>综合考虑上述因素，我们将新机销售收入的总额或净额法确认作为关键审计事项。</w:t>
      </w:r>
    </w:p>
    <w:p>
      <w:pPr>
        <w:pStyle w:val="Style31"/>
        <w:keepNext w:val="0"/>
        <w:keepLines w:val="0"/>
        <w:widowControl w:val="0"/>
        <w:numPr>
          <w:ilvl w:val="0"/>
          <w:numId w:val="17"/>
        </w:numPr>
        <w:shd w:val="clear" w:color="auto" w:fill="auto"/>
        <w:bidi w:val="0"/>
        <w:spacing w:before="0" w:after="0" w:line="432" w:lineRule="auto"/>
        <w:ind w:left="0" w:right="0" w:firstLine="480"/>
        <w:jc w:val="both"/>
      </w:pPr>
      <w:bookmarkStart w:id="627" w:name="bookmark627"/>
      <w:bookmarkEnd w:id="627"/>
      <w:r>
        <w:rPr>
          <w:color w:val="000000"/>
          <w:spacing w:val="0"/>
          <w:w w:val="100"/>
          <w:position w:val="0"/>
        </w:rPr>
        <w:t>审计应对</w:t>
      </w:r>
    </w:p>
    <w:p>
      <w:pPr>
        <w:pStyle w:val="Style31"/>
        <w:keepNext w:val="0"/>
        <w:keepLines w:val="0"/>
        <w:widowControl w:val="0"/>
        <w:shd w:val="clear" w:color="auto" w:fill="auto"/>
        <w:bidi w:val="0"/>
        <w:spacing w:before="0" w:after="40" w:line="350" w:lineRule="exact"/>
        <w:ind w:left="0" w:right="0" w:firstLine="480"/>
        <w:jc w:val="both"/>
      </w:pPr>
      <w:r>
        <w:rPr>
          <w:color w:val="000000"/>
          <w:spacing w:val="0"/>
          <w:w w:val="100"/>
          <w:position w:val="0"/>
        </w:rPr>
        <w:t>我们针对该关键审计事项执行的主要审计程序包括：</w:t>
      </w:r>
    </w:p>
    <w:p>
      <w:pPr>
        <w:pStyle w:val="Style31"/>
        <w:keepNext w:val="0"/>
        <w:keepLines w:val="0"/>
        <w:widowControl w:val="0"/>
        <w:shd w:val="clear" w:color="auto" w:fill="auto"/>
        <w:bidi w:val="0"/>
        <w:spacing w:before="0" w:after="40" w:line="350" w:lineRule="exact"/>
        <w:ind w:left="0" w:right="0" w:firstLine="32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）测试和评价百邦科技新机销售收入总额或净额法确认相关内部控制；</w:t>
      </w:r>
    </w:p>
    <w:p>
      <w:pPr>
        <w:pStyle w:val="Style31"/>
        <w:keepNext w:val="0"/>
        <w:keepLines w:val="0"/>
        <w:widowControl w:val="0"/>
        <w:numPr>
          <w:ilvl w:val="0"/>
          <w:numId w:val="19"/>
        </w:numPr>
        <w:shd w:val="clear" w:color="auto" w:fill="auto"/>
        <w:tabs>
          <w:tab w:pos="740" w:val="left"/>
        </w:tabs>
        <w:bidi w:val="0"/>
        <w:spacing w:before="0" w:after="0" w:line="354" w:lineRule="exact"/>
        <w:ind w:left="0" w:right="0" w:firstLine="300"/>
        <w:jc w:val="left"/>
      </w:pPr>
      <w:bookmarkStart w:id="629" w:name="bookmark629"/>
      <w:bookmarkEnd w:id="629"/>
      <w:r>
        <w:rPr>
          <w:color w:val="000000"/>
          <w:spacing w:val="0"/>
          <w:w w:val="100"/>
          <w:position w:val="0"/>
        </w:rPr>
        <w:t>了解百邦科技与新机销售收入的总额或净额法确认相关的会计政策，并确定其是否符合企业会计准则，并一贯应用；</w:t>
      </w:r>
    </w:p>
    <w:p>
      <w:pPr>
        <w:pStyle w:val="Style31"/>
        <w:keepNext w:val="0"/>
        <w:keepLines w:val="0"/>
        <w:widowControl w:val="0"/>
        <w:numPr>
          <w:ilvl w:val="0"/>
          <w:numId w:val="19"/>
        </w:numPr>
        <w:shd w:val="clear" w:color="auto" w:fill="auto"/>
        <w:tabs>
          <w:tab w:pos="740" w:val="left"/>
        </w:tabs>
        <w:bidi w:val="0"/>
        <w:spacing w:before="0" w:after="0" w:line="354" w:lineRule="exact"/>
        <w:ind w:left="0" w:right="0" w:firstLine="300"/>
        <w:jc w:val="left"/>
      </w:pPr>
      <w:bookmarkStart w:id="630" w:name="bookmark630"/>
      <w:bookmarkEnd w:id="630"/>
      <w:r>
        <w:rPr>
          <w:color w:val="000000"/>
          <w:spacing w:val="0"/>
          <w:w w:val="100"/>
          <w:position w:val="0"/>
        </w:rPr>
        <w:t>针对新机销售收入的总额或净额法确认的判断，我们抽样实施了下列程序：</w:t>
      </w:r>
    </w:p>
    <w:p>
      <w:pPr>
        <w:pStyle w:val="Style31"/>
        <w:keepNext w:val="0"/>
        <w:keepLines w:val="0"/>
        <w:widowControl w:val="0"/>
        <w:numPr>
          <w:ilvl w:val="0"/>
          <w:numId w:val="21"/>
        </w:numPr>
        <w:shd w:val="clear" w:color="auto" w:fill="auto"/>
        <w:tabs>
          <w:tab w:pos="947" w:val="left"/>
        </w:tabs>
        <w:bidi w:val="0"/>
        <w:spacing w:before="0" w:after="0" w:line="353" w:lineRule="exact"/>
        <w:ind w:left="0" w:right="0" w:firstLine="460"/>
        <w:jc w:val="both"/>
      </w:pPr>
      <w:bookmarkStart w:id="631" w:name="bookmark631"/>
      <w:bookmarkEnd w:id="631"/>
      <w:r>
        <w:rPr>
          <w:color w:val="000000"/>
          <w:spacing w:val="0"/>
          <w:w w:val="100"/>
          <w:position w:val="0"/>
        </w:rPr>
        <w:t>选取部分客户和供应商的合同进行复核，对合同条款进行分析；与选取的客户和供应商进行访谈，通过与之访谈 了解双方合作开展业务过程中的主要商业安排，包括双方如何建立商业关系，价格的谈判与确定以及对提供的货物或服务的 主要责任；对新机业务的销售和采购价格进行分析。</w:t>
      </w:r>
    </w:p>
    <w:p>
      <w:pPr>
        <w:pStyle w:val="Style31"/>
        <w:keepNext w:val="0"/>
        <w:keepLines w:val="0"/>
        <w:widowControl w:val="0"/>
        <w:numPr>
          <w:ilvl w:val="0"/>
          <w:numId w:val="21"/>
        </w:numPr>
        <w:shd w:val="clear" w:color="auto" w:fill="auto"/>
        <w:tabs>
          <w:tab w:pos="947" w:val="left"/>
        </w:tabs>
        <w:bidi w:val="0"/>
        <w:spacing w:before="0" w:after="0" w:line="355" w:lineRule="exact"/>
        <w:ind w:left="0" w:right="0" w:firstLine="460"/>
        <w:jc w:val="both"/>
      </w:pPr>
      <w:bookmarkStart w:id="632" w:name="bookmark632"/>
      <w:bookmarkEnd w:id="632"/>
      <w:r>
        <w:rPr>
          <w:color w:val="000000"/>
          <w:spacing w:val="0"/>
          <w:w w:val="100"/>
          <w:position w:val="0"/>
        </w:rPr>
        <w:t>通过执行上述程序，综合考虑相关事实和情况，评价百邦科技是否承担向客户供货或提供服务的主要责任，是否 承担相关存货风险、是否有权自主决定所交易商品的价格以及是否承担信用风险。</w:t>
      </w:r>
    </w:p>
    <w:p>
      <w:pPr>
        <w:pStyle w:val="Style31"/>
        <w:keepNext w:val="0"/>
        <w:keepLines w:val="0"/>
        <w:widowControl w:val="0"/>
        <w:shd w:val="clear" w:color="auto" w:fill="auto"/>
        <w:bidi w:val="0"/>
        <w:spacing w:before="0" w:after="180" w:line="355" w:lineRule="exact"/>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、商誉的减值评估</w:t>
      </w:r>
    </w:p>
    <w:p>
      <w:pPr>
        <w:pStyle w:val="Style31"/>
        <w:keepNext w:val="0"/>
        <w:keepLines w:val="0"/>
        <w:widowControl w:val="0"/>
        <w:numPr>
          <w:ilvl w:val="0"/>
          <w:numId w:val="23"/>
        </w:numPr>
        <w:shd w:val="clear" w:color="auto" w:fill="auto"/>
        <w:tabs>
          <w:tab w:pos="766" w:val="left"/>
        </w:tabs>
        <w:bidi w:val="0"/>
        <w:spacing w:before="0" w:after="0" w:line="434" w:lineRule="auto"/>
        <w:ind w:left="0" w:right="0" w:firstLine="460"/>
        <w:jc w:val="both"/>
      </w:pPr>
      <w:bookmarkStart w:id="633" w:name="bookmark633"/>
      <w:bookmarkEnd w:id="633"/>
      <w:r>
        <w:rPr>
          <w:color w:val="000000"/>
          <w:spacing w:val="0"/>
          <w:w w:val="100"/>
          <w:position w:val="0"/>
        </w:rPr>
        <w:t>事项描述</w:t>
      </w:r>
    </w:p>
    <w:p>
      <w:pPr>
        <w:pStyle w:val="Style31"/>
        <w:keepNext w:val="0"/>
        <w:keepLines w:val="0"/>
        <w:widowControl w:val="0"/>
        <w:numPr>
          <w:ilvl w:val="0"/>
          <w:numId w:val="23"/>
        </w:numPr>
        <w:shd w:val="clear" w:color="auto" w:fill="auto"/>
        <w:tabs>
          <w:tab w:pos="680" w:val="left"/>
        </w:tabs>
        <w:bidi w:val="0"/>
        <w:spacing w:before="0" w:after="0" w:line="354" w:lineRule="exact"/>
        <w:ind w:left="0" w:right="0" w:firstLine="460"/>
        <w:jc w:val="both"/>
      </w:pPr>
      <w:bookmarkStart w:id="634" w:name="bookmark634"/>
      <w:bookmarkEnd w:id="634"/>
      <w:r>
        <w:rPr>
          <w:color w:val="000000"/>
          <w:spacing w:val="0"/>
          <w:w w:val="100"/>
          <w:position w:val="0"/>
        </w:rPr>
        <w:t>如附注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合并财务报表注释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所示，截至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日止，针对收购上海百华悦邦电子科技有限公司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海百邦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确认的商誉净值为人民币</w:t>
      </w:r>
      <w:r>
        <w:rPr>
          <w:rFonts w:ascii="Times New Roman" w:eastAsia="Times New Roman" w:hAnsi="Times New Roman" w:cs="Times New Roman"/>
          <w:color w:val="000000"/>
          <w:spacing w:val="0"/>
          <w:w w:val="100"/>
          <w:position w:val="0"/>
          <w:sz w:val="18"/>
          <w:szCs w:val="18"/>
        </w:rPr>
        <w:t>19,733,830.49</w:t>
      </w:r>
      <w:r>
        <w:rPr>
          <w:color w:val="000000"/>
          <w:spacing w:val="0"/>
          <w:w w:val="100"/>
          <w:position w:val="0"/>
        </w:rPr>
        <w:t>元，对财务报表具有重要性。如附注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和附注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color w:val="000000"/>
          <w:spacing w:val="0"/>
          <w:w w:val="100"/>
          <w:position w:val="0"/>
          <w:sz w:val="18"/>
          <w:szCs w:val="18"/>
        </w:rPr>
        <w:t>)</w:t>
      </w:r>
      <w:r>
        <w:rPr>
          <w:color w:val="000000"/>
          <w:spacing w:val="0"/>
          <w:w w:val="100"/>
          <w:position w:val="0"/>
        </w:rPr>
        <w:t>合并财务报表注释</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所述，商誉的减值测试需要管理层运用重大会计估计和判断，包括在预计相关的资产组组合未来现金流量的现值时，需要对 收入增长率、预计毛利率以及折现率等关键假设做出重大判断，具有较高复杂性。</w:t>
      </w:r>
    </w:p>
    <w:p>
      <w:pPr>
        <w:pStyle w:val="Style31"/>
        <w:keepNext w:val="0"/>
        <w:keepLines w:val="0"/>
        <w:widowControl w:val="0"/>
        <w:shd w:val="clear" w:color="auto" w:fill="auto"/>
        <w:bidi w:val="0"/>
        <w:spacing w:before="0" w:after="0" w:line="354" w:lineRule="exact"/>
        <w:ind w:left="0" w:right="0" w:firstLine="460"/>
        <w:jc w:val="left"/>
      </w:pPr>
      <w:r>
        <w:rPr>
          <w:color w:val="000000"/>
          <w:spacing w:val="0"/>
          <w:w w:val="100"/>
          <w:position w:val="0"/>
        </w:rPr>
        <w:t>综合考虑上述因素，我们将商誉的减值评估作为关键审计事项。</w:t>
      </w:r>
    </w:p>
    <w:p>
      <w:pPr>
        <w:pStyle w:val="Style31"/>
        <w:keepNext w:val="0"/>
        <w:keepLines w:val="0"/>
        <w:widowControl w:val="0"/>
        <w:shd w:val="clear" w:color="auto" w:fill="auto"/>
        <w:bidi w:val="0"/>
        <w:spacing w:before="0" w:after="0" w:line="354" w:lineRule="exact"/>
        <w:ind w:left="0" w:right="0" w:firstLine="46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审计应对</w:t>
      </w:r>
    </w:p>
    <w:p>
      <w:pPr>
        <w:pStyle w:val="Style31"/>
        <w:keepNext w:val="0"/>
        <w:keepLines w:val="0"/>
        <w:widowControl w:val="0"/>
        <w:shd w:val="clear" w:color="auto" w:fill="auto"/>
        <w:bidi w:val="0"/>
        <w:spacing w:before="0" w:after="180" w:line="354" w:lineRule="exact"/>
        <w:ind w:left="0" w:right="0" w:firstLine="460"/>
        <w:jc w:val="both"/>
      </w:pPr>
      <w:r>
        <w:rPr>
          <w:color w:val="000000"/>
          <w:spacing w:val="0"/>
          <w:w w:val="100"/>
          <w:position w:val="0"/>
        </w:rPr>
        <w:t>我们针对该关键审计事项执行的主要审计程序包括：</w:t>
      </w:r>
    </w:p>
    <w:p>
      <w:pPr>
        <w:pStyle w:val="Style31"/>
        <w:keepNext w:val="0"/>
        <w:keepLines w:val="0"/>
        <w:widowControl w:val="0"/>
        <w:numPr>
          <w:ilvl w:val="0"/>
          <w:numId w:val="25"/>
        </w:numPr>
        <w:shd w:val="clear" w:color="auto" w:fill="auto"/>
        <w:tabs>
          <w:tab w:pos="947" w:val="left"/>
        </w:tabs>
        <w:bidi w:val="0"/>
        <w:spacing w:before="0" w:after="0" w:line="410" w:lineRule="auto"/>
        <w:ind w:left="0" w:right="0" w:firstLine="460"/>
        <w:jc w:val="both"/>
      </w:pPr>
      <w:bookmarkStart w:id="635" w:name="bookmark635"/>
      <w:bookmarkEnd w:id="635"/>
      <w:r>
        <w:rPr>
          <w:color w:val="000000"/>
          <w:spacing w:val="0"/>
          <w:w w:val="100"/>
          <w:position w:val="0"/>
        </w:rPr>
        <w:t>测试和评价与商誉减值测试相关的内部控制；</w:t>
      </w:r>
    </w:p>
    <w:p>
      <w:pPr>
        <w:pStyle w:val="Style31"/>
        <w:keepNext w:val="0"/>
        <w:keepLines w:val="0"/>
        <w:widowControl w:val="0"/>
        <w:numPr>
          <w:ilvl w:val="0"/>
          <w:numId w:val="25"/>
        </w:numPr>
        <w:shd w:val="clear" w:color="auto" w:fill="auto"/>
        <w:tabs>
          <w:tab w:pos="947" w:val="left"/>
        </w:tabs>
        <w:bidi w:val="0"/>
        <w:spacing w:before="0" w:after="0" w:line="410" w:lineRule="auto"/>
        <w:ind w:left="0" w:right="0" w:firstLine="460"/>
        <w:jc w:val="both"/>
      </w:pPr>
      <w:bookmarkStart w:id="636" w:name="bookmark636"/>
      <w:bookmarkEnd w:id="636"/>
      <w:r>
        <w:rPr>
          <w:color w:val="000000"/>
          <w:spacing w:val="0"/>
          <w:w w:val="100"/>
          <w:position w:val="0"/>
        </w:rPr>
        <w:t>了解和评价管理层减值测试方法的适当性及是否一贯应用；</w:t>
      </w:r>
    </w:p>
    <w:p>
      <w:pPr>
        <w:pStyle w:val="Style31"/>
        <w:keepNext w:val="0"/>
        <w:keepLines w:val="0"/>
        <w:widowControl w:val="0"/>
        <w:numPr>
          <w:ilvl w:val="0"/>
          <w:numId w:val="25"/>
        </w:numPr>
        <w:shd w:val="clear" w:color="auto" w:fill="auto"/>
        <w:tabs>
          <w:tab w:pos="947" w:val="left"/>
        </w:tabs>
        <w:bidi w:val="0"/>
        <w:spacing w:before="0" w:after="0" w:line="410" w:lineRule="auto"/>
        <w:ind w:left="0" w:right="0" w:firstLine="460"/>
        <w:jc w:val="both"/>
      </w:pPr>
      <w:bookmarkStart w:id="637" w:name="bookmark637"/>
      <w:bookmarkEnd w:id="637"/>
      <w:r>
        <w:rPr>
          <w:color w:val="000000"/>
          <w:spacing w:val="0"/>
          <w:w w:val="100"/>
          <w:position w:val="0"/>
        </w:rPr>
        <w:t>利用内部估值专家的工作评价未来现金流量预测所采用的模型的恰当性；</w:t>
      </w:r>
    </w:p>
    <w:p>
      <w:pPr>
        <w:pStyle w:val="Style31"/>
        <w:keepNext w:val="0"/>
        <w:keepLines w:val="0"/>
        <w:widowControl w:val="0"/>
        <w:numPr>
          <w:ilvl w:val="0"/>
          <w:numId w:val="25"/>
        </w:numPr>
        <w:shd w:val="clear" w:color="auto" w:fill="auto"/>
        <w:tabs>
          <w:tab w:pos="947" w:val="left"/>
        </w:tabs>
        <w:bidi w:val="0"/>
        <w:spacing w:before="0" w:after="0" w:line="410" w:lineRule="auto"/>
        <w:ind w:left="0" w:right="0" w:firstLine="460"/>
        <w:jc w:val="both"/>
      </w:pPr>
      <w:bookmarkStart w:id="638" w:name="bookmark638"/>
      <w:bookmarkEnd w:id="638"/>
      <w:r>
        <w:rPr>
          <w:color w:val="000000"/>
          <w:spacing w:val="0"/>
          <w:w w:val="100"/>
          <w:position w:val="0"/>
        </w:rPr>
        <w:t>检查相关基础数据的依据，包括历史实际数据以及经管理层批准的财务预算；</w:t>
      </w:r>
    </w:p>
    <w:p>
      <w:pPr>
        <w:pStyle w:val="Style31"/>
        <w:keepNext w:val="0"/>
        <w:keepLines w:val="0"/>
        <w:widowControl w:val="0"/>
        <w:numPr>
          <w:ilvl w:val="0"/>
          <w:numId w:val="25"/>
        </w:numPr>
        <w:shd w:val="clear" w:color="auto" w:fill="auto"/>
        <w:tabs>
          <w:tab w:pos="947" w:val="left"/>
        </w:tabs>
        <w:bidi w:val="0"/>
        <w:spacing w:before="0" w:after="0" w:line="410" w:lineRule="auto"/>
        <w:ind w:left="0" w:right="0" w:firstLine="460"/>
        <w:jc w:val="both"/>
      </w:pPr>
      <w:bookmarkStart w:id="639" w:name="bookmark639"/>
      <w:bookmarkEnd w:id="639"/>
      <w:r>
        <w:rPr>
          <w:color w:val="000000"/>
          <w:spacing w:val="0"/>
          <w:w w:val="100"/>
          <w:position w:val="0"/>
        </w:rPr>
        <w:t>通过执行下列程序，评估管理层所采用的下列关键假设的合理性：</w:t>
      </w:r>
    </w:p>
    <w:p>
      <w:pPr>
        <w:pStyle w:val="Style31"/>
        <w:keepNext w:val="0"/>
        <w:keepLines w:val="0"/>
        <w:widowControl w:val="0"/>
        <w:shd w:val="clear" w:color="auto" w:fill="auto"/>
        <w:bidi w:val="0"/>
        <w:spacing w:before="0" w:after="0" w:line="346"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对于收入增长率和预计毛利率，我们对比了历史实际经营结果，对以前年度预测实际实现情况进行追溯复核，并参考 同行业公司的数据，评价管理层采用的收入增长率和毛利率的合理性；</w:t>
      </w:r>
    </w:p>
    <w:p>
      <w:pPr>
        <w:pStyle w:val="Style31"/>
        <w:keepNext w:val="0"/>
        <w:keepLines w:val="0"/>
        <w:widowControl w:val="0"/>
        <w:shd w:val="clear" w:color="auto" w:fill="auto"/>
        <w:bidi w:val="0"/>
        <w:spacing w:before="0" w:after="180" w:line="354" w:lineRule="exact"/>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对于折现率，利用内部估值专家的工作，评价管理层采用的折现率的合理性。</w:t>
      </w:r>
    </w:p>
    <w:p>
      <w:pPr>
        <w:pStyle w:val="Style31"/>
        <w:keepNext w:val="0"/>
        <w:keepLines w:val="0"/>
        <w:widowControl w:val="0"/>
        <w:numPr>
          <w:ilvl w:val="0"/>
          <w:numId w:val="25"/>
        </w:numPr>
        <w:shd w:val="clear" w:color="auto" w:fill="auto"/>
        <w:tabs>
          <w:tab w:pos="947" w:val="left"/>
        </w:tabs>
        <w:bidi w:val="0"/>
        <w:spacing w:before="0" w:after="0" w:line="410" w:lineRule="auto"/>
        <w:ind w:left="0" w:right="0" w:firstLine="460"/>
        <w:jc w:val="left"/>
      </w:pPr>
      <w:bookmarkStart w:id="640" w:name="bookmark640"/>
      <w:bookmarkEnd w:id="640"/>
      <w:r>
        <w:rPr>
          <w:color w:val="000000"/>
          <w:spacing w:val="0"/>
          <w:w w:val="100"/>
          <w:position w:val="0"/>
        </w:rPr>
        <w:t>执行重新计算程序，检查商誉减值测试模型的计算准确性。</w:t>
      </w:r>
    </w:p>
    <w:p>
      <w:pPr>
        <w:pStyle w:val="Style31"/>
        <w:keepNext w:val="0"/>
        <w:keepLines w:val="0"/>
        <w:widowControl w:val="0"/>
        <w:shd w:val="clear" w:color="auto" w:fill="auto"/>
        <w:tabs>
          <w:tab w:pos="947" w:val="left"/>
        </w:tabs>
        <w:bidi w:val="0"/>
        <w:spacing w:before="0" w:after="0" w:line="360" w:lineRule="exact"/>
        <w:ind w:left="0" w:right="0" w:firstLine="460"/>
        <w:jc w:val="both"/>
      </w:pPr>
      <w:bookmarkStart w:id="641" w:name="bookmark641"/>
      <w:r>
        <w:rPr>
          <w:b/>
          <w:bCs/>
          <w:color w:val="000000"/>
          <w:spacing w:val="0"/>
          <w:w w:val="100"/>
          <w:position w:val="0"/>
        </w:rPr>
        <w:t>四</w:t>
      </w:r>
      <w:bookmarkEnd w:id="641"/>
      <w:r>
        <w:rPr>
          <w:b/>
          <w:bCs/>
          <w:color w:val="000000"/>
          <w:spacing w:val="0"/>
          <w:w w:val="100"/>
          <w:position w:val="0"/>
        </w:rPr>
        <w:t>、</w:t>
        <w:tab/>
        <w:t>其他信息</w:t>
      </w:r>
    </w:p>
    <w:p>
      <w:pPr>
        <w:pStyle w:val="Style31"/>
        <w:keepNext w:val="0"/>
        <w:keepLines w:val="0"/>
        <w:widowControl w:val="0"/>
        <w:shd w:val="clear" w:color="auto" w:fill="auto"/>
        <w:bidi w:val="0"/>
        <w:spacing w:before="0" w:after="0" w:line="360" w:lineRule="exact"/>
        <w:ind w:left="0" w:right="0" w:firstLine="460"/>
        <w:jc w:val="both"/>
      </w:pPr>
      <w:r>
        <w:rPr>
          <w:color w:val="000000"/>
          <w:spacing w:val="0"/>
          <w:w w:val="100"/>
          <w:position w:val="0"/>
        </w:rPr>
        <w:t>百邦科技管理层对其他信息负责。其他信息包括百邦科技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 计报告。</w:t>
      </w:r>
    </w:p>
    <w:p>
      <w:pPr>
        <w:pStyle w:val="Style31"/>
        <w:keepNext w:val="0"/>
        <w:keepLines w:val="0"/>
        <w:widowControl w:val="0"/>
        <w:shd w:val="clear" w:color="auto" w:fill="auto"/>
        <w:bidi w:val="0"/>
        <w:spacing w:before="0" w:after="0" w:line="354" w:lineRule="exact"/>
        <w:ind w:left="0" w:right="0" w:firstLine="46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1"/>
        <w:keepNext w:val="0"/>
        <w:keepLines w:val="0"/>
        <w:widowControl w:val="0"/>
        <w:shd w:val="clear" w:color="auto" w:fill="auto"/>
        <w:bidi w:val="0"/>
        <w:spacing w:before="0" w:after="0" w:line="355" w:lineRule="exact"/>
        <w:ind w:left="0" w:right="0" w:firstLine="460"/>
        <w:jc w:val="both"/>
      </w:pPr>
      <w:r>
        <w:rPr>
          <w:color w:val="000000"/>
          <w:spacing w:val="0"/>
          <w:w w:val="100"/>
          <w:position w:val="0"/>
        </w:rPr>
        <w:t>基于我们已经执行的工作，如果我们确定其他信息存在重大错报，我们应当报告该事实。在这方面，我们无任何事项需 要报告。</w:t>
      </w:r>
    </w:p>
    <w:p>
      <w:pPr>
        <w:pStyle w:val="Style31"/>
        <w:keepNext w:val="0"/>
        <w:keepLines w:val="0"/>
        <w:widowControl w:val="0"/>
        <w:shd w:val="clear" w:color="auto" w:fill="auto"/>
        <w:tabs>
          <w:tab w:pos="947" w:val="left"/>
        </w:tabs>
        <w:bidi w:val="0"/>
        <w:spacing w:before="0" w:after="0" w:line="354" w:lineRule="exact"/>
        <w:ind w:left="0" w:right="0" w:firstLine="460"/>
        <w:jc w:val="both"/>
      </w:pPr>
      <w:bookmarkStart w:id="642" w:name="bookmark642"/>
      <w:r>
        <w:rPr>
          <w:b/>
          <w:bCs/>
          <w:color w:val="000000"/>
          <w:spacing w:val="0"/>
          <w:w w:val="100"/>
          <w:position w:val="0"/>
        </w:rPr>
        <w:t>五</w:t>
      </w:r>
      <w:bookmarkEnd w:id="642"/>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346" w:lineRule="exact"/>
        <w:ind w:left="0" w:right="0" w:firstLine="460"/>
        <w:jc w:val="both"/>
      </w:pPr>
      <w:r>
        <w:rPr>
          <w:color w:val="000000"/>
          <w:spacing w:val="0"/>
          <w:w w:val="100"/>
          <w:position w:val="0"/>
        </w:rPr>
        <w:t>百邦科技管理层负责按照企业会计准则的规定编制财务报表，使其实现公允反映，并设计、执行和维护必要的内部控制， 以使财务报表不存在由于舞弊或错误导致的重大错报。</w:t>
      </w:r>
      <w:r>
        <w:br w:type="page"/>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在编制财务报表时，管理层负责评估百邦科技的持续经营能力，披露与持续经营相关的事项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，并运用持续经营 假设，除非管理层计划清算百邦科技、终止运营或别无其他现实的选择。</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治理层负责监督百邦科技的财务报告过程。</w:t>
      </w:r>
    </w:p>
    <w:p>
      <w:pPr>
        <w:pStyle w:val="Style31"/>
        <w:keepNext w:val="0"/>
        <w:keepLines w:val="0"/>
        <w:widowControl w:val="0"/>
        <w:shd w:val="clear" w:color="auto" w:fill="auto"/>
        <w:bidi w:val="0"/>
        <w:spacing w:before="0" w:after="40" w:line="350" w:lineRule="exact"/>
        <w:ind w:left="0" w:right="0" w:firstLine="380"/>
        <w:jc w:val="both"/>
      </w:pPr>
      <w:bookmarkStart w:id="643" w:name="bookmark643"/>
      <w:r>
        <w:rPr>
          <w:b/>
          <w:bCs/>
          <w:color w:val="000000"/>
          <w:spacing w:val="0"/>
          <w:w w:val="100"/>
          <w:position w:val="0"/>
        </w:rPr>
        <w:t>六</w:t>
      </w:r>
      <w:bookmarkEnd w:id="643"/>
      <w:r>
        <w:rPr>
          <w:b/>
          <w:bCs/>
          <w:color w:val="000000"/>
          <w:spacing w:val="0"/>
          <w:w w:val="100"/>
          <w:position w:val="0"/>
        </w:rPr>
        <w:t>、注册会计师对财务报表审计的责任</w:t>
      </w:r>
    </w:p>
    <w:p>
      <w:pPr>
        <w:pStyle w:val="Style31"/>
        <w:keepNext w:val="0"/>
        <w:keepLines w:val="0"/>
        <w:widowControl w:val="0"/>
        <w:shd w:val="clear" w:color="auto" w:fill="auto"/>
        <w:bidi w:val="0"/>
        <w:spacing w:before="0" w:after="40" w:line="349"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shd w:val="clear" w:color="auto" w:fill="auto"/>
        <w:bidi w:val="0"/>
        <w:spacing w:before="0" w:after="40" w:line="353" w:lineRule="exact"/>
        <w:ind w:left="0" w:right="0" w:firstLine="380"/>
        <w:jc w:val="both"/>
      </w:pPr>
      <w:bookmarkStart w:id="644" w:name="bookmark644"/>
      <w:r>
        <w:rPr>
          <w:rFonts w:ascii="Times New Roman" w:eastAsia="Times New Roman" w:hAnsi="Times New Roman" w:cs="Times New Roman"/>
          <w:color w:val="000000"/>
          <w:spacing w:val="0"/>
          <w:w w:val="100"/>
          <w:position w:val="0"/>
          <w:sz w:val="18"/>
          <w:szCs w:val="18"/>
        </w:rPr>
        <w:t>（</w:t>
      </w:r>
      <w:bookmarkEnd w:id="644"/>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1"/>
        <w:keepNext w:val="0"/>
        <w:keepLines w:val="0"/>
        <w:widowControl w:val="0"/>
        <w:shd w:val="clear" w:color="auto" w:fill="auto"/>
        <w:tabs>
          <w:tab w:pos="876" w:val="left"/>
        </w:tabs>
        <w:bidi w:val="0"/>
        <w:spacing w:before="0" w:after="160" w:line="350" w:lineRule="exact"/>
        <w:ind w:left="0" w:right="0" w:firstLine="380"/>
        <w:jc w:val="both"/>
      </w:pPr>
      <w:bookmarkStart w:id="645" w:name="bookmark645"/>
      <w:r>
        <w:rPr>
          <w:rFonts w:ascii="Times New Roman" w:eastAsia="Times New Roman" w:hAnsi="Times New Roman" w:cs="Times New Roman"/>
          <w:color w:val="000000"/>
          <w:spacing w:val="0"/>
          <w:w w:val="100"/>
          <w:position w:val="0"/>
          <w:sz w:val="18"/>
          <w:szCs w:val="18"/>
        </w:rPr>
        <w:t>（</w:t>
      </w:r>
      <w:bookmarkEnd w:id="645"/>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了解与审计相关的内部控制，以设计恰当的审计程序，但目的并非对内部控制的有效性发表意见。</w:t>
      </w:r>
    </w:p>
    <w:p>
      <w:pPr>
        <w:pStyle w:val="Style31"/>
        <w:keepNext w:val="0"/>
        <w:keepLines w:val="0"/>
        <w:widowControl w:val="0"/>
        <w:shd w:val="clear" w:color="auto" w:fill="auto"/>
        <w:tabs>
          <w:tab w:pos="872" w:val="left"/>
        </w:tabs>
        <w:bidi w:val="0"/>
        <w:spacing w:before="0" w:after="0" w:line="406" w:lineRule="auto"/>
        <w:ind w:left="0" w:right="0" w:firstLine="380"/>
        <w:jc w:val="both"/>
      </w:pPr>
      <w:bookmarkStart w:id="646" w:name="bookmark646"/>
      <w:r>
        <w:rPr>
          <w:rFonts w:ascii="Times New Roman" w:eastAsia="Times New Roman" w:hAnsi="Times New Roman" w:cs="Times New Roman"/>
          <w:color w:val="000000"/>
          <w:spacing w:val="0"/>
          <w:w w:val="100"/>
          <w:position w:val="0"/>
          <w:sz w:val="18"/>
          <w:szCs w:val="18"/>
        </w:rPr>
        <w:t>（</w:t>
      </w:r>
      <w:bookmarkEnd w:id="646"/>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评价管理层选用会计政策的恰当性和作出会计估计及相关披露的合理性。</w:t>
      </w:r>
    </w:p>
    <w:p>
      <w:pPr>
        <w:pStyle w:val="Style31"/>
        <w:keepNext w:val="0"/>
        <w:keepLines w:val="0"/>
        <w:widowControl w:val="0"/>
        <w:shd w:val="clear" w:color="auto" w:fill="auto"/>
        <w:bidi w:val="0"/>
        <w:spacing w:before="0" w:after="40" w:line="350" w:lineRule="exact"/>
        <w:ind w:left="0" w:right="0" w:firstLine="380"/>
        <w:jc w:val="both"/>
      </w:pPr>
      <w:bookmarkStart w:id="647" w:name="bookmark647"/>
      <w:r>
        <w:rPr>
          <w:rFonts w:ascii="Times New Roman" w:eastAsia="Times New Roman" w:hAnsi="Times New Roman" w:cs="Times New Roman"/>
          <w:color w:val="000000"/>
          <w:spacing w:val="0"/>
          <w:w w:val="100"/>
          <w:position w:val="0"/>
          <w:sz w:val="18"/>
          <w:szCs w:val="18"/>
        </w:rPr>
        <w:t>（</w:t>
      </w:r>
      <w:bookmarkEnd w:id="647"/>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对管理层使用持续经营假设的恰当性得出结论。同时，根据获取的审计证据，就可能导致对百邦科技持续经营能力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截至审计报告日可获得的信息。然而，未来的事项或情况可能导致百邦科技不能持续经营。</w:t>
      </w:r>
    </w:p>
    <w:p>
      <w:pPr>
        <w:pStyle w:val="Style31"/>
        <w:keepNext w:val="0"/>
        <w:keepLines w:val="0"/>
        <w:widowControl w:val="0"/>
        <w:shd w:val="clear" w:color="auto" w:fill="auto"/>
        <w:bidi w:val="0"/>
        <w:spacing w:before="0" w:after="40" w:line="350" w:lineRule="exact"/>
        <w:ind w:left="0" w:right="0" w:firstLine="380"/>
        <w:jc w:val="both"/>
      </w:pPr>
      <w:bookmarkStart w:id="648" w:name="bookmark648"/>
      <w:r>
        <w:rPr>
          <w:rFonts w:ascii="Times New Roman" w:eastAsia="Times New Roman" w:hAnsi="Times New Roman" w:cs="Times New Roman"/>
          <w:color w:val="000000"/>
          <w:spacing w:val="0"/>
          <w:w w:val="100"/>
          <w:position w:val="0"/>
          <w:sz w:val="18"/>
          <w:szCs w:val="18"/>
        </w:rPr>
        <w:t>（</w:t>
      </w:r>
      <w:bookmarkEnd w:id="648"/>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评价财务报表的总体列报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、结构和内容，并评价财务报表是否公允反映相关交易和事项。</w:t>
      </w:r>
    </w:p>
    <w:p>
      <w:pPr>
        <w:pStyle w:val="Style31"/>
        <w:keepNext w:val="0"/>
        <w:keepLines w:val="0"/>
        <w:widowControl w:val="0"/>
        <w:shd w:val="clear" w:color="auto" w:fill="auto"/>
        <w:tabs>
          <w:tab w:pos="847" w:val="left"/>
        </w:tabs>
        <w:bidi w:val="0"/>
        <w:spacing w:before="0" w:after="40" w:line="350" w:lineRule="exact"/>
        <w:ind w:left="0" w:right="0" w:firstLine="380"/>
        <w:jc w:val="both"/>
      </w:pPr>
      <w:bookmarkStart w:id="649" w:name="bookmark649"/>
      <w:r>
        <w:rPr>
          <w:rFonts w:ascii="Times New Roman" w:eastAsia="Times New Roman" w:hAnsi="Times New Roman" w:cs="Times New Roman"/>
          <w:color w:val="000000"/>
          <w:spacing w:val="0"/>
          <w:w w:val="100"/>
          <w:position w:val="0"/>
          <w:sz w:val="18"/>
          <w:szCs w:val="18"/>
        </w:rPr>
        <w:t>（</w:t>
      </w:r>
      <w:bookmarkEnd w:id="649"/>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就百邦科技中实体或业务活动的财务信息获取充分、适当的审计证据，以对财务报表发表审计意见。我们负责指导、 监督和执行集团审计，并对审计意见承担全部责任。</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40" w:line="355"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从与治理层沟通过的事项中，我们确定哪些事项对本年度财务报表审计最为重要，因而构成关键审计事项。我们在审计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39"/>
        <w:keepNext/>
        <w:keepLines/>
        <w:widowControl w:val="0"/>
        <w:shd w:val="clear" w:color="auto" w:fill="auto"/>
        <w:bidi w:val="0"/>
        <w:spacing w:before="0" w:after="38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二、财务报表</w:t>
      </w:r>
      <w:bookmarkEnd w:id="650"/>
      <w:bookmarkEnd w:id="651"/>
      <w:bookmarkEnd w:id="65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49"/>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53"/>
      <w:bookmarkEnd w:id="654"/>
      <w:bookmarkEnd w:id="65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编制单位：北京百华悦邦科技股份有限公司</w:t>
      </w:r>
    </w:p>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53975" distB="0" distL="0" distR="0" simplePos="0" relativeHeight="125829636" behindDoc="0" locked="0" layoutInCell="1" allowOverlap="1">
                <wp:simplePos x="0" y="0"/>
                <wp:positionH relativeFrom="page">
                  <wp:posOffset>1390650</wp:posOffset>
                </wp:positionH>
                <wp:positionV relativeFrom="paragraph">
                  <wp:posOffset>53975</wp:posOffset>
                </wp:positionV>
                <wp:extent cx="255905" cy="149225"/>
                <wp:wrapTopAndBottom/>
                <wp:docPr id="366" name="Shape 366"/>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项目</w:t>
                            </w:r>
                          </w:p>
                        </w:txbxContent>
                      </wps:txbx>
                      <wps:bodyPr wrap="none" lIns="0" tIns="0" rIns="0" bIns="0">
                        <a:noAutoFit/>
                      </wps:bodyPr>
                    </wps:wsp>
                  </a:graphicData>
                </a:graphic>
              </wp:anchor>
            </w:drawing>
          </mc:Choice>
          <mc:Fallback>
            <w:pict>
              <v:shape id="_x0000_s1392" type="#_x0000_t202" style="position:absolute;margin-left:109.5pt;margin-top:4.25pt;width:20.150000000000002pt;height:11.75pt;z-index:-125829117;mso-wrap-distance-left:0;mso-wrap-distance-top:4.25pt;mso-wrap-distance-right:0;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项目</w:t>
                      </w:r>
                    </w:p>
                  </w:txbxContent>
                </v:textbox>
                <w10:wrap type="topAndBottom" anchorx="page"/>
              </v:shape>
            </w:pict>
          </mc:Fallback>
        </mc:AlternateContent>
      </w:r>
      <w:r>
        <mc:AlternateContent>
          <mc:Choice Requires="wps">
            <w:drawing>
              <wp:anchor distT="50800" distB="0" distL="0" distR="0" simplePos="0" relativeHeight="125829638" behindDoc="0" locked="0" layoutInCell="1" allowOverlap="1">
                <wp:simplePos x="0" y="0"/>
                <wp:positionH relativeFrom="page">
                  <wp:posOffset>3021330</wp:posOffset>
                </wp:positionH>
                <wp:positionV relativeFrom="paragraph">
                  <wp:posOffset>50800</wp:posOffset>
                </wp:positionV>
                <wp:extent cx="975360" cy="152400"/>
                <wp:wrapTopAndBottom/>
                <wp:docPr id="368" name="Shape 368"/>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34"/>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rPr>
                                <w:sz w:val="15"/>
                                <w:szCs w:val="15"/>
                              </w:rPr>
                            </w:pPr>
                            <w:r>
                              <w:rPr>
                                <w:b/>
                                <w:bCs/>
                                <w:color w:val="FFFFFF"/>
                                <w:spacing w:val="0"/>
                                <w:w w:val="100"/>
                                <w:position w:val="0"/>
                                <w:sz w:val="18"/>
                                <w:szCs w:val="18"/>
                              </w:rPr>
                              <w:t>2020</w:t>
                            </w:r>
                            <w:r>
                              <w:rPr>
                                <w:rFonts w:ascii="SimSun" w:eastAsia="SimSun" w:hAnsi="SimSun" w:cs="SimSun"/>
                                <w:b/>
                                <w:bCs/>
                                <w:color w:val="FFFFFF"/>
                                <w:spacing w:val="0"/>
                                <w:w w:val="100"/>
                                <w:position w:val="0"/>
                                <w:sz w:val="15"/>
                                <w:szCs w:val="15"/>
                              </w:rPr>
                              <w:t>年</w:t>
                            </w:r>
                            <w:r>
                              <w:rPr>
                                <w:b/>
                                <w:bCs/>
                                <w:color w:val="FFFFFF"/>
                                <w:spacing w:val="0"/>
                                <w:w w:val="100"/>
                                <w:position w:val="0"/>
                                <w:sz w:val="18"/>
                                <w:szCs w:val="18"/>
                              </w:rPr>
                              <w:t>12</w:t>
                            </w:r>
                            <w:r>
                              <w:rPr>
                                <w:rFonts w:ascii="SimSun" w:eastAsia="SimSun" w:hAnsi="SimSun" w:cs="SimSun"/>
                                <w:b/>
                                <w:bCs/>
                                <w:color w:val="FFFFFF"/>
                                <w:spacing w:val="0"/>
                                <w:w w:val="100"/>
                                <w:position w:val="0"/>
                                <w:sz w:val="15"/>
                                <w:szCs w:val="15"/>
                              </w:rPr>
                              <w:t>月</w:t>
                            </w:r>
                            <w:r>
                              <w:rPr>
                                <w:b/>
                                <w:bCs/>
                                <w:color w:val="FFFFFF"/>
                                <w:spacing w:val="0"/>
                                <w:w w:val="100"/>
                                <w:position w:val="0"/>
                                <w:sz w:val="18"/>
                                <w:szCs w:val="18"/>
                              </w:rPr>
                              <w:t>31</w:t>
                            </w:r>
                            <w:r>
                              <w:rPr>
                                <w:rFonts w:ascii="SimSun" w:eastAsia="SimSun" w:hAnsi="SimSun" w:cs="SimSun"/>
                                <w:b/>
                                <w:bCs/>
                                <w:color w:val="FFFFFF"/>
                                <w:spacing w:val="0"/>
                                <w:w w:val="100"/>
                                <w:position w:val="0"/>
                                <w:sz w:val="15"/>
                                <w:szCs w:val="15"/>
                              </w:rPr>
                              <w:t>日</w:t>
                            </w:r>
                          </w:p>
                        </w:txbxContent>
                      </wps:txbx>
                      <wps:bodyPr wrap="none" lIns="0" tIns="0" rIns="0" bIns="0">
                        <a:noAutoFit/>
                      </wps:bodyPr>
                    </wps:wsp>
                  </a:graphicData>
                </a:graphic>
              </wp:anchor>
            </w:drawing>
          </mc:Choice>
          <mc:Fallback>
            <w:pict>
              <v:shape id="_x0000_s1394" type="#_x0000_t202" style="position:absolute;margin-left:237.90000000000001pt;margin-top:4.pt;width:76.799999999999997pt;height:12.pt;z-index:-125829115;mso-wrap-distance-left:0;mso-wrap-distance-top:4.pt;mso-wrap-distance-right:0;mso-position-horizontal-relative:page" filled="f" stroked="f">
                <v:textbox inset="0,0,0,0">
                  <w:txbxContent>
                    <w:p>
                      <w:pPr>
                        <w:pStyle w:val="Style34"/>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rPr>
                          <w:sz w:val="15"/>
                          <w:szCs w:val="15"/>
                        </w:rPr>
                      </w:pPr>
                      <w:r>
                        <w:rPr>
                          <w:b/>
                          <w:bCs/>
                          <w:color w:val="FFFFFF"/>
                          <w:spacing w:val="0"/>
                          <w:w w:val="100"/>
                          <w:position w:val="0"/>
                          <w:sz w:val="18"/>
                          <w:szCs w:val="18"/>
                        </w:rPr>
                        <w:t>2020</w:t>
                      </w:r>
                      <w:r>
                        <w:rPr>
                          <w:rFonts w:ascii="SimSun" w:eastAsia="SimSun" w:hAnsi="SimSun" w:cs="SimSun"/>
                          <w:b/>
                          <w:bCs/>
                          <w:color w:val="FFFFFF"/>
                          <w:spacing w:val="0"/>
                          <w:w w:val="100"/>
                          <w:position w:val="0"/>
                          <w:sz w:val="15"/>
                          <w:szCs w:val="15"/>
                        </w:rPr>
                        <w:t>年</w:t>
                      </w:r>
                      <w:r>
                        <w:rPr>
                          <w:b/>
                          <w:bCs/>
                          <w:color w:val="FFFFFF"/>
                          <w:spacing w:val="0"/>
                          <w:w w:val="100"/>
                          <w:position w:val="0"/>
                          <w:sz w:val="18"/>
                          <w:szCs w:val="18"/>
                        </w:rPr>
                        <w:t>12</w:t>
                      </w:r>
                      <w:r>
                        <w:rPr>
                          <w:rFonts w:ascii="SimSun" w:eastAsia="SimSun" w:hAnsi="SimSun" w:cs="SimSun"/>
                          <w:b/>
                          <w:bCs/>
                          <w:color w:val="FFFFFF"/>
                          <w:spacing w:val="0"/>
                          <w:w w:val="100"/>
                          <w:position w:val="0"/>
                          <w:sz w:val="15"/>
                          <w:szCs w:val="15"/>
                        </w:rPr>
                        <w:t>月</w:t>
                      </w:r>
                      <w:r>
                        <w:rPr>
                          <w:b/>
                          <w:bCs/>
                          <w:color w:val="FFFFFF"/>
                          <w:spacing w:val="0"/>
                          <w:w w:val="100"/>
                          <w:position w:val="0"/>
                          <w:sz w:val="18"/>
                          <w:szCs w:val="18"/>
                        </w:rPr>
                        <w:t>31</w:t>
                      </w:r>
                      <w:r>
                        <w:rPr>
                          <w:rFonts w:ascii="SimSun" w:eastAsia="SimSun" w:hAnsi="SimSun" w:cs="SimSun"/>
                          <w:b/>
                          <w:bCs/>
                          <w:color w:val="FFFFFF"/>
                          <w:spacing w:val="0"/>
                          <w:w w:val="100"/>
                          <w:position w:val="0"/>
                          <w:sz w:val="15"/>
                          <w:szCs w:val="15"/>
                        </w:rPr>
                        <w:t>日</w:t>
                      </w:r>
                    </w:p>
                  </w:txbxContent>
                </v:textbox>
                <w10:wrap type="topAndBottom" anchorx="page"/>
              </v:shape>
            </w:pict>
          </mc:Fallback>
        </mc:AlternateContent>
      </w:r>
      <w:r>
        <mc:AlternateContent>
          <mc:Choice Requires="wps">
            <w:drawing>
              <wp:anchor distT="50800" distB="0" distL="0" distR="0" simplePos="0" relativeHeight="125829640" behindDoc="0" locked="0" layoutInCell="1" allowOverlap="1">
                <wp:simplePos x="0" y="0"/>
                <wp:positionH relativeFrom="page">
                  <wp:posOffset>5115560</wp:posOffset>
                </wp:positionH>
                <wp:positionV relativeFrom="paragraph">
                  <wp:posOffset>50800</wp:posOffset>
                </wp:positionV>
                <wp:extent cx="975360" cy="152400"/>
                <wp:wrapTopAndBottom/>
                <wp:docPr id="370" name="Shape 370"/>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34"/>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rPr>
                                <w:sz w:val="15"/>
                                <w:szCs w:val="15"/>
                              </w:rPr>
                            </w:pPr>
                            <w:r>
                              <w:rPr>
                                <w:b/>
                                <w:bCs/>
                                <w:color w:val="FFFFFF"/>
                                <w:spacing w:val="0"/>
                                <w:w w:val="100"/>
                                <w:position w:val="0"/>
                                <w:sz w:val="18"/>
                                <w:szCs w:val="18"/>
                              </w:rPr>
                              <w:t>2019</w:t>
                            </w:r>
                            <w:r>
                              <w:rPr>
                                <w:rFonts w:ascii="SimSun" w:eastAsia="SimSun" w:hAnsi="SimSun" w:cs="SimSun"/>
                                <w:b/>
                                <w:bCs/>
                                <w:color w:val="FFFFFF"/>
                                <w:spacing w:val="0"/>
                                <w:w w:val="100"/>
                                <w:position w:val="0"/>
                                <w:sz w:val="15"/>
                                <w:szCs w:val="15"/>
                              </w:rPr>
                              <w:t>年</w:t>
                            </w:r>
                            <w:r>
                              <w:rPr>
                                <w:b/>
                                <w:bCs/>
                                <w:color w:val="FFFFFF"/>
                                <w:spacing w:val="0"/>
                                <w:w w:val="100"/>
                                <w:position w:val="0"/>
                                <w:sz w:val="18"/>
                                <w:szCs w:val="18"/>
                              </w:rPr>
                              <w:t>12</w:t>
                            </w:r>
                            <w:r>
                              <w:rPr>
                                <w:rFonts w:ascii="SimSun" w:eastAsia="SimSun" w:hAnsi="SimSun" w:cs="SimSun"/>
                                <w:b/>
                                <w:bCs/>
                                <w:color w:val="FFFFFF"/>
                                <w:spacing w:val="0"/>
                                <w:w w:val="100"/>
                                <w:position w:val="0"/>
                                <w:sz w:val="15"/>
                                <w:szCs w:val="15"/>
                              </w:rPr>
                              <w:t>月</w:t>
                            </w:r>
                            <w:r>
                              <w:rPr>
                                <w:b/>
                                <w:bCs/>
                                <w:color w:val="FFFFFF"/>
                                <w:spacing w:val="0"/>
                                <w:w w:val="100"/>
                                <w:position w:val="0"/>
                                <w:sz w:val="18"/>
                                <w:szCs w:val="18"/>
                              </w:rPr>
                              <w:t>31</w:t>
                            </w:r>
                            <w:r>
                              <w:rPr>
                                <w:rFonts w:ascii="SimSun" w:eastAsia="SimSun" w:hAnsi="SimSun" w:cs="SimSun"/>
                                <w:b/>
                                <w:bCs/>
                                <w:color w:val="FFFFFF"/>
                                <w:spacing w:val="0"/>
                                <w:w w:val="100"/>
                                <w:position w:val="0"/>
                                <w:sz w:val="15"/>
                                <w:szCs w:val="15"/>
                              </w:rPr>
                              <w:t>日</w:t>
                            </w:r>
                          </w:p>
                        </w:txbxContent>
                      </wps:txbx>
                      <wps:bodyPr wrap="none" lIns="0" tIns="0" rIns="0" bIns="0">
                        <a:noAutoFit/>
                      </wps:bodyPr>
                    </wps:wsp>
                  </a:graphicData>
                </a:graphic>
              </wp:anchor>
            </w:drawing>
          </mc:Choice>
          <mc:Fallback>
            <w:pict>
              <v:shape id="_x0000_s1396" type="#_x0000_t202" style="position:absolute;margin-left:402.80000000000001pt;margin-top:4.pt;width:76.799999999999997pt;height:12.pt;z-index:-125829113;mso-wrap-distance-left:0;mso-wrap-distance-top:4.pt;mso-wrap-distance-right:0;mso-position-horizontal-relative:page" filled="f" stroked="f">
                <v:textbox inset="0,0,0,0">
                  <w:txbxContent>
                    <w:p>
                      <w:pPr>
                        <w:pStyle w:val="Style34"/>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rPr>
                          <w:sz w:val="15"/>
                          <w:szCs w:val="15"/>
                        </w:rPr>
                      </w:pPr>
                      <w:r>
                        <w:rPr>
                          <w:b/>
                          <w:bCs/>
                          <w:color w:val="FFFFFF"/>
                          <w:spacing w:val="0"/>
                          <w:w w:val="100"/>
                          <w:position w:val="0"/>
                          <w:sz w:val="18"/>
                          <w:szCs w:val="18"/>
                        </w:rPr>
                        <w:t>2019</w:t>
                      </w:r>
                      <w:r>
                        <w:rPr>
                          <w:rFonts w:ascii="SimSun" w:eastAsia="SimSun" w:hAnsi="SimSun" w:cs="SimSun"/>
                          <w:b/>
                          <w:bCs/>
                          <w:color w:val="FFFFFF"/>
                          <w:spacing w:val="0"/>
                          <w:w w:val="100"/>
                          <w:position w:val="0"/>
                          <w:sz w:val="15"/>
                          <w:szCs w:val="15"/>
                        </w:rPr>
                        <w:t>年</w:t>
                      </w:r>
                      <w:r>
                        <w:rPr>
                          <w:b/>
                          <w:bCs/>
                          <w:color w:val="FFFFFF"/>
                          <w:spacing w:val="0"/>
                          <w:w w:val="100"/>
                          <w:position w:val="0"/>
                          <w:sz w:val="18"/>
                          <w:szCs w:val="18"/>
                        </w:rPr>
                        <w:t>12</w:t>
                      </w:r>
                      <w:r>
                        <w:rPr>
                          <w:rFonts w:ascii="SimSun" w:eastAsia="SimSun" w:hAnsi="SimSun" w:cs="SimSun"/>
                          <w:b/>
                          <w:bCs/>
                          <w:color w:val="FFFFFF"/>
                          <w:spacing w:val="0"/>
                          <w:w w:val="100"/>
                          <w:position w:val="0"/>
                          <w:sz w:val="15"/>
                          <w:szCs w:val="15"/>
                        </w:rPr>
                        <w:t>月</w:t>
                      </w:r>
                      <w:r>
                        <w:rPr>
                          <w:b/>
                          <w:bCs/>
                          <w:color w:val="FFFFFF"/>
                          <w:spacing w:val="0"/>
                          <w:w w:val="100"/>
                          <w:position w:val="0"/>
                          <w:sz w:val="18"/>
                          <w:szCs w:val="18"/>
                        </w:rPr>
                        <w:t>31</w:t>
                      </w:r>
                      <w:r>
                        <w:rPr>
                          <w:rFonts w:ascii="SimSun" w:eastAsia="SimSun" w:hAnsi="SimSun" w:cs="SimSun"/>
                          <w:b/>
                          <w:bCs/>
                          <w:color w:val="FFFFFF"/>
                          <w:spacing w:val="0"/>
                          <w:w w:val="100"/>
                          <w:position w:val="0"/>
                          <w:sz w:val="15"/>
                          <w:szCs w:val="15"/>
                        </w:rPr>
                        <w:t>日</w:t>
                      </w:r>
                    </w:p>
                  </w:txbxContent>
                </v:textbox>
                <w10:wrap type="topAndBottom" anchorx="page"/>
              </v:shape>
            </w:pict>
          </mc:Fallback>
        </mc:AlternateContent>
      </w:r>
      <w:r>
        <w:br w:type="page"/>
      </w:r>
    </w:p>
    <w:tbl>
      <w:tblPr>
        <w:tblOverlap w:val="never"/>
        <w:jc w:val="center"/>
        <w:tblLayout w:type="fixed"/>
      </w:tblPr>
      <w:tblGrid>
        <w:gridCol w:w="2966"/>
        <w:gridCol w:w="3701"/>
        <w:gridCol w:w="290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8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流动资产：</w:t>
            </w:r>
          </w:p>
        </w:tc>
        <w:tc>
          <w:tcPr>
            <w:gridSpan w:val="2"/>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货币资金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125,293,250.43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194,487,434.05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结算备付金</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拆出资金</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交易性金融资产</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衍生金融资产</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应收票据</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应收账款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23,594,486.51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17,982,313.01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应收款项融资</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预付款项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14,443,053.93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9,908,208.02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应收保费</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应收分保账款</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应收分保合同准备金</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21,171,917.71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11,744,619.69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其中：应收利息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应收股利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买入返售金融资产</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存货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31,708,491.34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17,824,213.06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合同资产</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持有待售资产</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一年内到期的非流动资产</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其他流动资产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13,038,188.34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39,779,865.66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229,249,388.26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291,726,653.49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非流动资产：</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发放贷款和垫款</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债权投资</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其他债权投资</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长期应收款</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长期股权投资</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其他权益工具投资</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其他非流动金融资产</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投资性房地产</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8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固定资产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3,866,164.60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5,473,900.38</w:t>
            </w:r>
          </w:p>
        </w:tc>
      </w:tr>
    </w:tbl>
    <w:p>
      <w:pPr>
        <w:widowControl w:val="0"/>
        <w:spacing w:line="1" w:lineRule="exact"/>
      </w:pPr>
      <w:r>
        <w:br w:type="page"/>
      </w:r>
    </w:p>
    <w:tbl>
      <w:tblPr>
        <w:tblOverlap w:val="never"/>
        <w:jc w:val="center"/>
        <w:tblLayout w:type="fixed"/>
      </w:tblPr>
      <w:tblGrid>
        <w:gridCol w:w="2966"/>
        <w:gridCol w:w="3701"/>
        <w:gridCol w:w="290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8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在建工程</w:t>
            </w:r>
          </w:p>
        </w:tc>
        <w:tc>
          <w:tcPr>
            <w:gridSpan w:val="2"/>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生产性生物资产</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油气资产</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使用权资产</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无形资产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6,268,185.58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16,517,174.95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开发支出</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商誉</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21,092,307.10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21,092,307.10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长期待摊费用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5,016,536.95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8,928,132.98</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递延所得税资产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670,876.04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3,113,087.21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其他非流动资产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5,543,700.00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192,701.26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非流动资产合计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42,457,770.27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55,317,303.88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资产总计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271,707,158.53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347,043,957.37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流动负债：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短期借款</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向中央银行借款</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拆入资金</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交易性金融负债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衍生金融负债</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应付票据</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5,787,661.15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6,542,147.17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预收款项</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24,669,570.97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合同负债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16,641,555.50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卖出回购金融资产款</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吸收存款及同业存放</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代理买卖证券款</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代理承销证券款</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应付职工薪酬</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7,597,831.01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7,754,311.80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应交税费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13,769,442.21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10,276,955.71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其他应付款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20,288,893.12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23,687,160.71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其中：应付利息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应付股利</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应付手续费及佣金</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应付分保账款</w:t>
            </w:r>
          </w:p>
        </w:tc>
        <w:tc>
          <w:tcPr>
            <w:gridSpan w:val="2"/>
            <w:tcBorders>
              <w:top w:val="single" w:sz="4"/>
            </w:tcBorders>
            <w:shd w:val="clear" w:color="auto" w:fill="F9ECF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706"/>
        <w:gridCol w:w="2899"/>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0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持有待售负债</w:t>
            </w:r>
          </w:p>
        </w:tc>
        <w:tc>
          <w:tcPr>
            <w:gridSpan w:val="2"/>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一年内到期的非流动负债</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1,226,291.81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2,305,832.20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流动负债合计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69,311,674.80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75,235,978.56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非流动负债：</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保险合同准备金</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长期借款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应付债券</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其中：优先股</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永续债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租赁负债</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长期应付款</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长期应付职工薪酬</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预计负债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递延收益</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递延所得税负债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525,954.47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788,931.71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其他非流动负债</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160,438.27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非流动负债合计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18,644,232.74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788,931.71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87,955,907.54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76,024,910.27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所有者权益：</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股本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130,273,360.00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130,572,240.00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其他权益工具</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其中：优先股</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永续债</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资本公积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156,437,068.77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157,266,446.92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减：库存股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11,685,243.25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13,042,829.50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其他综合收益</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专项储备</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17,068,098.65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一般风险准备</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-108,342,033.18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-20,844,908.97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归属于母公司所有者权益合计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271,019,047.10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少数股东权益</w:t>
            </w:r>
          </w:p>
        </w:tc>
        <w:tc>
          <w:tcPr>
            <w:gridSpan w:val="2"/>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90"/>
        <w:gridCol w:w="3773"/>
        <w:gridCol w:w="2909"/>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所有者权益合计</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271,019,047.10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负债和所有者权益总计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271,707,158.53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347,043,957.37</w:t>
            </w:r>
          </w:p>
        </w:tc>
      </w:tr>
    </w:tbl>
    <w:p>
      <w:pPr>
        <w:pStyle w:val="Style4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091430" simplePos="0" relativeHeight="125829642" behindDoc="0" locked="0" layoutInCell="1" allowOverlap="1">
                <wp:simplePos x="0" y="0"/>
                <wp:positionH relativeFrom="page">
                  <wp:posOffset>687705</wp:posOffset>
                </wp:positionH>
                <wp:positionV relativeFrom="margin">
                  <wp:posOffset>1103630</wp:posOffset>
                </wp:positionV>
                <wp:extent cx="1054735" cy="146050"/>
                <wp:wrapTopAndBottom/>
                <wp:docPr id="372" name="Shape 372"/>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法定代表人：刘铁峰</w:t>
                            </w:r>
                          </w:p>
                        </w:txbxContent>
                      </wps:txbx>
                      <wps:bodyPr wrap="none" lIns="0" tIns="0" rIns="0" bIns="0">
                        <a:noAutoFit/>
                      </wps:bodyPr>
                    </wps:wsp>
                  </a:graphicData>
                </a:graphic>
              </wp:anchor>
            </w:drawing>
          </mc:Choice>
          <mc:Fallback>
            <w:pict>
              <v:shape id="_x0000_s1398" type="#_x0000_t202" style="position:absolute;margin-left:54.149999999999999pt;margin-top:86.900000000000006pt;width:83.049999999999997pt;height:11.5pt;z-index:-125829111;mso-wrap-distance-left:9.pt;mso-wrap-distance-top:12.pt;mso-wrap-distance-right:400.9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法定代表人：刘铁峰</w:t>
                      </w:r>
                    </w:p>
                  </w:txbxContent>
                </v:textbox>
                <w10:wrap type="topAndBottom" anchorx="page" anchory="margin"/>
              </v:shape>
            </w:pict>
          </mc:Fallback>
        </mc:AlternateContent>
      </w:r>
      <w:r>
        <mc:AlternateContent>
          <mc:Choice Requires="wps">
            <w:drawing>
              <wp:anchor distT="152400" distB="2540" distL="2235835" distR="2519045" simplePos="0" relativeHeight="125829644" behindDoc="0" locked="0" layoutInCell="1" allowOverlap="1">
                <wp:simplePos x="0" y="0"/>
                <wp:positionH relativeFrom="page">
                  <wp:posOffset>2809240</wp:posOffset>
                </wp:positionH>
                <wp:positionV relativeFrom="margin">
                  <wp:posOffset>1103630</wp:posOffset>
                </wp:positionV>
                <wp:extent cx="1505585" cy="143510"/>
                <wp:wrapTopAndBottom/>
                <wp:docPr id="374" name="Shape 374"/>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主管会计工作负责人：谢迎新</w:t>
                            </w:r>
                          </w:p>
                        </w:txbxContent>
                      </wps:txbx>
                      <wps:bodyPr wrap="none" lIns="0" tIns="0" rIns="0" bIns="0">
                        <a:noAutoFit/>
                      </wps:bodyPr>
                    </wps:wsp>
                  </a:graphicData>
                </a:graphic>
              </wp:anchor>
            </w:drawing>
          </mc:Choice>
          <mc:Fallback>
            <w:pict>
              <v:shape id="_x0000_s1400" type="#_x0000_t202" style="position:absolute;margin-left:221.20000000000002pt;margin-top:86.900000000000006pt;width:118.55pt;height:11.300000000000001pt;z-index:-125829109;mso-wrap-distance-left:176.05000000000001pt;mso-wrap-distance-top:12.pt;mso-wrap-distance-right:198.34999999999999pt;mso-wrap-distance-bottom:0.2000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主管会计工作负责人：谢迎新</w:t>
                      </w:r>
                    </w:p>
                  </w:txbxContent>
                </v:textbox>
                <w10:wrap type="topAndBottom" anchorx="page" anchory="margin"/>
              </v:shape>
            </w:pict>
          </mc:Fallback>
        </mc:AlternateContent>
      </w:r>
      <w:r>
        <mc:AlternateContent>
          <mc:Choice Requires="wps">
            <w:drawing>
              <wp:anchor distT="152400" distB="0" distL="4860290" distR="113665" simplePos="0" relativeHeight="125829646" behindDoc="0" locked="0" layoutInCell="1" allowOverlap="1">
                <wp:simplePos x="0" y="0"/>
                <wp:positionH relativeFrom="page">
                  <wp:posOffset>5433695</wp:posOffset>
                </wp:positionH>
                <wp:positionV relativeFrom="margin">
                  <wp:posOffset>1103630</wp:posOffset>
                </wp:positionV>
                <wp:extent cx="1286510" cy="146050"/>
                <wp:wrapTopAndBottom/>
                <wp:docPr id="376" name="Shape 376"/>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会计机构负责人：谢迎新</w:t>
                            </w:r>
                          </w:p>
                        </w:txbxContent>
                      </wps:txbx>
                      <wps:bodyPr wrap="none" lIns="0" tIns="0" rIns="0" bIns="0">
                        <a:noAutoFit/>
                      </wps:bodyPr>
                    </wps:wsp>
                  </a:graphicData>
                </a:graphic>
              </wp:anchor>
            </w:drawing>
          </mc:Choice>
          <mc:Fallback>
            <w:pict>
              <v:shape id="_x0000_s1402" type="#_x0000_t202" style="position:absolute;margin-left:427.85000000000002pt;margin-top:86.900000000000006pt;width:101.3pt;height:11.5pt;z-index:-125829107;mso-wrap-distance-left:382.69999999999999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会计机构负责人：谢迎新</w:t>
                      </w:r>
                    </w:p>
                  </w:txbxContent>
                </v:textbox>
                <w10:wrap type="topAndBottom" anchorx="page" anchory="margin"/>
              </v:shape>
            </w:pict>
          </mc:Fallback>
        </mc:AlternateContent>
      </w:r>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6"/>
      <w:bookmarkEnd w:id="657"/>
      <w:bookmarkEnd w:id="65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6605"/>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293" w:val="left"/>
              </w:tabs>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tab/>
            </w: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流动资产：</w:t>
            </w: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货币资金</w:t>
            </w:r>
          </w:p>
        </w:tc>
        <w:tc>
          <w:tcPr>
            <w:tcBorders>
              <w:top w:val="single" w:sz="4"/>
            </w:tcBorders>
            <w:shd w:val="clear" w:color="auto" w:fill="F9ECF3"/>
            <w:vAlign w:val="center"/>
          </w:tcPr>
          <w:p>
            <w:pPr>
              <w:pStyle w:val="Style2"/>
              <w:keepNext w:val="0"/>
              <w:keepLines w:val="0"/>
              <w:widowControl w:val="0"/>
              <w:shd w:val="clear" w:color="auto" w:fill="auto"/>
              <w:tabs>
                <w:tab w:pos="5453" w:val="left"/>
              </w:tabs>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56,932,439.01</w:t>
              <w:tab/>
              <w:t>97,593,821.33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交易性金融资产</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衍生金融资产</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应收票据</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应收账款</w:t>
            </w:r>
          </w:p>
        </w:tc>
        <w:tc>
          <w:tcPr>
            <w:tcBorders>
              <w:top w:val="single" w:sz="4"/>
            </w:tcBorders>
            <w:shd w:val="clear" w:color="auto" w:fill="F9ECF3"/>
            <w:vAlign w:val="center"/>
          </w:tcPr>
          <w:p>
            <w:pPr>
              <w:pStyle w:val="Style2"/>
              <w:keepNext w:val="0"/>
              <w:keepLines w:val="0"/>
              <w:widowControl w:val="0"/>
              <w:shd w:val="clear" w:color="auto" w:fill="auto"/>
              <w:tabs>
                <w:tab w:pos="5668" w:val="left"/>
              </w:tabs>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829,302.02</w:t>
              <w:tab/>
              <w:t>227,333.15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应收款项融资</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预付款项</w:t>
            </w:r>
          </w:p>
        </w:tc>
        <w:tc>
          <w:tcPr>
            <w:tcBorders>
              <w:top w:val="single" w:sz="4"/>
            </w:tcBorders>
            <w:shd w:val="clear" w:color="auto" w:fill="F9ECF3"/>
            <w:vAlign w:val="center"/>
          </w:tcPr>
          <w:p>
            <w:pPr>
              <w:pStyle w:val="Style2"/>
              <w:keepNext w:val="0"/>
              <w:keepLines w:val="0"/>
              <w:widowControl w:val="0"/>
              <w:shd w:val="clear" w:color="auto" w:fill="auto"/>
              <w:tabs>
                <w:tab w:pos="5597" w:val="left"/>
              </w:tabs>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6,240,573.50</w:t>
              <w:tab/>
              <w:t>833,730.29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tabs>
                <w:tab w:pos="5458" w:val="left"/>
              </w:tabs>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44,869,828.78</w:t>
              <w:tab/>
              <w:t>79,103,352.39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其中：应收利息</w:t>
            </w:r>
          </w:p>
        </w:tc>
        <w:tc>
          <w:tcPr>
            <w:tcBorders>
              <w:top w:val="single" w:sz="4"/>
            </w:tcBorders>
            <w:shd w:val="clear" w:color="auto" w:fill="F9ECF3"/>
            <w:vAlign w:val="center"/>
          </w:tcPr>
          <w:p>
            <w:pPr>
              <w:pStyle w:val="Style2"/>
              <w:keepNext w:val="0"/>
              <w:keepLines w:val="0"/>
              <w:widowControl w:val="0"/>
              <w:shd w:val="clear" w:color="auto" w:fill="auto"/>
              <w:tabs>
                <w:tab w:pos="3293"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tab/>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应收股利</w:t>
            </w:r>
          </w:p>
        </w:tc>
        <w:tc>
          <w:tcPr>
            <w:tcBorders>
              <w:top w:val="single" w:sz="4"/>
            </w:tcBorders>
            <w:shd w:val="clear" w:color="auto" w:fill="FFFFFF"/>
            <w:vAlign w:val="center"/>
          </w:tcPr>
          <w:p>
            <w:pPr>
              <w:pStyle w:val="Style2"/>
              <w:keepNext w:val="0"/>
              <w:keepLines w:val="0"/>
              <w:widowControl w:val="0"/>
              <w:shd w:val="clear" w:color="auto" w:fill="auto"/>
              <w:tabs>
                <w:tab w:pos="3293"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tab/>
              <w:t>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存货</w:t>
            </w:r>
          </w:p>
        </w:tc>
        <w:tc>
          <w:tcPr>
            <w:tcBorders>
              <w:top w:val="single" w:sz="4"/>
            </w:tcBorders>
            <w:shd w:val="clear" w:color="auto" w:fill="F9ECF3"/>
            <w:vAlign w:val="center"/>
          </w:tcPr>
          <w:p>
            <w:pPr>
              <w:pStyle w:val="Style2"/>
              <w:keepNext w:val="0"/>
              <w:keepLines w:val="0"/>
              <w:widowControl w:val="0"/>
              <w:shd w:val="clear" w:color="auto" w:fill="auto"/>
              <w:tabs>
                <w:tab w:pos="5687" w:val="left"/>
              </w:tabs>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955,398.73</w:t>
              <w:tab/>
              <w:t>123,967.78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合同资产</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持有待售资产</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一年内到期的非流动资产</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其他流动资产</w:t>
            </w:r>
          </w:p>
        </w:tc>
        <w:tc>
          <w:tcPr>
            <w:tcBorders>
              <w:top w:val="single" w:sz="4"/>
            </w:tcBorders>
            <w:shd w:val="clear" w:color="auto" w:fill="F9ECF3"/>
            <w:vAlign w:val="center"/>
          </w:tcPr>
          <w:p>
            <w:pPr>
              <w:pStyle w:val="Style2"/>
              <w:keepNext w:val="0"/>
              <w:keepLines w:val="0"/>
              <w:widowControl w:val="0"/>
              <w:shd w:val="clear" w:color="auto" w:fill="auto"/>
              <w:tabs>
                <w:tab w:pos="5553" w:val="left"/>
              </w:tabs>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342,522.91</w:t>
              <w:tab/>
              <w:t>1,479,530.13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流动资产合计</w:t>
            </w:r>
          </w:p>
        </w:tc>
        <w:tc>
          <w:tcPr>
            <w:tcBorders>
              <w:top w:val="single" w:sz="4"/>
            </w:tcBorders>
            <w:shd w:val="clear" w:color="auto" w:fill="FFFFFF"/>
            <w:vAlign w:val="center"/>
          </w:tcPr>
          <w:p>
            <w:pPr>
              <w:pStyle w:val="Style2"/>
              <w:keepNext w:val="0"/>
              <w:keepLines w:val="0"/>
              <w:widowControl w:val="0"/>
              <w:shd w:val="clear" w:color="auto" w:fill="auto"/>
              <w:tabs>
                <w:tab w:pos="5348" w:val="left"/>
              </w:tabs>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110,170,064.95</w:t>
              <w:tab/>
              <w:t>179,361,735.07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非流动资产：</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债权投资</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其他债权投资</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长期应收款</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长期股权投资</w:t>
            </w:r>
          </w:p>
        </w:tc>
        <w:tc>
          <w:tcPr>
            <w:tcBorders>
              <w:top w:val="single" w:sz="4"/>
            </w:tcBorders>
            <w:shd w:val="clear" w:color="auto" w:fill="F9ECF3"/>
            <w:vAlign w:val="center"/>
          </w:tcPr>
          <w:p>
            <w:pPr>
              <w:pStyle w:val="Style2"/>
              <w:keepNext w:val="0"/>
              <w:keepLines w:val="0"/>
              <w:widowControl w:val="0"/>
              <w:shd w:val="clear" w:color="auto" w:fill="auto"/>
              <w:tabs>
                <w:tab w:pos="5353" w:val="left"/>
              </w:tabs>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160,750,292.47</w:t>
              <w:tab/>
              <w:t>165,750,292.47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其他权益工具投资</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其他非流动金融资产</w:t>
            </w:r>
          </w:p>
        </w:tc>
        <w:tc>
          <w:tcPr>
            <w:tcBorders>
              <w:top w:val="single" w:sz="4"/>
            </w:tcBorders>
            <w:shd w:val="clear" w:color="auto" w:fill="F9ECF3"/>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投资性房地产</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706"/>
        <w:gridCol w:w="2899"/>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0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固定资产</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531,553.34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905,748.81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在建工程</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生产性生物资产</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油气资产</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使用权资产</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无形资产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3,315,526.50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6,373,578.17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开发支出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商誉</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长期待摊费用</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14,943.40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递延所得税资产</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80" w:right="0" w:firstLine="0"/>
              <w:jc w:val="left"/>
              <w:rPr>
                <w:sz w:val="18"/>
                <w:szCs w:val="18"/>
              </w:rPr>
            </w:pPr>
            <w:r>
              <w:rPr>
                <w:rFonts w:ascii="Times New Roman" w:eastAsia="Times New Roman" w:hAnsi="Times New Roman" w:cs="Times New Roman"/>
                <w:color w:val="000000"/>
                <w:spacing w:val="0"/>
                <w:w w:val="100"/>
                <w:position w:val="0"/>
                <w:sz w:val="18"/>
                <w:szCs w:val="18"/>
              </w:rPr>
              <w:t>466,257.14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其他非流动资产</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164,612,315.71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173,495,876.59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资产总计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274,782,380.66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352,857,611.66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流动负债：</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短期借款</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交易性金融负债</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衍生金融负债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应付票据</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应付账款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56,135.89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97,361.16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预收款项</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80" w:right="0" w:firstLine="0"/>
              <w:jc w:val="left"/>
              <w:rPr>
                <w:sz w:val="18"/>
                <w:szCs w:val="18"/>
              </w:rPr>
            </w:pPr>
            <w:r>
              <w:rPr>
                <w:rFonts w:ascii="Times New Roman" w:eastAsia="Times New Roman" w:hAnsi="Times New Roman" w:cs="Times New Roman"/>
                <w:color w:val="000000"/>
                <w:spacing w:val="0"/>
                <w:w w:val="100"/>
                <w:position w:val="0"/>
                <w:sz w:val="18"/>
                <w:szCs w:val="18"/>
              </w:rPr>
              <w:t>152,797.52</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合同负债</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120,256.92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应付职工薪酬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1,649,119.18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2,278,202.47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应交税费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4,757,440.98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27,085.23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52,943,297.34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55,570,394.05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其中：应付利息</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应付股利</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持有待售负债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一年内到期的非流动负债</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其他流动负债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2,414.30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73,357.59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流动负债合计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63,528,664.61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58,199,198.02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非流动负债：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长期借款</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应付债券</w:t>
            </w:r>
          </w:p>
        </w:tc>
        <w:tc>
          <w:tcPr>
            <w:gridSpan w:val="2"/>
            <w:tcBorders>
              <w:top w:val="single" w:sz="4"/>
            </w:tcBorders>
            <w:shd w:val="clear" w:color="auto" w:fill="F9ECF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6605"/>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293" w:val="left"/>
              </w:tabs>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tab/>
            </w: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其中：优先股</w:t>
            </w: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永续债</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租赁负债</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长期应付款</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长期应付职工薪酬</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预计负债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505,800.00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递延收益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递延所得税负债</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其他非流动负债</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非流动负债合计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16,505,800.00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负债合计</w:t>
            </w:r>
          </w:p>
        </w:tc>
        <w:tc>
          <w:tcPr>
            <w:tcBorders>
              <w:top w:val="single" w:sz="4"/>
            </w:tcBorders>
            <w:shd w:val="clear" w:color="auto" w:fill="FFFFFF"/>
            <w:vAlign w:val="center"/>
          </w:tcPr>
          <w:p>
            <w:pPr>
              <w:pStyle w:val="Style2"/>
              <w:keepNext w:val="0"/>
              <w:keepLines w:val="0"/>
              <w:widowControl w:val="0"/>
              <w:shd w:val="clear" w:color="auto" w:fill="auto"/>
              <w:tabs>
                <w:tab w:pos="5453" w:val="left"/>
              </w:tabs>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80,034,464.61</w:t>
              <w:tab/>
              <w:t>58,199,198.02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所有者权益：</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股本</w:t>
            </w:r>
          </w:p>
        </w:tc>
        <w:tc>
          <w:tcPr>
            <w:tcBorders>
              <w:top w:val="single" w:sz="4"/>
            </w:tcBorders>
            <w:shd w:val="clear" w:color="auto" w:fill="FFFFFF"/>
            <w:vAlign w:val="center"/>
          </w:tcPr>
          <w:p>
            <w:pPr>
              <w:pStyle w:val="Style2"/>
              <w:keepNext w:val="0"/>
              <w:keepLines w:val="0"/>
              <w:widowControl w:val="0"/>
              <w:shd w:val="clear" w:color="auto" w:fill="auto"/>
              <w:tabs>
                <w:tab w:pos="5353" w:val="left"/>
              </w:tabs>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130,273,360.00</w:t>
              <w:tab/>
              <w:t>130,572,240.00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其他权益工具</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其中：优先股</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永续债</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资本公积</w:t>
            </w:r>
          </w:p>
        </w:tc>
        <w:tc>
          <w:tcPr>
            <w:tcBorders>
              <w:top w:val="single" w:sz="4"/>
            </w:tcBorders>
            <w:shd w:val="clear" w:color="auto" w:fill="FFFFFF"/>
            <w:vAlign w:val="center"/>
          </w:tcPr>
          <w:p>
            <w:pPr>
              <w:pStyle w:val="Style2"/>
              <w:keepNext w:val="0"/>
              <w:keepLines w:val="0"/>
              <w:widowControl w:val="0"/>
              <w:shd w:val="clear" w:color="auto" w:fill="auto"/>
              <w:tabs>
                <w:tab w:pos="5353" w:val="left"/>
              </w:tabs>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156,437,068.77</w:t>
              <w:tab/>
              <w:t>157,266,446.92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减：库存股</w:t>
            </w:r>
          </w:p>
        </w:tc>
        <w:tc>
          <w:tcPr>
            <w:tcBorders>
              <w:top w:val="single" w:sz="4"/>
            </w:tcBorders>
            <w:shd w:val="clear" w:color="auto" w:fill="F9ECF3"/>
            <w:vAlign w:val="center"/>
          </w:tcPr>
          <w:p>
            <w:pPr>
              <w:pStyle w:val="Style2"/>
              <w:keepNext w:val="0"/>
              <w:keepLines w:val="0"/>
              <w:widowControl w:val="0"/>
              <w:shd w:val="clear" w:color="auto" w:fill="auto"/>
              <w:tabs>
                <w:tab w:pos="5448" w:val="left"/>
              </w:tabs>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11,685,243.25</w:t>
              <w:tab/>
              <w:t>13,042,829.50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其他综合收益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专项储备</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盈余公积</w:t>
            </w:r>
          </w:p>
        </w:tc>
        <w:tc>
          <w:tcPr>
            <w:tcBorders>
              <w:top w:val="single" w:sz="4"/>
            </w:tcBorders>
            <w:shd w:val="clear" w:color="auto" w:fill="FFFFFF"/>
            <w:vAlign w:val="center"/>
          </w:tcPr>
          <w:p>
            <w:pPr>
              <w:pStyle w:val="Style2"/>
              <w:keepNext w:val="0"/>
              <w:keepLines w:val="0"/>
              <w:widowControl w:val="0"/>
              <w:shd w:val="clear" w:color="auto" w:fill="auto"/>
              <w:tabs>
                <w:tab w:pos="5453" w:val="left"/>
              </w:tabs>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17,068,098.65</w:t>
              <w:tab/>
              <w:t>17,068,098.65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未分配利润</w:t>
            </w:r>
          </w:p>
        </w:tc>
        <w:tc>
          <w:tcPr>
            <w:tcBorders>
              <w:top w:val="single" w:sz="4"/>
            </w:tcBorders>
            <w:shd w:val="clear" w:color="auto" w:fill="F9ECF3"/>
            <w:vAlign w:val="center"/>
          </w:tcPr>
          <w:p>
            <w:pPr>
              <w:pStyle w:val="Style2"/>
              <w:keepNext w:val="0"/>
              <w:keepLines w:val="0"/>
              <w:widowControl w:val="0"/>
              <w:shd w:val="clear" w:color="auto" w:fill="auto"/>
              <w:tabs>
                <w:tab w:pos="5502" w:val="left"/>
              </w:tabs>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-97,345,368.12</w:t>
              <w:tab/>
              <w:t>2,794,457.57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所有者权益合计</w:t>
            </w:r>
          </w:p>
        </w:tc>
        <w:tc>
          <w:tcPr>
            <w:tcBorders>
              <w:top w:val="single" w:sz="4"/>
            </w:tcBorders>
            <w:shd w:val="clear" w:color="auto" w:fill="FFFFFF"/>
            <w:vAlign w:val="center"/>
          </w:tcPr>
          <w:p>
            <w:pPr>
              <w:pStyle w:val="Style2"/>
              <w:keepNext w:val="0"/>
              <w:keepLines w:val="0"/>
              <w:widowControl w:val="0"/>
              <w:shd w:val="clear" w:color="auto" w:fill="auto"/>
              <w:tabs>
                <w:tab w:pos="5334" w:val="left"/>
              </w:tabs>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194,747,916.05</w:t>
              <w:tab/>
              <w:t>294,658,413.64</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负债和所有者权益总计</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5372" w:val="left"/>
              </w:tabs>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274,782,380.66</w:t>
              <w:tab/>
              <w:t>352,857,611.66</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、合并利润表</w:t>
      </w:r>
      <w:bookmarkEnd w:id="659"/>
      <w:bookmarkEnd w:id="660"/>
      <w:bookmarkEnd w:id="66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670"/>
        <w:gridCol w:w="4901"/>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438" w:val="left"/>
              </w:tabs>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tab/>
            </w: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一、营业总收入</w:t>
            </w:r>
          </w:p>
        </w:tc>
        <w:tc>
          <w:tcPr>
            <w:tcBorders/>
            <w:shd w:val="clear" w:color="auto" w:fill="FFFFFF"/>
            <w:vAlign w:val="center"/>
          </w:tcPr>
          <w:p>
            <w:pPr>
              <w:pStyle w:val="Style2"/>
              <w:keepNext w:val="0"/>
              <w:keepLines w:val="0"/>
              <w:widowControl w:val="0"/>
              <w:shd w:val="clear" w:color="auto" w:fill="auto"/>
              <w:tabs>
                <w:tab w:pos="3648" w:val="left"/>
              </w:tabs>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488,918,503.86</w:t>
              <w:tab/>
              <w:t>353,384,194.29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其中：营业收入</w:t>
            </w:r>
          </w:p>
        </w:tc>
        <w:tc>
          <w:tcPr>
            <w:tcBorders>
              <w:top w:val="single" w:sz="4"/>
            </w:tcBorders>
            <w:shd w:val="clear" w:color="auto" w:fill="F9ECF3"/>
            <w:vAlign w:val="center"/>
          </w:tcPr>
          <w:p>
            <w:pPr>
              <w:pStyle w:val="Style2"/>
              <w:keepNext w:val="0"/>
              <w:keepLines w:val="0"/>
              <w:widowControl w:val="0"/>
              <w:shd w:val="clear" w:color="auto" w:fill="auto"/>
              <w:tabs>
                <w:tab w:pos="3648" w:val="left"/>
              </w:tabs>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488,918,503.86</w:t>
              <w:tab/>
              <w:t>353,384,194.29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利息收入</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已赚保费</w:t>
            </w:r>
          </w:p>
        </w:tc>
        <w:tc>
          <w:tcPr>
            <w:tcBorders>
              <w:top w:val="single" w:sz="4"/>
            </w:tcBorders>
            <w:shd w:val="clear" w:color="auto" w:fill="F9ECF3"/>
            <w:vAlign w:val="top"/>
          </w:tcPr>
          <w:p>
            <w:pPr>
              <w:widowControl w:val="0"/>
              <w:rPr>
                <w:sz w:val="10"/>
                <w:szCs w:val="10"/>
              </w:rPr>
            </w:pP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手续费及佣金收入</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70"/>
        <w:gridCol w:w="2822"/>
        <w:gridCol w:w="2078"/>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二、营业总成本</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543,331,857.97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421,111,123.47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其中：营业成本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443,544,417.19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306,549,878.40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利息支出</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手续费及佣金支出</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退保金</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赔付支出净额</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提取保险责任合同准备金净额</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保单红利支出</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分保费用</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税金及附加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1,052,830.16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2,048,038.63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销售费用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35,457,517.23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29,838,674.91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55,198,252.95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68,805,416.44</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研发费用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7,032,206.27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13,385,504.95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1,046,634.17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483,610.14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其中：利息费用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632,454.11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666,994.29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加：其他收益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2,623,469.41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3,201,288.82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投资收益（损失以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934,017.12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5,003,889.70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其中：对联营企业和合营企业的投资收益</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以摊余成本计量的金融资产终止确认收益</w:t>
            </w:r>
          </w:p>
        </w:tc>
        <w:tc>
          <w:tcPr>
            <w:gridSpan w:val="2"/>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汇兑收益（损失以号填列）</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净敞口套期收益（损失以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公允价值变动收益（损失以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信用减值损失（损失以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-3,157,897.96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57,898.57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资产减值损失（损失以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-8,870,523.27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-25,495,167.47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资产处置收益（损失以号填列）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-743,324.27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-101,322.10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三、营业利润（亏损以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-63,627,613.08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-85,060,341.66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加：营业外收入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98,322.86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335,327.69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减：营业外支出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21,266,883.34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4,822,958.82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四、利润总额（亏损总额以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-84,796,173.56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-89,547,972.79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both"/>
            </w:pPr>
            <w:r>
              <w:rPr>
                <w:b/>
                <w:bCs/>
                <w:color w:val="FFFFFF"/>
                <w:spacing w:val="0"/>
                <w:w w:val="100"/>
                <w:position w:val="0"/>
              </w:rPr>
              <w:t>减：所得税费用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2,700,950.65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3,402,062.19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五、净利润（净亏损以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-92,950,034.98</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（一）按经营持续性分类</w:t>
            </w:r>
          </w:p>
        </w:tc>
        <w:tc>
          <w:tcPr>
            <w:gridSpan w:val="2"/>
            <w:tcBorders>
              <w:top w:val="single" w:sz="4"/>
              <w:bottom w:val="single" w:sz="4"/>
            </w:tcBorders>
            <w:shd w:val="clear" w:color="auto" w:fill="F9ECF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70"/>
        <w:gridCol w:w="4901"/>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438" w:val="left"/>
              </w:tabs>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tab/>
            </w: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持续经营净利润（净亏损以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shd w:val="clear" w:color="auto" w:fill="FFFFFF"/>
            <w:vAlign w:val="center"/>
          </w:tcPr>
          <w:p>
            <w:pPr>
              <w:pStyle w:val="Style2"/>
              <w:keepNext w:val="0"/>
              <w:keepLines w:val="0"/>
              <w:widowControl w:val="0"/>
              <w:shd w:val="clear" w:color="auto" w:fill="auto"/>
              <w:tabs>
                <w:tab w:pos="3683" w:val="left"/>
              </w:tabs>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-60,426,993.34</w:t>
              <w:tab/>
              <w:t>-89,922,245.38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终止经营净利润（净亏损以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tabs>
                <w:tab w:pos="3770" w:val="left"/>
              </w:tabs>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-27,070,130.87</w:t>
              <w:tab/>
              <w:t>-3,027,789.60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（二）按所有权归属分类</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归属于母公司股东的净利润</w:t>
            </w:r>
          </w:p>
        </w:tc>
        <w:tc>
          <w:tcPr>
            <w:tcBorders>
              <w:top w:val="single" w:sz="4"/>
            </w:tcBorders>
            <w:shd w:val="clear" w:color="auto" w:fill="F9ECF3"/>
            <w:vAlign w:val="center"/>
          </w:tcPr>
          <w:p>
            <w:pPr>
              <w:pStyle w:val="Style2"/>
              <w:keepNext w:val="0"/>
              <w:keepLines w:val="0"/>
              <w:widowControl w:val="0"/>
              <w:shd w:val="clear" w:color="auto" w:fill="auto"/>
              <w:tabs>
                <w:tab w:pos="3683" w:val="left"/>
              </w:tabs>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-87,497,124.21</w:t>
              <w:tab/>
              <w:t>-92,950,034.98</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少数股东损益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六、其他综合收益的税后净额</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归属母公司所有者的其他综合收益的税后净额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（一）不能重分类进损益的其他综合收益</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重新计量设定受益计划变动额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权益法下不能转损益的其他综合收益</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其他权益工具投资公允价值变动</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企业自身信用风险公允价值变动</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（二）将重分类进损益的其他综合收益</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权益法下可转损益的其他综合收益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其他债权投资公允价值变动</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金融资产重分类计入其他综合收益的金额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其他债权投资信用减值准备</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现金流量套期储备</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6.</w:t>
            </w:r>
            <w:r>
              <w:rPr>
                <w:b/>
                <w:bCs/>
                <w:color w:val="FFFFFF"/>
                <w:spacing w:val="0"/>
                <w:w w:val="100"/>
                <w:position w:val="0"/>
              </w:rPr>
              <w:t>外币财务报表折算差额</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7.</w:t>
            </w:r>
            <w:r>
              <w:rPr>
                <w:b/>
                <w:bCs/>
                <w:color w:val="FFFFFF"/>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归属于少数股东的其他综合收益的税后净额</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七、综合收益总额</w:t>
            </w:r>
          </w:p>
        </w:tc>
        <w:tc>
          <w:tcPr>
            <w:tcBorders>
              <w:top w:val="single" w:sz="4"/>
            </w:tcBorders>
            <w:shd w:val="clear" w:color="auto" w:fill="FFFFFF"/>
            <w:vAlign w:val="center"/>
          </w:tcPr>
          <w:p>
            <w:pPr>
              <w:pStyle w:val="Style2"/>
              <w:keepNext w:val="0"/>
              <w:keepLines w:val="0"/>
              <w:widowControl w:val="0"/>
              <w:shd w:val="clear" w:color="auto" w:fill="auto"/>
              <w:tabs>
                <w:tab w:pos="3683" w:val="left"/>
              </w:tabs>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-87,497,124.21</w:t>
              <w:tab/>
              <w:t>-92,950,034.98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归属于母公司所有者的综合收益总额</w:t>
            </w:r>
          </w:p>
        </w:tc>
        <w:tc>
          <w:tcPr>
            <w:tcBorders>
              <w:top w:val="single" w:sz="4"/>
            </w:tcBorders>
            <w:shd w:val="clear" w:color="auto" w:fill="F9ECF3"/>
            <w:vAlign w:val="center"/>
          </w:tcPr>
          <w:p>
            <w:pPr>
              <w:pStyle w:val="Style2"/>
              <w:keepNext w:val="0"/>
              <w:keepLines w:val="0"/>
              <w:widowControl w:val="0"/>
              <w:shd w:val="clear" w:color="auto" w:fill="auto"/>
              <w:tabs>
                <w:tab w:pos="3683" w:val="left"/>
              </w:tabs>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-87,497,124.21</w:t>
              <w:tab/>
              <w:t>-92,950,034.98</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归属于少数股东的综合收益总额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八、每股收益：</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（一）基本每股收益</w:t>
            </w:r>
          </w:p>
        </w:tc>
        <w:tc>
          <w:tcPr>
            <w:tcBorders>
              <w:top w:val="single" w:sz="4"/>
            </w:tcBorders>
            <w:shd w:val="clear" w:color="auto" w:fill="FFFFFF"/>
            <w:vAlign w:val="center"/>
          </w:tcPr>
          <w:p>
            <w:pPr>
              <w:pStyle w:val="Style2"/>
              <w:keepNext w:val="0"/>
              <w:keepLines w:val="0"/>
              <w:widowControl w:val="0"/>
              <w:shd w:val="clear" w:color="auto" w:fill="auto"/>
              <w:tabs>
                <w:tab w:pos="4403" w:val="left"/>
              </w:tabs>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-0.67</w:t>
              <w:tab/>
              <w:t>-0.72</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（二）稀释每股收益</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4403" w:val="left"/>
              </w:tabs>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-0.67</w:t>
              <w:tab/>
              <w:t>-0.72</w:t>
            </w:r>
          </w:p>
        </w:tc>
      </w:tr>
    </w:tbl>
    <w:p>
      <w:pPr>
        <w:pStyle w:val="Style45"/>
        <w:keepNext w:val="0"/>
        <w:keepLines w:val="0"/>
        <w:widowControl w:val="0"/>
        <w:shd w:val="clear" w:color="auto" w:fill="auto"/>
        <w:bidi w:val="0"/>
        <w:spacing w:before="0" w:after="0" w:line="240" w:lineRule="auto"/>
        <w:ind w:left="86"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widowControl w:val="0"/>
        <w:spacing w:after="379" w:line="1" w:lineRule="exact"/>
      </w:pPr>
    </w:p>
    <w:p>
      <w:pPr>
        <w:pStyle w:val="Style31"/>
        <w:keepNext w:val="0"/>
        <w:keepLines w:val="0"/>
        <w:widowControl w:val="0"/>
        <w:shd w:val="clear" w:color="auto" w:fill="auto"/>
        <w:tabs>
          <w:tab w:pos="3336" w:val="left"/>
          <w:tab w:pos="7469" w:val="left"/>
        </w:tabs>
        <w:bidi w:val="0"/>
        <w:spacing w:before="0" w:after="380" w:line="240" w:lineRule="auto"/>
        <w:ind w:left="0" w:right="0" w:firstLine="0"/>
        <w:jc w:val="left"/>
      </w:pPr>
      <w:r>
        <w:rPr>
          <w:color w:val="000000"/>
          <w:spacing w:val="0"/>
          <w:w w:val="100"/>
          <w:position w:val="0"/>
        </w:rPr>
        <w:t>法定代表人：刘铁峰</w:t>
        <w:tab/>
        <w:t>主管会计工作负责人：谢迎新</w:t>
        <w:tab/>
        <w:t>会计机构负责人：谢迎新</w:t>
      </w:r>
    </w:p>
    <w:p>
      <w:pPr>
        <w:pStyle w:val="Style49"/>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、母公司利润表</w:t>
      </w:r>
      <w:bookmarkEnd w:id="663"/>
      <w:bookmarkEnd w:id="664"/>
      <w:bookmarkEnd w:id="666"/>
    </w:p>
    <w:p>
      <w:pPr>
        <w:pStyle w:val="Style31"/>
        <w:keepNext w:val="0"/>
        <w:keepLines w:val="0"/>
        <w:widowControl w:val="0"/>
        <w:shd w:val="clear" w:color="auto" w:fill="auto"/>
        <w:bidi w:val="0"/>
        <w:spacing w:before="0" w:after="380" w:line="240" w:lineRule="auto"/>
        <w:ind w:left="0" w:right="0" w:firstLine="0"/>
        <w:jc w:val="right"/>
      </w:pPr>
      <w:bookmarkStart w:id="667" w:name="bookmark667"/>
      <w:r>
        <w:rPr>
          <w:color w:val="000000"/>
          <w:spacing w:val="0"/>
          <w:w w:val="100"/>
          <w:position w:val="0"/>
        </w:rPr>
        <w:t>单</w:t>
      </w:r>
      <w:bookmarkEnd w:id="667"/>
      <w:r>
        <w:rPr>
          <w:color w:val="000000"/>
          <w:spacing w:val="0"/>
          <w:w w:val="100"/>
          <w:position w:val="0"/>
        </w:rPr>
        <w:t>位：元</w:t>
      </w:r>
      <w:r>
        <w:br w:type="page"/>
      </w:r>
    </w:p>
    <w:tbl>
      <w:tblPr>
        <w:tblOverlap w:val="never"/>
        <w:jc w:val="center"/>
        <w:tblLayout w:type="fixed"/>
      </w:tblPr>
      <w:tblGrid>
        <w:gridCol w:w="4526"/>
        <w:gridCol w:w="2914"/>
        <w:gridCol w:w="2131"/>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一、营业收入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192,970,114.98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124,943,389.46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减：营业成本</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191,482,458.57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114,905,065.97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税金及附加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18,828.35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销售费用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4,220,829.82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3,461,109.69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26,310,073.39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22,126,336.01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研发费用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93,134.29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49,568.09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-434,258.76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其中：利息费用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40" w:right="0" w:firstLine="0"/>
              <w:jc w:val="left"/>
            </w:pPr>
            <w:r>
              <w:rPr>
                <w:b/>
                <w:bCs/>
                <w:color w:val="FFFFFF"/>
                <w:spacing w:val="0"/>
                <w:w w:val="100"/>
                <w:position w:val="0"/>
              </w:rPr>
              <w:t>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181,440.45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541,830.16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加：其他收益</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96,886.76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投资收益（损失以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19,335,542.40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37,579,259.05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其中：对联营企业和合营企业的投资收益</w:t>
            </w:r>
          </w:p>
        </w:tc>
        <w:tc>
          <w:tcPr>
            <w:gridSpan w:val="2"/>
            <w:tcBorders>
              <w:top w:val="single" w:sz="4"/>
            </w:tcBorders>
            <w:shd w:val="clear" w:color="auto" w:fill="F9ECF3"/>
            <w:vAlign w:val="top"/>
          </w:tcPr>
          <w:p>
            <w:pPr>
              <w:widowControl w:val="0"/>
              <w:rPr>
                <w:sz w:val="10"/>
                <w:szCs w:val="10"/>
              </w:rPr>
            </w:pP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1180" w:right="0" w:firstLine="0"/>
              <w:jc w:val="left"/>
            </w:pPr>
            <w:r>
              <w:rPr>
                <w:b/>
                <w:bCs/>
                <w:color w:val="FFFFFF"/>
                <w:spacing w:val="0"/>
                <w:w w:val="100"/>
                <w:position w:val="0"/>
              </w:rPr>
              <w:t>以摊余成本计量的金融资产终止确认收</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益（损失以号填列）</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净敞口套期收益（损失以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公允价值变动收益（损失以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信用减值损失（损失以号填列）</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-87,674,780.65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26,573.87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资产减值损失（损失以号填列）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-1,908,689.98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-19,182,939.08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资产处置收益（损失以号填列）</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二、营业利润（亏损以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-99,149,220.18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3,197,247.54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加：营业外收入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45.66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3,394.28</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减：营业外支出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524,394.03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三、利润总额（亏损总额以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-99,673,568.55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3,200,634.02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减：所得税费用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466,257.14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3,043,042.41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四、净利润（净亏损以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-100,139,825.69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157,591.61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（一）持续经营净利润（净亏损以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-100,139,825.69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157,591.61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（二）终止经营净利润（净亏损以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五、其他综合收益的税后净额</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（一）不能重分类进损益的其他综合收益</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重新计量设定受益计划变动额</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权益法下不能转损益的其他综合收益</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其他权益工具投资公允价值变动</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企业自身信用风险公允价值变动</w:t>
            </w:r>
          </w:p>
        </w:tc>
        <w:tc>
          <w:tcPr>
            <w:gridSpan w:val="2"/>
            <w:tcBorders>
              <w:top w:val="single" w:sz="4"/>
            </w:tcBorders>
            <w:shd w:val="clear" w:color="auto" w:fill="F9ECF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26"/>
        <w:gridCol w:w="5045"/>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515" w:val="left"/>
              </w:tabs>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tab/>
            </w: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其他</w:t>
            </w: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（二）将重分类进损益的其他综合收益</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权益法下可转损益的其他综合收益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其他债权投资公允价值变动</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金融资产重分类计入其他综合收益的金额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其他债权投资信用减值准备</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现金流量套期储备</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6.</w:t>
            </w:r>
            <w:r>
              <w:rPr>
                <w:b/>
                <w:bCs/>
                <w:color w:val="FFFFFF"/>
                <w:spacing w:val="0"/>
                <w:w w:val="100"/>
                <w:position w:val="0"/>
              </w:rPr>
              <w:t>外币财务报表折算差额</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rFonts w:ascii="Times New Roman" w:eastAsia="Times New Roman" w:hAnsi="Times New Roman" w:cs="Times New Roman"/>
                <w:b/>
                <w:bCs/>
                <w:color w:val="FFFFFF"/>
                <w:spacing w:val="0"/>
                <w:w w:val="100"/>
                <w:position w:val="0"/>
                <w:sz w:val="18"/>
                <w:szCs w:val="18"/>
              </w:rPr>
              <w:t>7.</w:t>
            </w:r>
            <w:r>
              <w:rPr>
                <w:b/>
                <w:bCs/>
                <w:color w:val="FFFFFF"/>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六、综合收益总额</w:t>
            </w:r>
          </w:p>
        </w:tc>
        <w:tc>
          <w:tcPr>
            <w:tcBorders>
              <w:top w:val="single" w:sz="4"/>
            </w:tcBorders>
            <w:shd w:val="clear" w:color="auto" w:fill="F9ECF3"/>
            <w:vAlign w:val="center"/>
          </w:tcPr>
          <w:p>
            <w:pPr>
              <w:pStyle w:val="Style2"/>
              <w:keepNext w:val="0"/>
              <w:keepLines w:val="0"/>
              <w:widowControl w:val="0"/>
              <w:shd w:val="clear" w:color="auto" w:fill="auto"/>
              <w:tabs>
                <w:tab w:pos="4124" w:val="left"/>
              </w:tabs>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-100,139,825.69</w:t>
              <w:tab/>
              <w:t>157,591.61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七、每股收益：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（一）基本每股收益</w:t>
            </w:r>
          </w:p>
        </w:tc>
        <w:tc>
          <w:tcPr>
            <w:tcBorders>
              <w:top w:val="single" w:sz="4"/>
            </w:tcBorders>
            <w:shd w:val="clear" w:color="auto" w:fill="F9ECF3"/>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（二）稀释每股收益</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243"/>
        <w:gridCol w:w="5328"/>
      </w:tblGrid>
      <w:tr>
        <w:trPr>
          <w:trHeight w:val="1306"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668" w:name="bookmark66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、合并现金流量表</w:t>
            </w:r>
            <w:bookmarkEnd w:id="668"/>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654" w:val="left"/>
              </w:tabs>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tab/>
            </w: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一、经营活动产生的现金流量：</w:t>
            </w: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销售商品、提供劳务收到的现金</w:t>
            </w:r>
          </w:p>
        </w:tc>
        <w:tc>
          <w:tcPr>
            <w:tcBorders>
              <w:top w:val="single" w:sz="4"/>
            </w:tcBorders>
            <w:shd w:val="clear" w:color="auto" w:fill="F9ECF3"/>
            <w:vAlign w:val="center"/>
          </w:tcPr>
          <w:p>
            <w:pPr>
              <w:pStyle w:val="Style2"/>
              <w:keepNext w:val="0"/>
              <w:keepLines w:val="0"/>
              <w:widowControl w:val="0"/>
              <w:shd w:val="clear" w:color="auto" w:fill="auto"/>
              <w:tabs>
                <w:tab w:pos="4065" w:val="left"/>
              </w:tabs>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590,542,004.18</w:t>
              <w:tab/>
              <w:t>445,365,931.77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客户存款和同业存放款项净增加额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向中央银行借款净增加额</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向其他金融机构拆入资金净增加额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收到原保险合同保费取得的现金</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收到再保业务现金净额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保户储金及投资款净增加额</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收取利息、手续费及佣金的现金</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拆入资金净增加额</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回购业务资金净增加额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代理买卖证券收到的现金净额</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收到的税费返还</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收到其他与经营活动有关的现金</w:t>
            </w:r>
          </w:p>
        </w:tc>
        <w:tc>
          <w:tcPr>
            <w:tcBorders>
              <w:top w:val="single" w:sz="4"/>
            </w:tcBorders>
            <w:shd w:val="clear" w:color="auto" w:fill="F9ECF3"/>
            <w:vAlign w:val="center"/>
          </w:tcPr>
          <w:p>
            <w:pPr>
              <w:pStyle w:val="Style2"/>
              <w:keepNext w:val="0"/>
              <w:keepLines w:val="0"/>
              <w:widowControl w:val="0"/>
              <w:shd w:val="clear" w:color="auto" w:fill="auto"/>
              <w:tabs>
                <w:tab w:pos="258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6,177,427.72</w:t>
              <w:tab/>
              <w:t>14,990,601.99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tabs>
                <w:tab w:pos="4065" w:val="left"/>
              </w:tabs>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596,719,431.90</w:t>
              <w:tab/>
              <w:t>460,356,533.76</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购买商品、接受劳务支付的现金</w:t>
            </w:r>
          </w:p>
        </w:tc>
        <w:tc>
          <w:tcPr>
            <w:tcBorders>
              <w:top w:val="single" w:sz="4"/>
            </w:tcBorders>
            <w:shd w:val="clear" w:color="auto" w:fill="F9ECF3"/>
            <w:vAlign w:val="center"/>
          </w:tcPr>
          <w:p>
            <w:pPr>
              <w:pStyle w:val="Style2"/>
              <w:keepNext w:val="0"/>
              <w:keepLines w:val="0"/>
              <w:widowControl w:val="0"/>
              <w:shd w:val="clear" w:color="auto" w:fill="auto"/>
              <w:tabs>
                <w:tab w:pos="4074" w:val="left"/>
              </w:tabs>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508,676,734.68</w:t>
              <w:tab/>
              <w:t>346,068,963.82</w:t>
            </w:r>
          </w:p>
        </w:tc>
      </w:tr>
    </w:tbl>
    <w:p>
      <w:pPr>
        <w:widowControl w:val="0"/>
        <w:spacing w:line="1" w:lineRule="exact"/>
      </w:pPr>
      <w:r>
        <w:br w:type="page"/>
      </w:r>
    </w:p>
    <w:tbl>
      <w:tblPr>
        <w:tblOverlap w:val="never"/>
        <w:jc w:val="center"/>
        <w:tblLayout w:type="fixed"/>
      </w:tblPr>
      <w:tblGrid>
        <w:gridCol w:w="4243"/>
        <w:gridCol w:w="3086"/>
        <w:gridCol w:w="2242"/>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4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客户贷款及垫款净增加额</w:t>
            </w:r>
          </w:p>
        </w:tc>
        <w:tc>
          <w:tcPr>
            <w:gridSpan w:val="2"/>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存放中央银行和同业款项净增加额</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支付原保险合同赔付款项的现金</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拆出资金净增加额</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支付利息、手续费及佣金的现金</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支付保单红利的现金</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支付给职工以及为职工支付的现金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95,482,372.68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106,147,048.80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支付的各项税费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9,706,414.21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19,475,857.18</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支付其他与经营活动有关的现金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71,681,155.04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41,426,492.92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经营活动现金流出小计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685,546,676.61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513,118,362.72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-88,827,244.71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-52,761,828.96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二、投资活动产生的现金流量：</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收回投资收到的现金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1,411,000,000.00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取得投资收益收到的现金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914,017.12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5,094,624.04</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460"/>
              <w:jc w:val="left"/>
            </w:pPr>
            <w:r>
              <w:rPr>
                <w:b/>
                <w:bCs/>
                <w:color w:val="FFFFFF"/>
                <w:spacing w:val="0"/>
                <w:w w:val="100"/>
                <w:position w:val="0"/>
              </w:rPr>
              <w:t>处置固定资产、无形资产和其他长期资产收回 的现金净额</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859,707.52</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27,308.92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处置子公司及其他营业单位收到的现金净额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208,996.51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收到其他与投资活动有关的现金</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投资活动现金流入小计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300,793,724.64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1,416,330,929.47</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460"/>
              <w:jc w:val="left"/>
            </w:pPr>
            <w:r>
              <w:rPr>
                <w:b/>
                <w:bCs/>
                <w:color w:val="FFFFFF"/>
                <w:spacing w:val="0"/>
                <w:w w:val="100"/>
                <w:position w:val="0"/>
              </w:rPr>
              <w:t>购建固定资产、无形资产和其他长期资产支付 的现金</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14,014,766.54</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10,671,284.49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投资支付的现金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299,000,000.00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1,411,000,000.00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质押贷款净增加额</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取得子公司及其他营业单位支付的现金净额</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支付其他与投资活动有关的现金</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投资活动现金流出小计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313,014,766.54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1,422,671,284.49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-12,221,041.90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-6,340,355.02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三、筹资活动产生的现金流量：</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吸收投资收到的现金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252,900.00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其中：子公司吸收少数股东投资收到的现金</w:t>
            </w:r>
          </w:p>
        </w:tc>
        <w:tc>
          <w:tcPr>
            <w:gridSpan w:val="2"/>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取得借款收到的现金</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收到其他与筹资活动有关的现金</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252,900.00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偿还债务支付的现金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bl>
    <w:p>
      <w:pPr>
        <w:widowControl w:val="0"/>
        <w:spacing w:line="1" w:lineRule="exact"/>
      </w:pPr>
      <w:r>
        <w:br w:type="page"/>
      </w:r>
    </w:p>
    <w:tbl>
      <w:tblPr>
        <w:tblOverlap w:val="never"/>
        <w:jc w:val="center"/>
        <w:tblLayout w:type="fixed"/>
      </w:tblPr>
      <w:tblGrid>
        <w:gridCol w:w="4243"/>
        <w:gridCol w:w="3086"/>
        <w:gridCol w:w="2242"/>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4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分配股利、利润或偿付利息支付的现金</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24,494,346.69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其中：子公司支付给少数股东的股利、利润</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支付其他与筹资活动有关的现金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1,664,586.25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16,027,705.42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筹资活动现金流出小计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1,664,586.25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41,022,052.11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18,335,413.75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-40,769,152.11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四、汇率变动对现金及现金等价物的影响</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-41,310.76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48,174.54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五、现金及现金等价物净增加额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-82,754,183.62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-99,823,161.55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加：期初现金及现金等价物余额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191,487,434.05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291,310,595.60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六、期末现金及现金等价物余额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108,733,250.43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191,487,434.05</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6</w:t>
      </w:r>
      <w:bookmarkEnd w:id="671"/>
      <w:r>
        <w:rPr>
          <w:color w:val="000000"/>
          <w:spacing w:val="0"/>
          <w:w w:val="100"/>
          <w:position w:val="0"/>
        </w:rPr>
        <w:t>、母公司现金流量表</w:t>
      </w:r>
      <w:bookmarkEnd w:id="669"/>
      <w:bookmarkEnd w:id="670"/>
      <w:bookmarkEnd w:id="67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104"/>
        <w:gridCol w:w="3173"/>
        <w:gridCol w:w="229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一、经营活动产生的现金流量：</w:t>
            </w:r>
          </w:p>
        </w:tc>
        <w:tc>
          <w:tcPr>
            <w:gridSpan w:val="2"/>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销售商品、提供劳务收到的现金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219,419,696.15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138,938,085.19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收到的税费返还</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收到其他与经营活动有关的现金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25,615,443.41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33,256,020.02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245,035,139.56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172,194,105.21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购买商品、接受劳务支付的现金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221,996,337.36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127,004,258.51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支付给职工以及为职工支付的现金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27,069,513.92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25,931,269.07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支付的各项税费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60,635.42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4,660,132.53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支付其他与经营活动有关的现金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55,105,445.77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140,761,896.82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经营活动现金流出小计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304,231,932.47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298,357,556.93</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rPr>
                <w:sz w:val="18"/>
                <w:szCs w:val="18"/>
              </w:rPr>
            </w:pPr>
            <w:r>
              <w:rPr>
                <w:rFonts w:ascii="Times New Roman" w:eastAsia="Times New Roman" w:hAnsi="Times New Roman" w:cs="Times New Roman"/>
                <w:color w:val="000000"/>
                <w:spacing w:val="0"/>
                <w:w w:val="100"/>
                <w:position w:val="0"/>
                <w:sz w:val="18"/>
                <w:szCs w:val="18"/>
              </w:rPr>
              <w:t>-59,196,792.91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-126,163,451.72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二、投资活动产生的现金流量：</w:t>
            </w:r>
          </w:p>
        </w:tc>
        <w:tc>
          <w:tcPr>
            <w:gridSpan w:val="2"/>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收回投资收到的现金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863,000,000.00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取得投资收益收到的现金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656,741.34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3,161,854.23</w:t>
            </w: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460"/>
              <w:jc w:val="left"/>
            </w:pPr>
            <w:r>
              <w:rPr>
                <w:b/>
                <w:bCs/>
                <w:color w:val="FFFFFF"/>
                <w:spacing w:val="0"/>
                <w:w w:val="100"/>
                <w:position w:val="0"/>
              </w:rPr>
              <w:t>处置固定资产、无形资产和其他长期资产收回 的现金净额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32,682.89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11,284.67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处置子公司及其他营业单位收到的现金净额</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收到其他与投资活动有关的现金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41,521,953.05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投资活动现金流入小计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230,709,424.23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907,695,091.95</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购建固定资产、无形资产和其他长期资产支付</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509,427.39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20,508.74</w:t>
            </w:r>
          </w:p>
        </w:tc>
      </w:tr>
    </w:tbl>
    <w:p>
      <w:pPr>
        <w:widowControl w:val="0"/>
        <w:spacing w:line="1" w:lineRule="exact"/>
      </w:pPr>
      <w:r>
        <w:br w:type="page"/>
      </w:r>
    </w:p>
    <w:tbl>
      <w:tblPr>
        <w:tblOverlap w:val="never"/>
        <w:jc w:val="center"/>
        <w:tblLayout w:type="fixed"/>
      </w:tblPr>
      <w:tblGrid>
        <w:gridCol w:w="4104"/>
        <w:gridCol w:w="3173"/>
        <w:gridCol w:w="229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投资支付的现金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863,000,000.00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取得子公司及其他营业单位支付的现金净额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支付其他与投资活动有关的现金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41,521,953.05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230,509,427.39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904,542,461.79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投资活动产生的现金流量净额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40" w:firstLine="0"/>
              <w:jc w:val="right"/>
              <w:rPr>
                <w:sz w:val="18"/>
                <w:szCs w:val="18"/>
              </w:rPr>
            </w:pPr>
            <w:r>
              <w:rPr>
                <w:rFonts w:ascii="Times New Roman" w:eastAsia="Times New Roman" w:hAnsi="Times New Roman" w:cs="Times New Roman"/>
                <w:color w:val="000000"/>
                <w:spacing w:val="0"/>
                <w:w w:val="100"/>
                <w:position w:val="0"/>
                <w:sz w:val="18"/>
                <w:szCs w:val="18"/>
              </w:rPr>
              <w:t>199,996.84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3,152,630.16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三、筹资活动产生的现金流量：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吸收投资收到的现金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取得借款收到的现金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收到其他与筹资活动有关的现金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偿还债务支付的现金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分配股利、利润或偿付利息支付的现金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24,494,346.69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支付其他与筹资活动有关的现金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1,664,586.25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16,027,705.42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1,664,586.25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41,022,052.11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筹资活动产生的现金流量净额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18,335,413.75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-40,769,152.11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四、汇率变动对现金及现金等价物的影响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五、现金及现金等价物净增加额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40" w:firstLine="0"/>
              <w:jc w:val="right"/>
              <w:rPr>
                <w:sz w:val="18"/>
                <w:szCs w:val="18"/>
              </w:rPr>
            </w:pPr>
            <w:r>
              <w:rPr>
                <w:rFonts w:ascii="Times New Roman" w:eastAsia="Times New Roman" w:hAnsi="Times New Roman" w:cs="Times New Roman"/>
                <w:color w:val="000000"/>
                <w:spacing w:val="0"/>
                <w:w w:val="100"/>
                <w:position w:val="0"/>
                <w:sz w:val="18"/>
                <w:szCs w:val="18"/>
              </w:rPr>
              <w:t>-40,661,382.32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-163,779,973.67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加：期初现金及现金等价物余额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97,593,821.33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261,373,795.00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六、期末现金及现金等价物余额</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56,932,439.01</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97,593,821.33</w:t>
            </w:r>
          </w:p>
        </w:tc>
      </w:tr>
    </w:tbl>
    <w:p>
      <w:pPr>
        <w:sectPr>
          <w:footnotePr>
            <w:pos w:val="pageBottom"/>
            <w:numFmt w:val="decimal"/>
            <w:numRestart w:val="continuous"/>
          </w:footnotePr>
          <w:pgSz w:w="11966" w:h="17375"/>
          <w:pgMar w:top="1569" w:right="1195" w:bottom="1752" w:left="990" w:header="0" w:footer="3" w:gutter="0"/>
          <w:cols w:space="720"/>
          <w:noEndnote/>
          <w:rtlGutter w:val="0"/>
          <w:docGrid w:linePitch="360"/>
        </w:sectPr>
      </w:pPr>
    </w:p>
    <w:p>
      <w:pPr>
        <w:pStyle w:val="Style49"/>
        <w:keepNext/>
        <w:keepLines/>
        <w:widowControl w:val="0"/>
        <w:shd w:val="clear" w:color="auto" w:fill="auto"/>
        <w:bidi w:val="0"/>
        <w:spacing w:before="0" w:after="380" w:line="240" w:lineRule="auto"/>
        <w:ind w:left="0" w:right="0" w:firstLine="96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7</w:t>
      </w:r>
      <w:bookmarkEnd w:id="675"/>
      <w:r>
        <w:rPr>
          <w:color w:val="000000"/>
          <w:spacing w:val="0"/>
          <w:w w:val="100"/>
          <w:position w:val="0"/>
        </w:rPr>
        <w:t>、合并所有者权益变动表</w:t>
      </w:r>
      <w:bookmarkEnd w:id="673"/>
      <w:bookmarkEnd w:id="674"/>
      <w:bookmarkEnd w:id="67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5"/>
        <w:keepNext w:val="0"/>
        <w:keepLines w:val="0"/>
        <w:widowControl w:val="0"/>
        <w:shd w:val="clear" w:color="auto" w:fill="auto"/>
        <w:bidi w:val="0"/>
        <w:spacing w:before="0" w:after="0" w:line="240" w:lineRule="auto"/>
        <w:ind w:left="13210" w:right="0" w:firstLine="0"/>
        <w:jc w:val="left"/>
      </w:pPr>
      <w:r>
        <w:rPr>
          <w:color w:val="000000"/>
          <w:spacing w:val="0"/>
          <w:w w:val="100"/>
          <w:position w:val="0"/>
        </w:rPr>
        <w:t>单位：元</w:t>
      </w:r>
    </w:p>
    <w:tbl>
      <w:tblPr>
        <w:tblOverlap w:val="never"/>
        <w:jc w:val="center"/>
        <w:tblLayout w:type="fixed"/>
      </w:tblPr>
      <w:tblGrid>
        <w:gridCol w:w="2275"/>
        <w:gridCol w:w="11659"/>
      </w:tblGrid>
      <w:tr>
        <w:trPr>
          <w:trHeight w:val="47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44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r>
      <w:tr>
        <w:trPr>
          <w:trHeight w:val="46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600" w:right="0" w:firstLine="0"/>
              <w:jc w:val="left"/>
            </w:pPr>
            <w:r>
              <w:rPr>
                <w:b/>
                <w:bCs/>
                <w:color w:val="FFFFFF"/>
                <w:spacing w:val="0"/>
                <w:w w:val="100"/>
                <w:position w:val="0"/>
              </w:rPr>
              <w:t>归属于母公司所有者权益</w:t>
            </w:r>
          </w:p>
        </w:tc>
      </w:tr>
      <w:tr>
        <w:trPr>
          <w:trHeight w:val="1349"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0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927" w:val="left"/>
                <w:tab w:pos="9255" w:val="left"/>
              </w:tabs>
              <w:bidi w:val="0"/>
              <w:spacing w:before="0" w:after="0" w:line="240" w:lineRule="auto"/>
              <w:ind w:left="0" w:right="0" w:firstLine="980"/>
              <w:jc w:val="left"/>
            </w:pPr>
            <w:r>
              <w:rPr>
                <w:b/>
                <w:bCs/>
                <w:color w:val="FFFFFF"/>
                <w:spacing w:val="0"/>
                <w:w w:val="100"/>
                <w:position w:val="0"/>
              </w:rPr>
              <w:t>其他权</w:t>
              <w:tab/>
              <w:t>去</w:t>
              <w:tab/>
              <w:t>少数</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462" w:val="left"/>
                <w:tab w:pos="9255" w:val="left"/>
                <w:tab w:pos="10033" w:val="left"/>
              </w:tabs>
              <w:bidi w:val="0"/>
              <w:spacing w:before="0" w:after="0" w:line="240" w:lineRule="auto"/>
              <w:ind w:left="0" w:right="0" w:firstLine="980"/>
              <w:jc w:val="left"/>
            </w:pPr>
            <w:r>
              <w:rPr>
                <w:b/>
                <w:bCs/>
                <w:color w:val="FFFFFF"/>
                <w:spacing w:val="0"/>
                <w:w w:val="100"/>
                <w:position w:val="0"/>
              </w:rPr>
              <w:t>益工具</w:t>
              <w:tab/>
              <w:t>其他专</w:t>
              <w:tab/>
              <w:t>股东</w:t>
              <w:tab/>
              <w:t>所有者权益合计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02" w:val="left"/>
                <w:tab w:pos="1708" w:val="left"/>
                <w:tab w:pos="4262" w:val="left"/>
                <w:tab w:pos="5217" w:val="left"/>
                <w:tab w:pos="5994" w:val="left"/>
                <w:tab w:pos="8044" w:val="left"/>
                <w:tab w:pos="9258" w:val="left"/>
              </w:tabs>
              <w:bidi w:val="0"/>
              <w:spacing w:before="0" w:after="0" w:line="240" w:lineRule="auto"/>
              <w:ind w:left="0" w:right="0" w:firstLine="220"/>
              <w:jc w:val="left"/>
            </w:pPr>
            <w:r>
              <w:rPr>
                <w:b/>
                <w:bCs/>
                <w:color w:val="FFFFFF"/>
                <w:spacing w:val="0"/>
                <w:w w:val="100"/>
                <w:position w:val="0"/>
              </w:rPr>
              <w:t>股本</w:t>
              <w:tab/>
              <w:t>优永</w:t>
              <w:tab/>
              <w:t>资本公积 减:库存股综合项</w:t>
              <w:tab/>
              <w:t>盈余公积</w:t>
              <w:tab/>
              <w:t>■般风</w:t>
              <w:tab/>
              <w:t>未分配利润 其</w:t>
              <w:tab/>
              <w:t>小计</w:t>
              <w:tab/>
              <w:t>权益</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543" w:val="left"/>
                <w:tab w:pos="5305" w:val="left"/>
                <w:tab w:pos="7153" w:val="left"/>
              </w:tabs>
              <w:bidi w:val="0"/>
              <w:spacing w:before="0" w:after="0" w:line="240" w:lineRule="auto"/>
              <w:ind w:left="0" w:right="0" w:firstLine="980"/>
              <w:jc w:val="left"/>
            </w:pPr>
            <w:r>
              <w:rPr>
                <w:b/>
                <w:bCs/>
                <w:color w:val="FFFFFF"/>
                <w:spacing w:val="0"/>
                <w:w w:val="100"/>
                <w:position w:val="0"/>
              </w:rPr>
              <w:t>优续其</w:t>
              <w:tab/>
              <w:t>收益储</w:t>
              <w:tab/>
              <w:t>险准备</w:t>
              <w:tab/>
              <w:t>他</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80"/>
              <w:jc w:val="left"/>
            </w:pPr>
            <w:r>
              <w:rPr>
                <w:b/>
                <w:bCs/>
                <w:color w:val="FFFFFF"/>
                <w:spacing w:val="0"/>
                <w:w w:val="100"/>
                <w:position w:val="0"/>
              </w:rPr>
              <w:t>股债他</w:t>
            </w:r>
          </w:p>
        </w:tc>
      </w:tr>
      <w:tr>
        <w:trPr>
          <w:trHeight w:val="45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一、上年期末余额</w:t>
            </w:r>
          </w:p>
        </w:tc>
        <w:tc>
          <w:tcPr>
            <w:tcBorders/>
            <w:shd w:val="clear" w:color="auto" w:fill="F9ECF3"/>
            <w:vAlign w:val="center"/>
          </w:tcPr>
          <w:p>
            <w:pPr>
              <w:pStyle w:val="Style2"/>
              <w:keepNext w:val="0"/>
              <w:keepLines w:val="0"/>
              <w:widowControl w:val="0"/>
              <w:shd w:val="clear" w:color="auto" w:fill="auto"/>
              <w:tabs>
                <w:tab w:pos="1642" w:val="left"/>
                <w:tab w:pos="4320" w:val="left"/>
                <w:tab w:pos="6144" w:val="left"/>
                <w:tab w:pos="8237" w:val="left"/>
                <w:tab w:pos="10675"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13097224000</w:t>
              <w:tab/>
            </w:r>
            <w:r>
              <w:rPr>
                <w:rFonts w:ascii="Times New Roman" w:eastAsia="Times New Roman" w:hAnsi="Times New Roman" w:cs="Times New Roman"/>
                <w:color w:val="000000"/>
                <w:spacing w:val="0"/>
                <w:w w:val="100"/>
                <w:position w:val="0"/>
                <w:sz w:val="18"/>
                <w:szCs w:val="18"/>
              </w:rPr>
              <w:t>157,266,446.92 13,042,829.50</w:t>
              <w:tab/>
              <w:t>17,068,098.65</w:t>
              <w:tab/>
              <w:t>-20,844,908.97</w:t>
              <w:tab/>
              <w:t>271,019,047.10</w:t>
              <w:tab/>
              <w:t>271,019,047.10</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加：会计政策变更</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前期差错更正</w:t>
            </w:r>
          </w:p>
        </w:tc>
        <w:tc>
          <w:tcPr>
            <w:tcBorders>
              <w:top w:val="single" w:sz="4"/>
            </w:tcBorders>
            <w:shd w:val="clear" w:color="auto" w:fill="F9ECF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同一控制下企业合并</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tabs>
                <w:tab w:pos="1646" w:val="left"/>
                <w:tab w:pos="4306" w:val="left"/>
                <w:tab w:pos="6168" w:val="left"/>
                <w:tab w:pos="8237" w:val="left"/>
                <w:tab w:pos="10656"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13097224000</w:t>
              <w:tab/>
            </w:r>
            <w:r>
              <w:rPr>
                <w:rFonts w:ascii="Times New Roman" w:eastAsia="Times New Roman" w:hAnsi="Times New Roman" w:cs="Times New Roman"/>
                <w:color w:val="000000"/>
                <w:spacing w:val="0"/>
                <w:w w:val="100"/>
                <w:position w:val="0"/>
                <w:sz w:val="18"/>
                <w:szCs w:val="18"/>
              </w:rPr>
              <w:t>157^,446.92 13,042,829.50</w:t>
              <w:tab/>
              <w:t>17,068,098.65</w:t>
              <w:tab/>
              <w:t>-20,844,908.97</w:t>
              <w:tab/>
              <w:t>271,019,047.10</w:t>
              <w:tab/>
              <w:t>271,019,047.10</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59" w:lineRule="exact"/>
              <w:ind w:left="0" w:right="0" w:firstLine="0"/>
              <w:jc w:val="left"/>
            </w:pPr>
            <w:r>
              <w:rPr>
                <w:b/>
                <w:bCs/>
                <w:color w:val="FFFFFF"/>
                <w:spacing w:val="0"/>
                <w:w w:val="100"/>
                <w:position w:val="0"/>
              </w:rPr>
              <w:t>三、本期增减变动金额（减 少以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tabs>
                <w:tab w:pos="1866" w:val="left"/>
                <w:tab w:pos="6206" w:val="left"/>
                <w:tab w:pos="8294" w:val="left"/>
                <w:tab w:pos="10742" w:val="left"/>
              </w:tabs>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-298,880.00</w:t>
              <w:tab/>
              <w:t>-829,378.15 -1,357,58625</w:t>
              <w:tab/>
              <w:t>-87,497,12421</w:t>
              <w:tab/>
              <w:t>-87^7,796.11</w:t>
              <w:tab/>
              <w:t>-87^67,796.11</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（一）综合收益总额</w:t>
            </w:r>
          </w:p>
        </w:tc>
        <w:tc>
          <w:tcPr>
            <w:tcBorders>
              <w:top w:val="single" w:sz="4"/>
            </w:tcBorders>
            <w:shd w:val="clear" w:color="auto" w:fill="FFFFFF"/>
            <w:vAlign w:val="center"/>
          </w:tcPr>
          <w:p>
            <w:pPr>
              <w:pStyle w:val="Style2"/>
              <w:keepNext w:val="0"/>
              <w:keepLines w:val="0"/>
              <w:widowControl w:val="0"/>
              <w:shd w:val="clear" w:color="auto" w:fill="auto"/>
              <w:tabs>
                <w:tab w:pos="2102" w:val="left"/>
                <w:tab w:pos="4541"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-87,497,12421</w:t>
              <w:tab/>
              <w:t>-87,497,12421</w:t>
              <w:tab/>
              <w:t>-87,497,12421</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64" w:lineRule="exact"/>
              <w:ind w:left="0" w:right="0" w:firstLine="0"/>
              <w:jc w:val="left"/>
            </w:pPr>
            <w:r>
              <w:rPr>
                <w:b/>
                <w:bCs/>
                <w:color w:val="FFFFFF"/>
                <w:spacing w:val="0"/>
                <w:w w:val="100"/>
                <w:position w:val="0"/>
              </w:rPr>
              <w:t>（二）所有者投入和减少资 本</w:t>
            </w:r>
          </w:p>
        </w:tc>
        <w:tc>
          <w:tcPr>
            <w:tcBorders>
              <w:top w:val="single" w:sz="4"/>
            </w:tcBorders>
            <w:shd w:val="clear" w:color="auto" w:fill="F9ECF3"/>
            <w:vAlign w:val="center"/>
          </w:tcPr>
          <w:p>
            <w:pPr>
              <w:pStyle w:val="Style2"/>
              <w:keepNext w:val="0"/>
              <w:keepLines w:val="0"/>
              <w:widowControl w:val="0"/>
              <w:shd w:val="clear" w:color="auto" w:fill="auto"/>
              <w:tabs>
                <w:tab w:pos="1847" w:val="left"/>
                <w:tab w:pos="8519" w:val="left"/>
                <w:tab w:pos="10934" w:val="left"/>
              </w:tabs>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-298,880.00</w:t>
              <w:tab/>
              <w:t>-829,378.15 -1,357,58625</w:t>
              <w:tab/>
              <w:t>229,328.10</w:t>
              <w:tab/>
              <w:t>229,328.10</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.所有者投入的普通股</w:t>
            </w:r>
          </w:p>
        </w:tc>
        <w:tc>
          <w:tcPr>
            <w:tcBorders>
              <w:top w:val="single" w:sz="4"/>
            </w:tcBorders>
            <w:shd w:val="clear" w:color="auto" w:fill="FFFFFF"/>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50" w:lineRule="exact"/>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w:t>
            </w:r>
            <w:r>
              <w:rPr>
                <w:b/>
                <w:bCs/>
                <w:color w:val="FFFFFF"/>
                <w:spacing w:val="0"/>
                <w:w w:val="100"/>
                <w:position w:val="0"/>
              </w:rPr>
              <w:t>其他权益工具持有者投入 资本</w:t>
            </w:r>
          </w:p>
        </w:tc>
        <w:tc>
          <w:tcPr>
            <w:tcBorders>
              <w:top w:val="single" w:sz="4"/>
            </w:tcBorders>
            <w:shd w:val="clear" w:color="auto" w:fill="F9ECF3"/>
            <w:vAlign w:val="top"/>
          </w:tcPr>
          <w:p>
            <w:pPr>
              <w:widowControl w:val="0"/>
              <w:rPr>
                <w:sz w:val="10"/>
                <w:szCs w:val="10"/>
              </w:rPr>
            </w:pPr>
          </w:p>
        </w:tc>
      </w:tr>
      <w:tr>
        <w:trPr>
          <w:trHeight w:val="4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w:t>
            </w:r>
            <w:r>
              <w:rPr>
                <w:b/>
                <w:bCs/>
                <w:color w:val="FFFFFF"/>
                <w:spacing w:val="0"/>
                <w:w w:val="100"/>
                <w:position w:val="0"/>
              </w:rPr>
              <w:t>股份支付计入所有者权益</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6590" w:val="left"/>
                <w:tab w:pos="9010"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229,328.10</w:t>
              <w:tab/>
              <w:t>229,328.10</w:t>
              <w:tab/>
              <w:t>229,328.10</w:t>
            </w:r>
          </w:p>
        </w:tc>
      </w:tr>
    </w:tbl>
    <w:p>
      <w:pPr>
        <w:spacing w:lineRule="exact" w:line="1"/>
        <w:rPr>
          <w:sz w:val="2"/>
          <w:szCs w:val="2"/>
        </w:rPr>
      </w:pPr>
      <w:r>
        <w:br w:type="page"/>
      </w:r>
    </w:p>
    <w:tbl>
      <w:tblPr>
        <w:tblOverlap w:val="never"/>
        <w:jc w:val="center"/>
        <w:tblLayout w:type="fixed"/>
      </w:tblPr>
      <w:tblGrid>
        <w:gridCol w:w="2290"/>
        <w:gridCol w:w="11674"/>
      </w:tblGrid>
      <w:tr>
        <w:trPr>
          <w:trHeight w:val="509"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r>
      <w:tr>
        <w:trPr>
          <w:trHeight w:val="456"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的金额</w:t>
            </w:r>
          </w:p>
        </w:tc>
        <w:tc>
          <w:tcPr>
            <w:tcBorders/>
            <w:shd w:val="clear" w:color="auto" w:fill="A22B6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w:t>
            </w:r>
          </w:p>
        </w:tc>
        <w:tc>
          <w:tcPr>
            <w:tcBorders>
              <w:top w:val="single" w:sz="4"/>
            </w:tcBorders>
            <w:shd w:val="clear" w:color="auto" w:fill="7E3F6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（三）利润分配</w:t>
            </w:r>
          </w:p>
        </w:tc>
        <w:tc>
          <w:tcPr>
            <w:tcBorders>
              <w:top w:val="single" w:sz="4"/>
            </w:tcBorders>
            <w:shd w:val="clear" w:color="auto" w:fill="A22B6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.提取盈余公积</w:t>
            </w:r>
          </w:p>
        </w:tc>
        <w:tc>
          <w:tcPr>
            <w:tcBorders>
              <w:top w:val="single" w:sz="4"/>
            </w:tcBorders>
            <w:shd w:val="clear" w:color="auto" w:fill="A22B6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w:t>
            </w:r>
            <w:r>
              <w:rPr>
                <w:b/>
                <w:bCs/>
                <w:color w:val="FFFFFF"/>
                <w:spacing w:val="0"/>
                <w:w w:val="100"/>
                <w:position w:val="0"/>
              </w:rPr>
              <w:t>提取一般风险准备</w:t>
            </w:r>
          </w:p>
        </w:tc>
        <w:tc>
          <w:tcPr>
            <w:tcBorders>
              <w:top w:val="single" w:sz="4"/>
            </w:tcBorders>
            <w:shd w:val="clear" w:color="auto" w:fill="7E3F63"/>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w:t>
            </w:r>
            <w:r>
              <w:rPr>
                <w:b/>
                <w:bCs/>
                <w:color w:val="FFFFFF"/>
                <w:spacing w:val="0"/>
                <w:w w:val="100"/>
                <w:position w:val="0"/>
              </w:rPr>
              <w:t>对所有者（或股东）的分 配</w:t>
            </w:r>
          </w:p>
        </w:tc>
        <w:tc>
          <w:tcPr>
            <w:tcBorders>
              <w:top w:val="single" w:sz="4"/>
            </w:tcBorders>
            <w:shd w:val="clear" w:color="auto" w:fill="A22B6F"/>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w:t>
            </w:r>
          </w:p>
        </w:tc>
        <w:tc>
          <w:tcPr>
            <w:tcBorders>
              <w:top w:val="single" w:sz="4"/>
            </w:tcBorders>
            <w:shd w:val="clear" w:color="auto" w:fill="A22B6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（四）所有者权益内部结转</w:t>
            </w:r>
          </w:p>
        </w:tc>
        <w:tc>
          <w:tcPr>
            <w:tcBorders>
              <w:top w:val="single" w:sz="4"/>
            </w:tcBorders>
            <w:shd w:val="clear" w:color="auto" w:fill="A22B6F"/>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1" w:lineRule="exact"/>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w:t>
            </w:r>
            <w:r>
              <w:rPr>
                <w:b/>
                <w:bCs/>
                <w:color w:val="FFFFFF"/>
                <w:spacing w:val="0"/>
                <w:w w:val="100"/>
                <w:position w:val="0"/>
              </w:rPr>
              <w:t>资本公积转增资本（或股 本）</w:t>
            </w:r>
          </w:p>
        </w:tc>
        <w:tc>
          <w:tcPr>
            <w:tcBorders>
              <w:top w:val="single" w:sz="4"/>
            </w:tcBorders>
            <w:shd w:val="clear" w:color="auto" w:fill="A22B6F"/>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w:t>
            </w:r>
            <w:r>
              <w:rPr>
                <w:b/>
                <w:bCs/>
                <w:color w:val="FFFFFF"/>
                <w:spacing w:val="0"/>
                <w:w w:val="100"/>
                <w:position w:val="0"/>
              </w:rPr>
              <w:t>盈余公积转增资本（或股 本）</w:t>
            </w:r>
          </w:p>
        </w:tc>
        <w:tc>
          <w:tcPr>
            <w:tcBorders>
              <w:top w:val="single" w:sz="4"/>
            </w:tcBorders>
            <w:shd w:val="clear" w:color="auto" w:fill="A22B6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w:t>
            </w:r>
            <w:r>
              <w:rPr>
                <w:b/>
                <w:bCs/>
                <w:color w:val="FFFFFF"/>
                <w:spacing w:val="0"/>
                <w:w w:val="100"/>
                <w:position w:val="0"/>
              </w:rPr>
              <w:t>盈余公积弥补亏损</w:t>
            </w:r>
          </w:p>
        </w:tc>
        <w:tc>
          <w:tcPr>
            <w:tcBorders>
              <w:top w:val="single" w:sz="4"/>
            </w:tcBorders>
            <w:shd w:val="clear" w:color="auto" w:fill="7E3F63"/>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5" w:lineRule="exact"/>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w:t>
            </w:r>
            <w:r>
              <w:rPr>
                <w:b/>
                <w:bCs/>
                <w:color w:val="FFFFFF"/>
                <w:spacing w:val="0"/>
                <w:w w:val="100"/>
                <w:position w:val="0"/>
              </w:rPr>
              <w:t>设定受益计划变动额结转 留存收益</w:t>
            </w:r>
          </w:p>
        </w:tc>
        <w:tc>
          <w:tcPr>
            <w:tcBorders>
              <w:top w:val="single" w:sz="4"/>
            </w:tcBorders>
            <w:shd w:val="clear" w:color="auto" w:fill="A22B6F"/>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w:t>
            </w:r>
            <w:r>
              <w:rPr>
                <w:b/>
                <w:bCs/>
                <w:color w:val="FFFFFF"/>
                <w:spacing w:val="0"/>
                <w:w w:val="100"/>
                <w:position w:val="0"/>
              </w:rPr>
              <w:t>其他综合收益结转留存收 益</w:t>
            </w:r>
          </w:p>
        </w:tc>
        <w:tc>
          <w:tcPr>
            <w:tcBorders>
              <w:top w:val="single" w:sz="4"/>
            </w:tcBorders>
            <w:shd w:val="clear" w:color="auto" w:fill="A22B6F"/>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6</w:t>
            </w:r>
            <w:r>
              <w:rPr>
                <w:b/>
                <w:bCs/>
                <w:color w:val="FFFFFF"/>
                <w:spacing w:val="0"/>
                <w:w w:val="100"/>
                <w:position w:val="0"/>
              </w:rPr>
              <w:t>.其他</w:t>
            </w:r>
          </w:p>
        </w:tc>
        <w:tc>
          <w:tcPr>
            <w:tcBorders>
              <w:top w:val="single" w:sz="4"/>
            </w:tcBorders>
            <w:shd w:val="clear" w:color="auto" w:fill="A22B6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（五）专项储备</w:t>
            </w:r>
          </w:p>
        </w:tc>
        <w:tc>
          <w:tcPr>
            <w:tcBorders>
              <w:top w:val="single" w:sz="4"/>
            </w:tcBorders>
            <w:shd w:val="clear" w:color="auto" w:fill="A22B6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1 </w:t>
            </w:r>
            <w:r>
              <w:rPr>
                <w:b/>
                <w:bCs/>
                <w:color w:val="FFFFFF"/>
                <w:spacing w:val="0"/>
                <w:w w:val="100"/>
                <w:position w:val="0"/>
              </w:rPr>
              <w:t>.本期提取</w:t>
            </w:r>
          </w:p>
        </w:tc>
        <w:tc>
          <w:tcPr>
            <w:tcBorders>
              <w:top w:val="single" w:sz="4"/>
            </w:tcBorders>
            <w:shd w:val="clear" w:color="auto" w:fill="7E3F6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 </w:t>
            </w:r>
            <w:r>
              <w:rPr>
                <w:b/>
                <w:bCs/>
                <w:color w:val="FFFFFF"/>
                <w:spacing w:val="0"/>
                <w:w w:val="100"/>
                <w:position w:val="0"/>
              </w:rPr>
              <w:t>.本期使用</w:t>
            </w:r>
          </w:p>
        </w:tc>
        <w:tc>
          <w:tcPr>
            <w:tcBorders>
              <w:top w:val="single" w:sz="4"/>
            </w:tcBorders>
            <w:shd w:val="clear" w:color="auto" w:fill="A22B6F"/>
            <w:vAlign w:val="top"/>
          </w:tcPr>
          <w:p>
            <w:pPr>
              <w:widowControl w:val="0"/>
              <w:rPr>
                <w:sz w:val="10"/>
                <w:szCs w:val="10"/>
              </w:rPr>
            </w:pPr>
          </w:p>
        </w:tc>
      </w:tr>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（六）其他</w:t>
            </w:r>
          </w:p>
        </w:tc>
        <w:tc>
          <w:tcPr>
            <w:tcBorders>
              <w:top w:val="single" w:sz="4"/>
            </w:tcBorders>
            <w:shd w:val="clear" w:color="auto" w:fill="A22B6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0"/>
        <w:gridCol w:w="1714"/>
        <w:gridCol w:w="2606"/>
        <w:gridCol w:w="3782"/>
        <w:gridCol w:w="2275"/>
        <w:gridCol w:w="1718"/>
      </w:tblGrid>
      <w:tr>
        <w:trPr>
          <w:trHeight w:val="504"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60"/>
              <w:jc w:val="left"/>
            </w:pPr>
            <w:r>
              <w:rPr>
                <w:b/>
                <w:bCs/>
                <w:color w:val="FFFFFF"/>
                <w:spacing w:val="0"/>
                <w:w w:val="100"/>
                <w:position w:val="0"/>
              </w:rPr>
              <w:t>项目</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top"/>
          </w:tcPr>
          <w:p>
            <w:pPr>
              <w:widowControl w:val="0"/>
              <w:rPr>
                <w:sz w:val="10"/>
                <w:szCs w:val="10"/>
              </w:rPr>
            </w:pPr>
          </w:p>
        </w:tc>
      </w:tr>
      <w:tr>
        <w:trPr>
          <w:trHeight w:val="4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四、本期期末余额</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13027336000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156,437,068.77 </w:t>
            </w:r>
            <w:r>
              <w:rPr>
                <w:rFonts w:ascii="Times New Roman" w:eastAsia="Times New Roman" w:hAnsi="Times New Roman" w:cs="Times New Roman"/>
                <w:color w:val="000000"/>
                <w:spacing w:val="0"/>
                <w:w w:val="100"/>
                <w:position w:val="0"/>
                <w:sz w:val="18"/>
                <w:szCs w:val="18"/>
              </w:rPr>
              <w:t>11,68524325</w:t>
            </w:r>
          </w:p>
        </w:tc>
        <w:tc>
          <w:tcPr>
            <w:tcBorders>
              <w:bottom w:val="single" w:sz="4"/>
            </w:tcBorders>
            <w:shd w:val="clear" w:color="auto" w:fill="FFFFFF"/>
            <w:vAlign w:val="center"/>
          </w:tcPr>
          <w:p>
            <w:pPr>
              <w:pStyle w:val="Style2"/>
              <w:keepNext w:val="0"/>
              <w:keepLines w:val="0"/>
              <w:widowControl w:val="0"/>
              <w:shd w:val="clear" w:color="auto" w:fill="auto"/>
              <w:tabs>
                <w:tab w:pos="2158" w:val="left"/>
              </w:tabs>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17,068,098.65</w:t>
              <w:tab/>
              <w:t>-108,342,033.18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183,751,250.99</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45"/>
        <w:keepNext w:val="0"/>
        <w:keepLines w:val="0"/>
        <w:widowControl w:val="0"/>
        <w:shd w:val="clear" w:color="auto" w:fill="auto"/>
        <w:bidi w:val="0"/>
        <w:spacing w:before="0" w:after="0" w:line="240" w:lineRule="auto"/>
        <w:ind w:left="13229" w:right="0" w:firstLine="0"/>
        <w:jc w:val="left"/>
      </w:pPr>
      <w:r>
        <w:rPr>
          <w:color w:val="000000"/>
          <w:spacing w:val="0"/>
          <w:w w:val="100"/>
          <w:position w:val="0"/>
        </w:rPr>
        <w:t>单位：元</w:t>
      </w:r>
    </w:p>
    <w:tbl>
      <w:tblPr>
        <w:tblOverlap w:val="never"/>
        <w:jc w:val="center"/>
        <w:tblLayout w:type="fixed"/>
      </w:tblPr>
      <w:tblGrid>
        <w:gridCol w:w="2506"/>
        <w:gridCol w:w="11462"/>
      </w:tblGrid>
      <w:tr>
        <w:trPr>
          <w:trHeight w:val="494" w:hRule="exact"/>
        </w:trPr>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年年度</w:t>
            </w:r>
          </w:p>
        </w:tc>
      </w:tr>
      <w:tr>
        <w:trPr>
          <w:trHeight w:val="46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740" w:right="0" w:firstLine="0"/>
              <w:jc w:val="left"/>
            </w:pPr>
            <w:r>
              <w:rPr>
                <w:b/>
                <w:bCs/>
                <w:color w:val="FFFFFF"/>
                <w:spacing w:val="0"/>
                <w:w w:val="100"/>
                <w:position w:val="0"/>
              </w:rPr>
              <w:t>归属于母公司所有者权益</w:t>
            </w:r>
          </w:p>
        </w:tc>
      </w:tr>
      <w:tr>
        <w:trPr>
          <w:trHeight w:val="1022"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488" w:val="left"/>
              </w:tabs>
              <w:bidi w:val="0"/>
              <w:spacing w:before="0" w:after="0" w:line="240" w:lineRule="auto"/>
              <w:ind w:left="1040" w:right="0" w:firstLine="0"/>
              <w:jc w:val="left"/>
            </w:pPr>
            <w:r>
              <w:rPr>
                <w:b/>
                <w:bCs/>
                <w:color w:val="FFFFFF"/>
                <w:spacing w:val="0"/>
                <w:w w:val="100"/>
                <w:position w:val="0"/>
              </w:rPr>
              <w:t>其他权益工具</w:t>
              <w:tab/>
              <w:t>少数股东所有者权益合</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315" w:val="left"/>
                <w:tab w:pos="8795" w:val="left"/>
                <w:tab w:pos="9659" w:val="left"/>
                <w:tab w:pos="10739" w:val="left"/>
              </w:tabs>
              <w:bidi w:val="0"/>
              <w:spacing w:before="0" w:after="0" w:line="240" w:lineRule="auto"/>
              <w:ind w:left="0" w:right="0" w:firstLine="280"/>
              <w:jc w:val="left"/>
            </w:pPr>
            <w:r>
              <w:rPr>
                <w:rFonts w:ascii="Times New Roman" w:eastAsia="Times New Roman" w:hAnsi="Times New Roman" w:cs="Times New Roman"/>
                <w:color w:val="FFFFFF"/>
                <w:spacing w:val="0"/>
                <w:w w:val="100"/>
                <w:position w:val="0"/>
                <w:sz w:val="18"/>
                <w:szCs w:val="18"/>
              </w:rPr>
              <w:t>nn._J</w:t>
            </w:r>
            <w:r>
              <w:rPr>
                <w:rFonts w:ascii="Times New Roman" w:eastAsia="Times New Roman" w:hAnsi="Times New Roman" w:cs="Times New Roman"/>
                <w:color w:val="FFFFFF"/>
                <w:spacing w:val="0"/>
                <w:w w:val="100"/>
                <w:position w:val="0"/>
                <w:sz w:val="18"/>
                <w:szCs w:val="18"/>
                <w:vertAlign w:val="subscript"/>
              </w:rPr>
              <w:t>r</w:t>
            </w:r>
            <w:r>
              <w:rPr>
                <w:rFonts w:ascii="Times New Roman" w:eastAsia="Times New Roman" w:hAnsi="Times New Roman" w:cs="Times New Roman"/>
                <w:color w:val="FFFFFF"/>
                <w:spacing w:val="0"/>
                <w:w w:val="100"/>
                <w:position w:val="0"/>
                <w:sz w:val="18"/>
                <w:szCs w:val="18"/>
              </w:rPr>
              <w:tab/>
            </w:r>
            <w:r>
              <w:rPr>
                <w:b/>
                <w:bCs/>
                <w:color w:val="FFFFFF"/>
                <w:spacing w:val="0"/>
                <w:w w:val="100"/>
                <w:position w:val="0"/>
              </w:rPr>
              <w:t>次大八型壮祚右其他综合专项加■八宜</w:t>
            </w:r>
            <w:r>
              <w:rPr>
                <w:b/>
                <w:bCs/>
                <w:color w:val="FFFFFF"/>
                <w:spacing w:val="0"/>
                <w:w w:val="100"/>
                <w:position w:val="0"/>
              </w:rPr>
              <w:t>］</w:t>
            </w:r>
            <w:r>
              <w:rPr>
                <w:b/>
                <w:bCs/>
                <w:color w:val="FFFFFF"/>
                <w:spacing w:val="0"/>
                <w:w w:val="100"/>
                <w:position w:val="0"/>
              </w:rPr>
              <w:t>一般风险土"州到福其</w:t>
              <w:tab/>
              <w:t>，［、斗</w:t>
              <w:tab/>
              <w:t>权益</w:t>
              <w:tab/>
              <w:t>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280"/>
              <w:jc w:val="left"/>
            </w:pPr>
            <w:r>
              <w:rPr>
                <w:b/>
                <w:bCs/>
                <w:color w:val="FFFFFF"/>
                <w:spacing w:val="0"/>
                <w:w w:val="100"/>
                <w:position w:val="0"/>
              </w:rPr>
              <w:t>股本优先永续其资本公积减：库存股收益储备盈余公积准备未分配利润他小计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40" w:right="0" w:firstLine="0"/>
              <w:jc w:val="left"/>
            </w:pPr>
            <w:r>
              <w:rPr>
                <w:b/>
                <w:bCs/>
                <w:color w:val="FFFFFF"/>
                <w:spacing w:val="0"/>
                <w:w w:val="100"/>
                <w:position w:val="0"/>
              </w:rPr>
              <w:t>股债他</w:t>
            </w:r>
          </w:p>
        </w:tc>
      </w:tr>
      <w:tr>
        <w:trPr>
          <w:trHeight w:val="45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一、上年期末余额</w:t>
            </w:r>
          </w:p>
        </w:tc>
        <w:tc>
          <w:tcPr>
            <w:tcBorders/>
            <w:shd w:val="clear" w:color="auto" w:fill="F9ECF3"/>
            <w:vAlign w:val="center"/>
          </w:tcPr>
          <w:p>
            <w:pPr>
              <w:pStyle w:val="Style2"/>
              <w:keepNext w:val="0"/>
              <w:keepLines w:val="0"/>
              <w:widowControl w:val="0"/>
              <w:shd w:val="clear" w:color="auto" w:fill="auto"/>
              <w:tabs>
                <w:tab w:pos="2122" w:val="left"/>
                <w:tab w:pos="3211" w:val="left"/>
                <w:tab w:pos="5410" w:val="left"/>
                <w:tab w:pos="7186" w:val="left"/>
                <w:tab w:pos="8438" w:val="left"/>
                <w:tab w:pos="10411"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81,703,050.00</w:t>
              <w:tab/>
              <w:t>210,666,683.68</w:t>
              <w:tab/>
              <w:t>3,339,200.00</w:t>
              <w:tab/>
              <w:t>17,054,860.14</w:t>
              <w:tab/>
              <w:t>96,986,577.67</w:t>
              <w:tab/>
              <w:t>403,071,971.49</w:t>
              <w:tab/>
              <w:t>403,071,971.49</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力加会计政策变更</w:t>
            </w:r>
          </w:p>
        </w:tc>
        <w:tc>
          <w:tcPr>
            <w:tcBorders>
              <w:top w:val="single" w:sz="4"/>
            </w:tcBorders>
            <w:shd w:val="clear" w:color="auto" w:fill="FFFFFF"/>
            <w:vAlign w:val="center"/>
          </w:tcPr>
          <w:p>
            <w:pPr>
              <w:pStyle w:val="Style2"/>
              <w:keepNext w:val="0"/>
              <w:keepLines w:val="0"/>
              <w:widowControl w:val="0"/>
              <w:shd w:val="clear" w:color="auto" w:fill="auto"/>
              <w:tabs>
                <w:tab w:pos="7378" w:val="left"/>
                <w:tab w:pos="8708" w:val="left"/>
                <w:tab w:pos="10681" w:val="left"/>
              </w:tabs>
              <w:bidi w:val="0"/>
              <w:spacing w:before="0" w:after="0" w:line="240" w:lineRule="auto"/>
              <w:ind w:left="5780" w:right="0" w:firstLine="0"/>
              <w:jc w:val="both"/>
              <w:rPr>
                <w:sz w:val="18"/>
                <w:szCs w:val="18"/>
              </w:rPr>
            </w:pPr>
            <w:r>
              <w:rPr>
                <w:rFonts w:ascii="Times New Roman" w:eastAsia="Times New Roman" w:hAnsi="Times New Roman" w:cs="Times New Roman"/>
                <w:color w:val="000000"/>
                <w:spacing w:val="0"/>
                <w:w w:val="100"/>
                <w:position w:val="0"/>
                <w:sz w:val="18"/>
                <w:szCs w:val="18"/>
              </w:rPr>
              <w:t>-2,520.65</w:t>
              <w:tab/>
              <w:t>-373,497.50</w:t>
              <w:tab/>
              <w:t>-376,018.15</w:t>
              <w:tab/>
              <w:t>-376,018.15</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前期差错更正</w:t>
            </w:r>
          </w:p>
        </w:tc>
        <w:tc>
          <w:tcPr>
            <w:tcBorders>
              <w:top w:val="single" w:sz="4"/>
            </w:tcBorders>
            <w:shd w:val="clear" w:color="auto" w:fill="F9ECF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同一控制下企业合并</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其他</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tabs>
                <w:tab w:pos="2107" w:val="left"/>
                <w:tab w:pos="3216" w:val="left"/>
                <w:tab w:pos="5400" w:val="left"/>
                <w:tab w:pos="7166" w:val="left"/>
                <w:tab w:pos="8429" w:val="left"/>
                <w:tab w:pos="1041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81,703,050.00</w:t>
              <w:tab/>
              <w:t>210,666,683.68</w:t>
              <w:tab/>
              <w:t>3,339,200.00</w:t>
              <w:tab/>
              <w:t>17,052,339.49</w:t>
              <w:tab/>
              <w:t>96,613,080.17</w:t>
              <w:tab/>
              <w:t>402,695,953.34</w:t>
              <w:tab/>
              <w:t>402,695,953.34</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02" w:lineRule="exact"/>
              <w:ind w:left="0" w:right="0" w:firstLine="0"/>
              <w:jc w:val="left"/>
            </w:pPr>
            <w:r>
              <w:rPr>
                <w:b/>
                <w:bCs/>
                <w:color w:val="FFFFFF"/>
                <w:spacing w:val="0"/>
                <w:w w:val="100"/>
                <w:position w:val="0"/>
              </w:rPr>
              <w:t xml:space="preserve">三、本期增减变动金额（减少以 </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tabs>
                <w:tab w:pos="2165" w:val="left"/>
                <w:tab w:pos="3240" w:val="left"/>
                <w:tab w:pos="5678" w:val="left"/>
                <w:tab w:pos="7142" w:val="left"/>
                <w:tab w:pos="8472" w:val="left"/>
                <w:tab w:pos="1034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48,869,190.00</w:t>
              <w:tab/>
              <w:t>-53,400,23676</w:t>
              <w:tab/>
              <w:t>9,703,629.50</w:t>
              <w:tab/>
              <w:t>15,759.16</w:t>
              <w:tab/>
            </w:r>
            <w:r>
              <w:rPr>
                <w:rFonts w:ascii="Times New Roman" w:eastAsia="Times New Roman" w:hAnsi="Times New Roman" w:cs="Times New Roman"/>
                <w:color w:val="000000"/>
                <w:spacing w:val="0"/>
                <w:w w:val="100"/>
                <w:position w:val="0"/>
                <w:sz w:val="12"/>
                <w:szCs w:val="12"/>
                <w:vertAlign w:val="superscript"/>
              </w:rPr>
              <w:t>-117,457,98</w:t>
            </w:r>
            <w:r>
              <w:rPr>
                <w:rFonts w:ascii="Times New Roman" w:eastAsia="Times New Roman" w:hAnsi="Times New Roman" w:cs="Times New Roman"/>
                <w:color w:val="000000"/>
                <w:spacing w:val="0"/>
                <w:w w:val="100"/>
                <w:position w:val="0"/>
                <w:sz w:val="18"/>
                <w:szCs w:val="18"/>
              </w:rPr>
              <w:t>91</w:t>
              <w:tab/>
            </w:r>
            <w:r>
              <w:rPr>
                <w:rFonts w:ascii="Times New Roman" w:eastAsia="Times New Roman" w:hAnsi="Times New Roman" w:cs="Times New Roman"/>
                <w:color w:val="000000"/>
                <w:spacing w:val="0"/>
                <w:w w:val="100"/>
                <w:position w:val="0"/>
                <w:sz w:val="12"/>
                <w:szCs w:val="12"/>
                <w:vertAlign w:val="superscript"/>
              </w:rPr>
              <w:t>-131,676,906</w:t>
            </w:r>
            <w:r>
              <w:rPr>
                <w:rFonts w:ascii="Times New Roman" w:eastAsia="Times New Roman" w:hAnsi="Times New Roman" w:cs="Times New Roman"/>
                <w:color w:val="000000"/>
                <w:spacing w:val="0"/>
                <w:w w:val="100"/>
                <w:position w:val="0"/>
                <w:sz w:val="12"/>
                <w:szCs w:val="12"/>
              </w:rPr>
              <w:t>-</w:t>
            </w:r>
            <w:r>
              <w:rPr>
                <w:rFonts w:ascii="Times New Roman" w:eastAsia="Times New Roman" w:hAnsi="Times New Roman" w:cs="Times New Roman"/>
                <w:color w:val="000000"/>
                <w:spacing w:val="0"/>
                <w:w w:val="100"/>
                <w:position w:val="0"/>
                <w:sz w:val="18"/>
                <w:szCs w:val="18"/>
              </w:rPr>
              <w:t>2</w:t>
              <w:tab/>
            </w:r>
            <w:r>
              <w:rPr>
                <w:rFonts w:ascii="Times New Roman" w:eastAsia="Times New Roman" w:hAnsi="Times New Roman" w:cs="Times New Roman"/>
                <w:color w:val="000000"/>
                <w:spacing w:val="0"/>
                <w:w w:val="100"/>
                <w:position w:val="0"/>
                <w:sz w:val="18"/>
                <w:szCs w:val="18"/>
              </w:rPr>
              <w:t>-131,676,90624</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（一）综合收益总额</w:t>
            </w:r>
          </w:p>
        </w:tc>
        <w:tc>
          <w:tcPr>
            <w:tcBorders>
              <w:top w:val="single" w:sz="4"/>
            </w:tcBorders>
            <w:shd w:val="clear" w:color="auto" w:fill="FFFFFF"/>
            <w:vAlign w:val="center"/>
          </w:tcPr>
          <w:p>
            <w:pPr>
              <w:pStyle w:val="Style2"/>
              <w:keepNext w:val="0"/>
              <w:keepLines w:val="0"/>
              <w:widowControl w:val="0"/>
              <w:shd w:val="clear" w:color="auto" w:fill="auto"/>
              <w:tabs>
                <w:tab w:pos="1310" w:val="left"/>
                <w:tab w:pos="3288"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-92,950,034.98</w:t>
              <w:tab/>
              <w:t>-92,950,034.98</w:t>
              <w:tab/>
              <w:t>-92,950,034.98</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（二）所有者投入和减少资本</w:t>
            </w:r>
          </w:p>
        </w:tc>
        <w:tc>
          <w:tcPr>
            <w:tcBorders>
              <w:top w:val="single" w:sz="4"/>
            </w:tcBorders>
            <w:shd w:val="clear" w:color="auto" w:fill="F9ECF3"/>
            <w:vAlign w:val="center"/>
          </w:tcPr>
          <w:p>
            <w:pPr>
              <w:pStyle w:val="Style2"/>
              <w:keepNext w:val="0"/>
              <w:keepLines w:val="0"/>
              <w:widowControl w:val="0"/>
              <w:shd w:val="clear" w:color="auto" w:fill="auto"/>
              <w:tabs>
                <w:tab w:pos="2328" w:val="left"/>
                <w:tab w:pos="3298" w:val="left"/>
                <w:tab w:pos="8549" w:val="left"/>
                <w:tab w:pos="10536" w:val="left"/>
              </w:tabs>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-1152D00</w:t>
              <w:tab/>
              <w:t>4,415,846.76</w:t>
              <w:tab/>
              <w:t>9,703,629.50</w:t>
              <w:tab/>
              <w:t>-14^34,67626</w:t>
              <w:tab/>
              <w:t>-14234,67626</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1 </w:t>
            </w:r>
            <w:r>
              <w:rPr>
                <w:b/>
                <w:bCs/>
                <w:color w:val="FFFFFF"/>
                <w:spacing w:val="0"/>
                <w:w w:val="100"/>
                <w:position w:val="0"/>
              </w:rPr>
              <w:t>.所有者投入的普通股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■4293,09712 4293,097.12</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54" w:lineRule="exact"/>
              <w:ind w:left="0" w:right="0" w:firstLine="0"/>
              <w:jc w:val="left"/>
            </w:pPr>
            <w:r>
              <w:rPr>
                <w:rFonts w:ascii="Times New Roman" w:eastAsia="Times New Roman" w:hAnsi="Times New Roman" w:cs="Times New Roman"/>
                <w:b/>
                <w:bCs/>
                <w:color w:val="FFFFFF"/>
                <w:spacing w:val="0"/>
                <w:w w:val="100"/>
                <w:position w:val="0"/>
                <w:sz w:val="18"/>
                <w:szCs w:val="18"/>
              </w:rPr>
              <w:t xml:space="preserve">2 </w:t>
            </w:r>
            <w:r>
              <w:rPr>
                <w:b/>
                <w:bCs/>
                <w:color w:val="FFFFFF"/>
                <w:spacing w:val="0"/>
                <w:w w:val="100"/>
                <w:position w:val="0"/>
              </w:rPr>
              <w:t>,其他权益工具持有者投入资 本</w:t>
            </w:r>
          </w:p>
        </w:tc>
        <w:tc>
          <w:tcPr>
            <w:tcBorders>
              <w:top w:val="single" w:sz="4"/>
            </w:tcBorders>
            <w:shd w:val="clear" w:color="auto" w:fill="F9ECF3"/>
            <w:vAlign w:val="top"/>
          </w:tcPr>
          <w:p>
            <w:pPr>
              <w:widowControl w:val="0"/>
              <w:rPr>
                <w:sz w:val="10"/>
                <w:szCs w:val="10"/>
              </w:rPr>
            </w:pPr>
          </w:p>
        </w:tc>
      </w:tr>
      <w:tr>
        <w:trPr>
          <w:trHeight w:val="4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.股份支付计入所有者权益的</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6293" w:val="left"/>
                <w:tab w:pos="8266"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777,53976</w:t>
              <w:tab/>
            </w:r>
            <w:r>
              <w:rPr>
                <w:rFonts w:ascii="Times New Roman" w:eastAsia="Times New Roman" w:hAnsi="Times New Roman" w:cs="Times New Roman"/>
                <w:color w:val="000000"/>
                <w:spacing w:val="0"/>
                <w:w w:val="100"/>
                <w:position w:val="0"/>
                <w:sz w:val="18"/>
                <w:szCs w:val="18"/>
              </w:rPr>
              <w:t>777,539.76</w:t>
              <w:tab/>
            </w:r>
            <w:r>
              <w:rPr>
                <w:rFonts w:ascii="Times New Roman" w:eastAsia="Times New Roman" w:hAnsi="Times New Roman" w:cs="Times New Roman"/>
                <w:color w:val="000000"/>
                <w:spacing w:val="0"/>
                <w:w w:val="100"/>
                <w:position w:val="0"/>
                <w:sz w:val="18"/>
                <w:szCs w:val="18"/>
              </w:rPr>
              <w:t>777,53976</w:t>
            </w:r>
          </w:p>
        </w:tc>
      </w:tr>
    </w:tbl>
    <w:p>
      <w:pPr>
        <w:spacing w:lineRule="exact" w:line="1"/>
        <w:rPr>
          <w:sz w:val="2"/>
          <w:szCs w:val="2"/>
        </w:rPr>
      </w:pPr>
      <w:r>
        <w:br w:type="page"/>
      </w:r>
    </w:p>
    <w:tbl>
      <w:tblPr>
        <w:tblOverlap w:val="never"/>
        <w:jc w:val="center"/>
        <w:tblLayout w:type="fixed"/>
      </w:tblPr>
      <w:tblGrid>
        <w:gridCol w:w="2462"/>
        <w:gridCol w:w="11506"/>
      </w:tblGrid>
      <w:tr>
        <w:trPr>
          <w:trHeight w:val="504"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60" w:right="0" w:firstLine="0"/>
              <w:jc w:val="left"/>
            </w:pPr>
            <w:r>
              <w:rPr>
                <w:b/>
                <w:bCs/>
                <w:color w:val="FFFFFF"/>
                <w:spacing w:val="0"/>
                <w:w w:val="100"/>
                <w:position w:val="0"/>
              </w:rPr>
              <w:t>项目</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年年度</w:t>
            </w:r>
          </w:p>
        </w:tc>
      </w:tr>
      <w:tr>
        <w:trPr>
          <w:trHeight w:val="461"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金额</w:t>
            </w:r>
          </w:p>
        </w:tc>
        <w:tc>
          <w:tcPr>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tabs>
                <w:tab w:pos="2474" w:val="left"/>
                <w:tab w:pos="8613" w:val="left"/>
                <w:tab w:pos="10552"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-115,200.00</w:t>
              <w:tab/>
              <w:t>-900,289.40 13,996,726.62</w:t>
              <w:tab/>
              <w:t>-15,012,216.02</w:t>
              <w:tab/>
              <w:t>-15,01221602</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（三）利润分配</w:t>
            </w:r>
          </w:p>
        </w:tc>
        <w:tc>
          <w:tcPr>
            <w:tcBorders>
              <w:top w:val="single" w:sz="4"/>
            </w:tcBorders>
            <w:shd w:val="clear" w:color="auto" w:fill="FFFFFF"/>
            <w:vAlign w:val="center"/>
          </w:tcPr>
          <w:p>
            <w:pPr>
              <w:pStyle w:val="Style2"/>
              <w:keepNext w:val="0"/>
              <w:keepLines w:val="0"/>
              <w:widowControl w:val="0"/>
              <w:shd w:val="clear" w:color="auto" w:fill="auto"/>
              <w:tabs>
                <w:tab w:pos="7264" w:val="left"/>
                <w:tab w:pos="8598" w:val="left"/>
                <w:tab w:pos="10542" w:val="left"/>
              </w:tabs>
              <w:bidi w:val="0"/>
              <w:spacing w:before="0" w:after="0" w:line="240" w:lineRule="auto"/>
              <w:ind w:left="5800" w:right="0" w:firstLine="0"/>
              <w:jc w:val="left"/>
              <w:rPr>
                <w:sz w:val="18"/>
                <w:szCs w:val="18"/>
              </w:rPr>
            </w:pPr>
            <w:r>
              <w:rPr>
                <w:rFonts w:ascii="Times New Roman" w:eastAsia="Times New Roman" w:hAnsi="Times New Roman" w:cs="Times New Roman"/>
                <w:color w:val="000000"/>
                <w:spacing w:val="0"/>
                <w:w w:val="100"/>
                <w:position w:val="0"/>
                <w:sz w:val="18"/>
                <w:szCs w:val="18"/>
              </w:rPr>
              <w:t>15,759.16</w:t>
              <w:tab/>
              <w:t>-24507,954.16</w:t>
              <w:tab/>
              <w:t>-24,492,195.00</w:t>
              <w:tab/>
              <w:t>-24,492,195.00</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.提取盈余公积</w:t>
            </w:r>
          </w:p>
        </w:tc>
        <w:tc>
          <w:tcPr>
            <w:tcBorders>
              <w:top w:val="single" w:sz="4"/>
            </w:tcBorders>
            <w:shd w:val="clear" w:color="auto" w:fill="F9ECF3"/>
            <w:vAlign w:val="center"/>
          </w:tcPr>
          <w:p>
            <w:pPr>
              <w:pStyle w:val="Style2"/>
              <w:keepNext w:val="0"/>
              <w:keepLines w:val="0"/>
              <w:widowControl w:val="0"/>
              <w:shd w:val="clear" w:color="auto" w:fill="auto"/>
              <w:tabs>
                <w:tab w:pos="7571" w:val="left"/>
              </w:tabs>
              <w:bidi w:val="0"/>
              <w:spacing w:before="0" w:after="0" w:line="240" w:lineRule="auto"/>
              <w:ind w:left="5800" w:right="0" w:firstLine="0"/>
              <w:jc w:val="left"/>
              <w:rPr>
                <w:sz w:val="18"/>
                <w:szCs w:val="18"/>
              </w:rPr>
            </w:pPr>
            <w:r>
              <w:rPr>
                <w:rFonts w:ascii="Times New Roman" w:eastAsia="Times New Roman" w:hAnsi="Times New Roman" w:cs="Times New Roman"/>
                <w:color w:val="000000"/>
                <w:spacing w:val="0"/>
                <w:w w:val="100"/>
                <w:position w:val="0"/>
                <w:sz w:val="18"/>
                <w:szCs w:val="18"/>
              </w:rPr>
              <w:t>15,759.16</w:t>
              <w:tab/>
              <w:t>15,759.16</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 </w:t>
            </w:r>
            <w:r>
              <w:rPr>
                <w:b/>
                <w:bCs/>
                <w:color w:val="FFFFFF"/>
                <w:spacing w:val="0"/>
                <w:w w:val="100"/>
                <w:position w:val="0"/>
              </w:rPr>
              <w:t>.提取一般风险准备</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.对所有者（或股东）的分配</w:t>
            </w:r>
          </w:p>
        </w:tc>
        <w:tc>
          <w:tcPr>
            <w:tcBorders>
              <w:top w:val="single" w:sz="4"/>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A22A6F"/>
                <w:spacing w:val="0"/>
                <w:w w:val="100"/>
                <w:position w:val="0"/>
                <w:sz w:val="18"/>
                <w:szCs w:val="18"/>
              </w:rPr>
              <w:t>j</w:t>
            </w:r>
          </w:p>
          <w:p>
            <w:pPr>
              <w:pStyle w:val="Style2"/>
              <w:keepNext w:val="0"/>
              <w:keepLines w:val="0"/>
              <w:widowControl w:val="0"/>
              <w:shd w:val="clear" w:color="auto" w:fill="auto"/>
              <w:tabs>
                <w:tab w:pos="1330" w:val="left"/>
                <w:tab w:pos="3278" w:val="left"/>
              </w:tabs>
              <w:bidi w:val="0"/>
              <w:spacing w:before="0" w:after="0" w:line="221"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-24,492,195.00</w:t>
              <w:tab/>
              <w:t>-24,492,195.00</w:t>
              <w:tab/>
              <w:t>-24,492,195.00</w:t>
            </w:r>
          </w:p>
          <w:p>
            <w:pPr>
              <w:pStyle w:val="Style2"/>
              <w:keepNext w:val="0"/>
              <w:keepLines w:val="0"/>
              <w:widowControl w:val="0"/>
              <w:shd w:val="clear" w:color="auto" w:fill="auto"/>
              <w:bidi w:val="0"/>
              <w:spacing w:before="0" w:after="0" w:line="19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（四）所有者权益内部结转</w:t>
            </w:r>
          </w:p>
        </w:tc>
        <w:tc>
          <w:tcPr>
            <w:tcBorders>
              <w:top w:val="single" w:sz="4"/>
            </w:tcBorders>
            <w:shd w:val="clear" w:color="auto" w:fill="F9ECF3"/>
            <w:vAlign w:val="center"/>
          </w:tcPr>
          <w:p>
            <w:pPr>
              <w:pStyle w:val="Style2"/>
              <w:keepNext w:val="0"/>
              <w:keepLines w:val="0"/>
              <w:widowControl w:val="0"/>
              <w:shd w:val="clear" w:color="auto" w:fill="auto"/>
              <w:tabs>
                <w:tab w:pos="2314" w:val="left"/>
              </w:tabs>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48,984,390.00</w:t>
              <w:tab/>
              <w:t>^8,984,390.00</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w:t>
            </w:r>
            <w:r>
              <w:rPr>
                <w:b/>
                <w:bCs/>
                <w:color w:val="FFFFFF"/>
                <w:spacing w:val="0"/>
                <w:w w:val="100"/>
                <w:position w:val="0"/>
              </w:rPr>
              <w:t>资本公积转增资本（或股本）</w:t>
            </w:r>
          </w:p>
        </w:tc>
        <w:tc>
          <w:tcPr>
            <w:tcBorders>
              <w:top w:val="single" w:sz="4"/>
            </w:tcBorders>
            <w:shd w:val="clear" w:color="auto" w:fill="FFFFFF"/>
            <w:vAlign w:val="center"/>
          </w:tcPr>
          <w:p>
            <w:pPr>
              <w:pStyle w:val="Style2"/>
              <w:keepNext w:val="0"/>
              <w:keepLines w:val="0"/>
              <w:widowControl w:val="0"/>
              <w:shd w:val="clear" w:color="auto" w:fill="auto"/>
              <w:tabs>
                <w:tab w:pos="2314" w:val="left"/>
              </w:tabs>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48,984,390.00</w:t>
              <w:tab/>
              <w:t>^8,984,390.00</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w:t>
            </w:r>
            <w:r>
              <w:rPr>
                <w:b/>
                <w:bCs/>
                <w:color w:val="FFFFFF"/>
                <w:spacing w:val="0"/>
                <w:w w:val="100"/>
                <w:position w:val="0"/>
              </w:rPr>
              <w:t>盈余公积转增资本（或股本）</w:t>
            </w:r>
          </w:p>
        </w:tc>
        <w:tc>
          <w:tcPr>
            <w:tcBorders>
              <w:top w:val="single" w:sz="4"/>
            </w:tcBorders>
            <w:shd w:val="clear" w:color="auto" w:fill="F9ECF3"/>
            <w:vAlign w:val="top"/>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A22A6F"/>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.盈余公积弥补亏损</w:t>
            </w:r>
          </w:p>
        </w:tc>
        <w:tc>
          <w:tcPr>
            <w:tcBorders>
              <w:top w:val="single" w:sz="4"/>
            </w:tcBorders>
            <w:shd w:val="clear" w:color="auto" w:fill="FFFFFF"/>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5" w:lineRule="exact"/>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w:t>
            </w:r>
            <w:r>
              <w:rPr>
                <w:b/>
                <w:bCs/>
                <w:color w:val="FFFFFF"/>
                <w:spacing w:val="0"/>
                <w:w w:val="100"/>
                <w:position w:val="0"/>
              </w:rPr>
              <w:t>设定受益计划变动额结转留 存收益</w:t>
            </w:r>
          </w:p>
        </w:tc>
        <w:tc>
          <w:tcPr>
            <w:tcBorders>
              <w:top w:val="single" w:sz="4"/>
            </w:tcBorders>
            <w:shd w:val="clear" w:color="auto" w:fill="F9ECF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w:t>
            </w:r>
            <w:r>
              <w:rPr>
                <w:b/>
                <w:bCs/>
                <w:color w:val="FFFFFF"/>
                <w:spacing w:val="0"/>
                <w:w w:val="100"/>
                <w:position w:val="0"/>
              </w:rPr>
              <w:t>其他综合收益结转留存收益</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6</w:t>
            </w:r>
            <w:r>
              <w:rPr>
                <w:b/>
                <w:bCs/>
                <w:color w:val="FFFFFF"/>
                <w:spacing w:val="0"/>
                <w:w w:val="100"/>
                <w:position w:val="0"/>
              </w:rPr>
              <w:t>.其他</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（五）专项储备</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.本期提取</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.本期使用</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（六）其他</w:t>
            </w:r>
          </w:p>
        </w:tc>
        <w:tc>
          <w:tcPr>
            <w:tcBorders>
              <w:top w:val="single" w:sz="4"/>
            </w:tcBorders>
            <w:shd w:val="clear" w:color="auto" w:fill="F9ECF3"/>
            <w:vAlign w:val="top"/>
          </w:tcPr>
          <w:p>
            <w:pPr>
              <w:widowControl w:val="0"/>
              <w:rPr>
                <w:sz w:val="10"/>
                <w:szCs w:val="10"/>
              </w:rPr>
            </w:pPr>
          </w:p>
        </w:tc>
      </w:tr>
      <w:tr>
        <w:trPr>
          <w:trHeight w:val="4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198" w:val="left"/>
                <w:tab w:pos="5453" w:val="left"/>
                <w:tab w:pos="7171" w:val="left"/>
                <w:tab w:pos="8467" w:val="left"/>
                <w:tab w:pos="1045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130,572,240.00</w:t>
              <w:tab/>
              <w:t>157^66,446.92 13,042,829.50</w:t>
              <w:tab/>
              <w:t>17,068,098.65</w:t>
              <w:tab/>
              <w:t>-20,844,908.97</w:t>
              <w:tab/>
              <w:t>271,019,047.10</w:t>
              <w:tab/>
              <w:t>271,019,047.10</w:t>
            </w:r>
          </w:p>
        </w:tc>
      </w:tr>
    </w:tbl>
    <w:p>
      <w:pPr>
        <w:spacing w:lineRule="exact" w:line="1"/>
        <w:rPr>
          <w:sz w:val="2"/>
          <w:szCs w:val="2"/>
        </w:rPr>
      </w:pPr>
      <w:r>
        <w:br w:type="page"/>
      </w:r>
    </w:p>
    <w:p>
      <w:pPr>
        <w:pStyle w:val="Style49"/>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8</w:t>
      </w:r>
      <w:bookmarkEnd w:id="679"/>
      <w:r>
        <w:rPr>
          <w:color w:val="000000"/>
          <w:spacing w:val="0"/>
          <w:w w:val="100"/>
          <w:position w:val="0"/>
        </w:rPr>
        <w:t>、母公司所有者权益变动表</w:t>
      </w:r>
      <w:bookmarkEnd w:id="677"/>
      <w:bookmarkEnd w:id="678"/>
      <w:bookmarkEnd w:id="68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45"/>
        <w:keepNext w:val="0"/>
        <w:keepLines w:val="0"/>
        <w:widowControl w:val="0"/>
        <w:shd w:val="clear" w:color="auto" w:fill="auto"/>
        <w:bidi w:val="0"/>
        <w:spacing w:before="0" w:after="0" w:line="240" w:lineRule="auto"/>
        <w:ind w:left="13229" w:right="0" w:firstLine="0"/>
        <w:jc w:val="left"/>
      </w:pPr>
      <w:r>
        <w:rPr>
          <w:color w:val="000000"/>
          <w:spacing w:val="0"/>
          <w:w w:val="100"/>
          <w:position w:val="0"/>
        </w:rPr>
        <w:t>单位：元</w:t>
      </w:r>
    </w:p>
    <w:tbl>
      <w:tblPr>
        <w:tblOverlap w:val="never"/>
        <w:jc w:val="center"/>
        <w:tblLayout w:type="fixed"/>
      </w:tblPr>
      <w:tblGrid>
        <w:gridCol w:w="3706"/>
        <w:gridCol w:w="10262"/>
      </w:tblGrid>
      <w:tr>
        <w:trPr>
          <w:trHeight w:val="499"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r>
      <w:tr>
        <w:trPr>
          <w:trHeight w:val="101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8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902" w:val="left"/>
              </w:tabs>
              <w:bidi w:val="0"/>
              <w:spacing w:before="0" w:after="0" w:line="240" w:lineRule="auto"/>
              <w:ind w:left="1120" w:right="0" w:firstLine="0"/>
              <w:jc w:val="left"/>
            </w:pPr>
            <w:r>
              <w:rPr>
                <w:b/>
                <w:bCs/>
                <w:color w:val="FFFFFF"/>
                <w:spacing w:val="0"/>
                <w:w w:val="100"/>
                <w:position w:val="0"/>
              </w:rPr>
              <w:t>其他权益工具</w:t>
              <w:tab/>
            </w:r>
            <w:r>
              <w:rPr>
                <w:b/>
                <w:bCs/>
                <w:color w:val="FFFFFF"/>
                <w:spacing w:val="0"/>
                <w:w w:val="100"/>
                <w:position w:val="0"/>
              </w:rPr>
              <w:t>.</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739" w:val="left"/>
                <w:tab w:pos="1325" w:val="left"/>
                <w:tab w:pos="1853" w:val="left"/>
                <w:tab w:pos="8381" w:val="left"/>
              </w:tabs>
              <w:bidi w:val="0"/>
              <w:spacing w:before="0" w:after="0" w:line="240" w:lineRule="auto"/>
              <w:ind w:left="0" w:right="0" w:firstLine="0"/>
              <w:jc w:val="center"/>
            </w:pPr>
            <w:r>
              <w:rPr>
                <w:b/>
                <w:bCs/>
                <w:color w:val="FFFFFF"/>
                <w:spacing w:val="0"/>
                <w:w w:val="100"/>
                <w:position w:val="0"/>
              </w:rPr>
              <w:t>股本</w:t>
              <w:tab/>
              <w:t>件出</w:t>
              <w:tab/>
            </w:r>
            <w:r>
              <w:rPr>
                <w:b/>
                <w:bCs/>
                <w:color w:val="FFFFFF"/>
                <w:spacing w:val="0"/>
                <w:w w:val="100"/>
                <w:position w:val="0"/>
              </w:rPr>
              <w:t>g</w:t>
              <w:tab/>
            </w:r>
            <w:r>
              <w:rPr>
                <w:b/>
                <w:bCs/>
                <w:color w:val="FFFFFF"/>
                <w:spacing w:val="0"/>
                <w:w w:val="100"/>
                <w:position w:val="0"/>
              </w:rPr>
              <w:t>甘资本公积减：库存股其他综合收专项储盈余公积未分配利润其</w:t>
              <w:tab/>
              <w:t>所有者权益合计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750" w:val="left"/>
                <w:tab w:pos="5682" w:val="left"/>
                <w:tab w:pos="8125" w:val="left"/>
              </w:tabs>
              <w:bidi w:val="0"/>
              <w:spacing w:before="0" w:after="40" w:line="240" w:lineRule="auto"/>
              <w:ind w:left="1040" w:right="0" w:firstLine="0"/>
              <w:jc w:val="left"/>
            </w:pPr>
            <w:r>
              <w:rPr>
                <w:b/>
                <w:bCs/>
                <w:color w:val="FFFFFF"/>
                <w:spacing w:val="0"/>
                <w:w w:val="100"/>
                <w:position w:val="0"/>
              </w:rPr>
              <w:t>优先永续其</w:t>
              <w:tab/>
              <w:t>益</w:t>
              <w:tab/>
              <w:t>备</w:t>
              <w:tab/>
              <w:t>他</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662" w:val="left"/>
              </w:tabs>
              <w:bidi w:val="0"/>
              <w:spacing w:before="0" w:after="0" w:line="240" w:lineRule="auto"/>
              <w:ind w:left="1120" w:right="0" w:firstLine="0"/>
              <w:jc w:val="left"/>
            </w:pPr>
            <w:r>
              <w:rPr>
                <w:b/>
                <w:bCs/>
                <w:color w:val="FFFFFF"/>
                <w:spacing w:val="0"/>
                <w:w w:val="100"/>
                <w:position w:val="0"/>
              </w:rPr>
              <w:t>股</w:t>
              <w:tab/>
              <w:t>债他</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一、上年期末余额</w:t>
            </w:r>
          </w:p>
        </w:tc>
        <w:tc>
          <w:tcPr>
            <w:tcBorders/>
            <w:shd w:val="clear" w:color="auto" w:fill="FFFFFF"/>
            <w:vAlign w:val="center"/>
          </w:tcPr>
          <w:p>
            <w:pPr>
              <w:pStyle w:val="Style2"/>
              <w:keepNext w:val="0"/>
              <w:keepLines w:val="0"/>
              <w:widowControl w:val="0"/>
              <w:shd w:val="clear" w:color="auto" w:fill="auto"/>
              <w:tabs>
                <w:tab w:pos="2405" w:val="left"/>
                <w:tab w:pos="6115" w:val="left"/>
                <w:tab w:pos="7181" w:val="left"/>
                <w:tab w:pos="9240"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13097224000</w:t>
              <w:tab/>
            </w:r>
            <w:r>
              <w:rPr>
                <w:rFonts w:ascii="Times New Roman" w:eastAsia="Times New Roman" w:hAnsi="Times New Roman" w:cs="Times New Roman"/>
                <w:color w:val="000000"/>
                <w:spacing w:val="0"/>
                <w:w w:val="100"/>
                <w:position w:val="0"/>
                <w:sz w:val="18"/>
                <w:szCs w:val="18"/>
              </w:rPr>
              <w:t>157266,446.92 13,042,829.50</w:t>
              <w:tab/>
              <w:t>17,068,098.65</w:t>
              <w:tab/>
              <w:t>2,794,457.57</w:t>
              <w:tab/>
              <w:t>294,658,413.64</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加：会计政策变更</w:t>
            </w:r>
          </w:p>
        </w:tc>
        <w:tc>
          <w:tcPr>
            <w:tcBorders>
              <w:top w:val="single" w:sz="4"/>
            </w:tcBorders>
            <w:shd w:val="clear" w:color="auto" w:fill="F9ECF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前期差错更正</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其他</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tabs>
                <w:tab w:pos="2405" w:val="left"/>
                <w:tab w:pos="6130" w:val="left"/>
                <w:tab w:pos="7190" w:val="left"/>
                <w:tab w:pos="9250"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13097224000</w:t>
              <w:tab/>
            </w:r>
            <w:r>
              <w:rPr>
                <w:rFonts w:ascii="Times New Roman" w:eastAsia="Times New Roman" w:hAnsi="Times New Roman" w:cs="Times New Roman"/>
                <w:color w:val="000000"/>
                <w:spacing w:val="0"/>
                <w:w w:val="100"/>
                <w:position w:val="0"/>
                <w:sz w:val="18"/>
                <w:szCs w:val="18"/>
              </w:rPr>
              <w:t>157^66,446.92 13,042,829.50</w:t>
              <w:tab/>
              <w:t>17,068,098.65</w:t>
              <w:tab/>
              <w:t>2,794,457.57</w:t>
              <w:tab/>
              <w:t>294,658,413.64</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三、本期增减变动金额（减少以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tabs>
                <w:tab w:pos="2625" w:val="left"/>
                <w:tab w:pos="7041" w:val="left"/>
                <w:tab w:pos="9306" w:val="left"/>
              </w:tabs>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-298,880.00</w:t>
              <w:tab/>
              <w:t>-829,378.15 -1,357,58625</w:t>
              <w:tab/>
              <w:t>-100,139,825.69</w:t>
              <w:tab/>
              <w:t>-99,910,497.59</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（一）综合收益总额</w:t>
            </w:r>
          </w:p>
        </w:tc>
        <w:tc>
          <w:tcPr>
            <w:tcBorders>
              <w:top w:val="single" w:sz="4"/>
            </w:tcBorders>
            <w:shd w:val="clear" w:color="auto" w:fill="FFFFFF"/>
            <w:vAlign w:val="center"/>
          </w:tcPr>
          <w:p>
            <w:pPr>
              <w:pStyle w:val="Style2"/>
              <w:keepNext w:val="0"/>
              <w:keepLines w:val="0"/>
              <w:widowControl w:val="0"/>
              <w:shd w:val="clear" w:color="auto" w:fill="auto"/>
              <w:tabs>
                <w:tab w:pos="219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-100,139,825.69</w:t>
              <w:tab/>
              <w:t>-100,139,825.69</w:t>
            </w: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（二）所有者投入和减少资本</w:t>
            </w:r>
          </w:p>
        </w:tc>
        <w:tc>
          <w:tcPr>
            <w:tcBorders>
              <w:top w:val="single" w:sz="4"/>
            </w:tcBorders>
            <w:shd w:val="clear" w:color="auto" w:fill="F9ECF3"/>
            <w:vAlign w:val="center"/>
          </w:tcPr>
          <w:p>
            <w:pPr>
              <w:pStyle w:val="Style2"/>
              <w:keepNext w:val="0"/>
              <w:keepLines w:val="0"/>
              <w:widowControl w:val="0"/>
              <w:shd w:val="clear" w:color="auto" w:fill="auto"/>
              <w:tabs>
                <w:tab w:pos="2630" w:val="left"/>
                <w:tab w:pos="9522" w:val="left"/>
              </w:tabs>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-298,880.00</w:t>
              <w:tab/>
              <w:t>-829,378.15 -1,357,58625</w:t>
              <w:tab/>
              <w:t>229,328.10</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w:t>
            </w:r>
            <w:r>
              <w:rPr>
                <w:b/>
                <w:bCs/>
                <w:color w:val="FFFFFF"/>
                <w:spacing w:val="0"/>
                <w:w w:val="100"/>
                <w:position w:val="0"/>
              </w:rPr>
              <w:t>所有者投入的普通股</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.其他权益工具持有者投入资本</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w:t>
            </w:r>
            <w:r>
              <w:rPr>
                <w:b/>
                <w:bCs/>
                <w:color w:val="FFFFFF"/>
                <w:spacing w:val="0"/>
                <w:w w:val="100"/>
                <w:position w:val="0"/>
              </w:rPr>
              <w:t>股份支付计入所有者权益的金额</w:t>
            </w:r>
          </w:p>
        </w:tc>
        <w:tc>
          <w:tcPr>
            <w:tcBorders>
              <w:top w:val="single" w:sz="4"/>
            </w:tcBorders>
            <w:shd w:val="clear" w:color="auto" w:fill="FFFFFF"/>
            <w:vAlign w:val="center"/>
          </w:tcPr>
          <w:p>
            <w:pPr>
              <w:pStyle w:val="Style2"/>
              <w:keepNext w:val="0"/>
              <w:keepLines w:val="0"/>
              <w:widowControl w:val="0"/>
              <w:shd w:val="clear" w:color="auto" w:fill="auto"/>
              <w:tabs>
                <w:tab w:pos="6835"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229,328.10</w:t>
              <w:tab/>
              <w:t>229,328.10</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tabs>
                <w:tab w:pos="2510" w:val="left"/>
              </w:tabs>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-298,880.00</w:t>
              <w:tab/>
              <w:t>-1,058,70625 -1,357,58625</w:t>
            </w:r>
          </w:p>
        </w:tc>
      </w:tr>
      <w:tr>
        <w:trPr>
          <w:trHeight w:val="49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（三）利润分配</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6"/>
        <w:gridCol w:w="10262"/>
      </w:tblGrid>
      <w:tr>
        <w:trPr>
          <w:trHeight w:val="504"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年度</w:t>
            </w: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.提取盈余公积</w:t>
            </w:r>
          </w:p>
        </w:tc>
        <w:tc>
          <w:tcPr>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w:t>
            </w:r>
            <w:r>
              <w:rPr>
                <w:b/>
                <w:bCs/>
                <w:color w:val="FFFFFF"/>
                <w:spacing w:val="0"/>
                <w:w w:val="100"/>
                <w:position w:val="0"/>
              </w:rPr>
              <w:t>对所有者（或股东）的分配</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.其他</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（四）所有者权益内部结转</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1 </w:t>
            </w:r>
            <w:r>
              <w:rPr>
                <w:b/>
                <w:bCs/>
                <w:color w:val="FFFFFF"/>
                <w:spacing w:val="0"/>
                <w:w w:val="100"/>
                <w:position w:val="0"/>
              </w:rPr>
              <w:t>.资本公积转增资本（或股本）</w:t>
            </w:r>
          </w:p>
        </w:tc>
        <w:tc>
          <w:tcPr>
            <w:tcBorders>
              <w:top w:val="single" w:sz="4"/>
            </w:tcBorders>
            <w:shd w:val="clear" w:color="auto" w:fill="F9ECF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w:t>
            </w:r>
            <w:r>
              <w:rPr>
                <w:b/>
                <w:bCs/>
                <w:color w:val="FFFFFF"/>
                <w:spacing w:val="0"/>
                <w:w w:val="100"/>
                <w:position w:val="0"/>
              </w:rPr>
              <w:t>盈余公积转增资本（或股本）</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.盈余公积弥补亏损</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w:t>
            </w:r>
            <w:r>
              <w:rPr>
                <w:b/>
                <w:bCs/>
                <w:color w:val="FFFFFF"/>
                <w:spacing w:val="0"/>
                <w:w w:val="100"/>
                <w:position w:val="0"/>
              </w:rPr>
              <w:t>设定受益计划变动额结转留存收益</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w:t>
            </w:r>
            <w:r>
              <w:rPr>
                <w:b/>
                <w:bCs/>
                <w:color w:val="FFFFFF"/>
                <w:spacing w:val="0"/>
                <w:w w:val="100"/>
                <w:position w:val="0"/>
              </w:rPr>
              <w:t>其他综合收益结转留存收益</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6</w:t>
            </w:r>
            <w:r>
              <w:rPr>
                <w:b/>
                <w:bCs/>
                <w:color w:val="FFFFFF"/>
                <w:spacing w:val="0"/>
                <w:w w:val="100"/>
                <w:position w:val="0"/>
              </w:rPr>
              <w:t>.</w:t>
            </w:r>
            <w:r>
              <w:rPr>
                <w:b/>
                <w:bCs/>
                <w:color w:val="FFFFFF"/>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（五）专项储备</w:t>
            </w:r>
          </w:p>
        </w:tc>
        <w:tc>
          <w:tcPr>
            <w:tcBorders>
              <w:top w:val="single" w:sz="4"/>
            </w:tcBorders>
            <w:shd w:val="clear" w:color="auto" w:fill="F9ECF3"/>
            <w:vAlign w:val="top"/>
          </w:tcPr>
          <w:p>
            <w:pPr>
              <w:widowControl w:val="0"/>
              <w:rPr>
                <w:sz w:val="10"/>
                <w:szCs w:val="10"/>
              </w:rPr>
            </w:pPr>
          </w:p>
        </w:tc>
      </w:tr>
      <w:tr>
        <w:trPr>
          <w:trHeight w:val="46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w:t>
            </w:r>
            <w:r>
              <w:rPr>
                <w:b/>
                <w:bCs/>
                <w:color w:val="FFFFFF"/>
                <w:spacing w:val="0"/>
                <w:w w:val="100"/>
                <w:position w:val="0"/>
              </w:rPr>
              <w:t>本期提取</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.本期使用</w:t>
            </w:r>
          </w:p>
        </w:tc>
        <w:tc>
          <w:tcPr>
            <w:tcBorders>
              <w:top w:val="single" w:sz="4"/>
            </w:tcBorders>
            <w:shd w:val="clear" w:color="auto" w:fill="F9ECF3"/>
            <w:vAlign w:val="top"/>
          </w:tcPr>
          <w:p>
            <w:pPr>
              <w:widowControl w:val="0"/>
              <w:rPr>
                <w:sz w:val="10"/>
                <w:szCs w:val="10"/>
              </w:rPr>
            </w:pPr>
          </w:p>
        </w:tc>
      </w:tr>
      <w:tr>
        <w:trPr>
          <w:trHeight w:val="46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（六）其他</w:t>
            </w: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四、本期期末余额</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2400" w:val="left"/>
                <w:tab w:pos="6125" w:val="left"/>
                <w:tab w:pos="9264"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130273,36000</w:t>
              <w:tab/>
              <w:t xml:space="preserve">156,437,068.77 </w:t>
            </w:r>
            <w:r>
              <w:rPr>
                <w:rFonts w:ascii="Times New Roman" w:eastAsia="Times New Roman" w:hAnsi="Times New Roman" w:cs="Times New Roman"/>
                <w:color w:val="000000"/>
                <w:spacing w:val="0"/>
                <w:w w:val="100"/>
                <w:position w:val="0"/>
                <w:sz w:val="18"/>
                <w:szCs w:val="18"/>
              </w:rPr>
              <w:t>11,68524325</w:t>
              <w:tab/>
            </w:r>
            <w:r>
              <w:rPr>
                <w:rFonts w:ascii="Times New Roman" w:eastAsia="Times New Roman" w:hAnsi="Times New Roman" w:cs="Times New Roman"/>
                <w:color w:val="000000"/>
                <w:spacing w:val="0"/>
                <w:w w:val="100"/>
                <w:position w:val="0"/>
                <w:sz w:val="18"/>
                <w:szCs w:val="18"/>
              </w:rPr>
              <w:t>17,068,098.65 -97,345368.12</w:t>
              <w:tab/>
            </w:r>
            <w:r>
              <w:rPr>
                <w:rFonts w:ascii="Times New Roman" w:eastAsia="Times New Roman" w:hAnsi="Times New Roman" w:cs="Times New Roman"/>
                <w:color w:val="000000"/>
                <w:spacing w:val="0"/>
                <w:w w:val="100"/>
                <w:position w:val="0"/>
                <w:sz w:val="18"/>
                <w:szCs w:val="18"/>
              </w:rPr>
              <w:t>194,747,91605</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45"/>
        <w:keepNext w:val="0"/>
        <w:keepLines w:val="0"/>
        <w:widowControl w:val="0"/>
        <w:shd w:val="clear" w:color="auto" w:fill="auto"/>
        <w:bidi w:val="0"/>
        <w:spacing w:before="0" w:after="0" w:line="240" w:lineRule="auto"/>
        <w:ind w:left="13200" w:right="0" w:firstLine="0"/>
        <w:jc w:val="left"/>
      </w:pPr>
      <w:r>
        <w:rPr>
          <w:color w:val="000000"/>
          <w:spacing w:val="0"/>
          <w:w w:val="100"/>
          <w:position w:val="0"/>
        </w:rPr>
        <w:t>单位：元</w:t>
      </w:r>
    </w:p>
    <w:tbl>
      <w:tblPr>
        <w:tblOverlap w:val="never"/>
        <w:jc w:val="center"/>
        <w:tblLayout w:type="fixed"/>
      </w:tblPr>
      <w:tblGrid>
        <w:gridCol w:w="3730"/>
        <w:gridCol w:w="974"/>
        <w:gridCol w:w="1651"/>
        <w:gridCol w:w="7565"/>
      </w:tblGrid>
      <w:tr>
        <w:trPr>
          <w:trHeight w:val="331" w:hRule="exact"/>
        </w:trPr>
        <w:tc>
          <w:tcPr>
            <w:tcBorders/>
            <w:shd w:val="clear" w:color="auto" w:fill="A6A6A6"/>
            <w:vAlign w:val="top"/>
          </w:tcPr>
          <w:p>
            <w:pPr>
              <w:widowControl w:val="0"/>
              <w:rPr>
                <w:sz w:val="10"/>
                <w:szCs w:val="10"/>
              </w:rPr>
            </w:pP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年年度</w:t>
            </w:r>
          </w:p>
        </w:tc>
      </w:tr>
      <w:tr>
        <w:trPr>
          <w:trHeight w:val="629"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股本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31" w:lineRule="exact"/>
              <w:ind w:left="0" w:right="0" w:firstLine="0"/>
              <w:jc w:val="center"/>
            </w:pPr>
            <w:r>
              <w:rPr>
                <w:b/>
                <w:bCs/>
                <w:color w:val="FFFFFF"/>
                <w:spacing w:val="0"/>
                <w:w w:val="100"/>
                <w:position w:val="0"/>
              </w:rPr>
              <w:t>其他权益工具 优先股永续债其他</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资本公积 减：库存股其他综合收益专项储备 盈余公积 未分配利润其他所有者权益合计</w:t>
            </w:r>
          </w:p>
        </w:tc>
      </w:tr>
    </w:tbl>
    <w:p>
      <w:pPr>
        <w:spacing w:lineRule="exact" w:line="1"/>
        <w:rPr>
          <w:sz w:val="2"/>
          <w:szCs w:val="2"/>
        </w:rPr>
      </w:pPr>
      <w:r>
        <w:br w:type="page"/>
      </w:r>
    </w:p>
    <w:tbl>
      <w:tblPr>
        <w:tblOverlap w:val="never"/>
        <w:jc w:val="center"/>
        <w:tblLayout w:type="fixed"/>
      </w:tblPr>
      <w:tblGrid>
        <w:gridCol w:w="3749"/>
        <w:gridCol w:w="1824"/>
        <w:gridCol w:w="1848"/>
        <w:gridCol w:w="2414"/>
        <w:gridCol w:w="2765"/>
        <w:gridCol w:w="1363"/>
      </w:tblGrid>
      <w:tr>
        <w:trPr>
          <w:trHeight w:val="365"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gridSpan w:val="5"/>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年年度</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一、上年期末余额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81,703,050.00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210,666,683.68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3,33920000</w:t>
            </w:r>
          </w:p>
        </w:tc>
        <w:tc>
          <w:tcPr>
            <w:tcBorders/>
            <w:shd w:val="clear" w:color="auto" w:fill="FFFFFF"/>
            <w:vAlign w:val="center"/>
          </w:tcPr>
          <w:p>
            <w:pPr>
              <w:pStyle w:val="Style2"/>
              <w:keepNext w:val="0"/>
              <w:keepLines w:val="0"/>
              <w:widowControl w:val="0"/>
              <w:shd w:val="clear" w:color="auto" w:fill="auto"/>
              <w:tabs>
                <w:tab w:pos="1455"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17,054,860.14</w:t>
              <w:tab/>
              <w:t>27,167,505.97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333252,899.79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加：会计政策变更</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tabs>
                <w:tab w:pos="902" w:val="left"/>
              </w:tabs>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-2,52065</w:t>
              <w:tab/>
              <w:t>-22,68585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-252M50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前期差错更正</w:t>
            </w:r>
          </w:p>
        </w:tc>
        <w:tc>
          <w:tcPr>
            <w:gridSpan w:val="5"/>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其他</w:t>
            </w:r>
          </w:p>
        </w:tc>
        <w:tc>
          <w:tcPr>
            <w:gridSpan w:val="5"/>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81,703,050.00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210,666,683.68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17,052,339.49 27,144,820.12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333^7,69329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三、本期增减变动金额（减少以</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号填列）</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48,869,190.00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-53,400,236.76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9,703,629.50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15,759.16 -24,350,362.55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-38,56927965</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（一）综合收益总额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157,591.61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157,591.61</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（二）所有者投入和减少资本</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-11520000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r>
              <w:rPr>
                <w:color w:val="000000"/>
                <w:spacing w:val="0"/>
                <w:w w:val="100"/>
                <w:position w:val="0"/>
                <w:sz w:val="15"/>
                <w:szCs w:val="15"/>
              </w:rPr>
              <w:t>，既</w:t>
            </w:r>
            <w:r>
              <w:rPr>
                <w:rFonts w:ascii="Times New Roman" w:eastAsia="Times New Roman" w:hAnsi="Times New Roman" w:cs="Times New Roman"/>
                <w:color w:val="000000"/>
                <w:spacing w:val="0"/>
                <w:w w:val="100"/>
                <w:position w:val="0"/>
                <w:sz w:val="18"/>
                <w:szCs w:val="18"/>
              </w:rPr>
              <w:t>76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9,703,629.50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-14234,67626</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.所有者投入的普通股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4293,097.12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4293,097.12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 </w:t>
            </w:r>
            <w:r>
              <w:rPr>
                <w:b/>
                <w:bCs/>
                <w:color w:val="FFFFFF"/>
                <w:spacing w:val="0"/>
                <w:w w:val="100"/>
                <w:position w:val="0"/>
              </w:rPr>
              <w:t>.其他权益工具持有者投入资本</w:t>
            </w:r>
          </w:p>
        </w:tc>
        <w:tc>
          <w:tcPr>
            <w:gridSpan w:val="5"/>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.股份支付计入所有者权益的金额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777,539.76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777,53976</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-11520000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-900,289.40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13,996,726.62</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-15,01221602</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15,759.16 -24,507,954.16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-24,492,195.00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.提取盈余公积</w:t>
            </w:r>
          </w:p>
        </w:tc>
        <w:tc>
          <w:tcPr>
            <w:gridSpan w:val="5"/>
            <w:tcBorders>
              <w:top w:val="single" w:sz="4"/>
            </w:tcBorders>
            <w:shd w:val="clear" w:color="auto" w:fill="F9ECF3"/>
            <w:vAlign w:val="center"/>
          </w:tcPr>
          <w:p>
            <w:pPr>
              <w:pStyle w:val="Style2"/>
              <w:keepNext w:val="0"/>
              <w:keepLines w:val="0"/>
              <w:widowControl w:val="0"/>
              <w:shd w:val="clear" w:color="auto" w:fill="auto"/>
              <w:tabs>
                <w:tab w:pos="7747" w:val="left"/>
              </w:tabs>
              <w:bidi w:val="0"/>
              <w:spacing w:before="0" w:after="0" w:line="240" w:lineRule="auto"/>
              <w:ind w:left="6840" w:right="0" w:firstLine="0"/>
              <w:jc w:val="left"/>
              <w:rPr>
                <w:sz w:val="18"/>
                <w:szCs w:val="18"/>
              </w:rPr>
            </w:pPr>
            <w:r>
              <w:rPr>
                <w:rFonts w:ascii="Times New Roman" w:eastAsia="Times New Roman" w:hAnsi="Times New Roman" w:cs="Times New Roman"/>
                <w:color w:val="000000"/>
                <w:spacing w:val="0"/>
                <w:w w:val="100"/>
                <w:position w:val="0"/>
                <w:sz w:val="18"/>
                <w:szCs w:val="18"/>
              </w:rPr>
              <w:t>15,759.16</w:t>
              <w:tab/>
              <w:t>-15,759.16</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.对所有者（或股东）的分配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-24,492,195.00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-24,492,195.00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.其他</w:t>
            </w:r>
          </w:p>
        </w:tc>
        <w:tc>
          <w:tcPr>
            <w:gridSpan w:val="5"/>
            <w:tcBorders>
              <w:top w:val="single" w:sz="4"/>
            </w:tcBorders>
            <w:shd w:val="clear" w:color="auto" w:fill="F9ECF3"/>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（四）所有者权益内部结转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48,984,39000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■48,984,39000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.资本公积转增资本（或股本）</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48,984,39000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■48,984,39000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.盈余公积转增资本（或股本）</w:t>
            </w:r>
          </w:p>
        </w:tc>
        <w:tc>
          <w:tcPr>
            <w:gridSpan w:val="5"/>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.盈余公积弥补亏损</w:t>
            </w:r>
          </w:p>
        </w:tc>
        <w:tc>
          <w:tcPr>
            <w:gridSpan w:val="5"/>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.设定受益计划变动额结转留存收益</w:t>
            </w:r>
          </w:p>
        </w:tc>
        <w:tc>
          <w:tcPr>
            <w:gridSpan w:val="5"/>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w:t>
            </w:r>
            <w:r>
              <w:rPr>
                <w:b/>
                <w:bCs/>
                <w:color w:val="FFFFFF"/>
                <w:spacing w:val="0"/>
                <w:w w:val="100"/>
                <w:position w:val="0"/>
              </w:rPr>
              <w:t>其他综合收益结转留存收益</w:t>
            </w:r>
          </w:p>
        </w:tc>
        <w:tc>
          <w:tcPr>
            <w:gridSpan w:val="5"/>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6</w:t>
            </w:r>
            <w:r>
              <w:rPr>
                <w:b/>
                <w:bCs/>
                <w:color w:val="FFFFFF"/>
                <w:spacing w:val="0"/>
                <w:w w:val="100"/>
                <w:position w:val="0"/>
              </w:rPr>
              <w:t>.其他</w:t>
            </w:r>
          </w:p>
        </w:tc>
        <w:tc>
          <w:tcPr>
            <w:gridSpan w:val="5"/>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（五）专项储备</w:t>
            </w:r>
          </w:p>
        </w:tc>
        <w:tc>
          <w:tcPr>
            <w:gridSpan w:val="5"/>
            <w:tcBorders>
              <w:top w:val="single" w:sz="4"/>
            </w:tcBorders>
            <w:shd w:val="clear" w:color="auto" w:fill="F9ECF3"/>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.本期提取</w:t>
            </w:r>
          </w:p>
        </w:tc>
        <w:tc>
          <w:tcPr>
            <w:gridSpan w:val="5"/>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 </w:t>
            </w:r>
            <w:r>
              <w:rPr>
                <w:b/>
                <w:bCs/>
                <w:color w:val="FFFFFF"/>
                <w:spacing w:val="0"/>
                <w:w w:val="100"/>
                <w:position w:val="0"/>
              </w:rPr>
              <w:t>.本期使用</w:t>
            </w:r>
          </w:p>
        </w:tc>
        <w:tc>
          <w:tcPr>
            <w:gridSpan w:val="5"/>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（六）其他</w:t>
            </w:r>
          </w:p>
        </w:tc>
        <w:tc>
          <w:tcPr>
            <w:gridSpan w:val="5"/>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四、本期期末余额</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13057224000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157^66,446.92</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13,042,829.50</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1513" w:val="left"/>
              </w:tabs>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17,068,098.65</w:t>
              <w:tab/>
              <w:t>2,794,457.57</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294,658,413.64</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6840" w:h="11900" w:orient="landscape"/>
          <w:pgMar w:top="1105" w:right="1407" w:bottom="1219" w:left="1417" w:header="0" w:footer="3" w:gutter="0"/>
          <w:cols w:space="720"/>
          <w:noEndnote/>
          <w:rtlGutter w:val="0"/>
          <w:docGrid w:linePitch="360"/>
        </w:sectPr>
      </w:pPr>
    </w:p>
    <w:p>
      <w:pPr>
        <w:pStyle w:val="Style39"/>
        <w:keepNext/>
        <w:keepLines/>
        <w:widowControl w:val="0"/>
        <w:shd w:val="clear" w:color="auto" w:fill="auto"/>
        <w:tabs>
          <w:tab w:pos="522" w:val="left"/>
        </w:tabs>
        <w:bidi w:val="0"/>
        <w:spacing w:before="160" w:after="1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三</w:t>
      </w:r>
      <w:bookmarkEnd w:id="683"/>
      <w:r>
        <w:rPr>
          <w:color w:val="000000"/>
          <w:spacing w:val="0"/>
          <w:w w:val="100"/>
          <w:position w:val="0"/>
          <w:sz w:val="24"/>
          <w:szCs w:val="24"/>
        </w:rPr>
        <w:t>、</w:t>
        <w:tab/>
        <w:t>公司基本情况</w:t>
      </w:r>
      <w:bookmarkEnd w:id="681"/>
      <w:bookmarkEnd w:id="682"/>
      <w:bookmarkEnd w:id="684"/>
    </w:p>
    <w:p>
      <w:pPr>
        <w:pStyle w:val="Style31"/>
        <w:keepNext w:val="0"/>
        <w:keepLines w:val="0"/>
        <w:widowControl w:val="0"/>
        <w:shd w:val="clear" w:color="auto" w:fill="auto"/>
        <w:bidi w:val="0"/>
        <w:spacing w:before="0" w:after="0" w:line="349" w:lineRule="exact"/>
        <w:ind w:left="0" w:right="0" w:firstLine="380"/>
        <w:jc w:val="both"/>
      </w:pPr>
      <w:r>
        <w:rPr>
          <w:color w:val="000000"/>
          <w:spacing w:val="0"/>
          <w:w w:val="100"/>
          <w:position w:val="0"/>
        </w:rPr>
        <w:t>北京百华悦邦科技股份有限公司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日由北京百华悦邦电子科技有限责任公 司依法整体变更设立的股份有限公司，注册地为中华人民共和国北京市，总部地址为中华人民共和国北京市。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本公司在全国中小企业股份转让系统正式挂牌，股票代码为</w:t>
      </w:r>
      <w:r>
        <w:rPr>
          <w:rFonts w:ascii="Times New Roman" w:eastAsia="Times New Roman" w:hAnsi="Times New Roman" w:cs="Times New Roman"/>
          <w:color w:val="000000"/>
          <w:spacing w:val="0"/>
          <w:w w:val="100"/>
          <w:position w:val="0"/>
          <w:sz w:val="18"/>
          <w:szCs w:val="18"/>
        </w:rPr>
        <w:t>831008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日，本公司在深圳证券交易所挂牌上市交易， 股票代码为：</w:t>
      </w:r>
      <w:r>
        <w:rPr>
          <w:rFonts w:ascii="Times New Roman" w:eastAsia="Times New Roman" w:hAnsi="Times New Roman" w:cs="Times New Roman"/>
          <w:color w:val="000000"/>
          <w:spacing w:val="0"/>
          <w:w w:val="100"/>
          <w:position w:val="0"/>
          <w:sz w:val="18"/>
          <w:szCs w:val="18"/>
        </w:rPr>
        <w:t>300736</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日，本公司的总股本为人民币</w:t>
      </w:r>
      <w:r>
        <w:rPr>
          <w:rFonts w:ascii="Times New Roman" w:eastAsia="Times New Roman" w:hAnsi="Times New Roman" w:cs="Times New Roman"/>
          <w:color w:val="000000"/>
          <w:spacing w:val="0"/>
          <w:w w:val="100"/>
          <w:position w:val="0"/>
          <w:sz w:val="18"/>
          <w:szCs w:val="18"/>
        </w:rPr>
        <w:t>130,273,360.00</w:t>
      </w:r>
      <w:r>
        <w:rPr>
          <w:color w:val="000000"/>
          <w:spacing w:val="0"/>
          <w:w w:val="100"/>
          <w:position w:val="0"/>
        </w:rPr>
        <w:t>元，每股面值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本公司及子公司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主要的经营活动包括手机通讯器材的维修及延伸增值服务、相关备件产品的销售和 电子商务业务。</w:t>
      </w:r>
    </w:p>
    <w:p>
      <w:pPr>
        <w:pStyle w:val="Style31"/>
        <w:keepNext w:val="0"/>
        <w:keepLines w:val="0"/>
        <w:widowControl w:val="0"/>
        <w:shd w:val="clear" w:color="auto" w:fill="auto"/>
        <w:bidi w:val="0"/>
        <w:spacing w:before="0" w:after="120" w:line="350" w:lineRule="exact"/>
        <w:ind w:left="0" w:right="0" w:firstLine="380"/>
        <w:jc w:val="both"/>
      </w:pPr>
      <w:r>
        <w:rPr>
          <w:color w:val="000000"/>
          <w:spacing w:val="0"/>
          <w:w w:val="100"/>
          <w:position w:val="0"/>
        </w:rPr>
        <w:t>本公司的公司及合并财务报表于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日已经本公司董事会批准。</w:t>
      </w:r>
    </w:p>
    <w:p>
      <w:pPr>
        <w:pStyle w:val="Style31"/>
        <w:keepNext w:val="0"/>
        <w:keepLines w:val="0"/>
        <w:widowControl w:val="0"/>
        <w:shd w:val="clear" w:color="auto" w:fill="auto"/>
        <w:bidi w:val="0"/>
        <w:spacing w:before="0" w:after="460" w:line="293" w:lineRule="exact"/>
        <w:ind w:left="0" w:right="0" w:firstLine="380"/>
        <w:jc w:val="both"/>
      </w:pPr>
      <w:r>
        <w:rPr>
          <w:color w:val="000000"/>
          <w:spacing w:val="0"/>
          <w:w w:val="100"/>
          <w:position w:val="0"/>
        </w:rPr>
        <w:t>本年度合并财务报表范围参见附注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。本年度合并财务报表范围变化参见附注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 变更，，</w:t>
      </w:r>
    </w:p>
    <w:p>
      <w:pPr>
        <w:pStyle w:val="Style39"/>
        <w:keepNext/>
        <w:keepLines/>
        <w:widowControl w:val="0"/>
        <w:shd w:val="clear" w:color="auto" w:fill="auto"/>
        <w:tabs>
          <w:tab w:pos="522" w:val="left"/>
        </w:tabs>
        <w:bidi w:val="0"/>
        <w:spacing w:before="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sz w:val="24"/>
          <w:szCs w:val="24"/>
        </w:rPr>
        <w:t>四</w:t>
      </w:r>
      <w:bookmarkEnd w:id="687"/>
      <w:r>
        <w:rPr>
          <w:color w:val="000000"/>
          <w:spacing w:val="0"/>
          <w:w w:val="100"/>
          <w:position w:val="0"/>
          <w:sz w:val="24"/>
          <w:szCs w:val="24"/>
        </w:rPr>
        <w:t>、</w:t>
        <w:tab/>
        <w:t>财务报表的编制基础</w:t>
      </w:r>
      <w:bookmarkEnd w:id="685"/>
      <w:bookmarkEnd w:id="686"/>
      <w:bookmarkEnd w:id="688"/>
    </w:p>
    <w:p>
      <w:pPr>
        <w:pStyle w:val="Style49"/>
        <w:keepNext/>
        <w:keepLines/>
        <w:widowControl w:val="0"/>
        <w:shd w:val="clear" w:color="auto" w:fill="auto"/>
        <w:tabs>
          <w:tab w:pos="396" w:val="left"/>
        </w:tabs>
        <w:bidi w:val="0"/>
        <w:spacing w:before="0" w:after="1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w:t>
        <w:tab/>
        <w:t>编制基础</w:t>
      </w:r>
      <w:bookmarkEnd w:id="689"/>
      <w:bookmarkEnd w:id="690"/>
      <w:bookmarkEnd w:id="692"/>
    </w:p>
    <w:p>
      <w:pPr>
        <w:pStyle w:val="Style31"/>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本集团执行财政部颁布的企业会计准则及相关规定。此外，本集团还按照《公开发行证券的公司信息披露编报规则第</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》披露有关财务信息。</w:t>
      </w:r>
    </w:p>
    <w:p>
      <w:pPr>
        <w:pStyle w:val="Style49"/>
        <w:keepNext/>
        <w:keepLines/>
        <w:widowControl w:val="0"/>
        <w:shd w:val="clear" w:color="auto" w:fill="auto"/>
        <w:tabs>
          <w:tab w:pos="396" w:val="left"/>
        </w:tabs>
        <w:bidi w:val="0"/>
        <w:spacing w:before="0" w:after="1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持续经营</w:t>
      </w:r>
      <w:bookmarkEnd w:id="693"/>
      <w:bookmarkEnd w:id="694"/>
      <w:bookmarkEnd w:id="696"/>
    </w:p>
    <w:p>
      <w:pPr>
        <w:pStyle w:val="Style31"/>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年度亏损人民币</w:t>
      </w:r>
      <w:r>
        <w:rPr>
          <w:rFonts w:ascii="Times New Roman" w:eastAsia="Times New Roman" w:hAnsi="Times New Roman" w:cs="Times New Roman"/>
          <w:color w:val="000000"/>
          <w:spacing w:val="0"/>
          <w:w w:val="100"/>
          <w:position w:val="0"/>
          <w:sz w:val="18"/>
          <w:szCs w:val="18"/>
        </w:rPr>
        <w:t>87,497,124.21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日止，本集团累计亏损人民币</w:t>
      </w:r>
      <w:r>
        <w:rPr>
          <w:rFonts w:ascii="Times New Roman" w:eastAsia="Times New Roman" w:hAnsi="Times New Roman" w:cs="Times New Roman"/>
          <w:color w:val="000000"/>
          <w:spacing w:val="0"/>
          <w:w w:val="100"/>
          <w:position w:val="0"/>
          <w:sz w:val="18"/>
          <w:szCs w:val="18"/>
        </w:rPr>
        <w:t>108,342,033.18</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年度经营活动净现金流出人民币</w:t>
      </w:r>
      <w:r>
        <w:rPr>
          <w:rFonts w:ascii="Times New Roman" w:eastAsia="Times New Roman" w:hAnsi="Times New Roman" w:cs="Times New Roman"/>
          <w:color w:val="000000"/>
          <w:spacing w:val="0"/>
          <w:w w:val="100"/>
          <w:position w:val="0"/>
          <w:sz w:val="18"/>
          <w:szCs w:val="18"/>
        </w:rPr>
        <w:t>88,117,688.81</w:t>
      </w:r>
      <w:r>
        <w:rPr>
          <w:color w:val="000000"/>
          <w:spacing w:val="0"/>
          <w:w w:val="100"/>
          <w:position w:val="0"/>
        </w:rPr>
        <w:t>元，基于管理层编制的未来现金流预测及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年末银行授信情况，管理 层认为本集团自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个月可维持持续经营。因此，本财务报表系在持续经营假设的基础上编制。</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u w:val="single"/>
        </w:rPr>
        <w:t>记账基础和计价原则</w:t>
      </w:r>
    </w:p>
    <w:p>
      <w:pPr>
        <w:pStyle w:val="Style31"/>
        <w:keepNext w:val="0"/>
        <w:keepLines w:val="0"/>
        <w:widowControl w:val="0"/>
        <w:shd w:val="clear" w:color="auto" w:fill="auto"/>
        <w:bidi w:val="0"/>
        <w:spacing w:before="0" w:after="0" w:line="346" w:lineRule="exact"/>
        <w:ind w:left="0" w:right="0" w:firstLine="380"/>
        <w:jc w:val="both"/>
      </w:pPr>
      <w:r>
        <w:rPr>
          <w:color w:val="000000"/>
          <w:spacing w:val="0"/>
          <w:w w:val="100"/>
          <w:position w:val="0"/>
        </w:rPr>
        <w:t>本集团会计核算以权责发生制为记账基础。除某些金融工具以公允价值计量外，本财务报表以历史成本作为计量基础。 资产如果发生减值，则按照相关规定计提相应的减值准备。</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在历史成本计量下，资产按照购置时支付的现金或者现金等价物的金额或者所付出的对价的公允价值计量。负债按照因 承担现时义务而实际收到的款项或者资产的金额，或者承担现时义务的合同金额，或者按照日常活动中为偿还负债预期需要 支付的现金或者现金等价物的金额计量。</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公允价值是市场参与者在计量日发生的有序交易中，出售一项资产所能收到或者转移一项负债所需支付的价格。无论公 允价值是可观察到的还是采用估值技术估计的，在本财务报表中计量和披露的公允价值均在此基础上予以确定。</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对于以交易价格作为初始确认时的公允价值，且在公允价值后续计量中使用了涉及不可观察输入值的估值技术的金融资 产，在估值过程中校正该估值技术，以使估值技术确定的初始确认结果与交易价格相等。</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公允价值计量基于公允价值的输入值的可观察程度以及该等输入值对公允价值计量整体的重要性，被划分为三个层次：</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sz w:val="15"/>
          <w:szCs w:val="15"/>
        </w:rPr>
        <w:t>・</w:t>
      </w:r>
      <w:r>
        <w:rPr>
          <w:color w:val="000000"/>
          <w:spacing w:val="0"/>
          <w:w w:val="100"/>
          <w:position w:val="0"/>
        </w:rPr>
        <w:t>第一层次输入值是在计量日能够取得的相同资产或负债在活跃市场上未经调整的报价。</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sz w:val="15"/>
          <w:szCs w:val="15"/>
        </w:rPr>
        <w:t>・</w:t>
      </w:r>
      <w:r>
        <w:rPr>
          <w:color w:val="000000"/>
          <w:spacing w:val="0"/>
          <w:w w:val="100"/>
          <w:position w:val="0"/>
        </w:rPr>
        <w:t>第二层次输入值是除第一层次输入值外相关资产或负债直接或间接可观察的输入值。</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sz w:val="15"/>
          <w:szCs w:val="15"/>
        </w:rPr>
        <w:t>・</w:t>
      </w:r>
      <w:r>
        <w:rPr>
          <w:color w:val="000000"/>
          <w:spacing w:val="0"/>
          <w:w w:val="100"/>
          <w:position w:val="0"/>
        </w:rPr>
        <w:t>第三层次输入值是相关资产或负债的不可观察输入值。</w:t>
      </w:r>
    </w:p>
    <w:p>
      <w:pPr>
        <w:pStyle w:val="Style39"/>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五</w:t>
      </w:r>
      <w:bookmarkEnd w:id="699"/>
      <w:r>
        <w:rPr>
          <w:color w:val="000000"/>
          <w:spacing w:val="0"/>
          <w:w w:val="100"/>
          <w:position w:val="0"/>
          <w:sz w:val="24"/>
          <w:szCs w:val="24"/>
        </w:rPr>
        <w:t>、重要会计政策及会计估计</w:t>
      </w:r>
      <w:bookmarkEnd w:id="697"/>
      <w:bookmarkEnd w:id="698"/>
      <w:bookmarkEnd w:id="700"/>
    </w:p>
    <w:p>
      <w:pPr>
        <w:pStyle w:val="Style49"/>
        <w:keepNext/>
        <w:keepLines/>
        <w:widowControl w:val="0"/>
        <w:shd w:val="clear" w:color="auto" w:fill="auto"/>
        <w:tabs>
          <w:tab w:pos="368" w:val="left"/>
        </w:tabs>
        <w:bidi w:val="0"/>
        <w:spacing w:before="0" w:after="1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w:t>
        <w:tab/>
        <w:t>遵循企业会计准则的声明</w:t>
      </w:r>
      <w:bookmarkEnd w:id="701"/>
      <w:bookmarkEnd w:id="702"/>
      <w:bookmarkEnd w:id="704"/>
    </w:p>
    <w:p>
      <w:pPr>
        <w:pStyle w:val="Style31"/>
        <w:keepNext w:val="0"/>
        <w:keepLines w:val="0"/>
        <w:widowControl w:val="0"/>
        <w:shd w:val="clear" w:color="auto" w:fill="auto"/>
        <w:bidi w:val="0"/>
        <w:spacing w:before="0" w:after="480" w:line="346" w:lineRule="exact"/>
        <w:ind w:left="0" w:right="0" w:firstLine="380"/>
        <w:jc w:val="both"/>
      </w:pPr>
      <w:r>
        <w:rPr>
          <w:color w:val="000000"/>
          <w:spacing w:val="0"/>
          <w:w w:val="100"/>
          <w:position w:val="0"/>
        </w:rPr>
        <w:t>本公司编制的财务报表符合企业会计准则的要求，真实、完整地反映了本公司于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日的公司及合并财务状况 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年度的公司及合并经营成果、公司及合并股东权益变动和公司及合并现金流量。</w:t>
      </w:r>
    </w:p>
    <w:p>
      <w:pPr>
        <w:pStyle w:val="Style49"/>
        <w:keepNext/>
        <w:keepLines/>
        <w:widowControl w:val="0"/>
        <w:shd w:val="clear" w:color="auto" w:fill="auto"/>
        <w:tabs>
          <w:tab w:pos="378" w:val="left"/>
        </w:tabs>
        <w:bidi w:val="0"/>
        <w:spacing w:before="0" w:after="180" w:line="240"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w:t>
        <w:tab/>
        <w:t>会计期间</w:t>
      </w:r>
      <w:bookmarkEnd w:id="705"/>
      <w:bookmarkEnd w:id="706"/>
      <w:bookmarkEnd w:id="708"/>
    </w:p>
    <w:p>
      <w:pPr>
        <w:pStyle w:val="Style31"/>
        <w:keepNext w:val="0"/>
        <w:keepLines w:val="0"/>
        <w:widowControl w:val="0"/>
        <w:shd w:val="clear" w:color="auto" w:fill="auto"/>
        <w:bidi w:val="0"/>
        <w:spacing w:before="0" w:after="480" w:line="350" w:lineRule="exact"/>
        <w:ind w:left="0" w:right="0" w:firstLine="380"/>
        <w:jc w:val="left"/>
      </w:pPr>
      <w:r>
        <w:rPr>
          <w:color w:val="000000"/>
          <w:spacing w:val="0"/>
          <w:w w:val="100"/>
          <w:position w:val="0"/>
        </w:rPr>
        <w:t>本集团的会计年度为公历年度，即每年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49"/>
        <w:keepNext/>
        <w:keepLines/>
        <w:widowControl w:val="0"/>
        <w:shd w:val="clear" w:color="auto" w:fill="auto"/>
        <w:tabs>
          <w:tab w:pos="378" w:val="left"/>
        </w:tabs>
        <w:bidi w:val="0"/>
        <w:spacing w:before="0" w:after="180" w:line="240"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w:t>
        <w:tab/>
        <w:t>营业周期</w:t>
      </w:r>
      <w:bookmarkEnd w:id="709"/>
      <w:bookmarkEnd w:id="710"/>
      <w:bookmarkEnd w:id="712"/>
    </w:p>
    <w:p>
      <w:pPr>
        <w:pStyle w:val="Style31"/>
        <w:keepNext w:val="0"/>
        <w:keepLines w:val="0"/>
        <w:widowControl w:val="0"/>
        <w:shd w:val="clear" w:color="auto" w:fill="auto"/>
        <w:bidi w:val="0"/>
        <w:spacing w:before="0" w:after="480" w:line="350" w:lineRule="exact"/>
        <w:ind w:left="0" w:right="0" w:firstLine="380"/>
        <w:jc w:val="left"/>
      </w:pPr>
      <w:r>
        <w:rPr>
          <w:color w:val="000000"/>
          <w:spacing w:val="0"/>
          <w:w w:val="100"/>
          <w:position w:val="0"/>
        </w:rPr>
        <w:t>营业周期是指企业从购买用于加工的资产起至实现现金或现金等价物的期间。本公司的营业周期为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49"/>
        <w:keepNext/>
        <w:keepLines/>
        <w:widowControl w:val="0"/>
        <w:shd w:val="clear" w:color="auto" w:fill="auto"/>
        <w:tabs>
          <w:tab w:pos="378" w:val="left"/>
        </w:tabs>
        <w:bidi w:val="0"/>
        <w:spacing w:before="0" w:after="18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w:t>
        <w:tab/>
        <w:t>记账本位币</w:t>
      </w:r>
      <w:bookmarkEnd w:id="713"/>
      <w:bookmarkEnd w:id="714"/>
      <w:bookmarkEnd w:id="716"/>
    </w:p>
    <w:p>
      <w:pPr>
        <w:pStyle w:val="Style31"/>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之境外子公司根据其经营所处的主要经济环境中的货币确定人民币为其记账本位币。本公司编制本财务报表时所采用的货币 为人民币。</w:t>
      </w:r>
    </w:p>
    <w:p>
      <w:pPr>
        <w:pStyle w:val="Style49"/>
        <w:keepNext/>
        <w:keepLines/>
        <w:widowControl w:val="0"/>
        <w:shd w:val="clear" w:color="auto" w:fill="auto"/>
        <w:tabs>
          <w:tab w:pos="378" w:val="left"/>
        </w:tabs>
        <w:bidi w:val="0"/>
        <w:spacing w:before="0" w:after="1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5</w:t>
      </w:r>
      <w:bookmarkEnd w:id="719"/>
      <w:r>
        <w:rPr>
          <w:color w:val="000000"/>
          <w:spacing w:val="0"/>
          <w:w w:val="100"/>
          <w:position w:val="0"/>
        </w:rPr>
        <w:t>、</w:t>
        <w:tab/>
        <w:t>同一控制下和非同一控制下企业合并的会计处理方法</w:t>
      </w:r>
      <w:bookmarkEnd w:id="717"/>
      <w:bookmarkEnd w:id="718"/>
      <w:bookmarkEnd w:id="720"/>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参与合并的企业在合并前后不受同一方或相同的多方最终控制，为非同一控制下的企业合并。</w:t>
      </w:r>
    </w:p>
    <w:p>
      <w:pPr>
        <w:pStyle w:val="Style31"/>
        <w:keepNext w:val="0"/>
        <w:keepLines w:val="0"/>
        <w:widowControl w:val="0"/>
        <w:shd w:val="clear" w:color="auto" w:fill="auto"/>
        <w:bidi w:val="0"/>
        <w:spacing w:before="0" w:after="40" w:line="346" w:lineRule="exact"/>
        <w:ind w:left="0" w:right="0" w:firstLine="380"/>
        <w:jc w:val="both"/>
      </w:pPr>
      <w:r>
        <w:rPr>
          <w:color w:val="000000"/>
          <w:spacing w:val="0"/>
          <w:w w:val="100"/>
          <w:position w:val="0"/>
        </w:rPr>
        <w:t>合并成本指购买方为取得被购买方的控制权而付出的资产、发生或承担的负债和发行的权益性工具的公允价值。购买方 为企业合并发生的审计、法律服务、评估咨询等中介费用以及其他相关管理费用，于发生时计入当期损益。</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购买方在合并中所取得的被购买方符合确认条件的可辨认资产、负债及或有负债在购买日以公允价值计量。合并成本大 于合并中取得的被购买方可辨认净资产公允价值份额的差额，作为一项资产确认为商誉并按成本进行初始计量。</w:t>
      </w:r>
    </w:p>
    <w:p>
      <w:pPr>
        <w:pStyle w:val="Style31"/>
        <w:keepNext w:val="0"/>
        <w:keepLines w:val="0"/>
        <w:widowControl w:val="0"/>
        <w:shd w:val="clear" w:color="auto" w:fill="auto"/>
        <w:bidi w:val="0"/>
        <w:spacing w:before="0" w:after="40" w:line="348" w:lineRule="exact"/>
        <w:ind w:left="0" w:right="0" w:firstLine="380"/>
        <w:jc w:val="both"/>
      </w:pPr>
      <w:r>
        <w:rPr>
          <w:color w:val="000000"/>
          <w:spacing w:val="0"/>
          <w:w w:val="100"/>
          <w:position w:val="0"/>
        </w:rPr>
        <w:t>合并成本小于合并中取得的被购买方可辨认净资产公允价值份额的，首先对取得的被购买方各项可辨认资产、负债及或 有负债的公允价值以及合并成本的计量进行复核，复核后合并成本仍小于合并中取得的被购买方可辨认净资产公允价值份额 的，计入当期损益。</w:t>
      </w:r>
    </w:p>
    <w:p>
      <w:pPr>
        <w:pStyle w:val="Style31"/>
        <w:keepNext w:val="0"/>
        <w:keepLines w:val="0"/>
        <w:widowControl w:val="0"/>
        <w:shd w:val="clear" w:color="auto" w:fill="auto"/>
        <w:bidi w:val="0"/>
        <w:spacing w:before="0" w:after="480" w:line="350" w:lineRule="exact"/>
        <w:ind w:left="0" w:right="0" w:firstLine="380"/>
        <w:jc w:val="left"/>
      </w:pPr>
      <w:r>
        <w:rPr>
          <w:color w:val="000000"/>
          <w:spacing w:val="0"/>
          <w:w w:val="100"/>
          <w:position w:val="0"/>
        </w:rPr>
        <w:t>因企业合并形成的商誉在合并财务报表中单独列报，并按照成本扣除累计减值准备后的金额计量。</w:t>
      </w:r>
    </w:p>
    <w:p>
      <w:pPr>
        <w:pStyle w:val="Style49"/>
        <w:keepNext/>
        <w:keepLines/>
        <w:widowControl w:val="0"/>
        <w:shd w:val="clear" w:color="auto" w:fill="auto"/>
        <w:tabs>
          <w:tab w:pos="378" w:val="left"/>
        </w:tabs>
        <w:bidi w:val="0"/>
        <w:spacing w:before="0" w:after="1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w:t>
        <w:tab/>
        <w:t>合并财务报表的编制方法</w:t>
      </w:r>
      <w:bookmarkEnd w:id="721"/>
      <w:bookmarkEnd w:id="722"/>
      <w:bookmarkEnd w:id="724"/>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合并财务报表的合并范围以控制为基础予以确定。控制是指投资方拥有对被投资方的权力，通过参与被投资方的相关活 动而享有可变回报，并且有能力运用对被投资方的权力影响其回报金额。一旦相关事实和情况的变化导致上述控制定义涉及 的相关要素发生了变化，本集团将进行重新评估。</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子公司的合并起始于本集团获得对该子公司的控制权时，终止于本集团丧失对该子公司的控制权时。</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对于本集团处置的子公司，处置日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前的经营成果和现金流量已经适当地包括在合并利润表和合并现 金流量表中。</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对于通过非同一控制下的企业合并取得的子公司，其自购买日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起的经营成果及现金流量已经适当地 包括在合并利润表和合并现金流量表中。</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子公司采用的主要会计政策和会计期间按照本公司统一规定的会计政策和会计期间厘定。</w:t>
      </w:r>
    </w:p>
    <w:p>
      <w:pPr>
        <w:pStyle w:val="Style31"/>
        <w:keepNext w:val="0"/>
        <w:keepLines w:val="0"/>
        <w:widowControl w:val="0"/>
        <w:shd w:val="clear" w:color="auto" w:fill="auto"/>
        <w:bidi w:val="0"/>
        <w:spacing w:before="0" w:after="480" w:line="350" w:lineRule="exact"/>
        <w:ind w:left="0" w:right="0" w:firstLine="380"/>
        <w:jc w:val="left"/>
      </w:pPr>
      <w:r>
        <w:rPr>
          <w:color w:val="000000"/>
          <w:spacing w:val="0"/>
          <w:w w:val="100"/>
          <w:position w:val="0"/>
        </w:rPr>
        <w:t>本公司与子公司及子公司相互之间发生的内部交易对合并财务报表的影响于合并时抵销。</w:t>
      </w:r>
    </w:p>
    <w:p>
      <w:pPr>
        <w:pStyle w:val="Style49"/>
        <w:keepNext/>
        <w:keepLines/>
        <w:widowControl w:val="0"/>
        <w:shd w:val="clear" w:color="auto" w:fill="auto"/>
        <w:tabs>
          <w:tab w:pos="370" w:val="left"/>
        </w:tabs>
        <w:bidi w:val="0"/>
        <w:spacing w:before="0" w:after="1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7</w:t>
      </w:r>
      <w:bookmarkEnd w:id="727"/>
      <w:r>
        <w:rPr>
          <w:color w:val="000000"/>
          <w:spacing w:val="0"/>
          <w:w w:val="100"/>
          <w:position w:val="0"/>
        </w:rPr>
        <w:t>、</w:t>
        <w:tab/>
        <w:t>现金及现金等价物的确定标准</w:t>
      </w:r>
      <w:bookmarkEnd w:id="725"/>
      <w:bookmarkEnd w:id="726"/>
      <w:bookmarkEnd w:id="728"/>
    </w:p>
    <w:p>
      <w:pPr>
        <w:pStyle w:val="Style31"/>
        <w:keepNext w:val="0"/>
        <w:keepLines w:val="0"/>
        <w:widowControl w:val="0"/>
        <w:shd w:val="clear" w:color="auto" w:fill="auto"/>
        <w:bidi w:val="0"/>
        <w:spacing w:before="0" w:after="480" w:line="350" w:lineRule="exact"/>
        <w:ind w:left="0" w:right="0" w:firstLine="380"/>
        <w:jc w:val="left"/>
      </w:pPr>
      <w:r>
        <w:rPr>
          <w:color w:val="000000"/>
          <w:spacing w:val="0"/>
          <w:w w:val="100"/>
          <w:position w:val="0"/>
        </w:rPr>
        <w:t>现金是指库存现金以及可以随时用于支付的存款。现金等价物是指本集团持有的期限短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一般指从购买日起（三）个月 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49"/>
        <w:keepNext/>
        <w:keepLines/>
        <w:widowControl w:val="0"/>
        <w:shd w:val="clear" w:color="auto" w:fill="auto"/>
        <w:tabs>
          <w:tab w:pos="374" w:val="left"/>
        </w:tabs>
        <w:bidi w:val="0"/>
        <w:spacing w:before="0" w:after="1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w:t>
        <w:tab/>
        <w:t>外币业务和外币报表折算</w:t>
      </w:r>
      <w:bookmarkEnd w:id="729"/>
      <w:bookmarkEnd w:id="730"/>
      <w:bookmarkEnd w:id="732"/>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外币交易在初始确认时采用与交易发生日的即期汇率近似的汇率折算。</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于资产负债表日，外币货币性项目采用该日即期汇率折算为人民币，因该日的即期汇率与初始确认时或者前一资产负债 表日即期汇率不同而产生的汇兑差额，均计入当期损益。</w:t>
      </w:r>
    </w:p>
    <w:p>
      <w:pPr>
        <w:pStyle w:val="Style31"/>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以历史成本计量的外币非货币性项目仍以交易发生日的即期汇率折算的记账本位币金额计量。</w:t>
      </w:r>
    </w:p>
    <w:p>
      <w:pPr>
        <w:pStyle w:val="Style49"/>
        <w:keepNext/>
        <w:keepLines/>
        <w:widowControl w:val="0"/>
        <w:shd w:val="clear" w:color="auto" w:fill="auto"/>
        <w:tabs>
          <w:tab w:pos="374" w:val="left"/>
        </w:tabs>
        <w:bidi w:val="0"/>
        <w:spacing w:before="0" w:after="1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9</w:t>
      </w:r>
      <w:bookmarkEnd w:id="735"/>
      <w:r>
        <w:rPr>
          <w:color w:val="000000"/>
          <w:spacing w:val="0"/>
          <w:w w:val="100"/>
          <w:position w:val="0"/>
        </w:rPr>
        <w:t>、</w:t>
        <w:tab/>
        <w:t>金融工具</w:t>
      </w:r>
      <w:bookmarkEnd w:id="733"/>
      <w:bookmarkEnd w:id="734"/>
      <w:bookmarkEnd w:id="736"/>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本集团在成为金融工具合同的一方时确认一项金融资产或金融负债。</w:t>
      </w:r>
    </w:p>
    <w:p>
      <w:pPr>
        <w:pStyle w:val="Style31"/>
        <w:keepNext w:val="0"/>
        <w:keepLines w:val="0"/>
        <w:widowControl w:val="0"/>
        <w:shd w:val="clear" w:color="auto" w:fill="auto"/>
        <w:bidi w:val="0"/>
        <w:spacing w:before="0" w:after="0" w:line="355" w:lineRule="exact"/>
        <w:ind w:left="0" w:right="0" w:firstLine="380"/>
        <w:jc w:val="left"/>
      </w:pPr>
      <w:r>
        <w:rPr>
          <w:color w:val="000000"/>
          <w:spacing w:val="0"/>
          <w:w w:val="100"/>
          <w:position w:val="0"/>
        </w:rPr>
        <w:t>对于以常规方式购买或出售金融资产的，在交易日确认将收到的资产和为此将承担的负债，或者在交易日终止确认已出 售的资产。</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金融资产和金融负债在初始确认时以公允价值计量。对于以公允价值计量且其变动计入当期损益的金融资产和金融负债, 相关的交易费用直接计入当期损益；对于其他类别的金融资产和金融负债，相关交易费用计入初始确认金额。当本集团按照 《企业会计准则第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初始确认未包含重大融资成分或不考虑不超过一年的合同中的融资成分的 应收账款时，按照收入准则定义的交易价格进行初始计量。</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实际利率法是指计算金融资产或金融负债的摊余成本以及将利息收入或利息费用分摊计入各会计期间的方法。</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31"/>
        <w:keepNext w:val="0"/>
        <w:keepLines w:val="0"/>
        <w:widowControl w:val="0"/>
        <w:shd w:val="clear" w:color="auto" w:fill="auto"/>
        <w:bidi w:val="0"/>
        <w:spacing w:before="0" w:after="0" w:line="357" w:lineRule="exact"/>
        <w:ind w:left="0" w:right="0" w:firstLine="380"/>
        <w:jc w:val="left"/>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57" w:lineRule="exact"/>
        <w:ind w:left="0" w:right="0" w:firstLine="380"/>
        <w:jc w:val="left"/>
      </w:pPr>
      <w:r>
        <w:rPr>
          <w:color w:val="000000"/>
          <w:spacing w:val="0"/>
          <w:w w:val="100"/>
          <w:position w:val="0"/>
        </w:rPr>
        <w:t>初始确认后，本集团对不同类别的金融资产，分别以摊余成本、以公允价值计量且其变动计入其他综合收益或以公允价 值计量且其变动计入当期损益进行后续计量。</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金融资产的合同条款规定在特定日期产生的现金流量仅为对本金和以未偿付本金金额为基础的利息的支付，且本集团管 理该金融资产的业务模式是以收取合同现金流量为目标，则本集团将该金融资产分类为以摊余成本计量的金融资产。此类金 融资产主要包括货币资金、应收账款和其他应收款。</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金融资产满足下列条件之一的，表明本集团持有该金融资产的目的是交易性的：</w:t>
      </w:r>
    </w:p>
    <w:p>
      <w:pPr>
        <w:pStyle w:val="Style31"/>
        <w:keepNext w:val="0"/>
        <w:keepLines w:val="0"/>
        <w:widowControl w:val="0"/>
        <w:shd w:val="clear" w:color="auto" w:fill="auto"/>
        <w:bidi w:val="0"/>
        <w:spacing w:before="0" w:after="40" w:line="349" w:lineRule="exact"/>
        <w:ind w:left="0" w:right="0" w:firstLine="380"/>
        <w:jc w:val="left"/>
      </w:pPr>
      <w:r>
        <w:rPr>
          <w:color w:val="000000"/>
          <w:spacing w:val="0"/>
          <w:w w:val="100"/>
          <w:position w:val="0"/>
        </w:rPr>
        <w:t>•取得相关金融资产的目的，主要是为了近期出售。</w:t>
      </w:r>
    </w:p>
    <w:p>
      <w:pPr>
        <w:pStyle w:val="Style31"/>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-相关金融资产在初始确认时属于集中管理的可辨认金融工具组合的一部分,且有客观证据表明近期实际存在短期获利 模式。</w:t>
      </w:r>
    </w:p>
    <w:p>
      <w:pPr>
        <w:pStyle w:val="Style31"/>
        <w:keepNext w:val="0"/>
        <w:keepLines w:val="0"/>
        <w:widowControl w:val="0"/>
        <w:shd w:val="clear" w:color="auto" w:fill="auto"/>
        <w:bidi w:val="0"/>
        <w:spacing w:before="0" w:after="40" w:line="349" w:lineRule="exact"/>
        <w:ind w:left="0" w:right="0" w:firstLine="380"/>
        <w:jc w:val="left"/>
      </w:pPr>
      <w:r>
        <w:rPr>
          <w:color w:val="000000"/>
          <w:spacing w:val="0"/>
          <w:w w:val="100"/>
          <w:position w:val="0"/>
        </w:rPr>
        <w:t>•</w:t>
      </w:r>
      <w:r>
        <w:rPr>
          <w:color w:val="000000"/>
          <w:spacing w:val="0"/>
          <w:w w:val="100"/>
          <w:position w:val="0"/>
        </w:rPr>
        <w:t>相关金融资产属于衍生工具。但符合财务担保合同定义的衍生工具以及被指定为有效套期工具的衍生工具除外。</w:t>
      </w:r>
    </w:p>
    <w:p>
      <w:pPr>
        <w:pStyle w:val="Style31"/>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以公允价值计量且其变动计入当期损益的金融资产包括分类为以公允价值计量且其变动计入当期损益的金融资产和指 定为以公允价值计量且其变动计入当期损益的金融资产：</w:t>
      </w:r>
    </w:p>
    <w:p>
      <w:pPr>
        <w:pStyle w:val="Style31"/>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w:t>
      </w:r>
      <w:r>
        <w:rPr>
          <w:color w:val="000000"/>
          <w:spacing w:val="0"/>
          <w:w w:val="100"/>
          <w:position w:val="0"/>
        </w:rPr>
        <w:t>不符合分类为以摊余成本计量的金融资产、以公允价值计量且其变动计入其他综合收益的金融资产条件的金融资产均 分类为以公允价值计量且其变动计入当期损益的金融资产。</w:t>
      </w:r>
    </w:p>
    <w:p>
      <w:pPr>
        <w:pStyle w:val="Style31"/>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w:t>
      </w:r>
      <w:r>
        <w:rPr>
          <w:color w:val="000000"/>
          <w:spacing w:val="0"/>
          <w:w w:val="100"/>
          <w:position w:val="0"/>
        </w:rPr>
        <w:t>在初始确认时，为消除或显著减少会计错配，本集团可以将金融资产不可撤销地指定为以公允价值计量且其变动计入 当期损益的金融资产。</w:t>
      </w:r>
    </w:p>
    <w:p>
      <w:pPr>
        <w:pStyle w:val="Style31"/>
        <w:keepNext w:val="0"/>
        <w:keepLines w:val="0"/>
        <w:widowControl w:val="0"/>
        <w:shd w:val="clear" w:color="auto" w:fill="auto"/>
        <w:bidi w:val="0"/>
        <w:spacing w:before="0" w:after="180" w:line="349" w:lineRule="exact"/>
        <w:ind w:left="0" w:right="0" w:firstLine="380"/>
        <w:jc w:val="left"/>
      </w:pPr>
      <w:r>
        <w:rPr>
          <w:color w:val="000000"/>
          <w:spacing w:val="0"/>
          <w:w w:val="100"/>
          <w:position w:val="0"/>
        </w:rPr>
        <w:t>以公允价值计量且其变动计入当期损益的金融资产列示于交易性金融资产。</w:t>
      </w:r>
    </w:p>
    <w:p>
      <w:pPr>
        <w:pStyle w:val="Style31"/>
        <w:keepNext w:val="0"/>
        <w:keepLines w:val="0"/>
        <w:widowControl w:val="0"/>
        <w:shd w:val="clear" w:color="auto" w:fill="auto"/>
        <w:bidi w:val="0"/>
        <w:spacing w:before="0" w:after="0" w:line="406" w:lineRule="auto"/>
        <w:ind w:left="0" w:right="0" w:firstLine="380"/>
        <w:jc w:val="left"/>
      </w:pPr>
      <w:r>
        <w:rPr>
          <w:rFonts w:ascii="Times New Roman" w:eastAsia="Times New Roman" w:hAnsi="Times New Roman" w:cs="Times New Roman"/>
          <w:color w:val="000000"/>
          <w:spacing w:val="0"/>
          <w:w w:val="100"/>
          <w:position w:val="0"/>
          <w:sz w:val="18"/>
          <w:szCs w:val="18"/>
          <w:u w:val="single"/>
        </w:rPr>
        <w:t>9.1.1</w:t>
      </w:r>
      <w:r>
        <w:rPr>
          <w:color w:val="000000"/>
          <w:spacing w:val="0"/>
          <w:w w:val="100"/>
          <w:position w:val="0"/>
          <w:u w:val="single"/>
        </w:rPr>
        <w:t>以摊余成本计量的金融资产</w:t>
      </w:r>
    </w:p>
    <w:p>
      <w:pPr>
        <w:pStyle w:val="Style31"/>
        <w:keepNext w:val="0"/>
        <w:keepLines w:val="0"/>
        <w:widowControl w:val="0"/>
        <w:shd w:val="clear" w:color="auto" w:fill="auto"/>
        <w:bidi w:val="0"/>
        <w:spacing w:before="0" w:after="40" w:line="355" w:lineRule="exact"/>
        <w:ind w:left="0" w:right="0" w:firstLine="380"/>
        <w:jc w:val="left"/>
      </w:pPr>
      <w:r>
        <w:rPr>
          <w:color w:val="000000"/>
          <w:spacing w:val="0"/>
          <w:w w:val="100"/>
          <w:position w:val="0"/>
        </w:rPr>
        <w:t>以摊余成本计量的金融资产采用实际利率法，按摊余成本进行后续计量，发生减值或终止确认产生的利得或损失，计入 当期损益。</w:t>
      </w:r>
    </w:p>
    <w:p>
      <w:pPr>
        <w:pStyle w:val="Style31"/>
        <w:keepNext w:val="0"/>
        <w:keepLines w:val="0"/>
        <w:widowControl w:val="0"/>
        <w:shd w:val="clear" w:color="auto" w:fill="auto"/>
        <w:bidi w:val="0"/>
        <w:spacing w:before="0" w:after="180" w:line="349" w:lineRule="exact"/>
        <w:ind w:left="0" w:right="0" w:firstLine="380"/>
        <w:jc w:val="left"/>
      </w:pPr>
      <w:r>
        <w:rPr>
          <w:color w:val="000000"/>
          <w:spacing w:val="0"/>
          <w:w w:val="100"/>
          <w:position w:val="0"/>
        </w:rPr>
        <w:t>本集团对以摊余成本计量的金融资产按照实际利率法确认利息收入。</w:t>
      </w:r>
    </w:p>
    <w:p>
      <w:pPr>
        <w:pStyle w:val="Style31"/>
        <w:keepNext w:val="0"/>
        <w:keepLines w:val="0"/>
        <w:widowControl w:val="0"/>
        <w:shd w:val="clear" w:color="auto" w:fill="auto"/>
        <w:bidi w:val="0"/>
        <w:spacing w:before="0" w:after="0" w:line="406" w:lineRule="auto"/>
        <w:ind w:left="0" w:right="0" w:firstLine="380"/>
        <w:jc w:val="left"/>
      </w:pPr>
      <w:r>
        <w:rPr>
          <w:rFonts w:ascii="Times New Roman" w:eastAsia="Times New Roman" w:hAnsi="Times New Roman" w:cs="Times New Roman"/>
          <w:color w:val="000000"/>
          <w:spacing w:val="0"/>
          <w:w w:val="100"/>
          <w:position w:val="0"/>
          <w:sz w:val="18"/>
          <w:szCs w:val="18"/>
          <w:u w:val="single"/>
        </w:rPr>
        <w:t>9.1.2</w:t>
      </w:r>
      <w:r>
        <w:rPr>
          <w:color w:val="000000"/>
          <w:spacing w:val="0"/>
          <w:w w:val="100"/>
          <w:position w:val="0"/>
          <w:u w:val="single"/>
        </w:rPr>
        <w:t>以公允价值计量且其变动计入当期损益的金融资产</w:t>
      </w:r>
    </w:p>
    <w:p>
      <w:pPr>
        <w:pStyle w:val="Style31"/>
        <w:keepNext w:val="0"/>
        <w:keepLines w:val="0"/>
        <w:widowControl w:val="0"/>
        <w:shd w:val="clear" w:color="auto" w:fill="auto"/>
        <w:bidi w:val="0"/>
        <w:spacing w:before="0" w:after="40" w:line="350" w:lineRule="exact"/>
        <w:ind w:left="0" w:right="0" w:firstLine="380"/>
        <w:jc w:val="left"/>
      </w:pPr>
      <w:r>
        <w:rPr>
          <w:color w:val="000000"/>
          <w:spacing w:val="0"/>
          <w:w w:val="100"/>
          <w:position w:val="0"/>
        </w:rPr>
        <w:t>以公允价值计量且其变动计入当期损益的金融资产以公允价值进行后续计量，公允价值变动形成的利得或损失以及与该 金融资产相关的股利和利息收入计入当期损益。</w:t>
      </w:r>
    </w:p>
    <w:p>
      <w:pPr>
        <w:pStyle w:val="Style31"/>
        <w:keepNext w:val="0"/>
        <w:keepLines w:val="0"/>
        <w:widowControl w:val="0"/>
        <w:shd w:val="clear" w:color="auto" w:fill="auto"/>
        <w:bidi w:val="0"/>
        <w:spacing w:before="0" w:after="40" w:line="349" w:lineRule="exact"/>
        <w:ind w:left="0" w:right="0" w:firstLine="380"/>
        <w:jc w:val="both"/>
      </w:pPr>
      <w:r>
        <w:rPr>
          <w:i/>
          <w:iCs/>
          <w:color w:val="000000"/>
          <w:spacing w:val="0"/>
          <w:w w:val="100"/>
          <w:position w:val="0"/>
          <w:u w:val="single"/>
        </w:rPr>
        <w:t>9.2</w:t>
      </w:r>
      <w:r>
        <w:rPr>
          <w:color w:val="000000"/>
          <w:spacing w:val="0"/>
          <w:w w:val="100"/>
          <w:position w:val="0"/>
          <w:u w:val="single"/>
        </w:rPr>
        <w:t>金融工具减值</w:t>
      </w:r>
    </w:p>
    <w:p>
      <w:pPr>
        <w:pStyle w:val="Style31"/>
        <w:keepNext w:val="0"/>
        <w:keepLines w:val="0"/>
        <w:widowControl w:val="0"/>
        <w:shd w:val="clear" w:color="auto" w:fill="auto"/>
        <w:bidi w:val="0"/>
        <w:spacing w:before="0" w:after="40" w:line="349" w:lineRule="exact"/>
        <w:ind w:left="0" w:right="0" w:firstLine="380"/>
        <w:jc w:val="both"/>
      </w:pPr>
      <w:r>
        <w:rPr>
          <w:color w:val="000000"/>
          <w:spacing w:val="0"/>
          <w:w w:val="100"/>
          <w:position w:val="0"/>
        </w:rPr>
        <w:t>本集团对以摊余成本计量的金融资产以预期信用损失为基础进行减值会计处理并确认损失准备。</w:t>
      </w:r>
    </w:p>
    <w:p>
      <w:pPr>
        <w:pStyle w:val="Style31"/>
        <w:keepNext w:val="0"/>
        <w:keepLines w:val="0"/>
        <w:widowControl w:val="0"/>
        <w:shd w:val="clear" w:color="auto" w:fill="auto"/>
        <w:bidi w:val="0"/>
        <w:spacing w:before="0" w:after="40" w:line="349" w:lineRule="exact"/>
        <w:ind w:left="0" w:right="0" w:firstLine="380"/>
        <w:jc w:val="both"/>
      </w:pPr>
      <w:r>
        <w:rPr>
          <w:color w:val="000000"/>
          <w:spacing w:val="0"/>
          <w:w w:val="100"/>
          <w:position w:val="0"/>
        </w:rPr>
        <w:t>本集团对由收入准则规范的交易形成的全部应收账款按照相当于整个存续期内预期信用损失的金额计量损失准备。</w:t>
      </w:r>
    </w:p>
    <w:p>
      <w:pPr>
        <w:pStyle w:val="Style31"/>
        <w:keepNext w:val="0"/>
        <w:keepLines w:val="0"/>
        <w:widowControl w:val="0"/>
        <w:shd w:val="clear" w:color="auto" w:fill="auto"/>
        <w:bidi w:val="0"/>
        <w:spacing w:before="0" w:after="40" w:line="349" w:lineRule="exact"/>
        <w:ind w:left="0" w:right="0" w:firstLine="380"/>
        <w:jc w:val="both"/>
      </w:pPr>
      <w:r>
        <w:rPr>
          <w:color w:val="000000"/>
          <w:spacing w:val="0"/>
          <w:w w:val="100"/>
          <w:position w:val="0"/>
        </w:rPr>
        <w:t>对于其他金融工具，本集团在每个资产负债表日评估相关金融工具的信用风险自初始确认后的变动情况。若该金融工具 的信用风险自初始确认后已显著增加，本集团按照相当于该金融工具整个存续期内预期信用损失的金额计量其损失准备；若 该金融工具的信用风险自初始确认后并未显著增加，本集团按照相当于该金融工具未来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 其损失准备。信用损失准备的增加或转回金额，作为减值损失或利得计入当期损益。</w:t>
      </w:r>
    </w:p>
    <w:p>
      <w:pPr>
        <w:pStyle w:val="Style31"/>
        <w:keepNext w:val="0"/>
        <w:keepLines w:val="0"/>
        <w:widowControl w:val="0"/>
        <w:shd w:val="clear" w:color="auto" w:fill="auto"/>
        <w:bidi w:val="0"/>
        <w:spacing w:before="0" w:after="180" w:line="353" w:lineRule="exact"/>
        <w:ind w:left="0" w:right="0" w:firstLine="380"/>
        <w:jc w:val="both"/>
      </w:pPr>
      <w:r>
        <w:rPr>
          <w:color w:val="000000"/>
          <w:spacing w:val="0"/>
          <w:w w:val="100"/>
          <w:position w:val="0"/>
        </w:rPr>
        <w:t>本集团在前一会计期间已经按照相当于金融工具整个存续期内预期信用损失的金额计量了损失准备，但在当期资产负债 表日，该金融工具已不再属于自初始确认后信用风险显著增加的情形的，本集团在当期资产负债表日按照相当于未来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9.2.</w:t>
      </w: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信用风险显著增加</w:t>
      </w:r>
    </w:p>
    <w:p>
      <w:pPr>
        <w:pStyle w:val="Style31"/>
        <w:keepNext w:val="0"/>
        <w:keepLines w:val="0"/>
        <w:widowControl w:val="0"/>
        <w:shd w:val="clear" w:color="auto" w:fill="auto"/>
        <w:bidi w:val="0"/>
        <w:spacing w:before="0" w:after="40" w:line="346" w:lineRule="exact"/>
        <w:ind w:left="0" w:right="0" w:firstLine="380"/>
        <w:jc w:val="both"/>
      </w:pPr>
      <w:r>
        <w:rPr>
          <w:color w:val="000000"/>
          <w:spacing w:val="0"/>
          <w:w w:val="100"/>
          <w:position w:val="0"/>
        </w:rPr>
        <w:t>本集团利用可获得的合理且有依据的前瞻性信息，通过比较金融工具在资产负债表日发生违约的风险与在初始确认日发 生违约的风险，以确定金融工具的信用风险自初始确认后是否已显著增加。</w:t>
      </w:r>
    </w:p>
    <w:p>
      <w:pPr>
        <w:pStyle w:val="Style31"/>
        <w:keepNext w:val="0"/>
        <w:keepLines w:val="0"/>
        <w:widowControl w:val="0"/>
        <w:shd w:val="clear" w:color="auto" w:fill="auto"/>
        <w:bidi w:val="0"/>
        <w:spacing w:before="0" w:after="180" w:line="349" w:lineRule="exact"/>
        <w:ind w:left="0" w:right="0" w:firstLine="380"/>
        <w:jc w:val="both"/>
      </w:pPr>
      <w:r>
        <w:rPr>
          <w:color w:val="000000"/>
          <w:spacing w:val="0"/>
          <w:w w:val="100"/>
          <w:position w:val="0"/>
        </w:rPr>
        <w:t>本集团在评估信用风险是否显著增加时会考虑如下因素：</w:t>
      </w:r>
    </w:p>
    <w:p>
      <w:pPr>
        <w:pStyle w:val="Style31"/>
        <w:keepNext w:val="0"/>
        <w:keepLines w:val="0"/>
        <w:widowControl w:val="0"/>
        <w:numPr>
          <w:ilvl w:val="0"/>
          <w:numId w:val="27"/>
        </w:numPr>
        <w:shd w:val="clear" w:color="auto" w:fill="auto"/>
        <w:tabs>
          <w:tab w:pos="686" w:val="left"/>
        </w:tabs>
        <w:bidi w:val="0"/>
        <w:spacing w:before="0" w:after="40" w:line="430" w:lineRule="auto"/>
        <w:ind w:left="0" w:right="0" w:firstLine="380"/>
        <w:jc w:val="both"/>
      </w:pPr>
      <w:bookmarkStart w:id="737" w:name="bookmark737"/>
      <w:bookmarkEnd w:id="737"/>
      <w:r>
        <w:rPr>
          <w:color w:val="000000"/>
          <w:spacing w:val="0"/>
          <w:w w:val="100"/>
          <w:position w:val="0"/>
        </w:rPr>
        <w:t>信用风险变化所导致的内部价格指标是否发生显著变化。</w:t>
      </w:r>
    </w:p>
    <w:p>
      <w:pPr>
        <w:pStyle w:val="Style31"/>
        <w:keepNext w:val="0"/>
        <w:keepLines w:val="0"/>
        <w:widowControl w:val="0"/>
        <w:numPr>
          <w:ilvl w:val="0"/>
          <w:numId w:val="27"/>
        </w:numPr>
        <w:shd w:val="clear" w:color="auto" w:fill="auto"/>
        <w:tabs>
          <w:tab w:pos="695" w:val="left"/>
        </w:tabs>
        <w:bidi w:val="0"/>
        <w:spacing w:before="0" w:after="40" w:line="430" w:lineRule="auto"/>
        <w:ind w:left="0" w:right="0" w:firstLine="380"/>
        <w:jc w:val="both"/>
      </w:pPr>
      <w:bookmarkStart w:id="738" w:name="bookmark738"/>
      <w:bookmarkEnd w:id="738"/>
      <w:r>
        <w:rPr>
          <w:color w:val="000000"/>
          <w:spacing w:val="0"/>
          <w:w w:val="100"/>
          <w:position w:val="0"/>
        </w:rPr>
        <w:t>对债务人实际或预期的内部信用评级是否下调。</w:t>
      </w:r>
    </w:p>
    <w:p>
      <w:pPr>
        <w:pStyle w:val="Style31"/>
        <w:keepNext w:val="0"/>
        <w:keepLines w:val="0"/>
        <w:widowControl w:val="0"/>
        <w:numPr>
          <w:ilvl w:val="0"/>
          <w:numId w:val="27"/>
        </w:numPr>
        <w:shd w:val="clear" w:color="auto" w:fill="auto"/>
        <w:tabs>
          <w:tab w:pos="695" w:val="left"/>
        </w:tabs>
        <w:bidi w:val="0"/>
        <w:spacing w:before="0" w:after="40" w:line="430" w:lineRule="auto"/>
        <w:ind w:left="0" w:right="0" w:firstLine="380"/>
        <w:jc w:val="both"/>
      </w:pPr>
      <w:bookmarkStart w:id="739" w:name="bookmark739"/>
      <w:bookmarkEnd w:id="739"/>
      <w:r>
        <w:rPr>
          <w:color w:val="000000"/>
          <w:spacing w:val="0"/>
          <w:w w:val="100"/>
          <w:position w:val="0"/>
        </w:rPr>
        <w:t>预期将导致债务人履行其偿债义务的能力发生显著变化的业务、财务或经济状况是否发生不利变化。</w:t>
      </w:r>
    </w:p>
    <w:p>
      <w:pPr>
        <w:pStyle w:val="Style31"/>
        <w:keepNext w:val="0"/>
        <w:keepLines w:val="0"/>
        <w:widowControl w:val="0"/>
        <w:numPr>
          <w:ilvl w:val="0"/>
          <w:numId w:val="27"/>
        </w:numPr>
        <w:shd w:val="clear" w:color="auto" w:fill="auto"/>
        <w:tabs>
          <w:tab w:pos="700" w:val="left"/>
        </w:tabs>
        <w:bidi w:val="0"/>
        <w:spacing w:before="0" w:after="0" w:line="430" w:lineRule="auto"/>
        <w:ind w:left="0" w:right="0" w:firstLine="380"/>
        <w:jc w:val="both"/>
      </w:pPr>
      <w:bookmarkStart w:id="740" w:name="bookmark740"/>
      <w:bookmarkEnd w:id="740"/>
      <w:r>
        <w:rPr>
          <w:color w:val="000000"/>
          <w:spacing w:val="0"/>
          <w:w w:val="100"/>
          <w:position w:val="0"/>
        </w:rPr>
        <w:t>债务人经营成果实际或预期是否发生显著变化。</w:t>
      </w:r>
    </w:p>
    <w:p>
      <w:pPr>
        <w:pStyle w:val="Style31"/>
        <w:keepNext w:val="0"/>
        <w:keepLines w:val="0"/>
        <w:widowControl w:val="0"/>
        <w:shd w:val="clear" w:color="auto" w:fill="auto"/>
        <w:bidi w:val="0"/>
        <w:spacing w:before="0" w:after="40" w:line="349" w:lineRule="exact"/>
        <w:ind w:left="0" w:right="0" w:firstLine="380"/>
        <w:jc w:val="left"/>
      </w:pPr>
      <w:r>
        <w:rPr>
          <w:color w:val="000000"/>
          <w:spacing w:val="0"/>
          <w:w w:val="100"/>
          <w:position w:val="0"/>
        </w:rPr>
        <w:t>本集团在评估信用风险是否显著增加时会考虑如下因素：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续</w:t>
      </w:r>
    </w:p>
    <w:p>
      <w:pPr>
        <w:pStyle w:val="Style31"/>
        <w:keepNext w:val="0"/>
        <w:keepLines w:val="0"/>
        <w:widowControl w:val="0"/>
        <w:numPr>
          <w:ilvl w:val="0"/>
          <w:numId w:val="29"/>
        </w:numPr>
        <w:shd w:val="clear" w:color="auto" w:fill="auto"/>
        <w:tabs>
          <w:tab w:pos="666" w:val="left"/>
        </w:tabs>
        <w:bidi w:val="0"/>
        <w:spacing w:before="0" w:after="0" w:line="350" w:lineRule="exact"/>
        <w:ind w:left="0" w:right="0" w:firstLine="360"/>
        <w:jc w:val="left"/>
      </w:pPr>
      <w:bookmarkStart w:id="741" w:name="bookmark741"/>
      <w:bookmarkEnd w:id="741"/>
      <w:r>
        <w:rPr>
          <w:color w:val="000000"/>
          <w:spacing w:val="0"/>
          <w:w w:val="100"/>
          <w:position w:val="0"/>
        </w:rPr>
        <w:t>债务人所处的监管、经济或技术环境是否发生显著不利变化。</w:t>
      </w:r>
    </w:p>
    <w:p>
      <w:pPr>
        <w:pStyle w:val="Style31"/>
        <w:keepNext w:val="0"/>
        <w:keepLines w:val="0"/>
        <w:widowControl w:val="0"/>
        <w:numPr>
          <w:ilvl w:val="0"/>
          <w:numId w:val="29"/>
        </w:numPr>
        <w:shd w:val="clear" w:color="auto" w:fill="auto"/>
        <w:tabs>
          <w:tab w:pos="675" w:val="left"/>
        </w:tabs>
        <w:bidi w:val="0"/>
        <w:spacing w:before="0" w:after="0" w:line="350" w:lineRule="exact"/>
        <w:ind w:left="0" w:right="0" w:firstLine="360"/>
        <w:jc w:val="left"/>
      </w:pPr>
      <w:bookmarkStart w:id="742" w:name="bookmark742"/>
      <w:bookmarkEnd w:id="742"/>
      <w:r>
        <w:rPr>
          <w:color w:val="000000"/>
          <w:spacing w:val="0"/>
          <w:w w:val="100"/>
          <w:position w:val="0"/>
        </w:rPr>
        <w:t>预期将降低借款人按合同约定期限还款的经济动机是否发生显著变化。</w:t>
      </w:r>
    </w:p>
    <w:p>
      <w:pPr>
        <w:pStyle w:val="Style31"/>
        <w:keepNext w:val="0"/>
        <w:keepLines w:val="0"/>
        <w:widowControl w:val="0"/>
        <w:numPr>
          <w:ilvl w:val="0"/>
          <w:numId w:val="29"/>
        </w:numPr>
        <w:shd w:val="clear" w:color="auto" w:fill="auto"/>
        <w:tabs>
          <w:tab w:pos="675" w:val="left"/>
        </w:tabs>
        <w:bidi w:val="0"/>
        <w:spacing w:before="0" w:after="0" w:line="350" w:lineRule="exact"/>
        <w:ind w:left="0" w:right="0" w:firstLine="360"/>
        <w:jc w:val="left"/>
      </w:pPr>
      <w:bookmarkStart w:id="743" w:name="bookmark743"/>
      <w:bookmarkEnd w:id="743"/>
      <w:r>
        <w:rPr>
          <w:color w:val="000000"/>
          <w:spacing w:val="0"/>
          <w:w w:val="100"/>
          <w:position w:val="0"/>
        </w:rPr>
        <w:t>债务人预期表现和还款行为是否发生显著变化。</w:t>
      </w:r>
    </w:p>
    <w:p>
      <w:pPr>
        <w:pStyle w:val="Style31"/>
        <w:keepNext w:val="0"/>
        <w:keepLines w:val="0"/>
        <w:widowControl w:val="0"/>
        <w:numPr>
          <w:ilvl w:val="0"/>
          <w:numId w:val="29"/>
        </w:numPr>
        <w:shd w:val="clear" w:color="auto" w:fill="auto"/>
        <w:tabs>
          <w:tab w:pos="680" w:val="left"/>
        </w:tabs>
        <w:bidi w:val="0"/>
        <w:spacing w:before="0" w:after="360" w:line="350" w:lineRule="exact"/>
        <w:ind w:left="0" w:right="0" w:firstLine="360"/>
        <w:jc w:val="left"/>
      </w:pPr>
      <w:bookmarkStart w:id="744" w:name="bookmark744"/>
      <w:bookmarkEnd w:id="744"/>
      <w:r>
        <w:rPr>
          <w:color w:val="000000"/>
          <w:spacing w:val="0"/>
          <w:w w:val="100"/>
          <w:position w:val="0"/>
        </w:rPr>
        <w:t>本集团对金融工具信用管理方法是否发生变化。</w:t>
      </w:r>
    </w:p>
    <w:p>
      <w:pPr>
        <w:pStyle w:val="Style31"/>
        <w:keepNext w:val="0"/>
        <w:keepLines w:val="0"/>
        <w:widowControl w:val="0"/>
        <w:shd w:val="clear" w:color="auto" w:fill="auto"/>
        <w:bidi w:val="0"/>
        <w:spacing w:before="0" w:after="180" w:line="350" w:lineRule="exact"/>
        <w:ind w:left="0" w:right="0" w:firstLine="360"/>
        <w:jc w:val="left"/>
      </w:pPr>
      <w:r>
        <w:rPr>
          <w:color w:val="000000"/>
          <w:spacing w:val="0"/>
          <w:w w:val="100"/>
          <w:position w:val="0"/>
        </w:rPr>
        <w:t>于资产负债表日，若本集团判断金融工具只具有较低的信用风险，则本集团假定该金融工具的信用风险自初始确认后并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济形势和经营环境存在不利变化但未必一定降低借款人履行其合同现金义务，则该金融工具被视为具有较低的信用风险。</w:t>
      </w:r>
    </w:p>
    <w:p>
      <w:pPr>
        <w:pStyle w:val="Style31"/>
        <w:keepNext w:val="0"/>
        <w:keepLines w:val="0"/>
        <w:widowControl w:val="0"/>
        <w:shd w:val="clear" w:color="auto" w:fill="auto"/>
        <w:bidi w:val="0"/>
        <w:spacing w:before="0" w:after="0" w:line="406" w:lineRule="auto"/>
        <w:ind w:left="0" w:right="0" w:firstLine="360"/>
        <w:jc w:val="both"/>
      </w:pPr>
      <w:r>
        <w:rPr>
          <w:rFonts w:ascii="Times New Roman" w:eastAsia="Times New Roman" w:hAnsi="Times New Roman" w:cs="Times New Roman"/>
          <w:color w:val="000000"/>
          <w:spacing w:val="0"/>
          <w:w w:val="100"/>
          <w:position w:val="0"/>
          <w:sz w:val="18"/>
          <w:szCs w:val="18"/>
          <w:u w:val="single"/>
        </w:rPr>
        <w:t>9.2.</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u w:val="single"/>
        </w:rPr>
        <w:t>已发生信用减值的金融资产</w:t>
      </w:r>
    </w:p>
    <w:p>
      <w:pPr>
        <w:pStyle w:val="Style31"/>
        <w:keepNext w:val="0"/>
        <w:keepLines w:val="0"/>
        <w:widowControl w:val="0"/>
        <w:shd w:val="clear" w:color="auto" w:fill="auto"/>
        <w:bidi w:val="0"/>
        <w:spacing w:before="0" w:after="0" w:line="350" w:lineRule="exact"/>
        <w:ind w:left="0" w:right="0" w:firstLine="360"/>
        <w:jc w:val="both"/>
      </w:pPr>
      <w:r>
        <w:rPr>
          <w:color w:val="000000"/>
          <w:spacing w:val="0"/>
          <w:w w:val="100"/>
          <w:position w:val="0"/>
        </w:rPr>
        <w:t>当本集团预期对金融资产未来现金流量具有不利影响的一项或多项事件发生时，该金融资产成为已发生信用减值的金融 资产。金融资产已发生信用减值的证据包括下列可观察信息：</w:t>
      </w:r>
    </w:p>
    <w:p>
      <w:pPr>
        <w:pStyle w:val="Style31"/>
        <w:keepNext w:val="0"/>
        <w:keepLines w:val="0"/>
        <w:widowControl w:val="0"/>
        <w:numPr>
          <w:ilvl w:val="0"/>
          <w:numId w:val="31"/>
        </w:numPr>
        <w:shd w:val="clear" w:color="auto" w:fill="auto"/>
        <w:tabs>
          <w:tab w:pos="666" w:val="left"/>
        </w:tabs>
        <w:bidi w:val="0"/>
        <w:spacing w:before="0" w:after="0" w:line="350" w:lineRule="exact"/>
        <w:ind w:left="0" w:right="0" w:firstLine="360"/>
        <w:jc w:val="both"/>
      </w:pPr>
      <w:bookmarkStart w:id="745" w:name="bookmark745"/>
      <w:bookmarkEnd w:id="745"/>
      <w:r>
        <w:rPr>
          <w:color w:val="000000"/>
          <w:spacing w:val="0"/>
          <w:w w:val="100"/>
          <w:position w:val="0"/>
        </w:rPr>
        <w:t>发行方或债务人发生重大财务困难；</w:t>
      </w:r>
    </w:p>
    <w:p>
      <w:pPr>
        <w:pStyle w:val="Style31"/>
        <w:keepNext w:val="0"/>
        <w:keepLines w:val="0"/>
        <w:widowControl w:val="0"/>
        <w:numPr>
          <w:ilvl w:val="0"/>
          <w:numId w:val="31"/>
        </w:numPr>
        <w:shd w:val="clear" w:color="auto" w:fill="auto"/>
        <w:tabs>
          <w:tab w:pos="675" w:val="left"/>
        </w:tabs>
        <w:bidi w:val="0"/>
        <w:spacing w:before="0" w:after="0" w:line="350" w:lineRule="exact"/>
        <w:ind w:left="0" w:right="0" w:firstLine="360"/>
        <w:jc w:val="both"/>
      </w:pPr>
      <w:bookmarkStart w:id="746" w:name="bookmark746"/>
      <w:bookmarkEnd w:id="746"/>
      <w:r>
        <w:rPr>
          <w:color w:val="000000"/>
          <w:spacing w:val="0"/>
          <w:w w:val="100"/>
          <w:position w:val="0"/>
        </w:rPr>
        <w:t>债务人违反合同，如偿付利息或本金违约或逾期等；</w:t>
      </w:r>
    </w:p>
    <w:p>
      <w:pPr>
        <w:pStyle w:val="Style31"/>
        <w:keepNext w:val="0"/>
        <w:keepLines w:val="0"/>
        <w:widowControl w:val="0"/>
        <w:numPr>
          <w:ilvl w:val="0"/>
          <w:numId w:val="31"/>
        </w:numPr>
        <w:shd w:val="clear" w:color="auto" w:fill="auto"/>
        <w:tabs>
          <w:tab w:pos="675" w:val="left"/>
        </w:tabs>
        <w:bidi w:val="0"/>
        <w:spacing w:before="0" w:after="0" w:line="350" w:lineRule="exact"/>
        <w:ind w:left="0" w:right="0" w:firstLine="360"/>
        <w:jc w:val="left"/>
      </w:pPr>
      <w:bookmarkStart w:id="747" w:name="bookmark747"/>
      <w:bookmarkEnd w:id="747"/>
      <w:r>
        <w:rPr>
          <w:color w:val="000000"/>
          <w:spacing w:val="0"/>
          <w:w w:val="100"/>
          <w:position w:val="0"/>
        </w:rPr>
        <w:t>债权人出于与债务人财务困难有关的经济或合同考虑，给予债务人在任何其他情况下都不会做出的让步；</w:t>
      </w:r>
    </w:p>
    <w:p>
      <w:pPr>
        <w:pStyle w:val="Style31"/>
        <w:keepNext w:val="0"/>
        <w:keepLines w:val="0"/>
        <w:widowControl w:val="0"/>
        <w:numPr>
          <w:ilvl w:val="0"/>
          <w:numId w:val="31"/>
        </w:numPr>
        <w:shd w:val="clear" w:color="auto" w:fill="auto"/>
        <w:tabs>
          <w:tab w:pos="680" w:val="left"/>
        </w:tabs>
        <w:bidi w:val="0"/>
        <w:spacing w:before="0" w:after="0" w:line="350" w:lineRule="exact"/>
        <w:ind w:left="0" w:right="0" w:firstLine="360"/>
        <w:jc w:val="left"/>
      </w:pPr>
      <w:bookmarkStart w:id="748" w:name="bookmark748"/>
      <w:bookmarkEnd w:id="748"/>
      <w:r>
        <w:rPr>
          <w:color w:val="000000"/>
          <w:spacing w:val="0"/>
          <w:w w:val="100"/>
          <w:position w:val="0"/>
        </w:rPr>
        <w:t>债务人很可能破产或进行其他财务重组。</w:t>
      </w:r>
    </w:p>
    <w:p>
      <w:pPr>
        <w:pStyle w:val="Style31"/>
        <w:keepNext w:val="0"/>
        <w:keepLines w:val="0"/>
        <w:widowControl w:val="0"/>
        <w:shd w:val="clear" w:color="auto" w:fill="auto"/>
        <w:bidi w:val="0"/>
        <w:spacing w:before="0" w:after="180" w:line="350" w:lineRule="exact"/>
        <w:ind w:left="0" w:right="0" w:firstLine="360"/>
        <w:jc w:val="left"/>
      </w:pPr>
      <w:r>
        <w:rPr>
          <w:color w:val="000000"/>
          <w:spacing w:val="0"/>
          <w:w w:val="100"/>
          <w:position w:val="0"/>
        </w:rPr>
        <w:t>基于本集团内部信用风险管理，当内部建议的或外部获取的信息中表明金融工具债务人不能全额偿付包括本集团在内的 债权人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不考虑本集团取得的任何担保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，则本集团认为发生违约事件。</w:t>
      </w:r>
    </w:p>
    <w:p>
      <w:pPr>
        <w:pStyle w:val="Style31"/>
        <w:keepNext w:val="0"/>
        <w:keepLines w:val="0"/>
        <w:widowControl w:val="0"/>
        <w:shd w:val="clear" w:color="auto" w:fill="auto"/>
        <w:bidi w:val="0"/>
        <w:spacing w:before="0" w:after="0" w:line="406" w:lineRule="auto"/>
        <w:ind w:left="0" w:right="0" w:firstLine="360"/>
        <w:jc w:val="left"/>
      </w:pPr>
      <w:r>
        <w:rPr>
          <w:rFonts w:ascii="Times New Roman" w:eastAsia="Times New Roman" w:hAnsi="Times New Roman" w:cs="Times New Roman"/>
          <w:color w:val="000000"/>
          <w:spacing w:val="0"/>
          <w:w w:val="100"/>
          <w:position w:val="0"/>
          <w:sz w:val="18"/>
          <w:szCs w:val="18"/>
          <w:u w:val="single"/>
        </w:rPr>
        <w:t>9.2.3</w:t>
      </w:r>
      <w:r>
        <w:rPr>
          <w:color w:val="000000"/>
          <w:spacing w:val="0"/>
          <w:w w:val="100"/>
          <w:position w:val="0"/>
          <w:u w:val="single"/>
        </w:rPr>
        <w:t>预期信用损失的确定</w:t>
      </w:r>
    </w:p>
    <w:p>
      <w:pPr>
        <w:pStyle w:val="Style31"/>
        <w:keepNext w:val="0"/>
        <w:keepLines w:val="0"/>
        <w:widowControl w:val="0"/>
        <w:shd w:val="clear" w:color="auto" w:fill="auto"/>
        <w:bidi w:val="0"/>
        <w:spacing w:before="0" w:after="0" w:line="348" w:lineRule="exact"/>
        <w:ind w:left="0" w:right="0" w:firstLine="360"/>
        <w:jc w:val="left"/>
      </w:pPr>
      <w:r>
        <w:rPr>
          <w:color w:val="000000"/>
          <w:spacing w:val="0"/>
          <w:w w:val="100"/>
          <w:position w:val="0"/>
        </w:rPr>
        <w:t>本集团对应收账款、其他应收款除个别已发生信用减值的资产单独计提信用损失准备外，其余在组合基础上采用减值矩 阵确定相关金融工具的信用损失。本集团以共同风险特征为依据，将金融工具分为不同组别。本集团采用的共同信用风险特 征包括：金融工具类型、信用风险评级、初始确认日期、剩余合同期限、债务人所处行业、债务人所处地理位置等。</w:t>
      </w:r>
    </w:p>
    <w:p>
      <w:pPr>
        <w:pStyle w:val="Style31"/>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本集团按照下列方法确定相关金融工具的预期信用损失：</w:t>
      </w:r>
    </w:p>
    <w:p>
      <w:pPr>
        <w:pStyle w:val="Style31"/>
        <w:keepNext w:val="0"/>
        <w:keepLines w:val="0"/>
        <w:widowControl w:val="0"/>
        <w:shd w:val="clear" w:color="auto" w:fill="auto"/>
        <w:bidi w:val="0"/>
        <w:spacing w:before="0" w:after="0" w:line="350" w:lineRule="exact"/>
        <w:ind w:left="0" w:right="0" w:firstLine="360"/>
        <w:jc w:val="left"/>
      </w:pPr>
      <w:r>
        <w:rPr>
          <w:color w:val="000000"/>
          <w:spacing w:val="0"/>
          <w:w w:val="100"/>
          <w:position w:val="0"/>
        </w:rPr>
        <w:t>-对于金融资产，信用损失为本集团应收取的合同现金流量与预期收取的现金流量之间差额的现值。</w:t>
      </w:r>
    </w:p>
    <w:p>
      <w:pPr>
        <w:pStyle w:val="Style31"/>
        <w:keepNext w:val="0"/>
        <w:keepLines w:val="0"/>
        <w:widowControl w:val="0"/>
        <w:shd w:val="clear" w:color="auto" w:fill="auto"/>
        <w:bidi w:val="0"/>
        <w:spacing w:before="0" w:after="0" w:line="350" w:lineRule="exact"/>
        <w:ind w:left="0" w:right="0" w:firstLine="360"/>
        <w:jc w:val="left"/>
      </w:pPr>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31"/>
        <w:keepNext w:val="0"/>
        <w:keepLines w:val="0"/>
        <w:widowControl w:val="0"/>
        <w:shd w:val="clear" w:color="auto" w:fill="auto"/>
        <w:bidi w:val="0"/>
        <w:spacing w:before="0" w:after="180" w:line="348" w:lineRule="exact"/>
        <w:ind w:left="0" w:right="0" w:firstLine="360"/>
        <w:jc w:val="left"/>
      </w:pPr>
      <w:r>
        <w:rPr>
          <w:color w:val="000000"/>
          <w:spacing w:val="0"/>
          <w:w w:val="100"/>
          <w:position w:val="0"/>
        </w:rPr>
        <w:t>本集团计量金融工具预期信用损失的方法反映的因素包括:通过评价一系列可能的结果而确定的无偏概率加权平均金额; 货币时间价值；在资产负债表日无须付出不必要的额外成本或努力即可获得的有关过去事项、当前状况以及未来经济状况预 测的合理且有依据的信息。</w:t>
      </w:r>
    </w:p>
    <w:p>
      <w:pPr>
        <w:pStyle w:val="Style31"/>
        <w:keepNext w:val="0"/>
        <w:keepLines w:val="0"/>
        <w:widowControl w:val="0"/>
        <w:shd w:val="clear" w:color="auto" w:fill="auto"/>
        <w:bidi w:val="0"/>
        <w:spacing w:before="0" w:after="0" w:line="406" w:lineRule="auto"/>
        <w:ind w:left="0" w:right="0" w:firstLine="360"/>
        <w:jc w:val="left"/>
      </w:pPr>
      <w:r>
        <w:rPr>
          <w:rFonts w:ascii="Times New Roman" w:eastAsia="Times New Roman" w:hAnsi="Times New Roman" w:cs="Times New Roman"/>
          <w:color w:val="000000"/>
          <w:spacing w:val="0"/>
          <w:w w:val="100"/>
          <w:position w:val="0"/>
          <w:sz w:val="18"/>
          <w:szCs w:val="18"/>
          <w:u w:val="single"/>
        </w:rPr>
        <w:t>9.2.4</w:t>
      </w:r>
      <w:r>
        <w:rPr>
          <w:color w:val="000000"/>
          <w:spacing w:val="0"/>
          <w:w w:val="100"/>
          <w:position w:val="0"/>
          <w:u w:val="single"/>
        </w:rPr>
        <w:t>减记金融资产</w:t>
      </w:r>
    </w:p>
    <w:p>
      <w:pPr>
        <w:pStyle w:val="Style31"/>
        <w:keepNext w:val="0"/>
        <w:keepLines w:val="0"/>
        <w:widowControl w:val="0"/>
        <w:shd w:val="clear" w:color="auto" w:fill="auto"/>
        <w:bidi w:val="0"/>
        <w:spacing w:before="0" w:after="0" w:line="355" w:lineRule="exact"/>
        <w:ind w:left="0" w:right="0" w:firstLine="360"/>
        <w:jc w:val="left"/>
      </w:pPr>
      <w:r>
        <w:rPr>
          <w:color w:val="000000"/>
          <w:spacing w:val="0"/>
          <w:w w:val="100"/>
          <w:position w:val="0"/>
        </w:rPr>
        <w:t>当本集团不再合理预期金融资产合同现金流量能够全部或部分收回的，直接减记该金融资产的账面余额。这种减记构成 相关金融资产的终止确认。</w:t>
      </w:r>
    </w:p>
    <w:p>
      <w:pPr>
        <w:pStyle w:val="Style31"/>
        <w:keepNext w:val="0"/>
        <w:keepLines w:val="0"/>
        <w:widowControl w:val="0"/>
        <w:shd w:val="clear" w:color="auto" w:fill="auto"/>
        <w:bidi w:val="0"/>
        <w:spacing w:before="0" w:after="0" w:line="355" w:lineRule="exact"/>
        <w:ind w:left="0" w:right="0" w:firstLine="360"/>
        <w:jc w:val="left"/>
      </w:pPr>
      <w:r>
        <w:rPr>
          <w:rFonts w:ascii="Times New Roman" w:eastAsia="Times New Roman" w:hAnsi="Times New Roman" w:cs="Times New Roman"/>
          <w:color w:val="000000"/>
          <w:spacing w:val="0"/>
          <w:w w:val="100"/>
          <w:position w:val="0"/>
          <w:sz w:val="18"/>
          <w:szCs w:val="18"/>
          <w:u w:val="single"/>
        </w:rPr>
        <w:t>9.3</w:t>
      </w:r>
      <w:r>
        <w:rPr>
          <w:color w:val="000000"/>
          <w:spacing w:val="0"/>
          <w:w w:val="100"/>
          <w:position w:val="0"/>
          <w:u w:val="single"/>
        </w:rPr>
        <w:t>金融资产的转移</w:t>
      </w:r>
    </w:p>
    <w:p>
      <w:pPr>
        <w:pStyle w:val="Style31"/>
        <w:keepNext w:val="0"/>
        <w:keepLines w:val="0"/>
        <w:widowControl w:val="0"/>
        <w:shd w:val="clear" w:color="auto" w:fill="auto"/>
        <w:bidi w:val="0"/>
        <w:spacing w:before="0" w:after="0" w:line="353" w:lineRule="exact"/>
        <w:ind w:left="0" w:right="0" w:firstLine="360"/>
        <w:jc w:val="left"/>
      </w:pPr>
      <w:r>
        <w:rPr>
          <w:color w:val="000000"/>
          <w:spacing w:val="0"/>
          <w:w w:val="100"/>
          <w:position w:val="0"/>
        </w:rPr>
        <w:t>满足下列条件之一的金融资产，予以终止确认：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收取该金融资产现金流量的合同权利终止；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该金融资产已转移， 且将金融资产所有权上几乎所有的风险和报酬转移给转入方；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该金融资产已转移，虽然本集团既没有转移也没有保留金 融资产所有权上几乎所有的风险和报酬，但是未保留对该金融资产的控制。</w:t>
      </w:r>
    </w:p>
    <w:p>
      <w:pPr>
        <w:pStyle w:val="Style31"/>
        <w:keepNext w:val="0"/>
        <w:keepLines w:val="0"/>
        <w:widowControl w:val="0"/>
        <w:shd w:val="clear" w:color="auto" w:fill="auto"/>
        <w:bidi w:val="0"/>
        <w:spacing w:before="0" w:after="0" w:line="355" w:lineRule="exact"/>
        <w:ind w:left="0" w:right="0" w:firstLine="360"/>
        <w:jc w:val="left"/>
      </w:pPr>
      <w:r>
        <w:rPr>
          <w:color w:val="000000"/>
          <w:spacing w:val="0"/>
          <w:w w:val="100"/>
          <w:position w:val="0"/>
        </w:rPr>
        <w:t>金融资产整体转移满足终止确认条件的，将所转移金融资产在终止确认日的账面价值及因转移金融资产而收到的对价与 原计入其他综合收益的公允价值变动累计额中对应终止确认部分的金额之和的差额计入当期损益。</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金融资产部分转移满足终止确认条件的，将转移前金融资产整体的账面价值在终止确认部分和继续确认部分之间按照转 移日各自的相对公允价值进行分摊，并将终止确认部分收到的对价和原计入其他综合收益的公允价值变动累计额中对应终止 确认部分的金额之和与终止确认部分在终止确认日的账面价值之差额计入当期损益。</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金融资产整体转移未满足终止确认条件的，本集团继续确认所转移的金融资产整体，并将收到的对价确认为金融负债。</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9.4</w:t>
      </w:r>
      <w:r>
        <w:rPr>
          <w:color w:val="000000"/>
          <w:spacing w:val="0"/>
          <w:w w:val="100"/>
          <w:position w:val="0"/>
          <w:u w:val="single"/>
        </w:rPr>
        <w:t>金融负债和权益工具的分类</w:t>
      </w:r>
    </w:p>
    <w:p>
      <w:pPr>
        <w:pStyle w:val="Style31"/>
        <w:keepNext w:val="0"/>
        <w:keepLines w:val="0"/>
        <w:widowControl w:val="0"/>
        <w:shd w:val="clear" w:color="auto" w:fill="auto"/>
        <w:bidi w:val="0"/>
        <w:spacing w:before="0" w:after="180" w:line="346" w:lineRule="exact"/>
        <w:ind w:left="0" w:right="0" w:firstLine="380"/>
        <w:jc w:val="both"/>
      </w:pPr>
      <w:r>
        <w:rPr>
          <w:color w:val="000000"/>
          <w:spacing w:val="0"/>
          <w:w w:val="100"/>
          <w:position w:val="0"/>
        </w:rPr>
        <w:t>本集团根据所发行金融工具的合同条款及其所反映的经济实质而非仅以法律形式，结合金融负债和权益工具的定义，在 初始确认时将该金融工具或其组成部分分类为金融负债或权益工具。</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9.4.</w:t>
      </w: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金融负债的分类、确认及计量</w:t>
      </w:r>
    </w:p>
    <w:p>
      <w:pPr>
        <w:pStyle w:val="Style31"/>
        <w:keepNext w:val="0"/>
        <w:keepLines w:val="0"/>
        <w:widowControl w:val="0"/>
        <w:shd w:val="clear" w:color="auto" w:fill="auto"/>
        <w:bidi w:val="0"/>
        <w:spacing w:before="0" w:after="180" w:line="341" w:lineRule="exact"/>
        <w:ind w:left="0" w:right="0" w:firstLine="380"/>
        <w:jc w:val="both"/>
      </w:pPr>
      <w:r>
        <w:rPr>
          <w:color w:val="000000"/>
          <w:spacing w:val="0"/>
          <w:w w:val="100"/>
          <w:position w:val="0"/>
        </w:rPr>
        <w:t>金融负债在初始确认时划分为以公允价值计量且其变动计入当期损益的金融负债和其他金融负债。本集团的金融负债均 为其他金融负债。</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9.4.1.1</w:t>
      </w:r>
      <w:r>
        <w:rPr>
          <w:color w:val="000000"/>
          <w:spacing w:val="0"/>
          <w:w w:val="100"/>
          <w:position w:val="0"/>
          <w:u w:val="single"/>
        </w:rPr>
        <w:t>其他金融负债</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其他金融负债分类为以摊余成本计量的金融负债，按摊余成本进行后续计量，终止确认或摊销产生的利得或损失计入当 期损益。</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本集团与交易对手方修改或重新议定合同，未导致按摊余成本进行后续计量的金融负债终止确认，但导致合同现金流量 发生变化的，本集团重新计算该金融负债的账面价值，并将相关利得或损失计入当期损益。重新计算的该金融负债的账面价 值，本集团根据将重新议定或修改的合同现金流量按金融负债的原实际利率折现的现值确定。对于修改或重新议定合同所产 生的所有成本或费用，本集团调整修改后的金融负债的账面价值，并在修改后金融负债的剩余期限内进行摊销。</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rPr>
        <w:t>9.4.2</w:t>
      </w:r>
      <w:r>
        <w:rPr>
          <w:color w:val="000000"/>
          <w:spacing w:val="0"/>
          <w:w w:val="100"/>
          <w:position w:val="0"/>
        </w:rPr>
        <w:t>金融负债的终止确认</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金融负债的现时义务全部或部分已经解除的，终止确认该金融负债或其一部分。本集团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与借出方之间签订协议, 以承担新金融负债方式替换原金融负债，且新金融负债与原金融负债的合同条款实质上不同的，本集团终止确认原金融负债， 并同时确认新金融负债。</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金融负债全部或部分终止确认的，将终止确认部分的账面价值与支付的对价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包括转出的非现金资产或承担的新金融负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rPr>
        <w:t>9.4.3</w:t>
      </w:r>
      <w:r>
        <w:rPr>
          <w:color w:val="000000"/>
          <w:spacing w:val="0"/>
          <w:w w:val="100"/>
          <w:position w:val="0"/>
        </w:rPr>
        <w:t>权益工具</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权益工具是指能证明拥有本集团在扣除所有负债后的资产中的剩余权益的合同。本集团发行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 注销权益工具作为权益的变动处理。本集团不确认权益工具的公允价值变动。与权益性交易相关的交易费用从权益中扣减。</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本集团对权益工具持有方的分配作为利润分配处理，发放的股票股利不影响股东权益总额。</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9.5</w:t>
      </w:r>
      <w:r>
        <w:rPr>
          <w:color w:val="000000"/>
          <w:spacing w:val="0"/>
          <w:w w:val="100"/>
          <w:position w:val="0"/>
          <w:u w:val="single"/>
        </w:rPr>
        <w:t>金融资产和金融负债的抵销</w:t>
      </w:r>
    </w:p>
    <w:p>
      <w:pPr>
        <w:pStyle w:val="Style31"/>
        <w:keepNext w:val="0"/>
        <w:keepLines w:val="0"/>
        <w:widowControl w:val="0"/>
        <w:shd w:val="clear" w:color="auto" w:fill="auto"/>
        <w:bidi w:val="0"/>
        <w:spacing w:before="0" w:after="540" w:line="382" w:lineRule="exact"/>
        <w:ind w:left="0" w:right="0" w:firstLine="380"/>
        <w:jc w:val="both"/>
        <w:rPr>
          <w:sz w:val="24"/>
          <w:szCs w:val="24"/>
        </w:rPr>
      </w:pPr>
      <w:r>
        <w:rPr>
          <w:color w:val="000000"/>
          <w:spacing w:val="0"/>
          <w:w w:val="100"/>
          <w:position w:val="0"/>
          <w:sz w:val="15"/>
          <w:szCs w:val="15"/>
        </w:rPr>
        <w:t>当本集团具有抵销已确认金融资产和金融负债金额的法定权利，且该种法定权利是当前可执行的，同时本集团计划以净 额结算或同时变现该金融资产和清偿该金融负债时，金融资产和金融负债以相互抵销后的金额在资产负债表内列示。除此以 外，金融资产和金融负债在资产负债表内分别列示，不予相互抵销</w:t>
      </w:r>
      <w:r>
        <w:rPr>
          <w:color w:val="000000"/>
          <w:spacing w:val="0"/>
          <w:w w:val="100"/>
          <w:position w:val="0"/>
          <w:sz w:val="24"/>
          <w:szCs w:val="24"/>
        </w:rPr>
        <w:t>。</w:t>
      </w:r>
    </w:p>
    <w:p>
      <w:pPr>
        <w:pStyle w:val="Style49"/>
        <w:keepNext/>
        <w:keepLines/>
        <w:widowControl w:val="0"/>
        <w:shd w:val="clear" w:color="auto" w:fill="auto"/>
        <w:bidi w:val="0"/>
        <w:spacing w:before="0" w:after="320" w:line="240" w:lineRule="auto"/>
        <w:ind w:left="0" w:right="0" w:firstLine="0"/>
        <w:jc w:val="left"/>
      </w:pPr>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749"/>
      <w:bookmarkEnd w:id="750"/>
      <w:bookmarkEnd w:id="751"/>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10.</w:t>
      </w: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存货的分类</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本集团的存货主要包括库存商品和低值易耗品等。存货按成本进行初始计量，存货成本包括采购成本和其他使存货达到 目前场所和状态所发生的支出。</w:t>
      </w:r>
    </w:p>
    <w:p>
      <w:pPr>
        <w:pStyle w:val="Style31"/>
        <w:keepNext w:val="0"/>
        <w:keepLines w:val="0"/>
        <w:widowControl w:val="0"/>
        <w:shd w:val="clear" w:color="auto" w:fill="auto"/>
        <w:bidi w:val="0"/>
        <w:spacing w:before="0" w:after="18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10.</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u w:val="single"/>
        </w:rPr>
        <w:t>发出存货的计价方法</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存货发出时，采用移动加权平均法确定发出存货的实际成本。</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10.3</w:t>
      </w:r>
      <w:r>
        <w:rPr>
          <w:color w:val="000000"/>
          <w:spacing w:val="0"/>
          <w:w w:val="100"/>
          <w:position w:val="0"/>
          <w:u w:val="single"/>
        </w:rPr>
        <w:t>存货可变现净值的确定依据</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资产负债表日，存货按照成本与可变现净值孰低计量。当其可变现净值低于成本时，提取存货跌价准备。</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存货按单个存货项目的成本高于其可变现净值的差额提取存货跌价准备。</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10.4</w:t>
      </w:r>
      <w:r>
        <w:rPr>
          <w:color w:val="000000"/>
          <w:spacing w:val="0"/>
          <w:w w:val="100"/>
          <w:position w:val="0"/>
          <w:u w:val="single"/>
        </w:rPr>
        <w:t>存货的盘存制度</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存货盘存制度为永续盘存制。</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10.5</w:t>
      </w:r>
      <w:r>
        <w:rPr>
          <w:color w:val="000000"/>
          <w:spacing w:val="0"/>
          <w:w w:val="100"/>
          <w:position w:val="0"/>
          <w:u w:val="single"/>
        </w:rPr>
        <w:t>低值易耗品的摊销方法</w:t>
      </w:r>
    </w:p>
    <w:p>
      <w:pPr>
        <w:pStyle w:val="Style31"/>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低值易耗品领用时采用分次摊销法摊销。</w:t>
      </w:r>
    </w:p>
    <w:p>
      <w:pPr>
        <w:pStyle w:val="Style49"/>
        <w:keepNext/>
        <w:keepLines/>
        <w:widowControl w:val="0"/>
        <w:shd w:val="clear" w:color="auto" w:fill="auto"/>
        <w:tabs>
          <w:tab w:pos="474" w:val="left"/>
        </w:tabs>
        <w:bidi w:val="0"/>
        <w:spacing w:before="0" w:after="18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752"/>
      <w:bookmarkEnd w:id="753"/>
      <w:bookmarkEnd w:id="755"/>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当本集团主要通过出售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包括具有商业实质的非货币性资产交换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而非持续使用一项非流动资产或处置组收回其账面价 值时，将其划分为持有待售类别。</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分类为持有待售类别的非流动资产或处置组需同时满足以下条件：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根据类似交易中出售此类资产或处置组的惯例， 在当前状况下即可立即出售；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出售极可能发生，即本集团已经就一项出售计划作出决议且获得确定的购买承诺，预计出 售将在一年内完成。</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本集团以账面价值与公允价值减去出售费用后的净额孰低计量持有待售的非流动资产或处置组。账面价值高于公允价值 减去出售费用后的净额的，减记账面价值至公允价值减去出售费用后的净额，减记的金额确认为资产减值损失，计入当期损 益，同时计提持有待售资产减值准备。后续资产负债表日持有待售的非流动资产公允价值减去出售费用后的净额增加的，恢 复以前减记的金额，并在划分为持有待售类别后确认的资产减值损失金额内转回，转回金额计入当期损益。划分为持有待售 类别前确认的资产减值损失不予转回。</w:t>
      </w:r>
    </w:p>
    <w:p>
      <w:pPr>
        <w:pStyle w:val="Style31"/>
        <w:keepNext w:val="0"/>
        <w:keepLines w:val="0"/>
        <w:widowControl w:val="0"/>
        <w:shd w:val="clear" w:color="auto" w:fill="auto"/>
        <w:bidi w:val="0"/>
        <w:spacing w:before="0" w:after="480" w:line="346"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49"/>
        <w:keepNext/>
        <w:keepLines/>
        <w:widowControl w:val="0"/>
        <w:shd w:val="clear" w:color="auto" w:fill="auto"/>
        <w:tabs>
          <w:tab w:pos="474" w:val="left"/>
        </w:tabs>
        <w:bidi w:val="0"/>
        <w:spacing w:before="0" w:after="34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756"/>
      <w:bookmarkEnd w:id="757"/>
      <w:bookmarkEnd w:id="759"/>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u w:val="single"/>
        </w:rPr>
        <w:t>12.</w:t>
      </w: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初始投资成本的确定</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对于非同一控制下的企业合并取得的长期股权投资，在购买日按照合并成本作为长期股权投资的初始投资成本。合并方 或购买方为企业合并发生的审计、法律服务、评估咨询等中介费用以及其他相关管理费用，于发生时计入当期损益。</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除企业合并形成的长期股权投资外其他方式取得的长期股权投资，按成本进行初始计量。</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后续计量及损益确认方法</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rPr>
        <w:t>12.2.1</w:t>
      </w:r>
      <w:r>
        <w:rPr>
          <w:color w:val="000000"/>
          <w:spacing w:val="0"/>
          <w:w w:val="100"/>
          <w:position w:val="0"/>
        </w:rPr>
        <w:t>按成本法核算的长期股权投资</w:t>
      </w:r>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公司财务报表采用成本法核算对子公司的长期股权投资。子公司是指本集团能够对其实施控制的被投资主体。</w:t>
      </w:r>
    </w:p>
    <w:p>
      <w:pPr>
        <w:pStyle w:val="Style31"/>
        <w:keepNext w:val="0"/>
        <w:keepLines w:val="0"/>
        <w:widowControl w:val="0"/>
        <w:shd w:val="clear" w:color="auto" w:fill="auto"/>
        <w:bidi w:val="0"/>
        <w:spacing w:before="0" w:after="100" w:line="350" w:lineRule="exact"/>
        <w:ind w:left="0" w:right="0" w:firstLine="380"/>
        <w:jc w:val="both"/>
      </w:pPr>
      <w:r>
        <w:rPr>
          <w:color w:val="000000"/>
          <w:spacing w:val="0"/>
          <w:w w:val="100"/>
          <w:position w:val="0"/>
        </w:rPr>
        <w:t>采用成本法核算的长期股权投资按初始投资成本计量。追加或收回投资调整长期股权投资的成本。当期投资收益按照享</w:t>
      </w:r>
      <w:r>
        <w:br w:type="page"/>
      </w:r>
    </w:p>
    <w:p>
      <w:pPr>
        <w:pStyle w:val="Style31"/>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有被投资单位宣告发放的现金股利或利润确认。</w:t>
      </w:r>
    </w:p>
    <w:p>
      <w:pPr>
        <w:pStyle w:val="Style31"/>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长期股权投资处置</w:t>
      </w:r>
    </w:p>
    <w:p>
      <w:pPr>
        <w:pStyle w:val="Style31"/>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处置长期股权投资时，其账面价值与实际取得价款的差额，计入当期损益。</w:t>
      </w:r>
    </w:p>
    <w:p>
      <w:pPr>
        <w:pStyle w:val="Style49"/>
        <w:keepNext/>
        <w:keepLines/>
        <w:widowControl w:val="0"/>
        <w:shd w:val="clear" w:color="auto" w:fill="auto"/>
        <w:bidi w:val="0"/>
        <w:spacing w:before="0" w:line="240" w:lineRule="auto"/>
        <w:ind w:left="0" w:right="0" w:firstLine="14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760"/>
      <w:bookmarkEnd w:id="761"/>
      <w:bookmarkEnd w:id="763"/>
    </w:p>
    <w:p>
      <w:pPr>
        <w:pStyle w:val="Style69"/>
        <w:keepNext/>
        <w:keepLines/>
        <w:widowControl w:val="0"/>
        <w:shd w:val="clear" w:color="auto" w:fill="auto"/>
        <w:bidi w:val="0"/>
        <w:spacing w:before="0" w:after="180" w:line="240" w:lineRule="auto"/>
        <w:ind w:left="0" w:right="0" w:firstLine="14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64"/>
      <w:bookmarkEnd w:id="765"/>
      <w:bookmarkEnd w:id="767"/>
    </w:p>
    <w:p>
      <w:pPr>
        <w:pStyle w:val="Style31"/>
        <w:keepNext w:val="0"/>
        <w:keepLines w:val="0"/>
        <w:widowControl w:val="0"/>
        <w:shd w:val="clear" w:color="auto" w:fill="auto"/>
        <w:bidi w:val="0"/>
        <w:spacing w:before="0" w:after="460" w:line="352" w:lineRule="exact"/>
        <w:ind w:left="140" w:right="0" w:firstLine="360"/>
        <w:jc w:val="both"/>
      </w:pP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确认条件 固定资产是指为生产商品、提供劳务、出租或经营管理而持有的，使用寿命超过一个会计年度的有形资 产。固定资产仅在与其有关的经济利益很可能流入本集团，且其成本能够可靠地计量时才予以确认。固定资产按成本进行初 始计量。与固定资产有关的后续支出，如果与该固定资产有关的经济利益很可能流入且其成本能可靠地计量，则计入固定 资产成本，并终止确认被替换部分的账面价值。除此以外的其他后续支出，在发生时计入当期损益。 本集团固定资产包括 办公设备、运输工具、电子设备等。</w:t>
      </w:r>
    </w:p>
    <w:p>
      <w:pPr>
        <w:pStyle w:val="Style69"/>
        <w:keepNext/>
        <w:keepLines/>
        <w:widowControl w:val="0"/>
        <w:shd w:val="clear" w:color="auto" w:fill="auto"/>
        <w:bidi w:val="0"/>
        <w:spacing w:before="0" w:after="360" w:line="240" w:lineRule="auto"/>
        <w:ind w:left="0" w:right="0" w:firstLine="26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68"/>
      <w:bookmarkEnd w:id="769"/>
      <w:bookmarkEnd w:id="771"/>
    </w:p>
    <w:tbl>
      <w:tblPr>
        <w:tblOverlap w:val="never"/>
        <w:jc w:val="center"/>
        <w:tblLayout w:type="fixed"/>
      </w:tblPr>
      <w:tblGrid>
        <w:gridCol w:w="1613"/>
        <w:gridCol w:w="2011"/>
        <w:gridCol w:w="1915"/>
        <w:gridCol w:w="1867"/>
        <w:gridCol w:w="2246"/>
      </w:tblGrid>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00"/>
              <w:jc w:val="left"/>
            </w:pPr>
            <w:r>
              <w:rPr>
                <w:b/>
                <w:bCs/>
                <w:color w:val="FFFFFF"/>
                <w:spacing w:val="0"/>
                <w:w w:val="100"/>
                <w:position w:val="0"/>
              </w:rPr>
              <w:t>类别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40"/>
              <w:jc w:val="left"/>
            </w:pPr>
            <w:r>
              <w:rPr>
                <w:b/>
                <w:bCs/>
                <w:color w:val="FFFFFF"/>
                <w:spacing w:val="0"/>
                <w:w w:val="100"/>
                <w:position w:val="0"/>
              </w:rPr>
              <w:t>折旧方法</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40"/>
              <w:jc w:val="left"/>
            </w:pPr>
            <w:r>
              <w:rPr>
                <w:b/>
                <w:bCs/>
                <w:color w:val="FFFFFF"/>
                <w:spacing w:val="0"/>
                <w:w w:val="100"/>
                <w:position w:val="0"/>
              </w:rPr>
              <w:t>折旧年限</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20"/>
              <w:jc w:val="left"/>
            </w:pPr>
            <w:r>
              <w:rPr>
                <w:b/>
                <w:bCs/>
                <w:color w:val="FFFFFF"/>
                <w:spacing w:val="0"/>
                <w:w w:val="100"/>
                <w:position w:val="0"/>
              </w:rPr>
              <w:t>残值率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年折旧率</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03" w:hRule="exact"/>
        </w:trPr>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运输工具</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31.67%</w:t>
            </w:r>
          </w:p>
        </w:tc>
      </w:tr>
    </w:tbl>
    <w:p>
      <w:pPr>
        <w:pStyle w:val="Style45"/>
        <w:keepNext w:val="0"/>
        <w:keepLines w:val="0"/>
        <w:widowControl w:val="0"/>
        <w:shd w:val="clear" w:color="auto" w:fill="auto"/>
        <w:bidi w:val="0"/>
        <w:spacing w:before="0" w:after="0" w:line="350" w:lineRule="exact"/>
        <w:ind w:left="125" w:right="0" w:firstLine="0"/>
        <w:jc w:val="left"/>
      </w:pPr>
      <w:r>
        <w:rPr>
          <w:color w:val="000000"/>
          <w:spacing w:val="0"/>
          <w:w w:val="100"/>
          <w:position w:val="0"/>
        </w:rPr>
        <w:t>固定资产从达到预定可使用状态的次月起，按其入账价值减去预计净残值后在预计使用寿命内采用年限平均法计提折旧。 对计提了减值准备的固定资产，则在未来期间按扣除减值准备后的账面价值及依据尚可使用年限确定折旧额。</w:t>
      </w:r>
    </w:p>
    <w:p>
      <w:pPr>
        <w:pStyle w:val="Style31"/>
        <w:keepNext w:val="0"/>
        <w:keepLines w:val="0"/>
        <w:widowControl w:val="0"/>
        <w:shd w:val="clear" w:color="auto" w:fill="auto"/>
        <w:bidi w:val="0"/>
        <w:spacing w:before="0" w:after="0" w:line="350" w:lineRule="exact"/>
        <w:ind w:left="140" w:right="0" w:firstLine="360"/>
        <w:jc w:val="both"/>
      </w:pPr>
      <w:r>
        <w:rPr>
          <w:color w:val="000000"/>
          <w:spacing w:val="0"/>
          <w:w w:val="100"/>
          <w:position w:val="0"/>
        </w:rPr>
        <w:t>预计净残值是指假定固定资产预计使用寿命已满并处于使用寿命终了时的预期状态，本集团目前从该项资产处置中获得 的扣除预计处置费用后的金额。各类固定资产的折旧方法、使用寿命、预计净残值和年折旧率如上。</w:t>
      </w:r>
    </w:p>
    <w:p>
      <w:pPr>
        <w:pStyle w:val="Style31"/>
        <w:keepNext w:val="0"/>
        <w:keepLines w:val="0"/>
        <w:widowControl w:val="0"/>
        <w:shd w:val="clear" w:color="auto" w:fill="auto"/>
        <w:bidi w:val="0"/>
        <w:spacing w:before="0" w:after="0" w:line="355" w:lineRule="exact"/>
        <w:ind w:left="140" w:right="0" w:firstLine="360"/>
        <w:jc w:val="both"/>
      </w:pPr>
      <w:r>
        <w:rPr>
          <w:color w:val="000000"/>
          <w:spacing w:val="0"/>
          <w:w w:val="100"/>
          <w:position w:val="0"/>
        </w:rPr>
        <w:t>当固定资产处置时或预期通过使用或处置不能产生经济利益时，终止确认该固定资产。固定资产出售、转让、报废或毁 损的处置收入扣除其账面价值和相关税费后的差额计入当期损益。</w:t>
      </w:r>
    </w:p>
    <w:p>
      <w:pPr>
        <w:pStyle w:val="Style31"/>
        <w:keepNext w:val="0"/>
        <w:keepLines w:val="0"/>
        <w:widowControl w:val="0"/>
        <w:shd w:val="clear" w:color="auto" w:fill="auto"/>
        <w:bidi w:val="0"/>
        <w:spacing w:before="0" w:after="460" w:line="353" w:lineRule="exact"/>
        <w:ind w:left="0" w:right="0" w:firstLine="500"/>
        <w:jc w:val="left"/>
      </w:pPr>
      <w:r>
        <w:rPr>
          <w:color w:val="000000"/>
          <w:spacing w:val="0"/>
          <w:w w:val="100"/>
          <w:position w:val="0"/>
        </w:rPr>
        <w:t>本集团至少于年度终了对固定资产的使用寿命、预计净残值和折旧方法进行复核，如发生改变则作为会计估计变更处理。</w:t>
      </w:r>
    </w:p>
    <w:p>
      <w:pPr>
        <w:pStyle w:val="Style49"/>
        <w:keepNext/>
        <w:keepLines/>
        <w:widowControl w:val="0"/>
        <w:shd w:val="clear" w:color="auto" w:fill="auto"/>
        <w:bidi w:val="0"/>
        <w:spacing w:before="0" w:line="240" w:lineRule="auto"/>
        <w:ind w:left="0" w:right="0" w:firstLine="14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4</w:t>
      </w:r>
      <w:r>
        <w:rPr>
          <w:color w:val="000000"/>
          <w:spacing w:val="0"/>
          <w:w w:val="100"/>
          <w:position w:val="0"/>
        </w:rPr>
        <w:t>、借款费用</w:t>
      </w:r>
      <w:bookmarkEnd w:id="772"/>
      <w:bookmarkEnd w:id="773"/>
      <w:bookmarkEnd w:id="775"/>
    </w:p>
    <w:p>
      <w:pPr>
        <w:pStyle w:val="Style31"/>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本集团借款费用在发生当期确认为费用。</w:t>
      </w:r>
    </w:p>
    <w:p>
      <w:pPr>
        <w:pStyle w:val="Style49"/>
        <w:keepNext/>
        <w:keepLines/>
        <w:widowControl w:val="0"/>
        <w:shd w:val="clear" w:color="auto" w:fill="auto"/>
        <w:bidi w:val="0"/>
        <w:spacing w:before="0" w:line="240" w:lineRule="auto"/>
        <w:ind w:left="0" w:right="0" w:firstLine="14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776"/>
      <w:bookmarkEnd w:id="777"/>
      <w:bookmarkEnd w:id="779"/>
    </w:p>
    <w:p>
      <w:pPr>
        <w:pStyle w:val="Style69"/>
        <w:keepNext/>
        <w:keepLines/>
        <w:widowControl w:val="0"/>
        <w:shd w:val="clear" w:color="auto" w:fill="auto"/>
        <w:bidi w:val="0"/>
        <w:spacing w:before="0" w:after="360" w:line="240" w:lineRule="auto"/>
        <w:ind w:left="0" w:right="0" w:firstLine="14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80"/>
      <w:bookmarkEnd w:id="781"/>
      <w:bookmarkEnd w:id="783"/>
    </w:p>
    <w:p>
      <w:pPr>
        <w:pStyle w:val="Style3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无形资产包括软件、外观设计专利、商标及专利、合同权利及授权资质等。</w:t>
      </w:r>
    </w:p>
    <w:p>
      <w:pPr>
        <w:pStyle w:val="Style3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无形资产按成本进行初始计量。使用寿命有限的无形资产自可供使用时起，对其原值减去预计净残值和已计提的减值准</w:t>
      </w:r>
    </w:p>
    <w:p>
      <w:pPr>
        <w:pStyle w:val="Style31"/>
        <w:keepNext w:val="0"/>
        <w:keepLines w:val="0"/>
        <w:widowControl w:val="0"/>
        <w:shd w:val="clear" w:color="auto" w:fill="auto"/>
        <w:bidi w:val="0"/>
        <w:spacing w:before="0" w:after="260" w:line="240" w:lineRule="auto"/>
        <w:ind w:left="0" w:right="0" w:firstLine="140"/>
        <w:jc w:val="left"/>
      </w:pPr>
      <w:r>
        <mc:AlternateContent>
          <mc:Choice Requires="wps">
            <w:drawing>
              <wp:anchor distT="0" distB="0" distL="114300" distR="114300" simplePos="0" relativeHeight="125829648" behindDoc="0" locked="0" layoutInCell="1" allowOverlap="1">
                <wp:simplePos x="0" y="0"/>
                <wp:positionH relativeFrom="page">
                  <wp:posOffset>3761105</wp:posOffset>
                </wp:positionH>
                <wp:positionV relativeFrom="paragraph">
                  <wp:posOffset>279400</wp:posOffset>
                </wp:positionV>
                <wp:extent cx="490855" cy="152400"/>
                <wp:wrapSquare wrapText="right"/>
                <wp:docPr id="388" name="Shape 388"/>
                <a:graphic xmlns:a="http://schemas.openxmlformats.org/drawingml/2006/main">
                  <a:graphicData uri="http://schemas.microsoft.com/office/word/2010/wordprocessingShape">
                    <wps:wsp>
                      <wps:cNvSpPr txBox="1"/>
                      <wps:spPr>
                        <a:xfrm>
                          <a:ext cx="490855" cy="152400"/>
                        </a:xfrm>
                        <a:prstGeom prst="rect"/>
                        <a:solidFill>
                          <a:srgbClr val="A6A6A6"/>
                        </a:solid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摊销方法</w:t>
                            </w:r>
                          </w:p>
                        </w:txbxContent>
                      </wps:txbx>
                      <wps:bodyPr wrap="none" lIns="0" tIns="0" rIns="0" bIns="0">
                        <a:noAutoFit/>
                      </wps:bodyPr>
                    </wps:wsp>
                  </a:graphicData>
                </a:graphic>
              </wp:anchor>
            </w:drawing>
          </mc:Choice>
          <mc:Fallback>
            <w:pict>
              <v:shape id="_x0000_s1414" type="#_x0000_t202" style="position:absolute;margin-left:296.15000000000003pt;margin-top:22.pt;width:38.649999999999999pt;height:12.pt;z-index:-125829105;mso-wrap-distance-left:9.pt;mso-wrap-distance-right:9.pt;mso-position-horizontal-relative:page" fillcolor="#A6A6A6"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摊销方法</w:t>
                      </w:r>
                    </w:p>
                  </w:txbxContent>
                </v:textbox>
                <w10:wrap type="square" side="right" anchorx="page"/>
              </v:shape>
            </w:pict>
          </mc:Fallback>
        </mc:AlternateContent>
      </w:r>
      <w:r>
        <w:rPr>
          <w:color w:val="000000"/>
          <w:spacing w:val="0"/>
          <w:w w:val="100"/>
          <w:position w:val="0"/>
        </w:rPr>
        <w:t>备累计金额在其预计使用寿命内采用直线法分期平均摊销。各类无形资产的摊销方法、使用寿命和预计净残值如下：</w:t>
      </w:r>
    </w:p>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360" w:line="240" w:lineRule="auto"/>
        <w:ind w:left="0" w:right="1360" w:firstLine="0"/>
        <w:jc w:val="right"/>
        <w:rPr>
          <w:sz w:val="18"/>
          <w:szCs w:val="18"/>
        </w:rPr>
      </w:pPr>
      <w:r>
        <w:rPr>
          <w:b/>
          <w:bCs/>
          <w:color w:val="FFFFFF"/>
          <w:spacing w:val="0"/>
          <w:w w:val="100"/>
          <w:position w:val="0"/>
          <w:sz w:val="15"/>
          <w:szCs w:val="15"/>
        </w:rPr>
        <w:t>使用寿命</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年</w:t>
      </w:r>
      <w:r>
        <w:rPr>
          <w:rFonts w:ascii="Times New Roman" w:eastAsia="Times New Roman" w:hAnsi="Times New Roman" w:cs="Times New Roman"/>
          <w:b/>
          <w:bCs/>
          <w:color w:val="FFFFFF"/>
          <w:spacing w:val="0"/>
          <w:w w:val="100"/>
          <w:position w:val="0"/>
          <w:sz w:val="18"/>
          <w:szCs w:val="18"/>
        </w:rPr>
        <w:t>）</w:t>
      </w:r>
    </w:p>
    <w:tbl>
      <w:tblPr>
        <w:tblOverlap w:val="never"/>
        <w:jc w:val="center"/>
        <w:tblLayout w:type="fixed"/>
      </w:tblPr>
      <w:tblGrid>
        <w:gridCol w:w="3864"/>
        <w:gridCol w:w="2731"/>
        <w:gridCol w:w="2880"/>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摊销方法</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9"/>
                <w:szCs w:val="19"/>
              </w:rPr>
            </w:pPr>
            <w:r>
              <w:rPr>
                <w:b/>
                <w:bCs/>
                <w:color w:val="FFFFFF"/>
                <w:spacing w:val="0"/>
                <w:w w:val="100"/>
                <w:position w:val="0"/>
                <w:sz w:val="15"/>
                <w:szCs w:val="15"/>
              </w:rPr>
              <w:t>使用寿命</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年</w:t>
            </w:r>
            <w:r>
              <w:rPr>
                <w:b/>
                <w:bCs/>
                <w:color w:val="FFFFFF"/>
                <w:spacing w:val="0"/>
                <w:w w:val="100"/>
                <w:position w:val="0"/>
                <w:sz w:val="19"/>
                <w:szCs w:val="19"/>
              </w:rPr>
              <w:t>)</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软件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专利权</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合同权利及授权资质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pStyle w:val="Style45"/>
        <w:keepNext w:val="0"/>
        <w:keepLines w:val="0"/>
        <w:widowControl w:val="0"/>
        <w:shd w:val="clear" w:color="auto" w:fill="auto"/>
        <w:bidi w:val="0"/>
        <w:spacing w:before="0" w:after="0" w:line="240" w:lineRule="auto"/>
        <w:ind w:left="446" w:right="0" w:firstLine="0"/>
        <w:jc w:val="left"/>
      </w:pPr>
      <w:r>
        <w:rPr>
          <w:color w:val="000000"/>
          <w:spacing w:val="0"/>
          <w:w w:val="100"/>
          <w:position w:val="0"/>
        </w:rPr>
        <w:t>年末，对使用寿命有限的无形资产的使用寿命和摊销方法进行复核，必要时进行调整。</w:t>
      </w:r>
    </w:p>
    <w:p>
      <w:pPr>
        <w:widowControl w:val="0"/>
        <w:spacing w:after="179" w:line="1" w:lineRule="exact"/>
      </w:pPr>
    </w:p>
    <w:p>
      <w:pPr>
        <w:pStyle w:val="Style31"/>
        <w:keepNext w:val="0"/>
        <w:keepLines w:val="0"/>
        <w:widowControl w:val="0"/>
        <w:shd w:val="clear" w:color="auto" w:fill="auto"/>
        <w:bidi w:val="0"/>
        <w:spacing w:before="0" w:after="460" w:line="240" w:lineRule="auto"/>
        <w:ind w:left="0" w:right="0" w:firstLine="460"/>
        <w:jc w:val="both"/>
      </w:pPr>
      <w:r>
        <w:rPr>
          <w:color w:val="000000"/>
          <w:spacing w:val="0"/>
          <w:w w:val="100"/>
          <w:position w:val="0"/>
        </w:rPr>
        <w:t>有关无形资产的减值测试，具体参见附注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)T6</w:t>
      </w:r>
      <w:r>
        <w:rPr>
          <w:color w:val="000000"/>
          <w:spacing w:val="0"/>
          <w:w w:val="100"/>
          <w:position w:val="0"/>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9"/>
        <w:keepNext/>
        <w:keepLines/>
        <w:widowControl w:val="0"/>
        <w:numPr>
          <w:ilvl w:val="0"/>
          <w:numId w:val="33"/>
        </w:numPr>
        <w:shd w:val="clear" w:color="auto" w:fill="auto"/>
        <w:bidi w:val="0"/>
        <w:spacing w:before="0" w:after="180" w:line="240" w:lineRule="auto"/>
        <w:ind w:left="0" w:right="0" w:firstLine="0"/>
        <w:jc w:val="both"/>
      </w:pPr>
      <w:bookmarkStart w:id="784" w:name="bookmark784"/>
      <w:bookmarkStart w:id="785" w:name="bookmark785"/>
      <w:bookmarkStart w:id="786" w:name="bookmark786"/>
      <w:bookmarkStart w:id="787" w:name="bookmark787"/>
      <w:bookmarkEnd w:id="786"/>
      <w:r>
        <w:rPr>
          <w:color w:val="000000"/>
          <w:spacing w:val="0"/>
          <w:w w:val="100"/>
          <w:position w:val="0"/>
        </w:rPr>
        <w:t>内部研究开发支出会计政策</w:t>
      </w:r>
      <w:bookmarkEnd w:id="784"/>
      <w:bookmarkEnd w:id="785"/>
      <w:bookmarkEnd w:id="787"/>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开发阶段的支出同时满足下列条件的，确认为无形资产，不能满足下述条件的开发阶段的支出计入当期损益：</w:t>
      </w:r>
    </w:p>
    <w:p>
      <w:pPr>
        <w:pStyle w:val="Style31"/>
        <w:keepNext w:val="0"/>
        <w:keepLines w:val="0"/>
        <w:widowControl w:val="0"/>
        <w:numPr>
          <w:ilvl w:val="0"/>
          <w:numId w:val="35"/>
        </w:numPr>
        <w:shd w:val="clear" w:color="auto" w:fill="auto"/>
        <w:tabs>
          <w:tab w:pos="987" w:val="left"/>
        </w:tabs>
        <w:bidi w:val="0"/>
        <w:spacing w:before="0" w:after="0" w:line="350" w:lineRule="exact"/>
        <w:ind w:left="0" w:right="0" w:firstLine="460"/>
        <w:jc w:val="both"/>
      </w:pPr>
      <w:bookmarkStart w:id="788" w:name="bookmark788"/>
      <w:bookmarkEnd w:id="788"/>
      <w:r>
        <w:rPr>
          <w:color w:val="000000"/>
          <w:spacing w:val="0"/>
          <w:w w:val="100"/>
          <w:position w:val="0"/>
        </w:rPr>
        <w:t>完成该无形资产以使其能够使用或出售在技术上具有可行性；</w:t>
      </w:r>
    </w:p>
    <w:p>
      <w:pPr>
        <w:pStyle w:val="Style31"/>
        <w:keepNext w:val="0"/>
        <w:keepLines w:val="0"/>
        <w:widowControl w:val="0"/>
        <w:numPr>
          <w:ilvl w:val="0"/>
          <w:numId w:val="35"/>
        </w:numPr>
        <w:shd w:val="clear" w:color="auto" w:fill="auto"/>
        <w:tabs>
          <w:tab w:pos="987" w:val="left"/>
        </w:tabs>
        <w:bidi w:val="0"/>
        <w:spacing w:before="0" w:after="0" w:line="350" w:lineRule="exact"/>
        <w:ind w:left="0" w:right="0" w:firstLine="460"/>
        <w:jc w:val="both"/>
      </w:pPr>
      <w:bookmarkStart w:id="789" w:name="bookmark789"/>
      <w:bookmarkEnd w:id="789"/>
      <w:r>
        <w:rPr>
          <w:color w:val="000000"/>
          <w:spacing w:val="0"/>
          <w:w w:val="100"/>
          <w:position w:val="0"/>
        </w:rPr>
        <w:t>具有完成该无形资产并使用或出售的意图；</w:t>
      </w:r>
    </w:p>
    <w:p>
      <w:pPr>
        <w:pStyle w:val="Style31"/>
        <w:keepNext w:val="0"/>
        <w:keepLines w:val="0"/>
        <w:widowControl w:val="0"/>
        <w:numPr>
          <w:ilvl w:val="0"/>
          <w:numId w:val="35"/>
        </w:numPr>
        <w:shd w:val="clear" w:color="auto" w:fill="auto"/>
        <w:tabs>
          <w:tab w:pos="987" w:val="left"/>
        </w:tabs>
        <w:bidi w:val="0"/>
        <w:spacing w:before="0" w:after="0" w:line="360" w:lineRule="exact"/>
        <w:ind w:left="0" w:right="0" w:firstLine="460"/>
        <w:jc w:val="both"/>
      </w:pPr>
      <w:bookmarkStart w:id="790" w:name="bookmark790"/>
      <w:bookmarkEnd w:id="790"/>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31"/>
        <w:keepNext w:val="0"/>
        <w:keepLines w:val="0"/>
        <w:widowControl w:val="0"/>
        <w:numPr>
          <w:ilvl w:val="0"/>
          <w:numId w:val="35"/>
        </w:numPr>
        <w:shd w:val="clear" w:color="auto" w:fill="auto"/>
        <w:tabs>
          <w:tab w:pos="987" w:val="left"/>
        </w:tabs>
        <w:bidi w:val="0"/>
        <w:spacing w:before="0" w:after="0" w:line="360" w:lineRule="exact"/>
        <w:ind w:left="0" w:right="0" w:firstLine="460"/>
        <w:jc w:val="both"/>
      </w:pPr>
      <w:bookmarkStart w:id="791" w:name="bookmark791"/>
      <w:bookmarkEnd w:id="791"/>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35"/>
        </w:numPr>
        <w:shd w:val="clear" w:color="auto" w:fill="auto"/>
        <w:tabs>
          <w:tab w:pos="987" w:val="left"/>
        </w:tabs>
        <w:bidi w:val="0"/>
        <w:spacing w:before="0" w:after="0" w:line="350" w:lineRule="exact"/>
        <w:ind w:left="0" w:right="0" w:firstLine="460"/>
        <w:jc w:val="both"/>
      </w:pPr>
      <w:bookmarkStart w:id="792" w:name="bookmark792"/>
      <w:bookmarkEnd w:id="792"/>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460" w:line="348" w:lineRule="exact"/>
        <w:ind w:left="0" w:right="0" w:firstLine="460"/>
        <w:jc w:val="both"/>
      </w:pPr>
      <w:r>
        <w:rPr>
          <w:color w:val="000000"/>
          <w:spacing w:val="0"/>
          <w:w w:val="100"/>
          <w:position w:val="0"/>
        </w:rPr>
        <w:t>无法区分研究阶段支出和开发阶段支出的，将发生的研发支出全部计入当期损益。内部开发活动形成的无形资产的成本 仅包括满足资本化条件的时点至无形资产达到预定用途前发生的支出总额,对于同一项无形资产在开发过程中达到资本化条 件之前已经费用化计入损益的支出不再进行调整。</w:t>
      </w:r>
    </w:p>
    <w:p>
      <w:pPr>
        <w:pStyle w:val="Style49"/>
        <w:keepNext/>
        <w:keepLines/>
        <w:widowControl w:val="0"/>
        <w:shd w:val="clear" w:color="auto" w:fill="auto"/>
        <w:tabs>
          <w:tab w:pos="474" w:val="left"/>
        </w:tabs>
        <w:bidi w:val="0"/>
        <w:spacing w:before="0" w:after="18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793"/>
      <w:bookmarkEnd w:id="794"/>
      <w:bookmarkEnd w:id="796"/>
    </w:p>
    <w:p>
      <w:pPr>
        <w:pStyle w:val="Style31"/>
        <w:keepNext w:val="0"/>
        <w:keepLines w:val="0"/>
        <w:widowControl w:val="0"/>
        <w:shd w:val="clear" w:color="auto" w:fill="auto"/>
        <w:bidi w:val="0"/>
        <w:spacing w:before="0" w:after="0" w:line="355" w:lineRule="exact"/>
        <w:ind w:left="0" w:right="0" w:firstLine="460"/>
        <w:jc w:val="both"/>
      </w:pPr>
      <w:r>
        <w:rPr>
          <w:color w:val="000000"/>
          <w:spacing w:val="0"/>
          <w:w w:val="100"/>
          <w:position w:val="0"/>
        </w:rPr>
        <w:t>本集团在每一个资产负债表日检查长期股权投资、固定资产、使用寿命确定的无形资产是否存在可能发生减值的迹象。 如果该等资产存在减值迹象，则估计其可收回金额。</w:t>
      </w:r>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估计资产的可收回金额以单项资产为基础，如果难以对单项资产的可收回金额进行估计的，则以该资产所属的资产组为 基础确定资产组的可收回金额。可收回金额为资产或者资产组的公允价值减去处置费用后的净额与其预计未来现金流量的现 值两者之中的较高者。</w:t>
      </w:r>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如果资产的可收回金额低于其账面价值，按其差额计提资产减值准备，并计入当期损益。</w:t>
      </w:r>
    </w:p>
    <w:p>
      <w:pPr>
        <w:pStyle w:val="Style31"/>
        <w:keepNext w:val="0"/>
        <w:keepLines w:val="0"/>
        <w:widowControl w:val="0"/>
        <w:shd w:val="clear" w:color="auto" w:fill="auto"/>
        <w:bidi w:val="0"/>
        <w:spacing w:before="0" w:after="0" w:line="349" w:lineRule="exact"/>
        <w:ind w:left="0" w:right="0" w:firstLine="460"/>
        <w:jc w:val="both"/>
      </w:pPr>
      <w:r>
        <w:rPr>
          <w:color w:val="000000"/>
          <w:spacing w:val="0"/>
          <w:w w:val="100"/>
          <w:position w:val="0"/>
        </w:rPr>
        <w:t>商誉至少在每年年度终了进行减值测试。对商誉进行减值测试时，结合与其相关的资产组组合进行。即，自购买日起将 商誉的账面价值按照合理的方法分摊到能够从企业合并的协同效应中受益的资产组组合,如包含分摊的商誉的资产组组合的 可收回金额低于其账面价值的，确认相应的减值损失。减值损失金额首先抵减分摊到该资产组组合的商誉的账面价值，再根 据资产组组合中除商誉以外的其他各项资产的账面价值所占比重，按比例抵减其他各项资产的账面价值。</w:t>
      </w:r>
    </w:p>
    <w:p>
      <w:pPr>
        <w:pStyle w:val="Style31"/>
        <w:keepNext w:val="0"/>
        <w:keepLines w:val="0"/>
        <w:widowControl w:val="0"/>
        <w:shd w:val="clear" w:color="auto" w:fill="auto"/>
        <w:bidi w:val="0"/>
        <w:spacing w:before="0" w:after="460" w:line="350" w:lineRule="exact"/>
        <w:ind w:left="0" w:right="0" w:firstLine="460"/>
        <w:jc w:val="both"/>
      </w:pPr>
      <w:r>
        <w:rPr>
          <w:color w:val="000000"/>
          <w:spacing w:val="0"/>
          <w:w w:val="100"/>
          <w:position w:val="0"/>
        </w:rPr>
        <w:t>上述资产减值损失一经确认，在以后会计期间不予转回。</w:t>
      </w:r>
    </w:p>
    <w:p>
      <w:pPr>
        <w:pStyle w:val="Style49"/>
        <w:keepNext/>
        <w:keepLines/>
        <w:widowControl w:val="0"/>
        <w:shd w:val="clear" w:color="auto" w:fill="auto"/>
        <w:tabs>
          <w:tab w:pos="474" w:val="left"/>
        </w:tabs>
        <w:bidi w:val="0"/>
        <w:spacing w:before="0" w:after="18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797"/>
      <w:bookmarkEnd w:id="798"/>
      <w:bookmarkEnd w:id="800"/>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长期待摊费用为已经发生但应由本年度和以后各期负担的分摊期限在一年以上的各项费用，包括经营租入固定资产改良 及其他已经发生但应由本年度和以后各期负担的、分摊期限在一年以上的各项费用。长期待摊费用在预计受益期间分期平均 摊销，并以实际支出减去累计摊销后的净额列示。</w:t>
      </w:r>
    </w:p>
    <w:p>
      <w:pPr>
        <w:pStyle w:val="Style49"/>
        <w:keepNext/>
        <w:keepLines/>
        <w:widowControl w:val="0"/>
        <w:shd w:val="clear" w:color="auto" w:fill="auto"/>
        <w:tabs>
          <w:tab w:pos="474" w:val="left"/>
        </w:tabs>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801"/>
      <w:bookmarkEnd w:id="802"/>
      <w:bookmarkEnd w:id="804"/>
    </w:p>
    <w:p>
      <w:pPr>
        <w:pStyle w:val="Style69"/>
        <w:keepNext/>
        <w:keepLines/>
        <w:widowControl w:val="0"/>
        <w:numPr>
          <w:ilvl w:val="0"/>
          <w:numId w:val="37"/>
        </w:numPr>
        <w:shd w:val="clear" w:color="auto" w:fill="auto"/>
        <w:tabs>
          <w:tab w:pos="493" w:val="left"/>
        </w:tabs>
        <w:bidi w:val="0"/>
        <w:spacing w:before="0" w:after="20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短期薪酬的会计处理方法</w:t>
      </w:r>
      <w:bookmarkEnd w:id="805"/>
      <w:bookmarkEnd w:id="806"/>
      <w:bookmarkEnd w:id="808"/>
    </w:p>
    <w:p>
      <w:pPr>
        <w:pStyle w:val="Style31"/>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本集团在职工为其提供服务的会计期间，将实际发生的短期薪酬确认为负债，并计入当期损益或相关资产成本。本集团 发生的职工福利费，在实际发生时根据实际发生额计入当期损益或相关资产成本。职工福利费为非货币性福利的，按照公允 价值计量。</w:t>
      </w:r>
    </w:p>
    <w:p>
      <w:pPr>
        <w:pStyle w:val="Style31"/>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本集团为职工缴纳的医疗保险费、工伤保险费、生育保险费等社会保险费和住房公积金，以及本集团按规定提取的工会 经费和职工教育经费，在职工为本集团提供服务的会计期间，根据规定的计提基础和计提比例计算确定相应的职工薪酬金额， 确认相应负债，并计入当期损益或相关资产成本</w:t>
      </w:r>
    </w:p>
    <w:p>
      <w:pPr>
        <w:pStyle w:val="Style69"/>
        <w:keepNext/>
        <w:keepLines/>
        <w:widowControl w:val="0"/>
        <w:numPr>
          <w:ilvl w:val="0"/>
          <w:numId w:val="37"/>
        </w:numPr>
        <w:shd w:val="clear" w:color="auto" w:fill="auto"/>
        <w:tabs>
          <w:tab w:pos="493" w:val="left"/>
        </w:tabs>
        <w:bidi w:val="0"/>
        <w:spacing w:before="0" w:after="200" w:line="240" w:lineRule="auto"/>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离职后福利的会计处理方法</w:t>
      </w:r>
      <w:bookmarkEnd w:id="809"/>
      <w:bookmarkEnd w:id="810"/>
      <w:bookmarkEnd w:id="812"/>
    </w:p>
    <w:p>
      <w:pPr>
        <w:pStyle w:val="Style31"/>
        <w:keepNext w:val="0"/>
        <w:keepLines w:val="0"/>
        <w:widowControl w:val="0"/>
        <w:shd w:val="clear" w:color="auto" w:fill="auto"/>
        <w:bidi w:val="0"/>
        <w:spacing w:before="0" w:after="0" w:line="350" w:lineRule="exact"/>
        <w:ind w:left="0" w:right="0" w:firstLine="380"/>
        <w:jc w:val="both"/>
      </w:pPr>
      <w:r>
        <w:rPr>
          <w:color w:val="000000"/>
          <w:spacing w:val="0"/>
          <w:w w:val="100"/>
          <w:position w:val="0"/>
        </w:rPr>
        <w:t>离职后福利分类为设定提存计划和设定受益计划。</w:t>
      </w:r>
    </w:p>
    <w:p>
      <w:pPr>
        <w:pStyle w:val="Style31"/>
        <w:keepNext w:val="0"/>
        <w:keepLines w:val="0"/>
        <w:widowControl w:val="0"/>
        <w:shd w:val="clear" w:color="auto" w:fill="auto"/>
        <w:bidi w:val="0"/>
        <w:spacing w:before="0" w:after="0" w:line="355" w:lineRule="exact"/>
        <w:ind w:left="0" w:right="0" w:firstLine="380"/>
        <w:jc w:val="both"/>
      </w:pPr>
      <w:r>
        <w:rPr>
          <w:color w:val="000000"/>
          <w:spacing w:val="0"/>
          <w:w w:val="100"/>
          <w:position w:val="0"/>
        </w:rPr>
        <w:t>本集团在职工为其提供服务的会计期间，将根据设定提存计划计算的应缴存金额确认为负债，并计入当期损益或相关资 产成本。</w:t>
      </w:r>
    </w:p>
    <w:p>
      <w:pPr>
        <w:pStyle w:val="Style31"/>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设定提存计划是本集团向独立的基金缴存固定费用后，不再承担进一步支付义务的离职后福利计划；设定受益计划是除 设定提存计划以外的离职后福利计划。于报告期内，本集团的离职后福利主要是为员工缴纳的基本养老保险和失业保险，均 属于设定提存计划。</w:t>
      </w:r>
    </w:p>
    <w:p>
      <w:pPr>
        <w:pStyle w:val="Style69"/>
        <w:keepNext/>
        <w:keepLines/>
        <w:widowControl w:val="0"/>
        <w:numPr>
          <w:ilvl w:val="0"/>
          <w:numId w:val="37"/>
        </w:numPr>
        <w:shd w:val="clear" w:color="auto" w:fill="auto"/>
        <w:tabs>
          <w:tab w:pos="493" w:val="left"/>
        </w:tabs>
        <w:bidi w:val="0"/>
        <w:spacing w:before="0" w:after="20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辞退福利的会计处理方法</w:t>
      </w:r>
      <w:bookmarkEnd w:id="813"/>
      <w:bookmarkEnd w:id="814"/>
      <w:bookmarkEnd w:id="816"/>
    </w:p>
    <w:p>
      <w:pPr>
        <w:pStyle w:val="Style31"/>
        <w:keepNext w:val="0"/>
        <w:keepLines w:val="0"/>
        <w:widowControl w:val="0"/>
        <w:shd w:val="clear" w:color="auto" w:fill="auto"/>
        <w:bidi w:val="0"/>
        <w:spacing w:before="0" w:after="460" w:line="350" w:lineRule="exact"/>
        <w:ind w:left="0" w:right="0" w:firstLine="380"/>
        <w:jc w:val="left"/>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方面撤回因解除劳动关系计划或裁减建议所提供的辞退福利时;本集团确认与涉及支付辞退福利的重组相关的成本或费用时。</w:t>
      </w:r>
    </w:p>
    <w:p>
      <w:pPr>
        <w:pStyle w:val="Style49"/>
        <w:keepNext/>
        <w:keepLines/>
        <w:widowControl w:val="0"/>
        <w:shd w:val="clear" w:color="auto" w:fill="auto"/>
        <w:tabs>
          <w:tab w:pos="474" w:val="left"/>
        </w:tabs>
        <w:bidi w:val="0"/>
        <w:spacing w:before="0" w:after="20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817"/>
      <w:bookmarkEnd w:id="818"/>
      <w:bookmarkEnd w:id="820"/>
    </w:p>
    <w:p>
      <w:pPr>
        <w:pStyle w:val="Style31"/>
        <w:keepNext w:val="0"/>
        <w:keepLines w:val="0"/>
        <w:widowControl w:val="0"/>
        <w:shd w:val="clear" w:color="auto" w:fill="auto"/>
        <w:bidi w:val="0"/>
        <w:spacing w:before="0" w:after="0" w:line="346" w:lineRule="exact"/>
        <w:ind w:left="0" w:right="0" w:firstLine="380"/>
        <w:jc w:val="left"/>
      </w:pPr>
      <w:r>
        <w:rPr>
          <w:color w:val="000000"/>
          <w:spacing w:val="0"/>
          <w:w w:val="100"/>
          <w:position w:val="0"/>
        </w:rPr>
        <w:t>当与或有事项相关的义务是本集团承担的现时义务，且履行该义务很可能导致经济利益流出，以及该义务的金额能够可 靠地计量，则确认为预计负债。</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在资产负债表日，考虑与或有事项有关的风险、不确定性和货币时间价值等因素，按照履行相关现时义务所需支出的最 佳估计数对预计负债进行计量。如果货币时间价值影响重大，则以预计未来现金流出折现后的金额确定最佳估计数。</w:t>
      </w:r>
    </w:p>
    <w:p>
      <w:pPr>
        <w:pStyle w:val="Style31"/>
        <w:keepNext w:val="0"/>
        <w:keepLines w:val="0"/>
        <w:widowControl w:val="0"/>
        <w:shd w:val="clear" w:color="auto" w:fill="auto"/>
        <w:bidi w:val="0"/>
        <w:spacing w:before="0" w:after="460" w:line="350" w:lineRule="exact"/>
        <w:ind w:left="0" w:right="0" w:firstLine="380"/>
        <w:jc w:val="left"/>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49"/>
        <w:keepNext/>
        <w:keepLines/>
        <w:widowControl w:val="0"/>
        <w:shd w:val="clear" w:color="auto" w:fill="auto"/>
        <w:tabs>
          <w:tab w:pos="483" w:val="left"/>
        </w:tabs>
        <w:bidi w:val="0"/>
        <w:spacing w:before="0" w:after="20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821"/>
      <w:bookmarkEnd w:id="822"/>
      <w:bookmarkEnd w:id="824"/>
    </w:p>
    <w:p>
      <w:pPr>
        <w:pStyle w:val="Style31"/>
        <w:keepNext w:val="0"/>
        <w:keepLines w:val="0"/>
        <w:widowControl w:val="0"/>
        <w:shd w:val="clear" w:color="auto" w:fill="auto"/>
        <w:bidi w:val="0"/>
        <w:spacing w:before="0" w:after="0" w:line="346" w:lineRule="exact"/>
        <w:ind w:left="0" w:right="0" w:firstLine="380"/>
        <w:jc w:val="left"/>
      </w:pPr>
      <w:r>
        <w:rPr>
          <w:color w:val="000000"/>
          <w:spacing w:val="0"/>
          <w:w w:val="100"/>
          <w:position w:val="0"/>
        </w:rPr>
        <w:t>本集团的股份支付是为了获取员工提供服务而授予权益工具或者承担以权益工具为基础确定的负债的交易。本集团的股 份支付全部为以权益结算的股份支付。</w:t>
      </w:r>
    </w:p>
    <w:p>
      <w:pPr>
        <w:pStyle w:val="Style31"/>
        <w:keepNext w:val="0"/>
        <w:keepLines w:val="0"/>
        <w:widowControl w:val="0"/>
        <w:shd w:val="clear" w:color="auto" w:fill="auto"/>
        <w:bidi w:val="0"/>
        <w:spacing w:before="0" w:after="0" w:line="350" w:lineRule="exact"/>
        <w:ind w:left="0" w:right="0" w:firstLine="380"/>
        <w:jc w:val="left"/>
      </w:pPr>
      <w:bookmarkStart w:id="825" w:name="bookmark825"/>
      <w:r>
        <w:rPr>
          <w:rFonts w:ascii="Times New Roman" w:eastAsia="Times New Roman" w:hAnsi="Times New Roman" w:cs="Times New Roman"/>
          <w:color w:val="000000"/>
          <w:spacing w:val="0"/>
          <w:w w:val="100"/>
          <w:position w:val="0"/>
          <w:sz w:val="18"/>
          <w:szCs w:val="18"/>
        </w:rPr>
        <w:t>1</w:t>
      </w:r>
      <w:bookmarkEnd w:id="825"/>
      <w:r>
        <w:rPr>
          <w:color w:val="000000"/>
          <w:spacing w:val="0"/>
          <w:w w:val="100"/>
          <w:position w:val="0"/>
        </w:rPr>
        <w:t>、以权益结算的股份支付</w:t>
      </w:r>
    </w:p>
    <w:p>
      <w:pPr>
        <w:pStyle w:val="Style31"/>
        <w:keepNext w:val="0"/>
        <w:keepLines w:val="0"/>
        <w:widowControl w:val="0"/>
        <w:shd w:val="clear" w:color="auto" w:fill="auto"/>
        <w:bidi w:val="0"/>
        <w:spacing w:before="0" w:after="0" w:line="350" w:lineRule="exact"/>
        <w:ind w:left="0" w:right="0" w:firstLine="380"/>
        <w:jc w:val="left"/>
      </w:pPr>
      <w:r>
        <w:rPr>
          <w:color w:val="000000"/>
          <w:spacing w:val="0"/>
          <w:w w:val="100"/>
          <w:position w:val="0"/>
        </w:rPr>
        <w:t>授予职工的以权益结算的股份支付</w:t>
      </w:r>
    </w:p>
    <w:p>
      <w:pPr>
        <w:pStyle w:val="Style31"/>
        <w:keepNext w:val="0"/>
        <w:keepLines w:val="0"/>
        <w:widowControl w:val="0"/>
        <w:shd w:val="clear" w:color="auto" w:fill="auto"/>
        <w:bidi w:val="0"/>
        <w:spacing w:before="0" w:after="40" w:line="350" w:lineRule="exact"/>
        <w:ind w:left="0" w:right="0" w:firstLine="380"/>
        <w:jc w:val="left"/>
      </w:pPr>
      <w:r>
        <w:rPr>
          <w:color w:val="000000"/>
          <w:spacing w:val="0"/>
          <w:w w:val="100"/>
          <w:position w:val="0"/>
        </w:rPr>
        <w:t xml:space="preserve">对于用以换取职工提供的服务的以权益结算的股份支付，本集团以授予职工权益工具在授予日的公允价值计量。该公允 </w:t>
      </w:r>
      <w:r>
        <w:rPr>
          <w:color w:val="000000"/>
          <w:spacing w:val="0"/>
          <w:w w:val="100"/>
          <w:position w:val="0"/>
        </w:rPr>
        <w:t>价值的金额在等待期内以对可行权权益工具数量的最佳估计为基础，按直线法计算计入相关成本或费用，相应增加资本公积。</w:t>
      </w:r>
    </w:p>
    <w:p>
      <w:pPr>
        <w:pStyle w:val="Style31"/>
        <w:keepNext w:val="0"/>
        <w:keepLines w:val="0"/>
        <w:widowControl w:val="0"/>
        <w:shd w:val="clear" w:color="auto" w:fill="auto"/>
        <w:bidi w:val="0"/>
        <w:spacing w:before="0" w:after="180" w:line="341" w:lineRule="exact"/>
        <w:ind w:left="0" w:right="0" w:firstLine="380"/>
        <w:jc w:val="both"/>
      </w:pPr>
      <w:r>
        <w:rPr>
          <w:color w:val="000000"/>
          <w:spacing w:val="0"/>
          <w:w w:val="100"/>
          <w:position w:val="0"/>
        </w:rPr>
        <w:t>在等待期内每个资产负债表日，本集团根据最新取得的可行权员工人数变动等后续信息做出最佳估计，修正预计可行权 的权益工具数量。上述估计的影响计入当期相关成本或费用，并相应调整资本公积。</w:t>
      </w:r>
    </w:p>
    <w:p>
      <w:pPr>
        <w:pStyle w:val="Style31"/>
        <w:keepNext w:val="0"/>
        <w:keepLines w:val="0"/>
        <w:widowControl w:val="0"/>
        <w:shd w:val="clear" w:color="auto" w:fill="auto"/>
        <w:bidi w:val="0"/>
        <w:spacing w:before="0" w:after="0" w:line="406" w:lineRule="auto"/>
        <w:ind w:left="0" w:right="0" w:firstLine="380"/>
        <w:jc w:val="both"/>
      </w:pPr>
      <w:bookmarkStart w:id="826" w:name="bookmark826"/>
      <w:r>
        <w:rPr>
          <w:rFonts w:ascii="Times New Roman" w:eastAsia="Times New Roman" w:hAnsi="Times New Roman" w:cs="Times New Roman"/>
          <w:color w:val="000000"/>
          <w:spacing w:val="0"/>
          <w:w w:val="100"/>
          <w:position w:val="0"/>
          <w:sz w:val="18"/>
          <w:szCs w:val="18"/>
        </w:rPr>
        <w:t>2</w:t>
      </w:r>
      <w:bookmarkEnd w:id="826"/>
      <w:r>
        <w:rPr>
          <w:color w:val="000000"/>
          <w:spacing w:val="0"/>
          <w:w w:val="100"/>
          <w:position w:val="0"/>
        </w:rPr>
        <w:t>、实施、修改、终止股份支付计划的相关会计处理</w:t>
      </w:r>
    </w:p>
    <w:p>
      <w:pPr>
        <w:pStyle w:val="Style31"/>
        <w:keepNext w:val="0"/>
        <w:keepLines w:val="0"/>
        <w:widowControl w:val="0"/>
        <w:shd w:val="clear" w:color="auto" w:fill="auto"/>
        <w:bidi w:val="0"/>
        <w:spacing w:before="0" w:after="40" w:line="343" w:lineRule="exact"/>
        <w:ind w:left="0" w:right="0" w:firstLine="380"/>
        <w:jc w:val="both"/>
      </w:pPr>
      <w:r>
        <w:rPr>
          <w:color w:val="000000"/>
          <w:spacing w:val="0"/>
          <w:w w:val="100"/>
          <w:position w:val="0"/>
        </w:rPr>
        <w:t>本集团对股份支付计划进行修改时，若修改增加了所授予权益工具的公允价值，按照权益工具公允价值的增加相应地确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除非本集团取消了部分或全部已授予的权益工具。</w:t>
      </w:r>
    </w:p>
    <w:p>
      <w:pPr>
        <w:pStyle w:val="Style31"/>
        <w:keepNext w:val="0"/>
        <w:keepLines w:val="0"/>
        <w:widowControl w:val="0"/>
        <w:shd w:val="clear" w:color="auto" w:fill="auto"/>
        <w:bidi w:val="0"/>
        <w:spacing w:before="0" w:after="480" w:line="353" w:lineRule="exact"/>
        <w:ind w:left="0" w:right="0" w:firstLine="38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49"/>
        <w:keepNext/>
        <w:keepLines/>
        <w:widowControl w:val="0"/>
        <w:shd w:val="clear" w:color="auto" w:fill="auto"/>
        <w:bidi w:val="0"/>
        <w:spacing w:before="0" w:after="180" w:line="240" w:lineRule="auto"/>
        <w:ind w:left="0" w:right="0" w:firstLine="0"/>
        <w:jc w:val="left"/>
      </w:pPr>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827"/>
      <w:bookmarkEnd w:id="828"/>
      <w:bookmarkEnd w:id="829"/>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本集团的收入主要来源于如下业务类型：</w:t>
      </w:r>
    </w:p>
    <w:p>
      <w:pPr>
        <w:pStyle w:val="Style31"/>
        <w:keepNext w:val="0"/>
        <w:keepLines w:val="0"/>
        <w:widowControl w:val="0"/>
        <w:numPr>
          <w:ilvl w:val="0"/>
          <w:numId w:val="39"/>
        </w:numPr>
        <w:shd w:val="clear" w:color="auto" w:fill="auto"/>
        <w:tabs>
          <w:tab w:pos="643" w:val="left"/>
        </w:tabs>
        <w:bidi w:val="0"/>
        <w:spacing w:before="0" w:after="40" w:line="432" w:lineRule="auto"/>
        <w:ind w:left="0" w:right="0" w:firstLine="380"/>
        <w:jc w:val="both"/>
      </w:pPr>
      <w:bookmarkStart w:id="830" w:name="bookmark830"/>
      <w:bookmarkEnd w:id="830"/>
      <w:r>
        <w:rPr>
          <w:color w:val="000000"/>
          <w:spacing w:val="0"/>
          <w:w w:val="100"/>
          <w:position w:val="0"/>
        </w:rPr>
        <w:t>提供维修劳务</w:t>
      </w:r>
    </w:p>
    <w:p>
      <w:pPr>
        <w:pStyle w:val="Style31"/>
        <w:keepNext w:val="0"/>
        <w:keepLines w:val="0"/>
        <w:widowControl w:val="0"/>
        <w:numPr>
          <w:ilvl w:val="0"/>
          <w:numId w:val="39"/>
        </w:numPr>
        <w:shd w:val="clear" w:color="auto" w:fill="auto"/>
        <w:tabs>
          <w:tab w:pos="653" w:val="left"/>
        </w:tabs>
        <w:bidi w:val="0"/>
        <w:spacing w:before="0" w:after="40" w:line="432" w:lineRule="auto"/>
        <w:ind w:left="0" w:right="0" w:firstLine="380"/>
        <w:jc w:val="both"/>
      </w:pPr>
      <w:bookmarkStart w:id="831" w:name="bookmark831"/>
      <w:bookmarkEnd w:id="831"/>
      <w:r>
        <w:rPr>
          <w:color w:val="000000"/>
          <w:spacing w:val="0"/>
          <w:w w:val="100"/>
          <w:position w:val="0"/>
        </w:rPr>
        <w:t>销售商品</w:t>
      </w:r>
    </w:p>
    <w:p>
      <w:pPr>
        <w:pStyle w:val="Style31"/>
        <w:keepNext w:val="0"/>
        <w:keepLines w:val="0"/>
        <w:widowControl w:val="0"/>
        <w:numPr>
          <w:ilvl w:val="0"/>
          <w:numId w:val="39"/>
        </w:numPr>
        <w:shd w:val="clear" w:color="auto" w:fill="auto"/>
        <w:tabs>
          <w:tab w:pos="653" w:val="left"/>
        </w:tabs>
        <w:bidi w:val="0"/>
        <w:spacing w:before="0" w:after="40" w:line="432" w:lineRule="auto"/>
        <w:ind w:left="0" w:right="0" w:firstLine="380"/>
        <w:jc w:val="both"/>
      </w:pPr>
      <w:bookmarkStart w:id="832" w:name="bookmark832"/>
      <w:bookmarkEnd w:id="832"/>
      <w:r>
        <w:rPr>
          <w:color w:val="000000"/>
          <w:spacing w:val="0"/>
          <w:w w:val="100"/>
          <w:position w:val="0"/>
        </w:rPr>
        <w:t>提供增值服务</w:t>
      </w:r>
    </w:p>
    <w:p>
      <w:pPr>
        <w:pStyle w:val="Style31"/>
        <w:keepNext w:val="0"/>
        <w:keepLines w:val="0"/>
        <w:widowControl w:val="0"/>
        <w:numPr>
          <w:ilvl w:val="0"/>
          <w:numId w:val="39"/>
        </w:numPr>
        <w:shd w:val="clear" w:color="auto" w:fill="auto"/>
        <w:tabs>
          <w:tab w:pos="658" w:val="left"/>
        </w:tabs>
        <w:bidi w:val="0"/>
        <w:spacing w:before="0" w:after="0" w:line="432" w:lineRule="auto"/>
        <w:ind w:left="0" w:right="0" w:firstLine="380"/>
        <w:jc w:val="both"/>
      </w:pPr>
      <w:bookmarkStart w:id="833" w:name="bookmark833"/>
      <w:bookmarkEnd w:id="833"/>
      <w:r>
        <w:rPr>
          <w:color w:val="000000"/>
          <w:spacing w:val="0"/>
          <w:w w:val="100"/>
          <w:position w:val="0"/>
        </w:rPr>
        <w:t>其他收入</w:t>
      </w:r>
    </w:p>
    <w:p>
      <w:pPr>
        <w:pStyle w:val="Style31"/>
        <w:keepNext w:val="0"/>
        <w:keepLines w:val="0"/>
        <w:widowControl w:val="0"/>
        <w:shd w:val="clear" w:color="auto" w:fill="auto"/>
        <w:bidi w:val="0"/>
        <w:spacing w:before="0" w:after="40" w:line="353" w:lineRule="exact"/>
        <w:ind w:left="0" w:right="0" w:firstLine="380"/>
        <w:jc w:val="both"/>
      </w:pPr>
      <w:r>
        <w:rPr>
          <w:color w:val="000000"/>
          <w:spacing w:val="0"/>
          <w:w w:val="100"/>
          <w:position w:val="0"/>
        </w:rPr>
        <w:t>本集团在履行了合同中的履约义务，即在客户取得相关商品或服务控制权时，按照分摊至该项履约义务的交易价格确认 收入。履约义务，是指合同中本集团向客户转让可明确区分商品或服务的承诺。交易价格，是指本集团因向客户转让商品或 服务而预期有权收取的对价金额，但不包含代第三方收取的款项以及本集团预期将退还给客户的款项。</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 在本集团履约的同时即取得并消耗所带来的经济利益；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客户能够控制本集团履约过程中在建的商品；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本集团履约过程 中所产出的商品具有不可替代用途，且本集团在整个合同期间内有权就累计至今已完成的履约部分收取款项。否则，本集团 在客户取得相关商品或服务控制权的时点确认收入。</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本集团根据在向客户转让商品或服务前是否拥有对该商品或服务的控制权，来判断从事交易时本集团的身份是主要责任 人还是代理人。本集团在向客户转让商品或服务前能够控制该商品或服务的，本集团为主要责任人，按照已收或应收对价总 额确认收入；否则，本集团为代理人，按照预期有权收取的佣金或手续费的金额确认收入，该金额按照已收或应收对价总额 扣除应支付给其他相关方的价款后的净额。</w:t>
      </w:r>
    </w:p>
    <w:p>
      <w:pPr>
        <w:pStyle w:val="Style31"/>
        <w:keepNext w:val="0"/>
        <w:keepLines w:val="0"/>
        <w:widowControl w:val="0"/>
        <w:shd w:val="clear" w:color="auto" w:fill="auto"/>
        <w:bidi w:val="0"/>
        <w:spacing w:before="0" w:after="40" w:line="349" w:lineRule="exact"/>
        <w:ind w:left="0" w:right="0" w:firstLine="380"/>
        <w:jc w:val="both"/>
      </w:pPr>
      <w:r>
        <w:rPr>
          <w:color w:val="000000"/>
          <w:spacing w:val="0"/>
          <w:w w:val="100"/>
          <w:position w:val="0"/>
        </w:rPr>
        <w:t>本集团向客户预收销售商品或服务款项的，首先将该款项确认为负债，待履行了相关履约义务时再转为收入。当本集团 预收款项无需退回，且客户可能会放弃其全部或部分合同权利时，本集团预期将有权获得与客户所放弃的合同权利相关的金 额的，按照客户行使合同权利的模式按比例将上述金额确认为收入；否则，本集团只有在客户要求履行剩余履约义务的可能 性极低时，才将上述负债的相关余额转为收入。</w:t>
      </w:r>
    </w:p>
    <w:p>
      <w:pPr>
        <w:pStyle w:val="Style31"/>
        <w:keepNext w:val="0"/>
        <w:keepLines w:val="0"/>
        <w:widowControl w:val="0"/>
        <w:shd w:val="clear" w:color="auto" w:fill="auto"/>
        <w:bidi w:val="0"/>
        <w:spacing w:before="0" w:after="40" w:line="346" w:lineRule="exact"/>
        <w:ind w:left="0" w:right="0" w:firstLine="380"/>
        <w:jc w:val="both"/>
      </w:pPr>
      <w:r>
        <w:rPr>
          <w:color w:val="000000"/>
          <w:spacing w:val="0"/>
          <w:w w:val="100"/>
          <w:position w:val="0"/>
        </w:rPr>
        <w:t xml:space="preserve">本集团提供的维修劳务包括保修期内的维修和保修期外的维修。本集团根据手机厂商授权的维修服务协议，对在相关手 机保修期内进行的售后维修，按照协议确定的价格向厂商收取维修服务费，本集团于维修劳务完成之时，确认保修期内维修 </w:t>
      </w:r>
      <w:r>
        <w:rPr>
          <w:color w:val="000000"/>
          <w:spacing w:val="0"/>
          <w:w w:val="100"/>
          <w:position w:val="0"/>
        </w:rPr>
        <w:t>收入。对在相关厂商商品保修期外的手机维修服务，本集团直接向消费者提供保外维修服务后，于劳务完成时，确认收入。</w:t>
      </w:r>
    </w:p>
    <w:p>
      <w:pPr>
        <w:pStyle w:val="Style31"/>
        <w:keepNext w:val="0"/>
        <w:keepLines w:val="0"/>
        <w:widowControl w:val="0"/>
        <w:shd w:val="clear" w:color="auto" w:fill="auto"/>
        <w:bidi w:val="0"/>
        <w:spacing w:before="0" w:after="40" w:line="349" w:lineRule="exact"/>
        <w:ind w:left="0" w:right="0" w:firstLine="380"/>
        <w:jc w:val="both"/>
      </w:pPr>
      <w:r>
        <w:rPr>
          <w:color w:val="000000"/>
          <w:spacing w:val="0"/>
          <w:w w:val="100"/>
          <w:position w:val="0"/>
        </w:rPr>
        <w:t>本集团销售商品收入主要包括本集团在全国地区通过实体店和电子商务平台销售全新手机、二手机及手机保护壳、移动 电源、蓝牙耳机和数据线等手机配件商品。通过实体店的销售商品收入，本集团对于销售商品收入在商品控制权转移时确认 收入，即通过实体店的销售商品收入在本集团销售商品给客户时确认收入，通过电子商务平台的销售商品收入于客户签收货 品时确认收入。</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本集团提供的增值服务主要包括向消费者提供手机保障等增值服务，与增值服务相关的收入在一段时间内确认。于资产 负债表日，本集团对在保障协议覆盖的服务期间内未到期部分的保障收入确认为递延收入，记录在其他流动负债科目，待收 入确认条件满足时，在保障协议服务覆盖的期间按月摊销确认营业收入。</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本集团的其他收入主要包含对合作商提供管理咨询服务收入。本集团与若干合作门店和联盟商门店签订业务合作协议， 授权合作门店和联盟商门店在协议规定的范围内使用本集团的商标、服务标记、商号等，在统一商业形象下开展业务，本集 团提供经营管理指导与咨询，定期收取管理咨询服务费。与管理咨询服务相关的收入在一段时间内确认，本集团收到款项时 计入合同负债，在提供管理咨询服务期间平均确认摊销确认收入。</w:t>
      </w:r>
    </w:p>
    <w:p>
      <w:pPr>
        <w:pStyle w:val="Style31"/>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同类业务采用不同经营模式导致收入确认会计政策存在差异的情况</w:t>
      </w:r>
    </w:p>
    <w:p>
      <w:pPr>
        <w:pStyle w:val="Style49"/>
        <w:keepNext/>
        <w:keepLines/>
        <w:widowControl w:val="0"/>
        <w:shd w:val="clear" w:color="auto" w:fill="auto"/>
        <w:tabs>
          <w:tab w:pos="466" w:val="left"/>
        </w:tabs>
        <w:bidi w:val="0"/>
        <w:spacing w:before="0" w:after="1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834"/>
      <w:bookmarkEnd w:id="835"/>
      <w:bookmarkEnd w:id="837"/>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政府补助是指本集团从政府无偿取得货币性资产和非货币性资产。政府补助在能够满足政府补助所附条件且能够收到时 予以确认。</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于报告期内，政府补助均为本集团所取得的货币性资产，按照收到或应收的金额计量。</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本集团将取得的、用于购建或以其他方式形成长期资产的政府补助划分为与资产相关的政府补助，除上述之外的政府补 助为与收益相关的政府补助。本集团将难以区分性质的政府补助整体归类为与收益相关的政府补助。本集团报告期内取得的 政府补助均为与收益相关的政府补助。</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u w:val="single"/>
        </w:rPr>
        <w:t>与收益相关的政府补助的会计处理方法</w:t>
      </w:r>
    </w:p>
    <w:p>
      <w:pPr>
        <w:pStyle w:val="Style31"/>
        <w:keepNext w:val="0"/>
        <w:keepLines w:val="0"/>
        <w:widowControl w:val="0"/>
        <w:shd w:val="clear" w:color="auto" w:fill="auto"/>
        <w:bidi w:val="0"/>
        <w:spacing w:before="0" w:after="40" w:line="355" w:lineRule="exact"/>
        <w:ind w:left="0" w:right="0" w:firstLine="380"/>
        <w:jc w:val="both"/>
      </w:pPr>
      <w:r>
        <w:rPr>
          <w:color w:val="000000"/>
          <w:spacing w:val="0"/>
          <w:w w:val="100"/>
          <w:position w:val="0"/>
        </w:rPr>
        <w:t>与收益相关的政府补助，用于补偿以后期间的相关成本费用和损失的，确认为递延收益，并在确认相关成本费用或损失 的期间，计入当期损益；用于补偿已经发生的相关成本费用和损失的，直接计入当期损益。</w:t>
      </w:r>
    </w:p>
    <w:p>
      <w:pPr>
        <w:pStyle w:val="Style31"/>
        <w:keepNext w:val="0"/>
        <w:keepLines w:val="0"/>
        <w:widowControl w:val="0"/>
        <w:shd w:val="clear" w:color="auto" w:fill="auto"/>
        <w:bidi w:val="0"/>
        <w:spacing w:before="0" w:after="480" w:line="350" w:lineRule="exact"/>
        <w:ind w:left="0" w:right="0" w:firstLine="380"/>
        <w:jc w:val="both"/>
      </w:pPr>
      <w:r>
        <w:rPr>
          <w:color w:val="000000"/>
          <w:spacing w:val="0"/>
          <w:w w:val="100"/>
          <w:position w:val="0"/>
        </w:rPr>
        <w:t>与本集团日常活动相关的政府补助，按照经济业务实质，计入其他收益。与本集团日常活动无关的政府补助，计入营业 外收入。</w:t>
      </w:r>
    </w:p>
    <w:p>
      <w:pPr>
        <w:pStyle w:val="Style49"/>
        <w:keepNext/>
        <w:keepLines/>
        <w:widowControl w:val="0"/>
        <w:shd w:val="clear" w:color="auto" w:fill="auto"/>
        <w:tabs>
          <w:tab w:pos="466" w:val="left"/>
        </w:tabs>
        <w:bidi w:val="0"/>
        <w:spacing w:before="0" w:after="1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38"/>
      <w:bookmarkEnd w:id="839"/>
      <w:bookmarkEnd w:id="841"/>
    </w:p>
    <w:p>
      <w:pPr>
        <w:pStyle w:val="Style31"/>
        <w:keepNext w:val="0"/>
        <w:keepLines w:val="0"/>
        <w:widowControl w:val="0"/>
        <w:shd w:val="clear" w:color="auto" w:fill="auto"/>
        <w:bidi w:val="0"/>
        <w:spacing w:before="0" w:after="180" w:line="350" w:lineRule="exact"/>
        <w:ind w:left="0" w:right="0" w:firstLine="380"/>
        <w:jc w:val="left"/>
      </w:pPr>
      <w:r>
        <w:rPr>
          <w:color w:val="000000"/>
          <w:spacing w:val="0"/>
          <w:w w:val="100"/>
          <w:position w:val="0"/>
        </w:rPr>
        <w:t>所得税包括当期所得税和递延所得税。</w:t>
      </w:r>
    </w:p>
    <w:p>
      <w:pPr>
        <w:pStyle w:val="Style31"/>
        <w:keepNext w:val="0"/>
        <w:keepLines w:val="0"/>
        <w:widowControl w:val="0"/>
        <w:shd w:val="clear" w:color="auto" w:fill="auto"/>
        <w:tabs>
          <w:tab w:pos="697" w:val="left"/>
        </w:tabs>
        <w:bidi w:val="0"/>
        <w:spacing w:before="0" w:after="0" w:line="406" w:lineRule="auto"/>
        <w:ind w:left="0" w:right="0" w:firstLine="380"/>
        <w:jc w:val="both"/>
      </w:pPr>
      <w:bookmarkStart w:id="842" w:name="bookmark842"/>
      <w:r>
        <w:rPr>
          <w:rFonts w:ascii="Times New Roman" w:eastAsia="Times New Roman" w:hAnsi="Times New Roman" w:cs="Times New Roman"/>
          <w:color w:val="000000"/>
          <w:spacing w:val="0"/>
          <w:w w:val="100"/>
          <w:position w:val="0"/>
          <w:sz w:val="18"/>
          <w:szCs w:val="18"/>
        </w:rPr>
        <w:t>1</w:t>
      </w:r>
      <w:bookmarkEnd w:id="842"/>
      <w:r>
        <w:rPr>
          <w:color w:val="000000"/>
          <w:spacing w:val="0"/>
          <w:w w:val="100"/>
          <w:position w:val="0"/>
        </w:rPr>
        <w:t>、</w:t>
        <w:tab/>
        <w:t>当期所得税</w:t>
      </w:r>
    </w:p>
    <w:p>
      <w:pPr>
        <w:pStyle w:val="Style31"/>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w:t>
      </w:r>
    </w:p>
    <w:p>
      <w:pPr>
        <w:pStyle w:val="Style31"/>
        <w:keepNext w:val="0"/>
        <w:keepLines w:val="0"/>
        <w:widowControl w:val="0"/>
        <w:shd w:val="clear" w:color="auto" w:fill="auto"/>
        <w:tabs>
          <w:tab w:pos="716" w:val="left"/>
        </w:tabs>
        <w:bidi w:val="0"/>
        <w:spacing w:before="0" w:after="0" w:line="406" w:lineRule="auto"/>
        <w:ind w:left="0" w:right="0" w:firstLine="380"/>
        <w:jc w:val="both"/>
      </w:pPr>
      <w:bookmarkStart w:id="843" w:name="bookmark843"/>
      <w:r>
        <w:rPr>
          <w:rFonts w:ascii="Times New Roman" w:eastAsia="Times New Roman" w:hAnsi="Times New Roman" w:cs="Times New Roman"/>
          <w:color w:val="000000"/>
          <w:spacing w:val="0"/>
          <w:w w:val="100"/>
          <w:position w:val="0"/>
          <w:sz w:val="18"/>
          <w:szCs w:val="18"/>
        </w:rPr>
        <w:t>2</w:t>
      </w:r>
      <w:bookmarkEnd w:id="843"/>
      <w:r>
        <w:rPr>
          <w:color w:val="000000"/>
          <w:spacing w:val="0"/>
          <w:w w:val="100"/>
          <w:position w:val="0"/>
        </w:rPr>
        <w:t>、</w:t>
        <w:tab/>
        <w:t>递延所得税资产及递延所得税负债</w:t>
      </w:r>
    </w:p>
    <w:p>
      <w:pPr>
        <w:pStyle w:val="Style31"/>
        <w:keepNext w:val="0"/>
        <w:keepLines w:val="0"/>
        <w:widowControl w:val="0"/>
        <w:shd w:val="clear" w:color="auto" w:fill="auto"/>
        <w:bidi w:val="0"/>
        <w:spacing w:before="0" w:after="40" w:line="353" w:lineRule="exact"/>
        <w:ind w:left="0" w:right="0" w:firstLine="38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31"/>
        <w:keepNext w:val="0"/>
        <w:keepLines w:val="0"/>
        <w:widowControl w:val="0"/>
        <w:shd w:val="clear" w:color="auto" w:fill="auto"/>
        <w:bidi w:val="0"/>
        <w:spacing w:before="0" w:after="40" w:line="350" w:lineRule="exact"/>
        <w:ind w:left="0" w:right="0" w:firstLine="380"/>
        <w:jc w:val="both"/>
      </w:pPr>
      <w:r>
        <w:rPr>
          <w:color w:val="000000"/>
          <w:spacing w:val="0"/>
          <w:w w:val="100"/>
          <w:position w:val="0"/>
        </w:rPr>
        <w:t xml:space="preserve">一般情况下所有暂时性差异均确认相关的递延所得税。但对于可抵扣暂时性差异，本集团以很可能取得用来抵扣可抵扣 </w:t>
      </w:r>
      <w:r>
        <w:rPr>
          <w:color w:val="000000"/>
          <w:spacing w:val="0"/>
          <w:w w:val="100"/>
          <w:position w:val="0"/>
        </w:rPr>
        <w:t>暂时性差异的应纳税所得额为限，确认相关的递延所得税资产。此外，与商誉的初始确认相关的，以及与既不是企业合并、 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的交易中产生的资产或负债的初始确认有关的暂时性差异，不予确 认有关的递延所得税资产或负债。</w:t>
      </w:r>
    </w:p>
    <w:p>
      <w:pPr>
        <w:pStyle w:val="Style31"/>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31"/>
        <w:keepNext w:val="0"/>
        <w:keepLines w:val="0"/>
        <w:widowControl w:val="0"/>
        <w:shd w:val="clear" w:color="auto" w:fill="auto"/>
        <w:bidi w:val="0"/>
        <w:spacing w:before="0" w:after="40" w:line="348" w:lineRule="exact"/>
        <w:ind w:left="0" w:right="0" w:firstLine="380"/>
        <w:jc w:val="left"/>
      </w:pPr>
      <w:r>
        <w:rPr>
          <w:color w:val="000000"/>
          <w:spacing w:val="0"/>
          <w:w w:val="100"/>
          <w:position w:val="0"/>
        </w:rPr>
        <w:t>本集团确认与子公司投资相关的应纳税暂时性差异产生的递延所得税负债，除非本集团能够控制暂时性差异转回的时间, 而且该暂时性差异在可预见的未来很可能不会转回。对于与子公司投资相关的可抵扣暂时性差异，只有当暂时性差异在可预 见的未来很可能转回，且未来很可能获得用来抵扣可抵扣暂时性差异的应纳税所得额时，本集团才确认递延所得税资产。</w:t>
      </w:r>
    </w:p>
    <w:p>
      <w:pPr>
        <w:pStyle w:val="Style31"/>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1"/>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31"/>
        <w:keepNext w:val="0"/>
        <w:keepLines w:val="0"/>
        <w:widowControl w:val="0"/>
        <w:shd w:val="clear" w:color="auto" w:fill="auto"/>
        <w:bidi w:val="0"/>
        <w:spacing w:before="0" w:after="200" w:line="350" w:lineRule="exact"/>
        <w:ind w:left="0" w:right="0" w:firstLine="380"/>
        <w:jc w:val="left"/>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31"/>
        <w:keepNext w:val="0"/>
        <w:keepLines w:val="0"/>
        <w:widowControl w:val="0"/>
        <w:shd w:val="clear" w:color="auto" w:fill="auto"/>
        <w:bidi w:val="0"/>
        <w:spacing w:before="0" w:after="0" w:line="406" w:lineRule="auto"/>
        <w:ind w:left="0" w:right="0" w:firstLine="380"/>
        <w:jc w:val="both"/>
      </w:pPr>
      <w:bookmarkStart w:id="844" w:name="bookmark844"/>
      <w:r>
        <w:rPr>
          <w:rFonts w:ascii="Times New Roman" w:eastAsia="Times New Roman" w:hAnsi="Times New Roman" w:cs="Times New Roman"/>
          <w:color w:val="000000"/>
          <w:spacing w:val="0"/>
          <w:w w:val="100"/>
          <w:position w:val="0"/>
          <w:sz w:val="18"/>
          <w:szCs w:val="18"/>
        </w:rPr>
        <w:t>3</w:t>
      </w:r>
      <w:bookmarkEnd w:id="844"/>
      <w:r>
        <w:rPr>
          <w:color w:val="000000"/>
          <w:spacing w:val="0"/>
          <w:w w:val="100"/>
          <w:position w:val="0"/>
        </w:rPr>
        <w:t>、所得税的抵销</w:t>
      </w:r>
    </w:p>
    <w:p>
      <w:pPr>
        <w:pStyle w:val="Style31"/>
        <w:keepNext w:val="0"/>
        <w:keepLines w:val="0"/>
        <w:widowControl w:val="0"/>
        <w:shd w:val="clear" w:color="auto" w:fill="auto"/>
        <w:bidi w:val="0"/>
        <w:spacing w:before="0" w:after="40" w:line="355" w:lineRule="exact"/>
        <w:ind w:left="0" w:right="0" w:firstLine="38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31"/>
        <w:keepNext w:val="0"/>
        <w:keepLines w:val="0"/>
        <w:widowControl w:val="0"/>
        <w:shd w:val="clear" w:color="auto" w:fill="auto"/>
        <w:bidi w:val="0"/>
        <w:spacing w:before="0" w:after="480" w:line="349"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49"/>
        <w:keepNext/>
        <w:keepLines/>
        <w:widowControl w:val="0"/>
        <w:shd w:val="clear" w:color="auto" w:fill="auto"/>
        <w:tabs>
          <w:tab w:pos="483" w:val="left"/>
        </w:tabs>
        <w:bidi w:val="0"/>
        <w:spacing w:before="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845"/>
      <w:bookmarkEnd w:id="846"/>
      <w:bookmarkEnd w:id="848"/>
    </w:p>
    <w:p>
      <w:pPr>
        <w:pStyle w:val="Style69"/>
        <w:keepNext/>
        <w:keepLines/>
        <w:widowControl w:val="0"/>
        <w:shd w:val="clear" w:color="auto" w:fill="auto"/>
        <w:bidi w:val="0"/>
        <w:spacing w:before="0" w:after="20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49"/>
      <w:bookmarkEnd w:id="850"/>
      <w:bookmarkEnd w:id="852"/>
    </w:p>
    <w:p>
      <w:pPr>
        <w:pStyle w:val="Style31"/>
        <w:keepNext w:val="0"/>
        <w:keepLines w:val="0"/>
        <w:widowControl w:val="0"/>
        <w:shd w:val="clear" w:color="auto" w:fill="auto"/>
        <w:bidi w:val="0"/>
        <w:spacing w:before="0" w:after="40" w:line="349" w:lineRule="exact"/>
        <w:ind w:left="0" w:right="0" w:firstLine="380"/>
        <w:jc w:val="left"/>
      </w:pPr>
      <w:r>
        <w:rPr>
          <w:color w:val="000000"/>
          <w:spacing w:val="0"/>
          <w:w w:val="100"/>
          <w:position w:val="0"/>
        </w:rPr>
        <w:t>实质上转移了与资产所有权有关的全部风险和报酬的租赁为融资租赁。融资租赁以外的其他租赁为经营租赁。</w:t>
      </w:r>
    </w:p>
    <w:p>
      <w:pPr>
        <w:pStyle w:val="Style31"/>
        <w:keepNext w:val="0"/>
        <w:keepLines w:val="0"/>
        <w:widowControl w:val="0"/>
        <w:shd w:val="clear" w:color="auto" w:fill="auto"/>
        <w:bidi w:val="0"/>
        <w:spacing w:before="0" w:after="40" w:line="349" w:lineRule="exact"/>
        <w:ind w:left="0" w:right="0" w:firstLine="380"/>
        <w:jc w:val="left"/>
      </w:pPr>
      <w:r>
        <w:rPr>
          <w:color w:val="000000"/>
          <w:spacing w:val="0"/>
          <w:w w:val="100"/>
          <w:position w:val="0"/>
        </w:rPr>
        <w:t>本集团作为承租人记录经营租赁业务</w:t>
      </w:r>
    </w:p>
    <w:p>
      <w:pPr>
        <w:pStyle w:val="Style31"/>
        <w:keepNext w:val="0"/>
        <w:keepLines w:val="0"/>
        <w:widowControl w:val="0"/>
        <w:shd w:val="clear" w:color="auto" w:fill="auto"/>
        <w:bidi w:val="0"/>
        <w:spacing w:before="0" w:after="480" w:line="355" w:lineRule="exact"/>
        <w:ind w:left="0" w:right="0" w:firstLine="38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49"/>
        <w:keepNext/>
        <w:keepLines/>
        <w:widowControl w:val="0"/>
        <w:shd w:val="clear" w:color="auto" w:fill="auto"/>
        <w:tabs>
          <w:tab w:pos="483" w:val="left"/>
        </w:tabs>
        <w:bidi w:val="0"/>
        <w:spacing w:before="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853"/>
      <w:bookmarkEnd w:id="854"/>
      <w:bookmarkEnd w:id="856"/>
    </w:p>
    <w:p>
      <w:pPr>
        <w:pStyle w:val="Style31"/>
        <w:keepNext w:val="0"/>
        <w:keepLines w:val="0"/>
        <w:widowControl w:val="0"/>
        <w:shd w:val="clear" w:color="auto" w:fill="auto"/>
        <w:bidi w:val="0"/>
        <w:spacing w:before="0" w:after="0" w:line="406" w:lineRule="auto"/>
        <w:ind w:left="0" w:right="0" w:firstLine="380"/>
        <w:jc w:val="left"/>
      </w:pPr>
      <w:r>
        <w:rPr>
          <w:rFonts w:ascii="Times New Roman" w:eastAsia="Times New Roman" w:hAnsi="Times New Roman" w:cs="Times New Roman"/>
          <w:color w:val="000000"/>
          <w:spacing w:val="0"/>
          <w:w w:val="100"/>
          <w:position w:val="0"/>
          <w:sz w:val="18"/>
          <w:szCs w:val="18"/>
          <w:u w:val="single"/>
        </w:rPr>
        <w:t>25.1</w:t>
      </w:r>
      <w:r>
        <w:rPr>
          <w:color w:val="000000"/>
          <w:spacing w:val="0"/>
          <w:w w:val="100"/>
          <w:position w:val="0"/>
          <w:u w:val="single"/>
        </w:rPr>
        <w:t>终止经营的确认标准和会计处理方法</w:t>
      </w:r>
    </w:p>
    <w:p>
      <w:pPr>
        <w:pStyle w:val="Style31"/>
        <w:keepNext w:val="0"/>
        <w:keepLines w:val="0"/>
        <w:widowControl w:val="0"/>
        <w:shd w:val="clear" w:color="auto" w:fill="auto"/>
        <w:bidi w:val="0"/>
        <w:spacing w:before="0" w:after="200" w:line="349" w:lineRule="exact"/>
        <w:ind w:left="0" w:right="0" w:firstLine="380"/>
        <w:jc w:val="left"/>
      </w:pPr>
      <w:r>
        <w:rPr>
          <w:color w:val="000000"/>
          <w:spacing w:val="0"/>
          <w:w w:val="100"/>
          <w:position w:val="0"/>
        </w:rPr>
        <w:t>终止经营，是指满足下列条件之一的、能够单独区分的组成部分，且该组成部分已经处置或划分为持有待售类别：</w:t>
      </w:r>
    </w:p>
    <w:p>
      <w:pPr>
        <w:pStyle w:val="Style31"/>
        <w:keepNext w:val="0"/>
        <w:keepLines w:val="0"/>
        <w:widowControl w:val="0"/>
        <w:shd w:val="clear" w:color="auto" w:fill="auto"/>
        <w:bidi w:val="0"/>
        <w:spacing w:before="0" w:after="40" w:line="406"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该组成部分代表一项独立的主要业务或一个主要经营地区；</w:t>
      </w:r>
    </w:p>
    <w:p>
      <w:pPr>
        <w:pStyle w:val="Style31"/>
        <w:keepNext w:val="0"/>
        <w:keepLines w:val="0"/>
        <w:widowControl w:val="0"/>
        <w:shd w:val="clear" w:color="auto" w:fill="auto"/>
        <w:bidi w:val="0"/>
        <w:spacing w:before="0" w:after="40" w:line="406"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该组成部分是拟对一项独立的主要业务或一个单独的主要经营地区进行处置的一项相关联计划的一部分；</w:t>
      </w:r>
    </w:p>
    <w:p>
      <w:pPr>
        <w:pStyle w:val="Style31"/>
        <w:keepNext w:val="0"/>
        <w:keepLines w:val="0"/>
        <w:widowControl w:val="0"/>
        <w:shd w:val="clear" w:color="auto" w:fill="auto"/>
        <w:bidi w:val="0"/>
        <w:spacing w:before="0" w:after="0" w:line="406"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该组成部分是专为转售而取得的子公司。</w:t>
      </w:r>
    </w:p>
    <w:p>
      <w:pPr>
        <w:pStyle w:val="Style31"/>
        <w:keepNext w:val="0"/>
        <w:keepLines w:val="0"/>
        <w:widowControl w:val="0"/>
        <w:shd w:val="clear" w:color="auto" w:fill="auto"/>
        <w:bidi w:val="0"/>
        <w:spacing w:before="0" w:after="480" w:line="349" w:lineRule="exact"/>
        <w:ind w:left="0" w:right="0" w:firstLine="380"/>
        <w:jc w:val="both"/>
      </w:pPr>
      <w:r>
        <w:rPr>
          <w:color w:val="000000"/>
          <w:spacing w:val="0"/>
          <w:w w:val="100"/>
          <w:position w:val="0"/>
        </w:rPr>
        <w:t>终止经营损益在利润表中与持续经营损益分别列示，终止经营的减值损失和转回金额等经营损益及处置损益作为终止经</w:t>
        <w:br w:type="page"/>
      </w:r>
      <w:r>
        <w:rPr>
          <w:color w:val="000000"/>
          <w:spacing w:val="0"/>
          <w:w w:val="100"/>
          <w:position w:val="0"/>
        </w:rPr>
        <w:t>营列报。对于当期列报的终止经营，本集团在当期财务报表中将原来作为持续经营损益列报的信息重新作为可比会计期间的 终止经营列报。</w:t>
      </w:r>
    </w:p>
    <w:p>
      <w:pPr>
        <w:pStyle w:val="Style49"/>
        <w:keepNext/>
        <w:keepLines/>
        <w:widowControl w:val="0"/>
        <w:shd w:val="clear" w:color="auto" w:fill="auto"/>
        <w:bidi w:val="0"/>
        <w:spacing w:before="0" w:after="3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857"/>
      <w:bookmarkEnd w:id="858"/>
      <w:bookmarkEnd w:id="860"/>
    </w:p>
    <w:p>
      <w:pPr>
        <w:pStyle w:val="Style69"/>
        <w:keepNext/>
        <w:keepLines/>
        <w:widowControl w:val="0"/>
        <w:shd w:val="clear" w:color="auto" w:fill="auto"/>
        <w:bidi w:val="0"/>
        <w:spacing w:before="0" w:after="24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61"/>
      <w:bookmarkEnd w:id="862"/>
      <w:bookmarkEnd w:id="864"/>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mc:AlternateContent>
          <mc:Choice Requires="wps">
            <w:drawing>
              <wp:anchor distT="50800" distB="2478405" distL="0" distR="0" simplePos="0" relativeHeight="125829650" behindDoc="0" locked="0" layoutInCell="1" allowOverlap="1">
                <wp:simplePos x="0" y="0"/>
                <wp:positionH relativeFrom="page">
                  <wp:posOffset>1397000</wp:posOffset>
                </wp:positionH>
                <wp:positionV relativeFrom="paragraph">
                  <wp:posOffset>50800</wp:posOffset>
                </wp:positionV>
                <wp:extent cx="1405255" cy="149225"/>
                <wp:wrapTopAndBottom/>
                <wp:docPr id="390" name="Shape 390"/>
                <a:graphic xmlns:a="http://schemas.openxmlformats.org/drawingml/2006/main">
                  <a:graphicData uri="http://schemas.microsoft.com/office/word/2010/wordprocessingShape">
                    <wps:wsp>
                      <wps:cNvSpPr txBox="1"/>
                      <wps:spPr>
                        <a:xfrm>
                          <a:ext cx="1405255"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会计政策变更的内容和原因</w:t>
                            </w:r>
                          </w:p>
                        </w:txbxContent>
                      </wps:txbx>
                      <wps:bodyPr wrap="none" lIns="0" tIns="0" rIns="0" bIns="0">
                        <a:noAutoFit/>
                      </wps:bodyPr>
                    </wps:wsp>
                  </a:graphicData>
                </a:graphic>
              </wp:anchor>
            </w:drawing>
          </mc:Choice>
          <mc:Fallback>
            <w:pict>
              <v:shape id="_x0000_s1416" type="#_x0000_t202" style="position:absolute;margin-left:110.pt;margin-top:4.pt;width:110.65000000000001pt;height:11.75pt;z-index:-125829103;mso-wrap-distance-left:0;mso-wrap-distance-top:4.pt;mso-wrap-distance-right:0;mso-wrap-distance-bottom:195.15000000000001pt;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会计政策变更的内容和原因</w:t>
                      </w:r>
                    </w:p>
                  </w:txbxContent>
                </v:textbox>
                <w10:wrap type="topAndBottom" anchorx="page"/>
              </v:shape>
            </w:pict>
          </mc:Fallback>
        </mc:AlternateContent>
      </w:r>
      <w:r>
        <mc:AlternateContent>
          <mc:Choice Requires="wps">
            <w:drawing>
              <wp:anchor distT="50800" distB="2478405" distL="0" distR="0" simplePos="0" relativeHeight="125829652" behindDoc="0" locked="0" layoutInCell="1" allowOverlap="1">
                <wp:simplePos x="0" y="0"/>
                <wp:positionH relativeFrom="page">
                  <wp:posOffset>3802380</wp:posOffset>
                </wp:positionH>
                <wp:positionV relativeFrom="paragraph">
                  <wp:posOffset>50800</wp:posOffset>
                </wp:positionV>
                <wp:extent cx="481330" cy="149225"/>
                <wp:wrapTopAndBottom/>
                <wp:docPr id="392" name="Shape 39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审批程序</w:t>
                            </w:r>
                          </w:p>
                        </w:txbxContent>
                      </wps:txbx>
                      <wps:bodyPr wrap="none" lIns="0" tIns="0" rIns="0" bIns="0">
                        <a:noAutoFit/>
                      </wps:bodyPr>
                    </wps:wsp>
                  </a:graphicData>
                </a:graphic>
              </wp:anchor>
            </w:drawing>
          </mc:Choice>
          <mc:Fallback>
            <w:pict>
              <v:shape id="_x0000_s1418" type="#_x0000_t202" style="position:absolute;margin-left:299.40000000000003pt;margin-top:4.pt;width:37.899999999999999pt;height:11.75pt;z-index:-125829101;mso-wrap-distance-left:0;mso-wrap-distance-top:4.pt;mso-wrap-distance-right:0;mso-wrap-distance-bottom:195.15000000000001pt;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审批程序</w:t>
                      </w:r>
                    </w:p>
                  </w:txbxContent>
                </v:textbox>
                <w10:wrap type="topAndBottom" anchorx="page"/>
              </v:shape>
            </w:pict>
          </mc:Fallback>
        </mc:AlternateContent>
      </w:r>
      <w:r>
        <mc:AlternateContent>
          <mc:Choice Requires="wps">
            <w:drawing>
              <wp:anchor distT="50800" distB="2478405" distL="0" distR="0" simplePos="0" relativeHeight="125829654" behindDoc="0" locked="0" layoutInCell="1" allowOverlap="1">
                <wp:simplePos x="0" y="0"/>
                <wp:positionH relativeFrom="page">
                  <wp:posOffset>5575935</wp:posOffset>
                </wp:positionH>
                <wp:positionV relativeFrom="paragraph">
                  <wp:posOffset>50800</wp:posOffset>
                </wp:positionV>
                <wp:extent cx="259080" cy="149225"/>
                <wp:wrapTopAndBottom/>
                <wp:docPr id="394" name="Shape 394"/>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备注</w:t>
                            </w:r>
                          </w:p>
                        </w:txbxContent>
                      </wps:txbx>
                      <wps:bodyPr wrap="none" lIns="0" tIns="0" rIns="0" bIns="0">
                        <a:noAutoFit/>
                      </wps:bodyPr>
                    </wps:wsp>
                  </a:graphicData>
                </a:graphic>
              </wp:anchor>
            </w:drawing>
          </mc:Choice>
          <mc:Fallback>
            <w:pict>
              <v:shape id="_x0000_s1420" type="#_x0000_t202" style="position:absolute;margin-left:439.05000000000001pt;margin-top:4.pt;width:20.400000000000002pt;height:11.75pt;z-index:-125829099;mso-wrap-distance-left:0;mso-wrap-distance-top:4.pt;mso-wrap-distance-right:0;mso-wrap-distance-bottom:195.15000000000001pt;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备注</w:t>
                      </w:r>
                    </w:p>
                  </w:txbxContent>
                </v:textbox>
                <w10:wrap type="topAndBottom" anchorx="page"/>
              </v:shape>
            </w:pict>
          </mc:Fallback>
        </mc:AlternateContent>
      </w:r>
      <w:r>
        <mc:AlternateContent>
          <mc:Choice Requires="wps">
            <w:drawing>
              <wp:anchor distT="267335" distB="1807845" distL="0" distR="0" simplePos="0" relativeHeight="125829656" behindDoc="0" locked="0" layoutInCell="1" allowOverlap="1">
                <wp:simplePos x="0" y="0"/>
                <wp:positionH relativeFrom="page">
                  <wp:posOffset>763270</wp:posOffset>
                </wp:positionH>
                <wp:positionV relativeFrom="paragraph">
                  <wp:posOffset>267335</wp:posOffset>
                </wp:positionV>
                <wp:extent cx="2734310" cy="603250"/>
                <wp:wrapTopAndBottom/>
                <wp:docPr id="396" name="Shape 396"/>
                <a:graphic xmlns:a="http://schemas.openxmlformats.org/drawingml/2006/main">
                  <a:graphicData uri="http://schemas.microsoft.com/office/word/2010/wordprocessingShape">
                    <wps:wsp>
                      <wps:cNvSpPr txBox="1"/>
                      <wps:spPr>
                        <a:xfrm>
                          <a:ext cx="2734310" cy="603250"/>
                        </a:xfrm>
                        <a:prstGeom prst="rect"/>
                        <a:noFill/>
                      </wps:spPr>
                      <wps:txbx>
                        <w:txbxContent>
                          <w:p>
                            <w:pPr>
                              <w:pStyle w:val="Style31"/>
                              <w:keepNext w:val="0"/>
                              <w:keepLines w:val="0"/>
                              <w:widowControl w:val="0"/>
                              <w:shd w:val="clear" w:color="auto" w:fill="auto"/>
                              <w:bidi w:val="0"/>
                              <w:spacing w:before="0" w:after="0" w:line="240" w:lineRule="exact"/>
                              <w:ind w:left="0" w:right="0" w:firstLine="0"/>
                              <w:jc w:val="left"/>
                            </w:pPr>
                            <w:r>
                              <w:rPr>
                                <w:color w:val="000000"/>
                                <w:spacing w:val="0"/>
                                <w:w w:val="100"/>
                                <w:position w:val="0"/>
                              </w:rPr>
                              <w:t>变更原因：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日，财政部发布了《关于 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号一一租赁</w:t>
                            </w:r>
                            <w:r>
                              <w:rPr>
                                <w:color w:val="000000"/>
                                <w:spacing w:val="0"/>
                                <w:w w:val="100"/>
                                <w:position w:val="0"/>
                                <w:sz w:val="18"/>
                                <w:szCs w:val="18"/>
                              </w:rPr>
                              <w:t>〉</w:t>
                            </w:r>
                            <w:r>
                              <w:rPr>
                                <w:color w:val="000000"/>
                                <w:spacing w:val="0"/>
                                <w:w w:val="100"/>
                                <w:position w:val="0"/>
                              </w:rPr>
                              <w:t>的通知》</w:t>
                            </w:r>
                          </w:p>
                          <w:p>
                            <w:pPr>
                              <w:pStyle w:val="Style31"/>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号）（以下简称“新租赁准则”）， 新租赁准则要求在境内外同时上市的企业以及在境外</w:t>
                            </w:r>
                          </w:p>
                        </w:txbxContent>
                      </wps:txbx>
                      <wps:bodyPr lIns="0" tIns="0" rIns="0" bIns="0">
                        <a:noAutoFit/>
                      </wps:bodyPr>
                    </wps:wsp>
                  </a:graphicData>
                </a:graphic>
              </wp:anchor>
            </w:drawing>
          </mc:Choice>
          <mc:Fallback>
            <w:pict>
              <v:shape id="_x0000_s1422" type="#_x0000_t202" style="position:absolute;margin-left:60.100000000000001pt;margin-top:21.050000000000001pt;width:215.30000000000001pt;height:47.5pt;z-index:-125829097;mso-wrap-distance-left:0;mso-wrap-distance-top:21.050000000000001pt;mso-wrap-distance-right:0;mso-wrap-distance-bottom:142.34999999999999pt;mso-position-horizontal-relative:page" filled="f" stroked="f">
                <v:textbox inset="0,0,0,0">
                  <w:txbxContent>
                    <w:p>
                      <w:pPr>
                        <w:pStyle w:val="Style31"/>
                        <w:keepNext w:val="0"/>
                        <w:keepLines w:val="0"/>
                        <w:widowControl w:val="0"/>
                        <w:shd w:val="clear" w:color="auto" w:fill="auto"/>
                        <w:bidi w:val="0"/>
                        <w:spacing w:before="0" w:after="0" w:line="240" w:lineRule="exact"/>
                        <w:ind w:left="0" w:right="0" w:firstLine="0"/>
                        <w:jc w:val="left"/>
                      </w:pPr>
                      <w:r>
                        <w:rPr>
                          <w:color w:val="000000"/>
                          <w:spacing w:val="0"/>
                          <w:w w:val="100"/>
                          <w:position w:val="0"/>
                        </w:rPr>
                        <w:t>变更原因：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日，财政部发布了《关于 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号一一租赁</w:t>
                      </w:r>
                      <w:r>
                        <w:rPr>
                          <w:color w:val="000000"/>
                          <w:spacing w:val="0"/>
                          <w:w w:val="100"/>
                          <w:position w:val="0"/>
                          <w:sz w:val="18"/>
                          <w:szCs w:val="18"/>
                        </w:rPr>
                        <w:t>〉</w:t>
                      </w:r>
                      <w:r>
                        <w:rPr>
                          <w:color w:val="000000"/>
                          <w:spacing w:val="0"/>
                          <w:w w:val="100"/>
                          <w:position w:val="0"/>
                        </w:rPr>
                        <w:t>的通知》</w:t>
                      </w:r>
                    </w:p>
                    <w:p>
                      <w:pPr>
                        <w:pStyle w:val="Style31"/>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号）（以下简称“新租赁准则”）， 新租赁准则要求在境内外同时上市的企业以及在境外</w:t>
                      </w:r>
                    </w:p>
                  </w:txbxContent>
                </v:textbox>
                <w10:wrap type="topAndBottom" anchorx="page"/>
              </v:shape>
            </w:pict>
          </mc:Fallback>
        </mc:AlternateContent>
      </w:r>
      <w:r>
        <mc:AlternateContent>
          <mc:Choice Requires="wps">
            <w:drawing>
              <wp:anchor distT="873760" distB="1203960" distL="0" distR="0" simplePos="0" relativeHeight="125829658" behindDoc="0" locked="0" layoutInCell="1" allowOverlap="1">
                <wp:simplePos x="0" y="0"/>
                <wp:positionH relativeFrom="page">
                  <wp:posOffset>763270</wp:posOffset>
                </wp:positionH>
                <wp:positionV relativeFrom="paragraph">
                  <wp:posOffset>873760</wp:posOffset>
                </wp:positionV>
                <wp:extent cx="2682240" cy="600710"/>
                <wp:wrapTopAndBottom/>
                <wp:docPr id="398" name="Shape 398"/>
                <a:graphic xmlns:a="http://schemas.openxmlformats.org/drawingml/2006/main">
                  <a:graphicData uri="http://schemas.microsoft.com/office/word/2010/wordprocessingShape">
                    <wps:wsp>
                      <wps:cNvSpPr txBox="1"/>
                      <wps:spPr>
                        <a:xfrm>
                          <a:ext cx="2682240" cy="600710"/>
                        </a:xfrm>
                        <a:prstGeom prst="rect"/>
                        <a:noFill/>
                      </wps:spPr>
                      <wps:txbx>
                        <w:txbxContent>
                          <w:p>
                            <w:pPr>
                              <w:pStyle w:val="Style31"/>
                              <w:keepNext w:val="0"/>
                              <w:keepLines w:val="0"/>
                              <w:widowControl w:val="0"/>
                              <w:shd w:val="clear" w:color="auto" w:fill="auto"/>
                              <w:bidi w:val="0"/>
                              <w:spacing w:before="0" w:after="0" w:line="232" w:lineRule="exact"/>
                              <w:ind w:left="0" w:right="0" w:firstLine="0"/>
                              <w:jc w:val="both"/>
                            </w:pPr>
                            <w:r>
                              <w:rPr>
                                <w:color w:val="000000"/>
                                <w:spacing w:val="0"/>
                                <w:w w:val="100"/>
                                <w:position w:val="0"/>
                              </w:rPr>
                              <w:t>上市并采用国际财务报告准则或企业会计准则编制财 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 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日起施行。按照 上述文件的要求，公司对会计政策予以相应变更。</w:t>
                            </w:r>
                          </w:p>
                        </w:txbxContent>
                      </wps:txbx>
                      <wps:bodyPr lIns="0" tIns="0" rIns="0" bIns="0">
                        <a:noAutoFit/>
                      </wps:bodyPr>
                    </wps:wsp>
                  </a:graphicData>
                </a:graphic>
              </wp:anchor>
            </w:drawing>
          </mc:Choice>
          <mc:Fallback>
            <w:pict>
              <v:shape id="_x0000_s1424" type="#_x0000_t202" style="position:absolute;margin-left:60.100000000000001pt;margin-top:68.799999999999997pt;width:211.20000000000002pt;height:47.300000000000004pt;z-index:-125829095;mso-wrap-distance-left:0;mso-wrap-distance-top:68.799999999999997pt;mso-wrap-distance-right:0;mso-wrap-distance-bottom:94.799999999999997pt;mso-position-horizontal-relative:page" filled="f" stroked="f">
                <v:textbox inset="0,0,0,0">
                  <w:txbxContent>
                    <w:p>
                      <w:pPr>
                        <w:pStyle w:val="Style31"/>
                        <w:keepNext w:val="0"/>
                        <w:keepLines w:val="0"/>
                        <w:widowControl w:val="0"/>
                        <w:shd w:val="clear" w:color="auto" w:fill="auto"/>
                        <w:bidi w:val="0"/>
                        <w:spacing w:before="0" w:after="0" w:line="232" w:lineRule="exact"/>
                        <w:ind w:left="0" w:right="0" w:firstLine="0"/>
                        <w:jc w:val="both"/>
                      </w:pPr>
                      <w:r>
                        <w:rPr>
                          <w:color w:val="000000"/>
                          <w:spacing w:val="0"/>
                          <w:w w:val="100"/>
                          <w:position w:val="0"/>
                        </w:rPr>
                        <w:t>上市并采用国际财务报告准则或企业会计准则编制财 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 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日起施行。按照 上述文件的要求，公司对会计政策予以相应变更。</w:t>
                      </w:r>
                    </w:p>
                  </w:txbxContent>
                </v:textbox>
                <w10:wrap type="topAndBottom" anchorx="page"/>
              </v:shape>
            </w:pict>
          </mc:Fallback>
        </mc:AlternateContent>
      </w:r>
      <w:r>
        <mc:AlternateContent>
          <mc:Choice Requires="wps">
            <w:drawing>
              <wp:anchor distT="876935" distB="1200785" distL="0" distR="0" simplePos="0" relativeHeight="125829660" behindDoc="0" locked="0" layoutInCell="1" allowOverlap="1">
                <wp:simplePos x="0" y="0"/>
                <wp:positionH relativeFrom="page">
                  <wp:posOffset>3549015</wp:posOffset>
                </wp:positionH>
                <wp:positionV relativeFrom="paragraph">
                  <wp:posOffset>876935</wp:posOffset>
                </wp:positionV>
                <wp:extent cx="975360" cy="600710"/>
                <wp:wrapTopAndBottom/>
                <wp:docPr id="400" name="Shape 400"/>
                <a:graphic xmlns:a="http://schemas.openxmlformats.org/drawingml/2006/main">
                  <a:graphicData uri="http://schemas.microsoft.com/office/word/2010/wordprocessingShape">
                    <wps:wsp>
                      <wps:cNvSpPr txBox="1"/>
                      <wps:spPr>
                        <a:xfrm>
                          <a:ext cx="975360" cy="600710"/>
                        </a:xfrm>
                        <a:prstGeom prst="rect"/>
                        <a:noFill/>
                      </wps:spPr>
                      <wps:txbx>
                        <w:txbxContent>
                          <w:p>
                            <w:pPr>
                              <w:pStyle w:val="Style31"/>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日召开的第三届 董事会第二十三次 会议和第三届监事</w:t>
                            </w:r>
                          </w:p>
                        </w:txbxContent>
                      </wps:txbx>
                      <wps:bodyPr lIns="0" tIns="0" rIns="0" bIns="0">
                        <a:noAutoFit/>
                      </wps:bodyPr>
                    </wps:wsp>
                  </a:graphicData>
                </a:graphic>
              </wp:anchor>
            </w:drawing>
          </mc:Choice>
          <mc:Fallback>
            <w:pict>
              <v:shape id="_x0000_s1426" type="#_x0000_t202" style="position:absolute;margin-left:279.44999999999999pt;margin-top:69.049999999999997pt;width:76.799999999999997pt;height:47.300000000000004pt;z-index:-125829093;mso-wrap-distance-left:0;mso-wrap-distance-top:69.049999999999997pt;mso-wrap-distance-right:0;mso-wrap-distance-bottom:94.549999999999997pt;mso-position-horizontal-relative:page" filled="f" stroked="f">
                <v:textbox inset="0,0,0,0">
                  <w:txbxContent>
                    <w:p>
                      <w:pPr>
                        <w:pStyle w:val="Style31"/>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日召开的第三届 董事会第二十三次 会议和第三届监事</w:t>
                      </w:r>
                    </w:p>
                  </w:txbxContent>
                </v:textbox>
                <w10:wrap type="topAndBottom" anchorx="page"/>
              </v:shape>
            </w:pict>
          </mc:Fallback>
        </mc:AlternateContent>
      </w:r>
      <w:r>
        <mc:AlternateContent>
          <mc:Choice Requires="wps">
            <w:drawing>
              <wp:anchor distT="1483360" distB="594360" distL="0" distR="0" simplePos="0" relativeHeight="125829662" behindDoc="0" locked="0" layoutInCell="1" allowOverlap="1">
                <wp:simplePos x="0" y="0"/>
                <wp:positionH relativeFrom="page">
                  <wp:posOffset>763270</wp:posOffset>
                </wp:positionH>
                <wp:positionV relativeFrom="paragraph">
                  <wp:posOffset>1483360</wp:posOffset>
                </wp:positionV>
                <wp:extent cx="2682240" cy="600710"/>
                <wp:wrapTopAndBottom/>
                <wp:docPr id="402" name="Shape 402"/>
                <a:graphic xmlns:a="http://schemas.openxmlformats.org/drawingml/2006/main">
                  <a:graphicData uri="http://schemas.microsoft.com/office/word/2010/wordprocessingShape">
                    <wps:wsp>
                      <wps:cNvSpPr txBox="1"/>
                      <wps:spPr>
                        <a:xfrm>
                          <a:ext cx="2682240" cy="600710"/>
                        </a:xfrm>
                        <a:prstGeom prst="rect"/>
                        <a:noFill/>
                      </wps:spPr>
                      <wps:txbx>
                        <w:txbxContent>
                          <w:p>
                            <w:pPr>
                              <w:pStyle w:val="Style31"/>
                              <w:keepNext w:val="0"/>
                              <w:keepLines w:val="0"/>
                              <w:widowControl w:val="0"/>
                              <w:shd w:val="clear" w:color="auto" w:fill="auto"/>
                              <w:bidi w:val="0"/>
                              <w:spacing w:before="0" w:after="0" w:line="234" w:lineRule="exact"/>
                              <w:ind w:left="0" w:right="0" w:firstLine="0"/>
                              <w:jc w:val="both"/>
                            </w:pPr>
                            <w:r>
                              <w:rPr>
                                <w:color w:val="000000"/>
                                <w:spacing w:val="0"/>
                                <w:w w:val="100"/>
                                <w:position w:val="0"/>
                              </w:rPr>
                              <w:t>变更的内容：新租赁准则完善了租赁的定义，增加了 租赁识别、分拆、合并等内容；取消了承租人关于融 资租赁与经营租赁的分类，要求在租赁开始日对所有 租赁（短期租赁和低价值资产租赁除外）确认使用权</w:t>
                            </w:r>
                          </w:p>
                        </w:txbxContent>
                      </wps:txbx>
                      <wps:bodyPr lIns="0" tIns="0" rIns="0" bIns="0">
                        <a:noAutoFit/>
                      </wps:bodyPr>
                    </wps:wsp>
                  </a:graphicData>
                </a:graphic>
              </wp:anchor>
            </w:drawing>
          </mc:Choice>
          <mc:Fallback>
            <w:pict>
              <v:shape id="_x0000_s1428" type="#_x0000_t202" style="position:absolute;margin-left:60.100000000000001pt;margin-top:116.8pt;width:211.20000000000002pt;height:47.300000000000004pt;z-index:-125829091;mso-wrap-distance-left:0;mso-wrap-distance-top:116.8pt;mso-wrap-distance-right:0;mso-wrap-distance-bottom:46.800000000000004pt;mso-position-horizontal-relative:page" filled="f" stroked="f">
                <v:textbox inset="0,0,0,0">
                  <w:txbxContent>
                    <w:p>
                      <w:pPr>
                        <w:pStyle w:val="Style31"/>
                        <w:keepNext w:val="0"/>
                        <w:keepLines w:val="0"/>
                        <w:widowControl w:val="0"/>
                        <w:shd w:val="clear" w:color="auto" w:fill="auto"/>
                        <w:bidi w:val="0"/>
                        <w:spacing w:before="0" w:after="0" w:line="234" w:lineRule="exact"/>
                        <w:ind w:left="0" w:right="0" w:firstLine="0"/>
                        <w:jc w:val="both"/>
                      </w:pPr>
                      <w:r>
                        <w:rPr>
                          <w:color w:val="000000"/>
                          <w:spacing w:val="0"/>
                          <w:w w:val="100"/>
                          <w:position w:val="0"/>
                        </w:rPr>
                        <w:t>变更的内容：新租赁准则完善了租赁的定义，增加了 租赁识别、分拆、合并等内容；取消了承租人关于融 资租赁与经营租赁的分类，要求在租赁开始日对所有 租赁（短期租赁和低价值资产租赁除外）确认使用权</w:t>
                      </w:r>
                    </w:p>
                  </w:txbxContent>
                </v:textbox>
                <w10:wrap type="topAndBottom" anchorx="page"/>
              </v:shape>
            </w:pict>
          </mc:Fallback>
        </mc:AlternateContent>
      </w:r>
      <w:r>
        <mc:AlternateContent>
          <mc:Choice Requires="wps">
            <w:drawing>
              <wp:anchor distT="1480185" distB="594995" distL="0" distR="0" simplePos="0" relativeHeight="125829664" behindDoc="0" locked="0" layoutInCell="1" allowOverlap="1">
                <wp:simplePos x="0" y="0"/>
                <wp:positionH relativeFrom="page">
                  <wp:posOffset>3552190</wp:posOffset>
                </wp:positionH>
                <wp:positionV relativeFrom="paragraph">
                  <wp:posOffset>1480185</wp:posOffset>
                </wp:positionV>
                <wp:extent cx="972185" cy="603250"/>
                <wp:wrapTopAndBottom/>
                <wp:docPr id="404" name="Shape 404"/>
                <a:graphic xmlns:a="http://schemas.openxmlformats.org/drawingml/2006/main">
                  <a:graphicData uri="http://schemas.microsoft.com/office/word/2010/wordprocessingShape">
                    <wps:wsp>
                      <wps:cNvSpPr txBox="1"/>
                      <wps:spPr>
                        <a:xfrm>
                          <a:ext cx="972185" cy="603250"/>
                        </a:xfrm>
                        <a:prstGeom prst="rect"/>
                        <a:noFill/>
                      </wps:spPr>
                      <wps:txbx>
                        <w:txbxContent>
                          <w:p>
                            <w:pPr>
                              <w:pStyle w:val="Style31"/>
                              <w:keepNext w:val="0"/>
                              <w:keepLines w:val="0"/>
                              <w:widowControl w:val="0"/>
                              <w:shd w:val="clear" w:color="auto" w:fill="auto"/>
                              <w:bidi w:val="0"/>
                              <w:spacing w:before="0" w:after="0" w:line="237" w:lineRule="exact"/>
                              <w:ind w:left="0" w:right="0" w:firstLine="0"/>
                              <w:jc w:val="both"/>
                            </w:pPr>
                            <w:r>
                              <w:rPr>
                                <w:color w:val="000000"/>
                                <w:spacing w:val="0"/>
                                <w:w w:val="100"/>
                                <w:position w:val="0"/>
                              </w:rPr>
                              <w:t>会第二十二次会议 审议通过了《关于 会计政策变更的议 案》</w:t>
                            </w:r>
                          </w:p>
                        </w:txbxContent>
                      </wps:txbx>
                      <wps:bodyPr lIns="0" tIns="0" rIns="0" bIns="0">
                        <a:noAutoFit/>
                      </wps:bodyPr>
                    </wps:wsp>
                  </a:graphicData>
                </a:graphic>
              </wp:anchor>
            </w:drawing>
          </mc:Choice>
          <mc:Fallback>
            <w:pict>
              <v:shape id="_x0000_s1430" type="#_x0000_t202" style="position:absolute;margin-left:279.69999999999999pt;margin-top:116.55pt;width:76.549999999999997pt;height:47.5pt;z-index:-125829089;mso-wrap-distance-left:0;mso-wrap-distance-top:116.55pt;mso-wrap-distance-right:0;mso-wrap-distance-bottom:46.850000000000001pt;mso-position-horizontal-relative:page" filled="f" stroked="f">
                <v:textbox inset="0,0,0,0">
                  <w:txbxContent>
                    <w:p>
                      <w:pPr>
                        <w:pStyle w:val="Style31"/>
                        <w:keepNext w:val="0"/>
                        <w:keepLines w:val="0"/>
                        <w:widowControl w:val="0"/>
                        <w:shd w:val="clear" w:color="auto" w:fill="auto"/>
                        <w:bidi w:val="0"/>
                        <w:spacing w:before="0" w:after="0" w:line="237" w:lineRule="exact"/>
                        <w:ind w:left="0" w:right="0" w:firstLine="0"/>
                        <w:jc w:val="both"/>
                      </w:pPr>
                      <w:r>
                        <w:rPr>
                          <w:color w:val="000000"/>
                          <w:spacing w:val="0"/>
                          <w:w w:val="100"/>
                          <w:position w:val="0"/>
                        </w:rPr>
                        <w:t>会第二十二次会议 审议通过了《关于 会计政策变更的议 案》</w:t>
                      </w:r>
                    </w:p>
                  </w:txbxContent>
                </v:textbox>
                <w10:wrap type="topAndBottom" anchorx="page"/>
              </v:shape>
            </w:pict>
          </mc:Fallback>
        </mc:AlternateContent>
      </w:r>
      <w:r>
        <mc:AlternateContent>
          <mc:Choice Requires="wps">
            <w:drawing>
              <wp:anchor distT="2086610" distB="445770" distL="0" distR="0" simplePos="0" relativeHeight="125829666" behindDoc="0" locked="0" layoutInCell="1" allowOverlap="1">
                <wp:simplePos x="0" y="0"/>
                <wp:positionH relativeFrom="page">
                  <wp:posOffset>766445</wp:posOffset>
                </wp:positionH>
                <wp:positionV relativeFrom="paragraph">
                  <wp:posOffset>2086610</wp:posOffset>
                </wp:positionV>
                <wp:extent cx="2675890" cy="146050"/>
                <wp:wrapTopAndBottom/>
                <wp:docPr id="406" name="Shape 406"/>
                <a:graphic xmlns:a="http://schemas.openxmlformats.org/drawingml/2006/main">
                  <a:graphicData uri="http://schemas.microsoft.com/office/word/2010/wordprocessingShape">
                    <wps:wsp>
                      <wps:cNvSpPr txBox="1"/>
                      <wps:spPr>
                        <a:xfrm>
                          <a:ext cx="26758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资产和租赁负债，并分别计提折旧和利息费用；改进</w:t>
                            </w:r>
                          </w:p>
                        </w:txbxContent>
                      </wps:txbx>
                      <wps:bodyPr wrap="none" lIns="0" tIns="0" rIns="0" bIns="0">
                        <a:noAutoFit/>
                      </wps:bodyPr>
                    </wps:wsp>
                  </a:graphicData>
                </a:graphic>
              </wp:anchor>
            </w:drawing>
          </mc:Choice>
          <mc:Fallback>
            <w:pict>
              <v:shape id="_x0000_s1432" type="#_x0000_t202" style="position:absolute;margin-left:60.350000000000001pt;margin-top:164.30000000000001pt;width:210.70000000000002pt;height:11.5pt;z-index:-125829087;mso-wrap-distance-left:0;mso-wrap-distance-top:164.30000000000001pt;mso-wrap-distance-right:0;mso-wrap-distance-bottom:35.10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资产和租赁负债，并分别计提折旧和利息费用；改进</w:t>
                      </w:r>
                    </w:p>
                  </w:txbxContent>
                </v:textbox>
                <w10:wrap type="topAndBottom" anchorx="page"/>
              </v:shape>
            </w:pict>
          </mc:Fallback>
        </mc:AlternateContent>
      </w:r>
      <w:r>
        <mc:AlternateContent>
          <mc:Choice Requires="wps">
            <w:drawing>
              <wp:anchor distT="2236470" distB="298450" distL="0" distR="0" simplePos="0" relativeHeight="125829668" behindDoc="0" locked="0" layoutInCell="1" allowOverlap="1">
                <wp:simplePos x="0" y="0"/>
                <wp:positionH relativeFrom="page">
                  <wp:posOffset>772160</wp:posOffset>
                </wp:positionH>
                <wp:positionV relativeFrom="paragraph">
                  <wp:posOffset>2236470</wp:posOffset>
                </wp:positionV>
                <wp:extent cx="2670175" cy="143510"/>
                <wp:wrapTopAndBottom/>
                <wp:docPr id="408" name="Shape 408"/>
                <a:graphic xmlns:a="http://schemas.openxmlformats.org/drawingml/2006/main">
                  <a:graphicData uri="http://schemas.microsoft.com/office/word/2010/wordprocessingShape">
                    <wps:wsp>
                      <wps:cNvSpPr txBox="1"/>
                      <wps:spPr>
                        <a:xfrm>
                          <a:ext cx="2670175"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了承租人对租赁的后续计量，增加了选择权重估和租</w:t>
                            </w:r>
                          </w:p>
                        </w:txbxContent>
                      </wps:txbx>
                      <wps:bodyPr wrap="none" lIns="0" tIns="0" rIns="0" bIns="0">
                        <a:noAutoFit/>
                      </wps:bodyPr>
                    </wps:wsp>
                  </a:graphicData>
                </a:graphic>
              </wp:anchor>
            </w:drawing>
          </mc:Choice>
          <mc:Fallback>
            <w:pict>
              <v:shape id="_x0000_s1434" type="#_x0000_t202" style="position:absolute;margin-left:60.800000000000004pt;margin-top:176.09999999999999pt;width:210.25pt;height:11.300000000000001pt;z-index:-125829085;mso-wrap-distance-left:0;mso-wrap-distance-top:176.09999999999999pt;mso-wrap-distance-right:0;mso-wrap-distance-bottom:23.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了承租人对租赁的后续计量，增加了选择权重估和租</w:t>
                      </w:r>
                    </w:p>
                  </w:txbxContent>
                </v:textbox>
                <w10:wrap type="topAndBottom" anchorx="page"/>
              </v:shape>
            </w:pict>
          </mc:Fallback>
        </mc:AlternateContent>
      </w:r>
      <w:r>
        <mc:AlternateContent>
          <mc:Choice Requires="wps">
            <w:drawing>
              <wp:anchor distT="2385695" distB="149225" distL="0" distR="0" simplePos="0" relativeHeight="125829670" behindDoc="0" locked="0" layoutInCell="1" allowOverlap="1">
                <wp:simplePos x="0" y="0"/>
                <wp:positionH relativeFrom="page">
                  <wp:posOffset>763270</wp:posOffset>
                </wp:positionH>
                <wp:positionV relativeFrom="paragraph">
                  <wp:posOffset>2385695</wp:posOffset>
                </wp:positionV>
                <wp:extent cx="2679065" cy="143510"/>
                <wp:wrapTopAndBottom/>
                <wp:docPr id="410" name="Shape 410"/>
                <a:graphic xmlns:a="http://schemas.openxmlformats.org/drawingml/2006/main">
                  <a:graphicData uri="http://schemas.microsoft.com/office/word/2010/wordprocessingShape">
                    <wps:wsp>
                      <wps:cNvSpPr txBox="1"/>
                      <wps:spPr>
                        <a:xfrm>
                          <a:ext cx="2679065"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赁变更情形下的会计处理，并增加了相关披露要求。</w:t>
                            </w:r>
                          </w:p>
                        </w:txbxContent>
                      </wps:txbx>
                      <wps:bodyPr wrap="none" lIns="0" tIns="0" rIns="0" bIns="0">
                        <a:noAutoFit/>
                      </wps:bodyPr>
                    </wps:wsp>
                  </a:graphicData>
                </a:graphic>
              </wp:anchor>
            </w:drawing>
          </mc:Choice>
          <mc:Fallback>
            <w:pict>
              <v:shape id="_x0000_s1436" type="#_x0000_t202" style="position:absolute;margin-left:60.100000000000001pt;margin-top:187.84999999999999pt;width:210.95000000000002pt;height:11.300000000000001pt;z-index:-125829083;mso-wrap-distance-left:0;mso-wrap-distance-top:187.84999999999999pt;mso-wrap-distance-right:0;mso-wrap-distance-bottom:11.7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赁变更情形下的会计处理，并增加了相关披露要求。</w:t>
                      </w:r>
                    </w:p>
                  </w:txbxContent>
                </v:textbox>
                <w10:wrap type="topAndBottom" anchorx="page"/>
              </v:shape>
            </w:pict>
          </mc:Fallback>
        </mc:AlternateContent>
      </w:r>
      <w:r>
        <mc:AlternateContent>
          <mc:Choice Requires="wps">
            <w:drawing>
              <wp:anchor distT="2531745" distB="635" distL="0" distR="0" simplePos="0" relativeHeight="125829672" behindDoc="0" locked="0" layoutInCell="1" allowOverlap="1">
                <wp:simplePos x="0" y="0"/>
                <wp:positionH relativeFrom="page">
                  <wp:posOffset>763270</wp:posOffset>
                </wp:positionH>
                <wp:positionV relativeFrom="paragraph">
                  <wp:posOffset>2531745</wp:posOffset>
                </wp:positionV>
                <wp:extent cx="1852930" cy="146050"/>
                <wp:wrapTopAndBottom/>
                <wp:docPr id="412" name="Shape 412"/>
                <a:graphic xmlns:a="http://schemas.openxmlformats.org/drawingml/2006/main">
                  <a:graphicData uri="http://schemas.microsoft.com/office/word/2010/wordprocessingShape">
                    <wps:wsp>
                      <wps:cNvSpPr txBox="1"/>
                      <wps:spPr>
                        <a:xfrm>
                          <a:ext cx="1852930" cy="146050"/>
                        </a:xfrm>
                        <a:prstGeom prst="rect"/>
                        <a:noFill/>
                      </wps:spPr>
                      <wps:txbx>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此外，也丰富了出租人的披露内容。</w:t>
                            </w:r>
                          </w:p>
                        </w:txbxContent>
                      </wps:txbx>
                      <wps:bodyPr wrap="none" lIns="0" tIns="0" rIns="0" bIns="0">
                        <a:noAutoFit/>
                      </wps:bodyPr>
                    </wps:wsp>
                  </a:graphicData>
                </a:graphic>
              </wp:anchor>
            </w:drawing>
          </mc:Choice>
          <mc:Fallback>
            <w:pict>
              <v:shape id="_x0000_s1438" type="#_x0000_t202" style="position:absolute;margin-left:60.100000000000001pt;margin-top:199.34999999999999pt;width:145.90000000000001pt;height:11.5pt;z-index:-125829081;mso-wrap-distance-left:0;mso-wrap-distance-top:199.34999999999999pt;mso-wrap-distance-right:0;mso-wrap-distance-bottom:5.0000000000000003e-002pt;mso-position-horizontal-relative:page" filled="f" stroked="f">
                <v:textbox inset="0,0,0,0">
                  <w:txbxContent>
                    <w:p>
                      <w:pPr>
                        <w:pStyle w:val="Style31"/>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此外，也丰富了出租人的披露内容。</w:t>
                      </w:r>
                    </w:p>
                  </w:txbxContent>
                </v:textbox>
                <w10:wrap type="topAndBottom" anchorx="page"/>
              </v:shape>
            </w:pict>
          </mc:Fallback>
        </mc:AlternateContent>
      </w:r>
      <w:r>
        <mc:AlternateContent>
          <mc:Choice Requires="wps">
            <w:drawing>
              <wp:anchor distT="367665" distB="79375" distL="0" distR="0" simplePos="0" relativeHeight="125829674" behindDoc="0" locked="0" layoutInCell="1" allowOverlap="1">
                <wp:simplePos x="0" y="0"/>
                <wp:positionH relativeFrom="page">
                  <wp:posOffset>4631055</wp:posOffset>
                </wp:positionH>
                <wp:positionV relativeFrom="paragraph">
                  <wp:posOffset>367665</wp:posOffset>
                </wp:positionV>
                <wp:extent cx="2145665" cy="2231390"/>
                <wp:wrapTopAndBottom/>
                <wp:docPr id="414" name="Shape 414"/>
                <a:graphic xmlns:a="http://schemas.openxmlformats.org/drawingml/2006/main">
                  <a:graphicData uri="http://schemas.microsoft.com/office/word/2010/wordprocessingShape">
                    <wps:wsp>
                      <wps:cNvSpPr txBox="1"/>
                      <wps:spPr>
                        <a:xfrm>
                          <a:ext cx="2145665" cy="2231390"/>
                        </a:xfrm>
                        <a:prstGeom prst="rect"/>
                        <a:noFill/>
                      </wps:spPr>
                      <wps:txbx>
                        <w:txbxContent>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新收入准则引入了收入确认和计量的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步 法，并针对特定交易（或事项）增加了更 多的指引。本集团详细的收入确认和计量 的会计政策参见附注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。新收入准则 要求首次执行该准则的累积影响数调整首 次执行当年年初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留存 收益及财务报表其他相关项目金额，对可 比期间信息不予调整。对于首次执行新收 入准则当年年初之前发生的合同变更，本 集团予以简化处理，根据合同变更的最终 安排，识别已履行的和尚未履行的履约义 务、确定交易价格以及在已履行的和尚未 履行的履约义务之间分摊交易价格。于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日本集团采用新收入准则的 影响详见附注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w:t>
                            </w:r>
                          </w:p>
                        </w:txbxContent>
                      </wps:txbx>
                      <wps:bodyPr lIns="0" tIns="0" rIns="0" bIns="0">
                        <a:noAutoFit/>
                      </wps:bodyPr>
                    </wps:wsp>
                  </a:graphicData>
                </a:graphic>
              </wp:anchor>
            </w:drawing>
          </mc:Choice>
          <mc:Fallback>
            <w:pict>
              <v:shape id="_x0000_s1440" type="#_x0000_t202" style="position:absolute;margin-left:364.65000000000003pt;margin-top:28.949999999999999pt;width:168.95000000000002pt;height:175.70000000000002pt;z-index:-125829079;mso-wrap-distance-left:0;mso-wrap-distance-top:28.949999999999999pt;mso-wrap-distance-right:0;mso-wrap-distance-bottom:6.25pt;mso-position-horizontal-relative:page" filled="f" stroked="f">
                <v:textbox inset="0,0,0,0">
                  <w:txbxContent>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新收入准则引入了收入确认和计量的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步 法，并针对特定交易（或事项）增加了更 多的指引。本集团详细的收入确认和计量 的会计政策参见附注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。新收入准则 要求首次执行该准则的累积影响数调整首 次执行当年年初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留存 收益及财务报表其他相关项目金额，对可 比期间信息不予调整。对于首次执行新收 入准则当年年初之前发生的合同变更，本 集团予以简化处理，根据合同变更的最终 安排，识别已履行的和尚未履行的履约义 务、确定交易价格以及在已履行的和尚未 履行的履约义务之间分摊交易价格。于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日本集团采用新收入准则的 影响详见附注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w:t>
                      </w:r>
                    </w:p>
                  </w:txbxContent>
                </v:textbox>
                <w10:wrap type="topAndBottom" anchorx="page"/>
              </v:shape>
            </w:pict>
          </mc:Fallback>
        </mc:AlternateContent>
      </w:r>
    </w:p>
    <w:p>
      <w:pPr>
        <w:pStyle w:val="Style31"/>
        <w:keepNext w:val="0"/>
        <w:keepLines w:val="0"/>
        <w:widowControl w:val="0"/>
        <w:shd w:val="clear" w:color="auto" w:fill="auto"/>
        <w:bidi w:val="0"/>
        <w:spacing w:before="0" w:after="180" w:line="240" w:lineRule="auto"/>
        <w:ind w:left="0" w:right="0" w:firstLine="480"/>
        <w:jc w:val="left"/>
      </w:pPr>
      <w:r>
        <w:rPr>
          <w:rFonts w:ascii="Times New Roman" w:eastAsia="Times New Roman" w:hAnsi="Times New Roman" w:cs="Times New Roman"/>
          <w:color w:val="000000"/>
          <w:spacing w:val="0"/>
          <w:w w:val="100"/>
          <w:position w:val="0"/>
          <w:sz w:val="18"/>
          <w:szCs w:val="18"/>
          <w:u w:val="single"/>
        </w:rPr>
        <w:t>27.1</w:t>
      </w:r>
      <w:r>
        <w:rPr>
          <w:color w:val="000000"/>
          <w:spacing w:val="0"/>
          <w:w w:val="100"/>
          <w:position w:val="0"/>
          <w:u w:val="single"/>
        </w:rPr>
        <w:t>新收入准则</w:t>
      </w:r>
    </w:p>
    <w:p>
      <w:pPr>
        <w:pStyle w:val="Style31"/>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与原收入准则相比，执行新收入准则对当期财务报表相关项目的影响列示如下:</w:t>
      </w:r>
    </w:p>
    <w:p>
      <w:pPr>
        <w:pStyle w:val="Style31"/>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合并集团资产负债表</w:t>
      </w:r>
    </w:p>
    <w:p>
      <w:pPr>
        <w:pStyle w:val="Style45"/>
        <w:keepNext w:val="0"/>
        <w:keepLines w:val="0"/>
        <w:widowControl w:val="0"/>
        <w:shd w:val="clear" w:color="auto" w:fill="auto"/>
        <w:bidi w:val="0"/>
        <w:spacing w:before="0" w:after="0" w:line="240" w:lineRule="auto"/>
        <w:ind w:left="461" w:right="0" w:firstLine="0"/>
        <w:jc w:val="left"/>
      </w:pPr>
      <w:r>
        <w:rPr>
          <w:color w:val="000000"/>
          <w:spacing w:val="0"/>
          <w:w w:val="100"/>
          <w:position w:val="0"/>
        </w:rPr>
        <w:t>人民币元</w:t>
      </w:r>
    </w:p>
    <w:tbl>
      <w:tblPr>
        <w:tblOverlap w:val="never"/>
        <w:jc w:val="center"/>
        <w:tblLayout w:type="fixed"/>
      </w:tblPr>
      <w:tblGrid>
        <w:gridCol w:w="2246"/>
        <w:gridCol w:w="2726"/>
        <w:gridCol w:w="2496"/>
        <w:gridCol w:w="2189"/>
      </w:tblGrid>
      <w:tr>
        <w:trPr>
          <w:trHeight w:val="62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2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60" w:line="240" w:lineRule="auto"/>
              <w:ind w:left="0" w:right="0" w:firstLine="0"/>
              <w:jc w:val="center"/>
            </w:pPr>
            <w:r>
              <w:rPr>
                <w:b/>
                <w:bCs/>
                <w:color w:val="FFFFFF"/>
                <w:spacing w:val="0"/>
                <w:w w:val="100"/>
                <w:position w:val="0"/>
              </w:rPr>
              <w:t>原收入准则下</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施行新收入准则影响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60" w:line="240" w:lineRule="auto"/>
              <w:ind w:left="0" w:right="0" w:firstLine="420"/>
              <w:jc w:val="left"/>
            </w:pPr>
            <w:r>
              <w:rPr>
                <w:b/>
                <w:bCs/>
                <w:color w:val="FFFFFF"/>
                <w:spacing w:val="0"/>
                <w:w w:val="100"/>
                <w:position w:val="0"/>
              </w:rPr>
              <w:t>新收入准则下</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预收款项</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16,058,375.74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1D1D1B"/>
                <w:spacing w:val="0"/>
                <w:w w:val="100"/>
                <w:position w:val="0"/>
                <w:sz w:val="18"/>
                <w:szCs w:val="18"/>
              </w:rPr>
              <w:t>-16,058,375.74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其他流动负债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1,809,471.57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-583,179.76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1,226,291.81</w:t>
            </w:r>
          </w:p>
        </w:tc>
      </w:tr>
      <w:tr>
        <w:trPr>
          <w:trHeight w:val="38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合同负债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1D1D1B"/>
                <w:spacing w:val="0"/>
                <w:w w:val="100"/>
                <w:position w:val="0"/>
                <w:sz w:val="18"/>
                <w:szCs w:val="18"/>
              </w:rPr>
              <w:t>16,641,555.50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1D1D1B"/>
                <w:spacing w:val="0"/>
                <w:w w:val="100"/>
                <w:position w:val="0"/>
                <w:sz w:val="18"/>
                <w:szCs w:val="18"/>
              </w:rPr>
              <w:t>16,641,555.50</w:t>
            </w:r>
          </w:p>
        </w:tc>
      </w:tr>
    </w:tbl>
    <w:p>
      <w:pPr>
        <w:pStyle w:val="Style45"/>
        <w:keepNext w:val="0"/>
        <w:keepLines w:val="0"/>
        <w:widowControl w:val="0"/>
        <w:shd w:val="clear" w:color="auto" w:fill="auto"/>
        <w:bidi w:val="0"/>
        <w:spacing w:before="0" w:after="0" w:line="350" w:lineRule="exact"/>
        <w:ind w:left="101" w:right="0" w:firstLine="0"/>
        <w:jc w:val="left"/>
      </w:pPr>
      <w:r>
        <w:rPr>
          <w:color w:val="000000"/>
          <w:spacing w:val="0"/>
          <w:w w:val="100"/>
          <w:position w:val="0"/>
        </w:rPr>
        <w:t>注：本集团根据合同从客户预收的货款根据新收入准则由预收款项重分类至合同负债和其他流动负债，同时将在其他流 动负债核算的递延收益重分类至合同负债。</w:t>
      </w:r>
    </w:p>
    <w:p>
      <w:pPr>
        <w:widowControl w:val="0"/>
        <w:spacing w:after="59" w:line="1" w:lineRule="exact"/>
      </w:pPr>
    </w:p>
    <w:p>
      <w:pPr>
        <w:pStyle w:val="Style31"/>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人民币元</w:t>
      </w:r>
    </w:p>
    <w:tbl>
      <w:tblPr>
        <w:tblOverlap w:val="never"/>
        <w:jc w:val="center"/>
        <w:tblLayout w:type="fixed"/>
      </w:tblPr>
      <w:tblGrid>
        <w:gridCol w:w="2246"/>
        <w:gridCol w:w="2726"/>
        <w:gridCol w:w="2496"/>
        <w:gridCol w:w="2189"/>
      </w:tblGrid>
      <w:tr>
        <w:trPr>
          <w:trHeight w:val="62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2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60" w:line="240" w:lineRule="auto"/>
              <w:ind w:left="0" w:right="0" w:firstLine="0"/>
              <w:jc w:val="center"/>
            </w:pPr>
            <w:r>
              <w:rPr>
                <w:b/>
                <w:bCs/>
                <w:color w:val="FFFFFF"/>
                <w:spacing w:val="0"/>
                <w:w w:val="100"/>
                <w:position w:val="0"/>
              </w:rPr>
              <w:t>原收入准则下</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施行新收入准则影响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60" w:line="240" w:lineRule="auto"/>
              <w:ind w:left="0" w:right="0" w:firstLine="420"/>
              <w:jc w:val="left"/>
            </w:pPr>
            <w:r>
              <w:rPr>
                <w:b/>
                <w:bCs/>
                <w:color w:val="FFFFFF"/>
                <w:spacing w:val="0"/>
                <w:w w:val="100"/>
                <w:position w:val="0"/>
              </w:rPr>
              <w:t>新收入准则下</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r>
      <w:tr>
        <w:trPr>
          <w:trHeight w:val="3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预收款项</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20,985.84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1D1D1B"/>
                <w:spacing w:val="0"/>
                <w:w w:val="100"/>
                <w:position w:val="0"/>
                <w:sz w:val="18"/>
                <w:szCs w:val="18"/>
              </w:rPr>
              <w:t>-20,985.84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其他流动负债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101,685.38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-99,271.08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2,414.30</w:t>
            </w:r>
          </w:p>
        </w:tc>
      </w:tr>
      <w:tr>
        <w:trPr>
          <w:trHeight w:val="38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合同负债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1D1D1B"/>
                <w:spacing w:val="0"/>
                <w:w w:val="100"/>
                <w:position w:val="0"/>
                <w:sz w:val="18"/>
                <w:szCs w:val="18"/>
              </w:rPr>
              <w:t>120,256.92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1D1D1B"/>
                <w:spacing w:val="0"/>
                <w:w w:val="100"/>
                <w:position w:val="0"/>
                <w:sz w:val="18"/>
                <w:szCs w:val="18"/>
              </w:rPr>
              <w:t>120,256.92</w:t>
            </w:r>
          </w:p>
        </w:tc>
      </w:tr>
    </w:tbl>
    <w:p>
      <w:pPr>
        <w:pStyle w:val="Style45"/>
        <w:keepNext w:val="0"/>
        <w:keepLines w:val="0"/>
        <w:widowControl w:val="0"/>
        <w:shd w:val="clear" w:color="auto" w:fill="auto"/>
        <w:bidi w:val="0"/>
        <w:spacing w:before="0" w:after="0" w:line="240" w:lineRule="auto"/>
        <w:ind w:left="461" w:right="0" w:firstLine="0"/>
        <w:jc w:val="left"/>
      </w:pPr>
      <w:r>
        <w:rPr>
          <w:color w:val="000000"/>
          <w:spacing w:val="0"/>
          <w:w w:val="100"/>
          <w:position w:val="0"/>
        </w:rPr>
        <w:t>注：本公司根据合同从客户预收的货款根据新收入准则由预收款项重分类至合同负债和其他流动负债，同时将在其他流</w:t>
      </w:r>
      <w:r>
        <w:br w:type="page"/>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动负债核算的递延收益重分类至合同负债。</w:t>
      </w:r>
    </w:p>
    <w:p>
      <w:pPr>
        <w:pStyle w:val="Style31"/>
        <w:keepNext w:val="0"/>
        <w:keepLines w:val="0"/>
        <w:widowControl w:val="0"/>
        <w:shd w:val="clear" w:color="auto" w:fill="auto"/>
        <w:bidi w:val="0"/>
        <w:spacing w:before="0" w:after="180" w:line="240" w:lineRule="auto"/>
        <w:ind w:left="0" w:right="0" w:firstLine="480"/>
        <w:jc w:val="both"/>
      </w:pPr>
      <w:r>
        <w:rPr>
          <w:rFonts w:ascii="Times New Roman" w:eastAsia="Times New Roman" w:hAnsi="Times New Roman" w:cs="Times New Roman"/>
          <w:color w:val="000000"/>
          <w:spacing w:val="0"/>
          <w:w w:val="100"/>
          <w:position w:val="0"/>
          <w:sz w:val="18"/>
          <w:szCs w:val="18"/>
          <w:u w:val="single"/>
        </w:rPr>
        <w:t>27.2</w:t>
      </w:r>
      <w:r>
        <w:rPr>
          <w:color w:val="000000"/>
          <w:spacing w:val="0"/>
          <w:w w:val="100"/>
          <w:position w:val="0"/>
          <w:u w:val="single"/>
        </w:rPr>
        <w:t>首次执行新收入准则调整首次执行当年年初财务报表相关项目情况</w:t>
      </w:r>
    </w:p>
    <w:p>
      <w:pPr>
        <w:pStyle w:val="Style31"/>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日，本集团首次施行上述新收入准则对本集团资产、负债和所有者权益的影响汇总如下:</w:t>
      </w:r>
    </w:p>
    <w:p>
      <w:pPr>
        <w:pStyle w:val="Style31"/>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合并资产负债表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242"/>
        <w:gridCol w:w="2731"/>
        <w:gridCol w:w="2544"/>
        <w:gridCol w:w="2141"/>
      </w:tblGrid>
      <w:tr>
        <w:trPr>
          <w:trHeight w:val="59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2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施行新收入准则影响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日</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预收款项</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24,669,570.97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1D1D1B"/>
                <w:spacing w:val="0"/>
                <w:w w:val="100"/>
                <w:position w:val="0"/>
                <w:sz w:val="18"/>
                <w:szCs w:val="18"/>
              </w:rPr>
              <w:t>24,669,570.97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其他流动负债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2,305,832.20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-510,587.01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1,795,245.19</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合同负债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1D1D1B"/>
                <w:spacing w:val="0"/>
                <w:w w:val="100"/>
                <w:position w:val="0"/>
                <w:sz w:val="18"/>
                <w:szCs w:val="18"/>
              </w:rPr>
              <w:t>25,180,157.98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1D1D1B"/>
                <w:spacing w:val="0"/>
                <w:w w:val="100"/>
                <w:position w:val="0"/>
                <w:sz w:val="18"/>
                <w:szCs w:val="18"/>
              </w:rPr>
              <w:t>25,180,157.98</w:t>
            </w:r>
          </w:p>
        </w:tc>
      </w:tr>
    </w:tbl>
    <w:p>
      <w:pPr>
        <w:pStyle w:val="Style45"/>
        <w:keepNext w:val="0"/>
        <w:keepLines w:val="0"/>
        <w:widowControl w:val="0"/>
        <w:shd w:val="clear" w:color="auto" w:fill="auto"/>
        <w:bidi w:val="0"/>
        <w:spacing w:before="0" w:after="0" w:line="350" w:lineRule="exact"/>
        <w:ind w:left="0" w:right="0" w:firstLine="0"/>
        <w:jc w:val="distribute"/>
      </w:pPr>
      <w:r>
        <w:rPr>
          <w:color w:val="000000"/>
          <w:spacing w:val="0"/>
          <w:w w:val="100"/>
          <w:position w:val="0"/>
        </w:rPr>
        <w:t>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日，本集团根据合同从客户预收的货款人民币</w:t>
      </w:r>
      <w:r>
        <w:rPr>
          <w:rFonts w:ascii="Times New Roman" w:eastAsia="Times New Roman" w:hAnsi="Times New Roman" w:cs="Times New Roman"/>
          <w:color w:val="000000"/>
          <w:spacing w:val="0"/>
          <w:w w:val="100"/>
          <w:position w:val="0"/>
          <w:sz w:val="18"/>
          <w:szCs w:val="18"/>
        </w:rPr>
        <w:t>24,669,570.97</w:t>
      </w:r>
      <w:r>
        <w:rPr>
          <w:color w:val="000000"/>
          <w:spacing w:val="0"/>
          <w:w w:val="100"/>
          <w:position w:val="0"/>
        </w:rPr>
        <w:t>元，根据新收入准则由预收账款重分类至 合同负债人民币</w:t>
      </w:r>
      <w:r>
        <w:rPr>
          <w:rFonts w:ascii="Times New Roman" w:eastAsia="Times New Roman" w:hAnsi="Times New Roman" w:cs="Times New Roman"/>
          <w:color w:val="000000"/>
          <w:spacing w:val="0"/>
          <w:w w:val="100"/>
          <w:position w:val="0"/>
          <w:sz w:val="18"/>
          <w:szCs w:val="18"/>
        </w:rPr>
        <w:t>22,874,325.78</w:t>
      </w:r>
      <w:r>
        <w:rPr>
          <w:color w:val="000000"/>
          <w:spacing w:val="0"/>
          <w:w w:val="100"/>
          <w:position w:val="0"/>
        </w:rPr>
        <w:t>元和其他流动负债人民币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,795,245.19</w:t>
      </w:r>
      <w:r>
        <w:rPr>
          <w:color w:val="000000"/>
          <w:spacing w:val="0"/>
          <w:w w:val="100"/>
          <w:position w:val="0"/>
        </w:rPr>
        <w:t>元。同时本集团将其他流动负债核算的递延收益重分类至 合同负债人民币</w:t>
      </w:r>
      <w:r>
        <w:rPr>
          <w:rFonts w:ascii="Times New Roman" w:eastAsia="Times New Roman" w:hAnsi="Times New Roman" w:cs="Times New Roman"/>
          <w:color w:val="000000"/>
          <w:spacing w:val="0"/>
          <w:w w:val="100"/>
          <w:position w:val="0"/>
          <w:sz w:val="18"/>
          <w:szCs w:val="18"/>
        </w:rPr>
        <w:t>2,305,832.20</w:t>
      </w:r>
      <w:r>
        <w:rPr>
          <w:color w:val="000000"/>
          <w:spacing w:val="0"/>
          <w:w w:val="100"/>
          <w:position w:val="0"/>
        </w:rPr>
        <w:t>元。</w:t>
      </w:r>
    </w:p>
    <w:p>
      <w:pPr>
        <w:widowControl w:val="0"/>
        <w:spacing w:after="59" w:line="1" w:lineRule="exact"/>
      </w:pPr>
    </w:p>
    <w:p>
      <w:pPr>
        <w:pStyle w:val="Style31"/>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母公司资产负债表</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人民币元</w:t>
      </w:r>
    </w:p>
    <w:tbl>
      <w:tblPr>
        <w:tblOverlap w:val="never"/>
        <w:jc w:val="center"/>
        <w:tblLayout w:type="fixed"/>
      </w:tblPr>
      <w:tblGrid>
        <w:gridCol w:w="2242"/>
        <w:gridCol w:w="2731"/>
        <w:gridCol w:w="2539"/>
        <w:gridCol w:w="2146"/>
      </w:tblGrid>
      <w:tr>
        <w:trPr>
          <w:trHeight w:val="59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2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施行新收入准则影响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日</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预收款项</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152,797.52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1D1D1B"/>
                <w:spacing w:val="0"/>
                <w:w w:val="100"/>
                <w:position w:val="0"/>
                <w:sz w:val="18"/>
                <w:szCs w:val="18"/>
              </w:rPr>
              <w:t>152,797.52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其他流动负债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1D1D1B"/>
                <w:spacing w:val="0"/>
                <w:w w:val="100"/>
                <w:position w:val="0"/>
                <w:sz w:val="18"/>
                <w:szCs w:val="18"/>
              </w:rPr>
              <w:t>73,357.59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-56,699.83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16,657.76</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合同负债</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1D1D1B"/>
                <w:spacing w:val="0"/>
                <w:w w:val="100"/>
                <w:position w:val="0"/>
                <w:sz w:val="18"/>
                <w:szCs w:val="18"/>
              </w:rPr>
              <w:t>209,497.35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1D1D1B"/>
                <w:spacing w:val="0"/>
                <w:w w:val="100"/>
                <w:position w:val="0"/>
                <w:sz w:val="18"/>
                <w:szCs w:val="18"/>
              </w:rPr>
              <w:t>209,497.35</w:t>
            </w:r>
          </w:p>
        </w:tc>
      </w:tr>
    </w:tbl>
    <w:p>
      <w:pPr>
        <w:pStyle w:val="Style45"/>
        <w:keepNext w:val="0"/>
        <w:keepLines w:val="0"/>
        <w:widowControl w:val="0"/>
        <w:shd w:val="clear" w:color="auto" w:fill="auto"/>
        <w:bidi w:val="0"/>
        <w:spacing w:before="0" w:after="0" w:line="348" w:lineRule="exact"/>
        <w:ind w:left="0" w:right="0" w:firstLine="0"/>
        <w:jc w:val="distribute"/>
      </w:pPr>
      <w:r>
        <w:rPr>
          <w:color w:val="000000"/>
          <w:spacing w:val="0"/>
          <w:w w:val="100"/>
          <w:position w:val="0"/>
        </w:rPr>
        <w:t>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日，本公司根据合同从客户预收的货款人民币</w:t>
      </w:r>
      <w:r>
        <w:rPr>
          <w:rFonts w:ascii="Times New Roman" w:eastAsia="Times New Roman" w:hAnsi="Times New Roman" w:cs="Times New Roman"/>
          <w:color w:val="000000"/>
          <w:spacing w:val="0"/>
          <w:w w:val="100"/>
          <w:position w:val="0"/>
          <w:sz w:val="18"/>
          <w:szCs w:val="18"/>
        </w:rPr>
        <w:t>152,797.5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元，根据新收入准则由预收账款重分类至合 同负债人民币</w:t>
      </w:r>
      <w:r>
        <w:rPr>
          <w:rFonts w:ascii="Times New Roman" w:eastAsia="Times New Roman" w:hAnsi="Times New Roman" w:cs="Times New Roman"/>
          <w:color w:val="000000"/>
          <w:spacing w:val="0"/>
          <w:w w:val="100"/>
          <w:position w:val="0"/>
          <w:sz w:val="18"/>
          <w:szCs w:val="18"/>
        </w:rPr>
        <w:t>136,139.76</w:t>
      </w:r>
      <w:r>
        <w:rPr>
          <w:color w:val="000000"/>
          <w:spacing w:val="0"/>
          <w:w w:val="100"/>
          <w:position w:val="0"/>
        </w:rPr>
        <w:t>元和其他流动负债人民币</w:t>
      </w:r>
      <w:r>
        <w:rPr>
          <w:rFonts w:ascii="Times New Roman" w:eastAsia="Times New Roman" w:hAnsi="Times New Roman" w:cs="Times New Roman"/>
          <w:color w:val="000000"/>
          <w:spacing w:val="0"/>
          <w:w w:val="100"/>
          <w:position w:val="0"/>
          <w:sz w:val="18"/>
          <w:szCs w:val="18"/>
        </w:rPr>
        <w:t>16,657.76</w:t>
      </w:r>
      <w:r>
        <w:rPr>
          <w:color w:val="000000"/>
          <w:spacing w:val="0"/>
          <w:w w:val="100"/>
          <w:position w:val="0"/>
        </w:rPr>
        <w:t>元。同时本公司将其他流动负债核算的递延收益重分类至合同负 债人民币</w:t>
      </w:r>
      <w:r>
        <w:rPr>
          <w:rFonts w:ascii="Times New Roman" w:eastAsia="Times New Roman" w:hAnsi="Times New Roman" w:cs="Times New Roman"/>
          <w:color w:val="000000"/>
          <w:spacing w:val="0"/>
          <w:w w:val="100"/>
          <w:position w:val="0"/>
          <w:sz w:val="18"/>
          <w:szCs w:val="18"/>
        </w:rPr>
        <w:t>73,357.59</w:t>
      </w:r>
      <w:r>
        <w:rPr>
          <w:color w:val="000000"/>
          <w:spacing w:val="0"/>
          <w:w w:val="100"/>
          <w:position w:val="0"/>
        </w:rPr>
        <w:t>元。</w:t>
      </w:r>
    </w:p>
    <w:p>
      <w:pPr>
        <w:pStyle w:val="Style31"/>
        <w:keepNext w:val="0"/>
        <w:keepLines w:val="0"/>
        <w:widowControl w:val="0"/>
        <w:shd w:val="clear" w:color="auto" w:fill="auto"/>
        <w:bidi w:val="0"/>
        <w:spacing w:before="0" w:after="0" w:line="358" w:lineRule="exact"/>
        <w:ind w:left="0" w:right="0" w:firstLine="480"/>
        <w:jc w:val="both"/>
      </w:pPr>
      <w:r>
        <w:rPr>
          <w:rFonts w:ascii="Times New Roman" w:eastAsia="Times New Roman" w:hAnsi="Times New Roman" w:cs="Times New Roman"/>
          <w:color w:val="000000"/>
          <w:spacing w:val="0"/>
          <w:w w:val="100"/>
          <w:position w:val="0"/>
          <w:sz w:val="18"/>
          <w:szCs w:val="18"/>
          <w:u w:val="single"/>
        </w:rPr>
        <w:t>27.3</w:t>
      </w:r>
      <w:r>
        <w:rPr>
          <w:color w:val="000000"/>
          <w:spacing w:val="0"/>
          <w:w w:val="100"/>
          <w:position w:val="0"/>
          <w:u w:val="single"/>
        </w:rPr>
        <w:t>新冠肺炎疫情相关租金减让</w:t>
      </w:r>
    </w:p>
    <w:p>
      <w:pPr>
        <w:pStyle w:val="Style31"/>
        <w:keepNext w:val="0"/>
        <w:keepLines w:val="0"/>
        <w:widowControl w:val="0"/>
        <w:shd w:val="clear" w:color="auto" w:fill="auto"/>
        <w:bidi w:val="0"/>
        <w:spacing w:before="0" w:after="460" w:line="358"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[2020]10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T0</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集团按照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号文采用简化方法，并对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号文施行日之间发生的相关租金减让根据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号文进行调整。该采用对 本集团本年财务报表没有重大影响。</w:t>
      </w:r>
    </w:p>
    <w:p>
      <w:pPr>
        <w:pStyle w:val="Style69"/>
        <w:keepNext/>
        <w:keepLines/>
        <w:widowControl w:val="0"/>
        <w:shd w:val="clear" w:color="auto" w:fill="auto"/>
        <w:tabs>
          <w:tab w:pos="493" w:val="left"/>
        </w:tabs>
        <w:bidi w:val="0"/>
        <w:spacing w:before="0" w:after="24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65"/>
      <w:bookmarkEnd w:id="866"/>
      <w:bookmarkEnd w:id="868"/>
    </w:p>
    <w:p>
      <w:pPr>
        <w:pStyle w:val="Style31"/>
        <w:keepNext w:val="0"/>
        <w:keepLines w:val="0"/>
        <w:widowControl w:val="0"/>
        <w:shd w:val="clear" w:color="auto" w:fill="auto"/>
        <w:bidi w:val="0"/>
        <w:spacing w:before="0" w:after="380" w:line="3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9"/>
        <w:keepNext/>
        <w:keepLines/>
        <w:widowControl w:val="0"/>
        <w:shd w:val="clear" w:color="auto" w:fill="auto"/>
        <w:tabs>
          <w:tab w:pos="493" w:val="left"/>
        </w:tabs>
        <w:bidi w:val="0"/>
        <w:spacing w:before="0" w:after="1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869"/>
      <w:bookmarkEnd w:id="870"/>
      <w:bookmarkEnd w:id="872"/>
    </w:p>
    <w:p>
      <w:pPr>
        <w:pStyle w:val="Style31"/>
        <w:keepNext w:val="0"/>
        <w:keepLines w:val="0"/>
        <w:widowControl w:val="0"/>
        <w:shd w:val="clear" w:color="auto" w:fill="auto"/>
        <w:bidi w:val="0"/>
        <w:spacing w:before="0" w:after="0" w:line="358" w:lineRule="exact"/>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0" w:line="358" w:lineRule="exact"/>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58" w:lineRule="exact"/>
        <w:ind w:left="0" w:right="0" w:firstLine="0"/>
        <w:jc w:val="left"/>
      </w:pPr>
      <w:r>
        <w:rPr>
          <w:color w:val="000000"/>
          <w:spacing w:val="0"/>
          <w:w w:val="100"/>
          <w:position w:val="0"/>
        </w:rPr>
        <w:t>不需要调整年初资产负债表科目的原因说明</w:t>
      </w:r>
    </w:p>
    <w:p>
      <w:pPr>
        <w:pStyle w:val="Style31"/>
        <w:keepNext w:val="0"/>
        <w:keepLines w:val="0"/>
        <w:widowControl w:val="0"/>
        <w:shd w:val="clear" w:color="auto" w:fill="auto"/>
        <w:bidi w:val="0"/>
        <w:spacing w:before="0" w:after="180" w:line="358" w:lineRule="exact"/>
        <w:ind w:left="0" w:right="0" w:firstLine="0"/>
        <w:jc w:val="left"/>
      </w:pPr>
      <w:r>
        <w:rPr>
          <w:color w:val="000000"/>
          <w:spacing w:val="0"/>
          <w:w w:val="100"/>
          <w:position w:val="0"/>
        </w:rPr>
        <w:t>无重大影响。</w:t>
      </w:r>
      <w:r>
        <w:br w:type="page"/>
      </w:r>
    </w:p>
    <w:p>
      <w:pPr>
        <w:pStyle w:val="Style69"/>
        <w:keepNext/>
        <w:keepLines/>
        <w:widowControl w:val="0"/>
        <w:shd w:val="clear" w:color="auto" w:fill="auto"/>
        <w:tabs>
          <w:tab w:pos="493" w:val="left"/>
        </w:tabs>
        <w:bidi w:val="0"/>
        <w:spacing w:before="0" w:after="36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shd w:val="clear" w:color="auto" w:fill="FFFFFF"/>
        </w:rPr>
        <w:t>（</w:t>
      </w:r>
      <w:bookmarkEnd w:id="875"/>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873"/>
      <w:bookmarkEnd w:id="874"/>
      <w:bookmarkEnd w:id="87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sz w:val="24"/>
          <w:szCs w:val="24"/>
        </w:rPr>
        <w:t>六</w:t>
      </w:r>
      <w:bookmarkEnd w:id="879"/>
      <w:r>
        <w:rPr>
          <w:color w:val="000000"/>
          <w:spacing w:val="0"/>
          <w:w w:val="100"/>
          <w:position w:val="0"/>
          <w:sz w:val="24"/>
          <w:szCs w:val="24"/>
        </w:rPr>
        <w:t>、税项</w:t>
      </w:r>
      <w:bookmarkEnd w:id="877"/>
      <w:bookmarkEnd w:id="878"/>
      <w:bookmarkEnd w:id="880"/>
    </w:p>
    <w:p>
      <w:pPr>
        <w:pStyle w:val="Style49"/>
        <w:keepNext/>
        <w:keepLines/>
        <w:widowControl w:val="0"/>
        <w:shd w:val="clear" w:color="auto" w:fill="auto"/>
        <w:bidi w:val="0"/>
        <w:spacing w:before="0" w:after="320" w:line="240" w:lineRule="auto"/>
        <w:ind w:left="0" w:right="0" w:firstLine="0"/>
        <w:jc w:val="left"/>
      </w:pPr>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81"/>
      <w:bookmarkEnd w:id="882"/>
      <w:bookmarkEnd w:id="883"/>
    </w:p>
    <w:tbl>
      <w:tblPr>
        <w:tblOverlap w:val="never"/>
        <w:jc w:val="center"/>
        <w:tblLayout w:type="fixed"/>
      </w:tblPr>
      <w:tblGrid>
        <w:gridCol w:w="3202"/>
        <w:gridCol w:w="2621"/>
        <w:gridCol w:w="3768"/>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税种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20" w:right="0" w:firstLine="0"/>
              <w:jc w:val="left"/>
            </w:pPr>
            <w:r>
              <w:rPr>
                <w:b/>
                <w:bCs/>
                <w:color w:val="FFFFFF"/>
                <w:spacing w:val="0"/>
                <w:w w:val="100"/>
                <w:position w:val="0"/>
              </w:rPr>
              <w:t>计税依据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980" w:right="0" w:firstLine="0"/>
              <w:jc w:val="left"/>
            </w:pPr>
            <w:r>
              <w:rPr>
                <w:b/>
                <w:bCs/>
                <w:color w:val="FFFFFF"/>
                <w:spacing w:val="0"/>
                <w:w w:val="100"/>
                <w:position w:val="0"/>
              </w:rPr>
              <w:t>税率</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增值税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销售额、采购额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城市维护建设税</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企业所得税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教育费附加</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地方教育费附加</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sz w:val="24"/>
          <w:szCs w:val="24"/>
        </w:rPr>
        <w:t>七</w:t>
      </w:r>
      <w:bookmarkEnd w:id="886"/>
      <w:r>
        <w:rPr>
          <w:color w:val="000000"/>
          <w:spacing w:val="0"/>
          <w:w w:val="100"/>
          <w:position w:val="0"/>
          <w:sz w:val="24"/>
          <w:szCs w:val="24"/>
        </w:rPr>
        <w:t>、合并财务报表项目注释</w:t>
      </w:r>
      <w:bookmarkEnd w:id="884"/>
      <w:bookmarkEnd w:id="885"/>
      <w:bookmarkEnd w:id="887"/>
    </w:p>
    <w:p>
      <w:pPr>
        <w:pStyle w:val="Style49"/>
        <w:keepNext/>
        <w:keepLines/>
        <w:widowControl w:val="0"/>
        <w:shd w:val="clear" w:color="auto" w:fill="auto"/>
        <w:bidi w:val="0"/>
        <w:spacing w:before="0" w:line="240" w:lineRule="auto"/>
        <w:ind w:left="0" w:right="0" w:firstLine="0"/>
        <w:jc w:val="left"/>
      </w:pPr>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88"/>
      <w:bookmarkEnd w:id="889"/>
      <w:bookmarkEnd w:id="89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758"/>
        <w:gridCol w:w="263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库存现金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184,461.28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437,365.16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银行存款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108,548,789.15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191,050,068.89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125,293,250.43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194,487,434.05</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其中：存放在境外的款项总额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317,806.67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345,136.54</w:t>
            </w:r>
          </w:p>
        </w:tc>
      </w:tr>
    </w:tbl>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100" w:line="312" w:lineRule="exact"/>
        <w:ind w:left="0" w:right="0" w:firstLine="480"/>
        <w:jc w:val="both"/>
        <w:rPr>
          <w:sz w:val="15"/>
          <w:szCs w:val="15"/>
        </w:rPr>
      </w:pPr>
      <w:r>
        <w:rPr>
          <w:rFonts w:ascii="SimSun" w:eastAsia="SimSun" w:hAnsi="SimSun" w:cs="SimSun"/>
          <w:color w:val="000000"/>
          <w:spacing w:val="0"/>
          <w:w w:val="100"/>
          <w:position w:val="0"/>
          <w:sz w:val="15"/>
          <w:szCs w:val="15"/>
        </w:rPr>
        <w:t>截至</w:t>
      </w:r>
      <w:r>
        <w:rPr>
          <w:color w:val="000000"/>
          <w:spacing w:val="0"/>
          <w:w w:val="100"/>
          <w:position w:val="0"/>
          <w:sz w:val="18"/>
          <w:szCs w:val="18"/>
        </w:rPr>
        <w:t>2020</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日，本集团持有使用权受到限制的货币资金为人民币</w:t>
      </w:r>
      <w:r>
        <w:rPr>
          <w:color w:val="000000"/>
          <w:spacing w:val="0"/>
          <w:w w:val="100"/>
          <w:position w:val="0"/>
          <w:sz w:val="18"/>
          <w:szCs w:val="18"/>
        </w:rPr>
        <w:t>16,560,000.00</w:t>
      </w:r>
      <w:r>
        <w:rPr>
          <w:rFonts w:ascii="SimSun" w:eastAsia="SimSun" w:hAnsi="SimSun" w:cs="SimSun"/>
          <w:color w:val="000000"/>
          <w:spacing w:val="0"/>
          <w:w w:val="100"/>
          <w:position w:val="0"/>
          <w:sz w:val="15"/>
          <w:szCs w:val="15"/>
        </w:rPr>
        <w:t>元</w:t>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 xml:space="preserve">日: </w:t>
      </w:r>
      <w:r>
        <w:rPr>
          <w:color w:val="000000"/>
          <w:spacing w:val="0"/>
          <w:w w:val="100"/>
          <w:position w:val="0"/>
          <w:sz w:val="18"/>
          <w:szCs w:val="18"/>
        </w:rPr>
        <w:t>3,000,000.00）</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具体情况参见附注</w:t>
      </w:r>
      <w:r>
        <w:rPr>
          <w:color w:val="000000"/>
          <w:spacing w:val="0"/>
          <w:w w:val="100"/>
          <w:position w:val="0"/>
          <w:sz w:val="18"/>
          <w:szCs w:val="18"/>
        </w:rPr>
        <w:t>（</w:t>
      </w:r>
      <w:r>
        <w:rPr>
          <w:rFonts w:ascii="SimSun" w:eastAsia="SimSun" w:hAnsi="SimSun" w:cs="SimSun"/>
          <w:color w:val="000000"/>
          <w:spacing w:val="0"/>
          <w:w w:val="100"/>
          <w:position w:val="0"/>
          <w:sz w:val="15"/>
          <w:szCs w:val="15"/>
        </w:rPr>
        <w:t>五</w:t>
      </w:r>
      <w:r>
        <w:rPr>
          <w:color w:val="000000"/>
          <w:spacing w:val="0"/>
          <w:w w:val="100"/>
          <w:position w:val="0"/>
          <w:sz w:val="18"/>
          <w:szCs w:val="18"/>
        </w:rPr>
        <w:t>）42</w:t>
      </w:r>
      <w:r>
        <w:rPr>
          <w:rFonts w:ascii="SimSun" w:eastAsia="SimSun" w:hAnsi="SimSun" w:cs="SimSun"/>
          <w:color w:val="000000"/>
          <w:spacing w:val="0"/>
          <w:w w:val="100"/>
          <w:position w:val="0"/>
          <w:sz w:val="15"/>
          <w:szCs w:val="15"/>
        </w:rPr>
        <w:t>。</w:t>
      </w:r>
    </w:p>
    <w:p>
      <w:pPr>
        <w:pStyle w:val="Style31"/>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本集团存放于境外的资金无汇回受到限制的情况。</w:t>
      </w:r>
    </w:p>
    <w:p>
      <w:pPr>
        <w:pStyle w:val="Style49"/>
        <w:keepNext/>
        <w:keepLines/>
        <w:widowControl w:val="0"/>
        <w:shd w:val="clear" w:color="auto" w:fill="auto"/>
        <w:bidi w:val="0"/>
        <w:spacing w:before="0" w:line="240" w:lineRule="auto"/>
        <w:ind w:left="0" w:right="0" w:firstLine="0"/>
        <w:jc w:val="left"/>
      </w:pPr>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1"/>
      <w:bookmarkEnd w:id="892"/>
      <w:bookmarkEnd w:id="893"/>
    </w:p>
    <w:p>
      <w:pPr>
        <w:pStyle w:val="Style69"/>
        <w:keepNext/>
        <w:keepLines/>
        <w:widowControl w:val="0"/>
        <w:shd w:val="clear" w:color="auto" w:fill="auto"/>
        <w:bidi w:val="0"/>
        <w:spacing w:before="0" w:after="36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894"/>
      <w:bookmarkEnd w:id="895"/>
      <w:bookmarkEnd w:id="897"/>
    </w:p>
    <w:p>
      <w:pPr>
        <w:pStyle w:val="Style45"/>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421"/>
        <w:gridCol w:w="1685"/>
        <w:gridCol w:w="2554"/>
        <w:gridCol w:w="1440"/>
        <w:gridCol w:w="2554"/>
      </w:tblGrid>
      <w:tr>
        <w:trPr>
          <w:trHeight w:val="408" w:hRule="exact"/>
        </w:trPr>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b/>
                <w:bCs/>
                <w:color w:val="FFFFFF"/>
                <w:spacing w:val="0"/>
                <w:w w:val="100"/>
                <w:position w:val="0"/>
              </w:rPr>
              <w:t>期末余额</w:t>
            </w:r>
          </w:p>
        </w:tc>
        <w:tc>
          <w:tcPr>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期初余额</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类别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账面余额</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坏账准备</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680" w:right="0" w:firstLine="0"/>
              <w:jc w:val="left"/>
            </w:pPr>
            <w:r>
              <w:rPr>
                <w:b/>
                <w:bCs/>
                <w:color w:val="FFFFFF"/>
                <w:spacing w:val="0"/>
                <w:w w:val="100"/>
                <w:position w:val="0"/>
              </w:rPr>
              <w:t>账面价值</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both"/>
            </w:pPr>
            <w:r>
              <w:rPr>
                <w:b/>
                <w:bCs/>
                <w:color w:val="FFFFFF"/>
                <w:spacing w:val="0"/>
                <w:w w:val="100"/>
                <w:position w:val="0"/>
              </w:rPr>
              <w:t>金额计提比</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坏账准备</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720" w:right="0" w:firstLine="0"/>
              <w:jc w:val="left"/>
            </w:pPr>
            <w:r>
              <w:rPr>
                <w:b/>
                <w:bCs/>
                <w:color w:val="FFFFFF"/>
                <w:spacing w:val="0"/>
                <w:w w:val="100"/>
                <w:position w:val="0"/>
              </w:rPr>
              <w:t>账面价值</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76" w:val="left"/>
              </w:tabs>
              <w:bidi w:val="0"/>
              <w:spacing w:before="0" w:after="0" w:line="240" w:lineRule="auto"/>
              <w:ind w:left="0" w:right="0" w:firstLine="280"/>
              <w:jc w:val="left"/>
            </w:pPr>
            <w:r>
              <w:rPr>
                <w:b/>
                <w:bCs/>
                <w:color w:val="FFFFFF"/>
                <w:spacing w:val="0"/>
                <w:w w:val="100"/>
                <w:position w:val="0"/>
              </w:rPr>
              <w:t>金额</w:t>
              <w:tab/>
              <w:t>计提比</w:t>
            </w:r>
          </w:p>
        </w:tc>
      </w:tr>
      <w:tr>
        <w:trPr>
          <w:trHeight w:val="398"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212" w:val="left"/>
              </w:tabs>
              <w:bidi w:val="0"/>
              <w:spacing w:before="0" w:after="0" w:line="240" w:lineRule="auto"/>
              <w:ind w:left="0" w:right="0" w:firstLine="420"/>
              <w:jc w:val="left"/>
            </w:pPr>
            <w:r>
              <w:rPr>
                <w:b/>
                <w:bCs/>
                <w:color w:val="FFFFFF"/>
                <w:spacing w:val="0"/>
                <w:w w:val="100"/>
                <w:position w:val="0"/>
              </w:rPr>
              <w:t>金额</w:t>
              <w:tab/>
              <w:t>比例</w:t>
            </w: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811" w:val="left"/>
              </w:tabs>
              <w:bidi w:val="0"/>
              <w:spacing w:before="0" w:after="0" w:line="240" w:lineRule="auto"/>
              <w:ind w:left="0" w:right="0" w:firstLine="0"/>
              <w:jc w:val="center"/>
            </w:pPr>
            <w:r>
              <w:rPr>
                <w:b/>
                <w:bCs/>
                <w:color w:val="FFFFFF"/>
                <w:spacing w:val="0"/>
                <w:w w:val="100"/>
                <w:position w:val="0"/>
              </w:rPr>
              <w:t>金额</w:t>
              <w:tab/>
              <w:t>比例</w:t>
            </w:r>
          </w:p>
        </w:tc>
        <w:tc>
          <w:tcPr>
            <w:vMerge/>
            <w:tcBorders/>
            <w:shd w:val="clear" w:color="auto" w:fill="A6A6A6"/>
            <w:vAlign w:val="center"/>
          </w:tcPr>
          <w:p>
            <w:pPr/>
          </w:p>
        </w:tc>
      </w:tr>
    </w:tbl>
    <w:p>
      <w:pPr>
        <w:widowControl w:val="0"/>
        <w:spacing w:line="1" w:lineRule="exact"/>
      </w:pPr>
      <w:r>
        <w:br w:type="page"/>
      </w:r>
    </w:p>
    <w:tbl>
      <w:tblPr>
        <w:tblOverlap w:val="never"/>
        <w:jc w:val="center"/>
        <w:tblLayout w:type="fixed"/>
      </w:tblPr>
      <w:tblGrid>
        <w:gridCol w:w="1603"/>
        <w:gridCol w:w="8050"/>
      </w:tblGrid>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类别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003" w:val="left"/>
              </w:tabs>
              <w:bidi w:val="0"/>
              <w:spacing w:before="0" w:after="0" w:line="240" w:lineRule="auto"/>
              <w:ind w:left="0" w:right="0" w:firstLine="0"/>
              <w:jc w:val="center"/>
            </w:pPr>
            <w:r>
              <w:rPr>
                <w:b/>
                <w:bCs/>
                <w:color w:val="FFFFFF"/>
                <w:spacing w:val="0"/>
                <w:w w:val="100"/>
                <w:position w:val="0"/>
              </w:rPr>
              <w:t>期末余额</w:t>
              <w:tab/>
              <w:t>期初余额</w:t>
            </w:r>
          </w:p>
        </w:tc>
      </w:tr>
      <w:tr>
        <w:trPr>
          <w:trHeight w:val="360"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994" w:val="left"/>
              </w:tabs>
              <w:bidi w:val="0"/>
              <w:spacing w:before="0" w:after="0" w:line="240" w:lineRule="auto"/>
              <w:ind w:left="0" w:right="0" w:firstLine="0"/>
              <w:jc w:val="center"/>
            </w:pPr>
            <w:r>
              <w:rPr>
                <w:b/>
                <w:bCs/>
                <w:color w:val="FFFFFF"/>
                <w:spacing w:val="0"/>
                <w:w w:val="100"/>
                <w:position w:val="0"/>
              </w:rPr>
              <w:t>例</w:t>
              <w:tab/>
              <w:t>例</w:t>
            </w: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按单项计提坏账准</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备的应收账款</w:t>
            </w:r>
          </w:p>
        </w:tc>
        <w:tc>
          <w:tcPr>
            <w:tcBorders/>
            <w:shd w:val="clear" w:color="auto" w:fill="FFFFFF"/>
            <w:vAlign w:val="center"/>
          </w:tcPr>
          <w:p>
            <w:pPr>
              <w:pStyle w:val="Style2"/>
              <w:keepNext w:val="0"/>
              <w:keepLines w:val="0"/>
              <w:widowControl w:val="0"/>
              <w:shd w:val="clear" w:color="auto" w:fill="auto"/>
              <w:tabs>
                <w:tab w:pos="1042" w:val="left"/>
                <w:tab w:pos="2530" w:val="left"/>
                <w:tab w:pos="3926" w:val="left"/>
                <w:tab w:pos="5016" w:val="left"/>
                <w:tab w:pos="6552"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13,088,125.62</w:t>
              <w:tab/>
            </w:r>
            <w:r>
              <w:rPr>
                <w:rFonts w:ascii="Times New Roman" w:eastAsia="Times New Roman" w:hAnsi="Times New Roman" w:cs="Times New Roman"/>
                <w:color w:val="000000"/>
                <w:spacing w:val="0"/>
                <w:w w:val="100"/>
                <w:position w:val="0"/>
                <w:sz w:val="18"/>
                <w:szCs w:val="18"/>
              </w:rPr>
              <w:t xml:space="preserve">35.30% </w:t>
            </w:r>
            <w:r>
              <w:rPr>
                <w:rFonts w:ascii="Times New Roman" w:eastAsia="Times New Roman" w:hAnsi="Times New Roman" w:cs="Times New Roman"/>
                <w:color w:val="000000"/>
                <w:spacing w:val="0"/>
                <w:w w:val="100"/>
                <w:position w:val="0"/>
                <w:sz w:val="18"/>
                <w:szCs w:val="18"/>
              </w:rPr>
              <w:t>13,088,125.62</w:t>
              <w:tab/>
            </w:r>
            <w:r>
              <w:rPr>
                <w:rFonts w:ascii="Times New Roman" w:eastAsia="Times New Roman" w:hAnsi="Times New Roman" w:cs="Times New Roman"/>
                <w:color w:val="000000"/>
                <w:spacing w:val="0"/>
                <w:w w:val="100"/>
                <w:position w:val="0"/>
                <w:sz w:val="18"/>
                <w:szCs w:val="18"/>
              </w:rPr>
              <w:t>100.00%</w:t>
              <w:tab/>
              <w:t>105</w:t>
            </w:r>
            <w:r>
              <w:rPr>
                <w:b/>
                <w:bCs/>
                <w:color w:val="000000"/>
                <w:spacing w:val="0"/>
                <w:w w:val="100"/>
                <w:position w:val="0"/>
                <w:sz w:val="15"/>
                <w:szCs w:val="15"/>
              </w:rPr>
              <w:t>跳</w:t>
            </w:r>
            <w:r>
              <w:rPr>
                <w:rFonts w:ascii="Times New Roman" w:eastAsia="Times New Roman" w:hAnsi="Times New Roman" w:cs="Times New Roman"/>
                <w:color w:val="000000"/>
                <w:spacing w:val="0"/>
                <w:w w:val="100"/>
                <w:position w:val="0"/>
                <w:sz w:val="18"/>
                <w:szCs w:val="18"/>
              </w:rPr>
              <w:t>99562</w:t>
              <w:tab/>
              <w:t>36.54% 105</w:t>
            </w:r>
            <w:r>
              <w:rPr>
                <w:b/>
                <w:bCs/>
                <w:color w:val="000000"/>
                <w:spacing w:val="0"/>
                <w:w w:val="100"/>
                <w:position w:val="0"/>
                <w:sz w:val="15"/>
                <w:szCs w:val="15"/>
              </w:rPr>
              <w:t>跳</w:t>
            </w:r>
            <w:r>
              <w:rPr>
                <w:rFonts w:ascii="Times New Roman" w:eastAsia="Times New Roman" w:hAnsi="Times New Roman" w:cs="Times New Roman"/>
                <w:color w:val="000000"/>
                <w:spacing w:val="0"/>
                <w:w w:val="100"/>
                <w:position w:val="0"/>
                <w:sz w:val="18"/>
                <w:szCs w:val="18"/>
              </w:rPr>
              <w:t>99562</w:t>
              <w:tab/>
              <w:t>100.00%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tcBorders>
              <w:top w:val="single" w:sz="4"/>
            </w:tcBorders>
            <w:shd w:val="clear" w:color="auto" w:fill="F9ECF3"/>
            <w:vAlign w:val="top"/>
          </w:tcPr>
          <w:p>
            <w:pPr>
              <w:widowControl w:val="0"/>
              <w:rPr>
                <w:sz w:val="10"/>
                <w:szCs w:val="10"/>
              </w:rPr>
            </w:pP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按组合计提坏账准</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备的应收账款</w:t>
            </w:r>
          </w:p>
        </w:tc>
        <w:tc>
          <w:tcPr>
            <w:tcBorders>
              <w:top w:val="single" w:sz="4"/>
            </w:tcBorders>
            <w:shd w:val="clear" w:color="auto" w:fill="FFFFFF"/>
            <w:vAlign w:val="center"/>
          </w:tcPr>
          <w:p>
            <w:pPr>
              <w:pStyle w:val="Style2"/>
              <w:keepNext w:val="0"/>
              <w:keepLines w:val="0"/>
              <w:widowControl w:val="0"/>
              <w:shd w:val="clear" w:color="auto" w:fill="auto"/>
              <w:tabs>
                <w:tab w:pos="1046" w:val="left"/>
                <w:tab w:pos="1728" w:val="left"/>
                <w:tab w:pos="2712" w:val="left"/>
                <w:tab w:pos="5054" w:val="left"/>
                <w:tab w:pos="5678" w:val="left"/>
                <w:tab w:pos="667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23,985,790.77</w:t>
              <w:tab/>
            </w:r>
            <w:r>
              <w:rPr>
                <w:rFonts w:ascii="Times New Roman" w:eastAsia="Times New Roman" w:hAnsi="Times New Roman" w:cs="Times New Roman"/>
                <w:color w:val="000000"/>
                <w:spacing w:val="0"/>
                <w:w w:val="100"/>
                <w:position w:val="0"/>
                <w:sz w:val="18"/>
                <w:szCs w:val="18"/>
              </w:rPr>
              <w:t>64.70%</w:t>
              <w:tab/>
              <w:t>39130426</w:t>
              <w:tab/>
              <w:t xml:space="preserve">1.63% 2359448651 </w:t>
            </w:r>
            <w:r>
              <w:rPr>
                <w:rFonts w:ascii="Times New Roman" w:eastAsia="Times New Roman" w:hAnsi="Times New Roman" w:cs="Times New Roman"/>
                <w:color w:val="000000"/>
                <w:spacing w:val="0"/>
                <w:w w:val="100"/>
                <w:position w:val="0"/>
                <w:sz w:val="18"/>
                <w:szCs w:val="18"/>
              </w:rPr>
              <w:t>18,385,991.11</w:t>
              <w:tab/>
            </w:r>
            <w:r>
              <w:rPr>
                <w:rFonts w:ascii="Times New Roman" w:eastAsia="Times New Roman" w:hAnsi="Times New Roman" w:cs="Times New Roman"/>
                <w:color w:val="000000"/>
                <w:spacing w:val="0"/>
                <w:w w:val="100"/>
                <w:position w:val="0"/>
                <w:sz w:val="18"/>
                <w:szCs w:val="18"/>
              </w:rPr>
              <w:t>6346%</w:t>
              <w:tab/>
            </w:r>
            <w:r>
              <w:rPr>
                <w:rFonts w:ascii="Times New Roman" w:eastAsia="Times New Roman" w:hAnsi="Times New Roman" w:cs="Times New Roman"/>
                <w:color w:val="000000"/>
                <w:spacing w:val="0"/>
                <w:w w:val="100"/>
                <w:position w:val="0"/>
                <w:sz w:val="18"/>
                <w:szCs w:val="18"/>
              </w:rPr>
              <w:t>403,678.10</w:t>
              <w:tab/>
            </w:r>
            <w:r>
              <w:rPr>
                <w:rFonts w:ascii="Times New Roman" w:eastAsia="Times New Roman" w:hAnsi="Times New Roman" w:cs="Times New Roman"/>
                <w:color w:val="000000"/>
                <w:spacing w:val="0"/>
                <w:w w:val="100"/>
                <w:position w:val="0"/>
                <w:sz w:val="18"/>
                <w:szCs w:val="18"/>
              </w:rPr>
              <w:t>220% 1798231301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大型手机厂商</w:t>
            </w:r>
          </w:p>
        </w:tc>
        <w:tc>
          <w:tcPr>
            <w:tcBorders>
              <w:top w:val="single" w:sz="4"/>
            </w:tcBorders>
            <w:shd w:val="clear" w:color="auto" w:fill="FFFFFF"/>
            <w:vAlign w:val="center"/>
          </w:tcPr>
          <w:p>
            <w:pPr>
              <w:pStyle w:val="Style2"/>
              <w:keepNext w:val="0"/>
              <w:keepLines w:val="0"/>
              <w:widowControl w:val="0"/>
              <w:shd w:val="clear" w:color="auto" w:fill="auto"/>
              <w:tabs>
                <w:tab w:pos="1037" w:val="left"/>
                <w:tab w:pos="1690" w:val="left"/>
                <w:tab w:pos="2693" w:val="left"/>
                <w:tab w:pos="5002" w:val="left"/>
                <w:tab w:pos="5654" w:val="left"/>
                <w:tab w:pos="669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14,055,61606</w:t>
              <w:tab/>
              <w:t>37.91%</w:t>
              <w:tab/>
            </w:r>
            <w:r>
              <w:rPr>
                <w:rFonts w:ascii="Times New Roman" w:eastAsia="Times New Roman" w:hAnsi="Times New Roman" w:cs="Times New Roman"/>
                <w:color w:val="000000"/>
                <w:spacing w:val="0"/>
                <w:w w:val="100"/>
                <w:position w:val="0"/>
                <w:sz w:val="18"/>
                <w:szCs w:val="18"/>
              </w:rPr>
              <w:t>223484.30</w:t>
              <w:tab/>
            </w:r>
            <w:r>
              <w:rPr>
                <w:rFonts w:ascii="Times New Roman" w:eastAsia="Times New Roman" w:hAnsi="Times New Roman" w:cs="Times New Roman"/>
                <w:color w:val="000000"/>
                <w:spacing w:val="0"/>
                <w:w w:val="100"/>
                <w:position w:val="0"/>
                <w:sz w:val="18"/>
                <w:szCs w:val="18"/>
              </w:rPr>
              <w:t xml:space="preserve">1.59% </w:t>
            </w:r>
            <w:r>
              <w:rPr>
                <w:rFonts w:ascii="Times New Roman" w:eastAsia="Times New Roman" w:hAnsi="Times New Roman" w:cs="Times New Roman"/>
                <w:color w:val="000000"/>
                <w:spacing w:val="0"/>
                <w:w w:val="100"/>
                <w:position w:val="0"/>
                <w:sz w:val="18"/>
                <w:szCs w:val="18"/>
              </w:rPr>
              <w:t>13,832,131.76 12,303,67129</w:t>
              <w:tab/>
            </w:r>
            <w:r>
              <w:rPr>
                <w:rFonts w:ascii="Times New Roman" w:eastAsia="Times New Roman" w:hAnsi="Times New Roman" w:cs="Times New Roman"/>
                <w:color w:val="000000"/>
                <w:spacing w:val="0"/>
                <w:w w:val="100"/>
                <w:position w:val="0"/>
                <w:sz w:val="18"/>
                <w:szCs w:val="18"/>
              </w:rPr>
              <w:t>4247%</w:t>
              <w:tab/>
              <w:t>232</w:t>
            </w:r>
            <w:r>
              <w:rPr>
                <w:b/>
                <w:bCs/>
                <w:color w:val="000000"/>
                <w:spacing w:val="0"/>
                <w:w w:val="100"/>
                <w:position w:val="0"/>
                <w:sz w:val="15"/>
                <w:szCs w:val="15"/>
              </w:rPr>
              <w:t>湘</w:t>
            </w:r>
            <w:r>
              <w:rPr>
                <w:rFonts w:ascii="Times New Roman" w:eastAsia="Times New Roman" w:hAnsi="Times New Roman" w:cs="Times New Roman"/>
                <w:color w:val="000000"/>
                <w:spacing w:val="0"/>
                <w:w w:val="100"/>
                <w:position w:val="0"/>
                <w:sz w:val="18"/>
                <w:szCs w:val="18"/>
              </w:rPr>
              <w:t>.57</w:t>
              <w:tab/>
            </w:r>
            <w:r>
              <w:rPr>
                <w:rFonts w:ascii="Times New Roman" w:eastAsia="Times New Roman" w:hAnsi="Times New Roman" w:cs="Times New Roman"/>
                <w:color w:val="000000"/>
                <w:spacing w:val="0"/>
                <w:w w:val="100"/>
                <w:position w:val="0"/>
                <w:sz w:val="18"/>
                <w:szCs w:val="18"/>
              </w:rPr>
              <w:t xml:space="preserve">1.89% </w:t>
            </w:r>
            <w:r>
              <w:rPr>
                <w:rFonts w:ascii="Times New Roman" w:eastAsia="Times New Roman" w:hAnsi="Times New Roman" w:cs="Times New Roman"/>
                <w:color w:val="000000"/>
                <w:spacing w:val="0"/>
                <w:w w:val="100"/>
                <w:position w:val="0"/>
                <w:sz w:val="18"/>
                <w:szCs w:val="18"/>
              </w:rPr>
              <w:t>12,071,186.72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中小零散客户</w:t>
            </w:r>
          </w:p>
        </w:tc>
        <w:tc>
          <w:tcPr>
            <w:tcBorders>
              <w:top w:val="single" w:sz="4"/>
            </w:tcBorders>
            <w:shd w:val="clear" w:color="auto" w:fill="F9ECF3"/>
            <w:vAlign w:val="center"/>
          </w:tcPr>
          <w:p>
            <w:pPr>
              <w:pStyle w:val="Style2"/>
              <w:keepNext w:val="0"/>
              <w:keepLines w:val="0"/>
              <w:widowControl w:val="0"/>
              <w:shd w:val="clear" w:color="auto" w:fill="auto"/>
              <w:tabs>
                <w:tab w:pos="950" w:val="left"/>
                <w:tab w:pos="1627" w:val="left"/>
                <w:tab w:pos="2606" w:val="left"/>
                <w:tab w:pos="4958" w:val="left"/>
                <w:tab w:pos="5635" w:val="left"/>
                <w:tab w:pos="6629" w:val="left"/>
                <w:tab w:pos="720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9930,174.71</w:t>
              <w:tab/>
            </w:r>
            <w:r>
              <w:rPr>
                <w:rFonts w:ascii="Times New Roman" w:eastAsia="Times New Roman" w:hAnsi="Times New Roman" w:cs="Times New Roman"/>
                <w:color w:val="000000"/>
                <w:spacing w:val="0"/>
                <w:w w:val="100"/>
                <w:position w:val="0"/>
                <w:sz w:val="18"/>
                <w:szCs w:val="18"/>
              </w:rPr>
              <w:t>26.78%</w:t>
              <w:tab/>
            </w:r>
            <w:r>
              <w:rPr>
                <w:rFonts w:ascii="Times New Roman" w:eastAsia="Times New Roman" w:hAnsi="Times New Roman" w:cs="Times New Roman"/>
                <w:color w:val="000000"/>
                <w:spacing w:val="0"/>
                <w:w w:val="100"/>
                <w:position w:val="0"/>
                <w:sz w:val="18"/>
                <w:szCs w:val="18"/>
              </w:rPr>
              <w:t>167,819.96</w:t>
              <w:tab/>
            </w:r>
            <w:r>
              <w:rPr>
                <w:rFonts w:ascii="Times New Roman" w:eastAsia="Times New Roman" w:hAnsi="Times New Roman" w:cs="Times New Roman"/>
                <w:color w:val="000000"/>
                <w:spacing w:val="0"/>
                <w:w w:val="100"/>
                <w:position w:val="0"/>
                <w:sz w:val="18"/>
                <w:szCs w:val="18"/>
              </w:rPr>
              <w:t xml:space="preserve">1.69% </w:t>
            </w:r>
            <w:r>
              <w:rPr>
                <w:rFonts w:ascii="Times New Roman" w:eastAsia="Times New Roman" w:hAnsi="Times New Roman" w:cs="Times New Roman"/>
                <w:color w:val="000000"/>
                <w:spacing w:val="0"/>
                <w:w w:val="100"/>
                <w:position w:val="0"/>
                <w:sz w:val="18"/>
                <w:szCs w:val="18"/>
              </w:rPr>
              <w:t>9,762354.75 6,0^319.82</w:t>
              <w:tab/>
            </w:r>
            <w:r>
              <w:rPr>
                <w:rFonts w:ascii="Times New Roman" w:eastAsia="Times New Roman" w:hAnsi="Times New Roman" w:cs="Times New Roman"/>
                <w:color w:val="000000"/>
                <w:spacing w:val="0"/>
                <w:w w:val="100"/>
                <w:position w:val="0"/>
                <w:sz w:val="18"/>
                <w:szCs w:val="18"/>
              </w:rPr>
              <w:t>21.00%</w:t>
              <w:tab/>
            </w:r>
            <w:r>
              <w:rPr>
                <w:rFonts w:ascii="Times New Roman" w:eastAsia="Times New Roman" w:hAnsi="Times New Roman" w:cs="Times New Roman"/>
                <w:color w:val="000000"/>
                <w:spacing w:val="0"/>
                <w:w w:val="100"/>
                <w:position w:val="0"/>
                <w:sz w:val="18"/>
                <w:szCs w:val="18"/>
              </w:rPr>
              <w:t>173,193.53</w:t>
              <w:tab/>
            </w:r>
            <w:r>
              <w:rPr>
                <w:rFonts w:ascii="Times New Roman" w:eastAsia="Times New Roman" w:hAnsi="Times New Roman" w:cs="Times New Roman"/>
                <w:color w:val="000000"/>
                <w:spacing w:val="0"/>
                <w:w w:val="100"/>
                <w:position w:val="0"/>
                <w:sz w:val="18"/>
                <w:szCs w:val="18"/>
              </w:rPr>
              <w:t>2.85%</w:t>
              <w:tab/>
              <w:t>5,911,12629</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984" w:val="left"/>
                <w:tab w:pos="2602" w:val="left"/>
                <w:tab w:pos="4954" w:val="left"/>
                <w:tab w:pos="6595"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37,073916.39</w:t>
              <w:tab/>
            </w:r>
            <w:r>
              <w:rPr>
                <w:rFonts w:ascii="Times New Roman" w:eastAsia="Times New Roman" w:hAnsi="Times New Roman" w:cs="Times New Roman"/>
                <w:color w:val="000000"/>
                <w:spacing w:val="0"/>
                <w:w w:val="100"/>
                <w:position w:val="0"/>
                <w:sz w:val="18"/>
                <w:szCs w:val="18"/>
              </w:rPr>
              <w:t xml:space="preserve">100.00% </w:t>
            </w:r>
            <w:r>
              <w:rPr>
                <w:rFonts w:ascii="Times New Roman" w:eastAsia="Times New Roman" w:hAnsi="Times New Roman" w:cs="Times New Roman"/>
                <w:color w:val="000000"/>
                <w:spacing w:val="0"/>
                <w:w w:val="100"/>
                <w:position w:val="0"/>
                <w:sz w:val="18"/>
                <w:szCs w:val="18"/>
              </w:rPr>
              <w:t>13^79^29.88</w:t>
              <w:tab/>
            </w:r>
            <w:r>
              <w:rPr>
                <w:rFonts w:ascii="Times New Roman" w:eastAsia="Times New Roman" w:hAnsi="Times New Roman" w:cs="Times New Roman"/>
                <w:color w:val="000000"/>
                <w:spacing w:val="0"/>
                <w:w w:val="100"/>
                <w:position w:val="0"/>
                <w:sz w:val="18"/>
                <w:szCs w:val="18"/>
              </w:rPr>
              <w:t xml:space="preserve">36.36% </w:t>
            </w:r>
            <w:r>
              <w:rPr>
                <w:rFonts w:ascii="Times New Roman" w:eastAsia="Times New Roman" w:hAnsi="Times New Roman" w:cs="Times New Roman"/>
                <w:color w:val="000000"/>
                <w:spacing w:val="0"/>
                <w:w w:val="100"/>
                <w:position w:val="0"/>
                <w:sz w:val="18"/>
                <w:szCs w:val="18"/>
              </w:rPr>
              <w:t xml:space="preserve">23594^86.51 </w:t>
            </w:r>
            <w:r>
              <w:rPr>
                <w:rFonts w:ascii="Times New Roman" w:eastAsia="Times New Roman" w:hAnsi="Times New Roman" w:cs="Times New Roman"/>
                <w:color w:val="000000"/>
                <w:spacing w:val="0"/>
                <w:w w:val="100"/>
                <w:position w:val="0"/>
                <w:sz w:val="18"/>
                <w:szCs w:val="18"/>
              </w:rPr>
              <w:t>2897098673</w:t>
              <w:tab/>
              <w:t xml:space="preserve">100.00% </w:t>
            </w:r>
            <w:r>
              <w:rPr>
                <w:rFonts w:ascii="Times New Roman" w:eastAsia="Times New Roman" w:hAnsi="Times New Roman" w:cs="Times New Roman"/>
                <w:color w:val="000000"/>
                <w:spacing w:val="0"/>
                <w:w w:val="100"/>
                <w:position w:val="0"/>
                <w:sz w:val="18"/>
                <w:szCs w:val="18"/>
              </w:rPr>
              <w:t>10988,673.72</w:t>
              <w:tab/>
            </w:r>
            <w:r>
              <w:rPr>
                <w:rFonts w:ascii="Times New Roman" w:eastAsia="Times New Roman" w:hAnsi="Times New Roman" w:cs="Times New Roman"/>
                <w:color w:val="000000"/>
                <w:spacing w:val="0"/>
                <w:w w:val="100"/>
                <w:position w:val="0"/>
                <w:sz w:val="18"/>
                <w:szCs w:val="18"/>
              </w:rPr>
              <w:t xml:space="preserve">37.93% </w:t>
            </w:r>
            <w:r>
              <w:rPr>
                <w:rFonts w:ascii="Times New Roman" w:eastAsia="Times New Roman" w:hAnsi="Times New Roman" w:cs="Times New Roman"/>
                <w:color w:val="000000"/>
                <w:spacing w:val="0"/>
                <w:w w:val="100"/>
                <w:position w:val="0"/>
                <w:sz w:val="18"/>
                <w:szCs w:val="18"/>
              </w:rPr>
              <w:t>17^82313.01</w:t>
            </w:r>
          </w:p>
        </w:tc>
      </w:tr>
    </w:tbl>
    <w:p>
      <w:pPr>
        <w:pStyle w:val="Style45"/>
        <w:keepNext w:val="0"/>
        <w:keepLines w:val="0"/>
        <w:widowControl w:val="0"/>
        <w:shd w:val="clear" w:color="auto" w:fill="auto"/>
        <w:bidi w:val="0"/>
        <w:spacing w:before="0" w:after="0" w:line="240" w:lineRule="auto"/>
        <w:ind w:left="19" w:right="0" w:firstLine="0"/>
        <w:jc w:val="left"/>
        <w:rPr>
          <w:sz w:val="18"/>
          <w:szCs w:val="18"/>
        </w:rPr>
      </w:pPr>
      <w:r>
        <w:rPr>
          <w:color w:val="000000"/>
          <w:spacing w:val="0"/>
          <w:w w:val="100"/>
          <w:position w:val="0"/>
          <w:sz w:val="15"/>
          <w:szCs w:val="15"/>
        </w:rPr>
        <w:t>按单项计提坏账准备：</w:t>
      </w:r>
      <w:r>
        <w:rPr>
          <w:rFonts w:ascii="Times New Roman" w:eastAsia="Times New Roman" w:hAnsi="Times New Roman" w:cs="Times New Roman"/>
          <w:color w:val="000000"/>
          <w:spacing w:val="0"/>
          <w:w w:val="100"/>
          <w:position w:val="0"/>
          <w:sz w:val="18"/>
          <w:szCs w:val="18"/>
        </w:rPr>
        <w:t>13,088,125.62</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62"/>
        <w:gridCol w:w="1253"/>
        <w:gridCol w:w="917"/>
        <w:gridCol w:w="4286"/>
      </w:tblGrid>
      <w:tr>
        <w:trPr>
          <w:trHeight w:val="355"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名称</w:t>
            </w:r>
          </w:p>
        </w:tc>
        <w:tc>
          <w:tcPr>
            <w:gridSpan w:val="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r>
      <w:tr>
        <w:trPr>
          <w:trHeight w:val="326"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坏账准备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计提比例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计提理由</w:t>
            </w:r>
          </w:p>
        </w:tc>
      </w:tr>
      <w:tr>
        <w:trPr>
          <w:trHeight w:val="148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单位二</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9ECF3"/>
            <w:vAlign w:val="center"/>
          </w:tcPr>
          <w:p>
            <w:pPr>
              <w:pStyle w:val="Style2"/>
              <w:keepNext w:val="0"/>
              <w:keepLines w:val="0"/>
              <w:widowControl w:val="0"/>
              <w:shd w:val="clear" w:color="auto" w:fill="auto"/>
              <w:bidi w:val="0"/>
              <w:spacing w:before="0" w:after="0" w:line="236" w:lineRule="exact"/>
              <w:ind w:left="14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日，应收单位二之款项为人民币 </w:t>
            </w:r>
            <w:r>
              <w:rPr>
                <w:rFonts w:ascii="Times New Roman" w:eastAsia="Times New Roman" w:hAnsi="Times New Roman" w:cs="Times New Roman"/>
                <w:color w:val="000000"/>
                <w:spacing w:val="0"/>
                <w:w w:val="100"/>
                <w:position w:val="0"/>
                <w:sz w:val="18"/>
                <w:szCs w:val="18"/>
              </w:rPr>
              <w:t>10,584,995.62</w:t>
            </w:r>
            <w:r>
              <w:rPr>
                <w:color w:val="000000"/>
                <w:spacing w:val="0"/>
                <w:w w:val="100"/>
                <w:position w:val="0"/>
              </w:rPr>
              <w:t>元，单位二自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年下半年起未履行 上述应收款项的支付义务，其款项拖欠三年以上， 本集团与其已无业务往来，本集团认为该应收款项 难以收回，已发生信用减值，因此全额计提坏账准 备。</w:t>
            </w:r>
          </w:p>
        </w:tc>
      </w:tr>
      <w:tr>
        <w:trPr>
          <w:trHeight w:val="125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8" w:lineRule="exact"/>
              <w:ind w:left="14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日，应收单位四之款项为人民币 </w:t>
            </w:r>
            <w:r>
              <w:rPr>
                <w:rFonts w:ascii="Times New Roman" w:eastAsia="Times New Roman" w:hAnsi="Times New Roman" w:cs="Times New Roman"/>
                <w:color w:val="000000"/>
                <w:spacing w:val="0"/>
                <w:w w:val="100"/>
                <w:position w:val="0"/>
                <w:sz w:val="18"/>
                <w:szCs w:val="18"/>
              </w:rPr>
              <w:t>2,503,130.00</w:t>
            </w:r>
            <w:r>
              <w:rPr>
                <w:color w:val="000000"/>
                <w:spacing w:val="0"/>
                <w:w w:val="100"/>
                <w:position w:val="0"/>
              </w:rPr>
              <w:t>元，单位四自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年下半年起未履行 上述应收款项的支付义务，其履行偿债义务的能力 发生了显著变化。本集团认为该应收款项难以收回， 已发生信用减值，因此全额计提坏账准备。</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13,088,125.62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13,088,125.62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按组合计提坏账准备：</w:t>
      </w:r>
      <w:r>
        <w:rPr>
          <w:rFonts w:ascii="Times New Roman" w:eastAsia="Times New Roman" w:hAnsi="Times New Roman" w:cs="Times New Roman"/>
          <w:color w:val="000000"/>
          <w:spacing w:val="0"/>
          <w:w w:val="100"/>
          <w:position w:val="0"/>
          <w:sz w:val="18"/>
          <w:szCs w:val="18"/>
        </w:rPr>
        <w:t>391,304.26</w:t>
      </w:r>
    </w:p>
    <w:p>
      <w:pPr>
        <w:widowControl w:val="0"/>
        <w:spacing w:after="99" w:line="1" w:lineRule="exact"/>
      </w:pP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496"/>
        <w:gridCol w:w="2664"/>
        <w:gridCol w:w="2395"/>
        <w:gridCol w:w="2035"/>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20" w:right="0" w:firstLine="0"/>
              <w:jc w:val="left"/>
            </w:pPr>
            <w:r>
              <w:rPr>
                <w:b/>
                <w:bCs/>
                <w:color w:val="FFFFFF"/>
                <w:spacing w:val="0"/>
                <w:w w:val="100"/>
                <w:position w:val="0"/>
              </w:rPr>
              <w:t>名称</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期末余额</w:t>
            </w:r>
          </w:p>
        </w:tc>
        <w:tc>
          <w:tcPr>
            <w:tcBorders/>
            <w:shd w:val="clear" w:color="auto" w:fill="A6A6A6"/>
            <w:vAlign w:val="top"/>
          </w:tcPr>
          <w:p>
            <w:pPr>
              <w:widowControl w:val="0"/>
              <w:rPr>
                <w:sz w:val="10"/>
                <w:szCs w:val="10"/>
              </w:rPr>
            </w:pPr>
          </w:p>
        </w:tc>
      </w:tr>
      <w:tr>
        <w:trPr>
          <w:trHeight w:val="398"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坏账准备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计提比例</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按组合计提坏账准备</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23,985,790.77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391,304.26</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60" w:right="0" w:firstLine="0"/>
              <w:jc w:val="left"/>
              <w:rPr>
                <w:sz w:val="18"/>
                <w:szCs w:val="18"/>
              </w:rPr>
            </w:pPr>
            <w:r>
              <w:rPr>
                <w:rFonts w:ascii="Times New Roman" w:eastAsia="Times New Roman" w:hAnsi="Times New Roman" w:cs="Times New Roman"/>
                <w:b/>
                <w:bCs/>
                <w:color w:val="FFFFFF"/>
                <w:spacing w:val="0"/>
                <w:w w:val="100"/>
                <w:position w:val="0"/>
                <w:sz w:val="18"/>
                <w:szCs w:val="18"/>
              </w:rPr>
              <w:t>23,985,790.77</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00" w:right="0" w:firstLine="0"/>
              <w:jc w:val="left"/>
              <w:rPr>
                <w:sz w:val="18"/>
                <w:szCs w:val="18"/>
              </w:rPr>
            </w:pPr>
            <w:r>
              <w:rPr>
                <w:rFonts w:ascii="Times New Roman" w:eastAsia="Times New Roman" w:hAnsi="Times New Roman" w:cs="Times New Roman"/>
                <w:b/>
                <w:bCs/>
                <w:color w:val="FFFFFF"/>
                <w:spacing w:val="0"/>
                <w:w w:val="100"/>
                <w:position w:val="0"/>
                <w:sz w:val="18"/>
                <w:szCs w:val="18"/>
              </w:rPr>
              <w:t>391,304.26</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rPr>
                <w:sz w:val="18"/>
                <w:szCs w:val="18"/>
              </w:rPr>
            </w:pPr>
            <w:r>
              <w:rPr>
                <w:rFonts w:ascii="Times New Roman" w:eastAsia="Times New Roman" w:hAnsi="Times New Roman" w:cs="Times New Roman"/>
                <w:b/>
                <w:bCs/>
                <w:color w:val="FFFFFF"/>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461" w:right="0" w:firstLine="0"/>
        <w:jc w:val="left"/>
      </w:pPr>
      <w:r>
        <w:rPr>
          <w:color w:val="000000"/>
          <w:spacing w:val="0"/>
          <w:w w:val="100"/>
          <w:position w:val="0"/>
        </w:rPr>
        <w:t>确定该组合依据的说明:</w:t>
      </w:r>
    </w:p>
    <w:p>
      <w:pPr>
        <w:widowControl w:val="0"/>
        <w:spacing w:after="279" w:line="1" w:lineRule="exact"/>
      </w:pPr>
    </w:p>
    <w:p>
      <w:pPr>
        <w:pStyle w:val="Style31"/>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作为本集团信用风险管理的一部分，本集团利用应收账款账龄来评估不同风险特征类别客户形成的应收账款的预期信用</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损失。</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p>
      <w:pPr>
        <w:pStyle w:val="Style31"/>
        <w:keepNext w:val="0"/>
        <w:keepLines w:val="0"/>
        <w:widowControl w:val="0"/>
        <w:pBdr>
          <w:top w:val="single" w:sz="0" w:space="6" w:color="A6A6A6"/>
          <w:left w:val="single" w:sz="0" w:space="0" w:color="A6A6A6"/>
          <w:bottom w:val="single" w:sz="0" w:space="0" w:color="A6A6A6"/>
          <w:right w:val="single" w:sz="0" w:space="0" w:color="A6A6A6"/>
        </w:pBdr>
        <w:shd w:val="clear" w:color="auto" w:fill="A6A6A6"/>
        <w:tabs>
          <w:tab w:pos="4598" w:val="left"/>
        </w:tabs>
        <w:bidi w:val="0"/>
        <w:spacing w:before="0" w:after="200" w:line="240" w:lineRule="auto"/>
        <w:ind w:left="0" w:right="0" w:firstLine="0"/>
        <w:jc w:val="center"/>
      </w:pPr>
      <w:r>
        <w:rPr>
          <w:b/>
          <w:bCs/>
          <w:color w:val="FFFFFF"/>
          <w:spacing w:val="0"/>
          <w:w w:val="100"/>
          <w:position w:val="0"/>
        </w:rPr>
        <w:t>账龄</w:t>
        <w:tab/>
        <w:t>账面余额</w:t>
      </w:r>
      <w:r>
        <w:br w:type="page"/>
      </w:r>
    </w:p>
    <w:tbl>
      <w:tblPr>
        <w:tblOverlap w:val="never"/>
        <w:jc w:val="center"/>
        <w:tblLayout w:type="fixed"/>
      </w:tblPr>
      <w:tblGrid>
        <w:gridCol w:w="4781"/>
        <w:gridCol w:w="479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账龄</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年以内（含</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w:t>
            </w:r>
          </w:p>
        </w:tc>
        <w:tc>
          <w:tcPr>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至</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年</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至</w:t>
            </w: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年以上</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37,073,916.39</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898"/>
      <w:bookmarkEnd w:id="899"/>
      <w:bookmarkEnd w:id="90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536"/>
        <w:gridCol w:w="1349"/>
        <w:gridCol w:w="1330"/>
        <w:gridCol w:w="1474"/>
        <w:gridCol w:w="1392"/>
        <w:gridCol w:w="1229"/>
        <w:gridCol w:w="1291"/>
      </w:tblGrid>
      <w:tr>
        <w:trPr>
          <w:trHeight w:val="413"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类别</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期初余额</w:t>
            </w:r>
          </w:p>
        </w:tc>
        <w:tc>
          <w:tcPr>
            <w:gridSpan w:val="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本期变动金额</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r>
      <w:tr>
        <w:trPr>
          <w:trHeight w:val="398" w:hRule="exact"/>
        </w:trPr>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计提</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60" w:right="0" w:firstLine="0"/>
              <w:jc w:val="center"/>
            </w:pPr>
            <w:r>
              <w:rPr>
                <w:b/>
                <w:bCs/>
                <w:color w:val="FFFFFF"/>
                <w:spacing w:val="0"/>
                <w:w w:val="100"/>
                <w:position w:val="0"/>
              </w:rPr>
              <w:t>收回或转回</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核销</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其他</w:t>
            </w:r>
          </w:p>
        </w:tc>
        <w:tc>
          <w:tcPr>
            <w:vMerge/>
            <w:tcBorders/>
            <w:shd w:val="clear" w:color="auto" w:fill="A6A6A6"/>
            <w:vAlign w:val="center"/>
          </w:tcPr>
          <w:p>
            <w:pPr/>
          </w:p>
        </w:tc>
      </w:tr>
      <w:tr>
        <w:trPr>
          <w:trHeight w:val="71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按单项计提坏账</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准备的应收账款</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3,180,130.00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677,000.00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13,088,125.62</w:t>
            </w:r>
          </w:p>
        </w:tc>
      </w:tr>
      <w:tr>
        <w:trPr>
          <w:trHeight w:val="72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left"/>
            </w:pPr>
            <w:r>
              <w:rPr>
                <w:b/>
                <w:bCs/>
                <w:color w:val="FFFFFF"/>
                <w:spacing w:val="0"/>
                <w:w w:val="100"/>
                <w:position w:val="0"/>
              </w:rPr>
              <w:t>按组合计提坏账 准备的应收账款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405,678.10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15,170.75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9,000.27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20,544.32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391,304.26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10,990,673.72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rPr>
                <w:sz w:val="18"/>
                <w:szCs w:val="18"/>
              </w:rPr>
            </w:pPr>
            <w:r>
              <w:rPr>
                <w:rFonts w:ascii="Times New Roman" w:eastAsia="Times New Roman" w:hAnsi="Times New Roman" w:cs="Times New Roman"/>
                <w:b/>
                <w:bCs/>
                <w:color w:val="FFFFFF"/>
                <w:spacing w:val="0"/>
                <w:w w:val="100"/>
                <w:position w:val="0"/>
                <w:sz w:val="18"/>
                <w:szCs w:val="18"/>
              </w:rPr>
              <w:t>3,195,300.75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rPr>
                <w:sz w:val="18"/>
                <w:szCs w:val="18"/>
              </w:rPr>
            </w:pPr>
            <w:r>
              <w:rPr>
                <w:rFonts w:ascii="Times New Roman" w:eastAsia="Times New Roman" w:hAnsi="Times New Roman" w:cs="Times New Roman"/>
                <w:b/>
                <w:bCs/>
                <w:color w:val="FFFFFF"/>
                <w:spacing w:val="0"/>
                <w:w w:val="100"/>
                <w:position w:val="0"/>
                <w:sz w:val="18"/>
                <w:szCs w:val="18"/>
              </w:rPr>
              <w:t>9,000.27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8"/>
                <w:szCs w:val="18"/>
              </w:rPr>
            </w:pPr>
            <w:r>
              <w:rPr>
                <w:rFonts w:ascii="Times New Roman" w:eastAsia="Times New Roman" w:hAnsi="Times New Roman" w:cs="Times New Roman"/>
                <w:b/>
                <w:bCs/>
                <w:color w:val="FFFFFF"/>
                <w:spacing w:val="0"/>
                <w:w w:val="100"/>
                <w:position w:val="0"/>
                <w:sz w:val="18"/>
                <w:szCs w:val="18"/>
              </w:rPr>
              <w:t>697,544.32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rPr>
                <w:sz w:val="18"/>
                <w:szCs w:val="18"/>
              </w:rPr>
            </w:pPr>
            <w:r>
              <w:rPr>
                <w:rFonts w:ascii="Times New Roman" w:eastAsia="Times New Roman" w:hAnsi="Times New Roman" w:cs="Times New Roman"/>
                <w:b/>
                <w:bCs/>
                <w:color w:val="FFFFFF"/>
                <w:spacing w:val="0"/>
                <w:w w:val="100"/>
                <w:position w:val="0"/>
                <w:sz w:val="18"/>
                <w:szCs w:val="18"/>
              </w:rPr>
              <w:t>0.00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rPr>
                <w:sz w:val="18"/>
                <w:szCs w:val="18"/>
              </w:rPr>
            </w:pPr>
            <w:r>
              <w:rPr>
                <w:rFonts w:ascii="Times New Roman" w:eastAsia="Times New Roman" w:hAnsi="Times New Roman" w:cs="Times New Roman"/>
                <w:b/>
                <w:bCs/>
                <w:color w:val="FFFFFF"/>
                <w:spacing w:val="0"/>
                <w:w w:val="100"/>
                <w:position w:val="0"/>
                <w:sz w:val="18"/>
                <w:szCs w:val="18"/>
              </w:rPr>
              <w:t>13,479,429.88</w:t>
            </w:r>
          </w:p>
        </w:tc>
      </w:tr>
    </w:tbl>
    <w:p>
      <w:pPr>
        <w:widowControl w:val="0"/>
        <w:spacing w:after="359" w:line="1" w:lineRule="exact"/>
      </w:pPr>
    </w:p>
    <w:p>
      <w:pPr>
        <w:pStyle w:val="Style69"/>
        <w:keepNext/>
        <w:keepLines/>
        <w:widowControl w:val="0"/>
        <w:shd w:val="clear" w:color="auto" w:fill="auto"/>
        <w:tabs>
          <w:tab w:pos="493" w:val="left"/>
        </w:tabs>
        <w:bidi w:val="0"/>
        <w:spacing w:before="0" w:after="36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02"/>
      <w:bookmarkEnd w:id="903"/>
      <w:bookmarkEnd w:id="905"/>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360" w:line="240" w:lineRule="auto"/>
        <w:ind w:left="0" w:right="0" w:firstLine="8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年度，本集团实际核销的应收账款金额为</w:t>
      </w:r>
      <w:r>
        <w:rPr>
          <w:rFonts w:ascii="Times New Roman" w:eastAsia="Times New Roman" w:hAnsi="Times New Roman" w:cs="Times New Roman"/>
          <w:color w:val="000000"/>
          <w:spacing w:val="0"/>
          <w:w w:val="100"/>
          <w:position w:val="0"/>
          <w:sz w:val="18"/>
          <w:szCs w:val="18"/>
        </w:rPr>
        <w:t>697,544.32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年度：无）。</w:t>
      </w:r>
    </w:p>
    <w:p>
      <w:pPr>
        <w:pStyle w:val="Style69"/>
        <w:keepNext/>
        <w:keepLines/>
        <w:widowControl w:val="0"/>
        <w:shd w:val="clear" w:color="auto" w:fill="auto"/>
        <w:tabs>
          <w:tab w:pos="493" w:val="left"/>
        </w:tabs>
        <w:bidi w:val="0"/>
        <w:spacing w:before="0" w:after="36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906"/>
      <w:bookmarkEnd w:id="907"/>
      <w:bookmarkEnd w:id="909"/>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002"/>
        <w:gridCol w:w="2606"/>
        <w:gridCol w:w="2717"/>
        <w:gridCol w:w="2328"/>
      </w:tblGrid>
      <w:tr>
        <w:trPr>
          <w:trHeight w:val="74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单位名称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b/>
                <w:bCs/>
                <w:color w:val="FFFFFF"/>
                <w:spacing w:val="0"/>
                <w:w w:val="100"/>
                <w:position w:val="0"/>
              </w:rPr>
              <w:t>应收账款期末余额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占应收账款期末余额合计数</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80"/>
              <w:jc w:val="left"/>
              <w:rPr>
                <w:sz w:val="18"/>
                <w:szCs w:val="18"/>
              </w:rPr>
            </w:pPr>
            <w:r>
              <w:rPr>
                <w:b/>
                <w:bCs/>
                <w:color w:val="FFFFFF"/>
                <w:spacing w:val="0"/>
                <w:w w:val="100"/>
                <w:position w:val="0"/>
                <w:sz w:val="15"/>
                <w:szCs w:val="15"/>
              </w:rPr>
              <w:t>的比例</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9"/>
                <w:szCs w:val="19"/>
              </w:rPr>
              <w:t>％</w:t>
            </w: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坏账准备期末余额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11,189,638.94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177,915.26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单位二</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10,584,995.62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3,286,068.03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55,534.55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2,865,977.12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45,569.04</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r>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rPr>
                <w:sz w:val="18"/>
                <w:szCs w:val="18"/>
              </w:rPr>
            </w:pPr>
            <w:r>
              <w:rPr>
                <w:rFonts w:ascii="Times New Roman" w:eastAsia="Times New Roman" w:hAnsi="Times New Roman" w:cs="Times New Roman"/>
                <w:b/>
                <w:bCs/>
                <w:color w:val="FFFFFF"/>
                <w:spacing w:val="0"/>
                <w:w w:val="100"/>
                <w:position w:val="0"/>
                <w:sz w:val="18"/>
                <w:szCs w:val="18"/>
              </w:rPr>
              <w:t>30,429,809.71</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960" w:right="0" w:firstLine="0"/>
              <w:jc w:val="left"/>
              <w:rPr>
                <w:sz w:val="18"/>
                <w:szCs w:val="18"/>
              </w:rPr>
            </w:pPr>
            <w:r>
              <w:rPr>
                <w:rFonts w:ascii="Times New Roman" w:eastAsia="Times New Roman" w:hAnsi="Times New Roman" w:cs="Times New Roman"/>
                <w:b/>
                <w:bCs/>
                <w:color w:val="FFFFFF"/>
                <w:spacing w:val="0"/>
                <w:w w:val="100"/>
                <w:position w:val="0"/>
                <w:sz w:val="18"/>
                <w:szCs w:val="18"/>
              </w:rPr>
              <w:t>82.07</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13,367,144.47</w:t>
            </w:r>
          </w:p>
        </w:tc>
      </w:tr>
    </w:tbl>
    <w:p>
      <w:pPr>
        <w:spacing w:lineRule="exact" w:line="1"/>
        <w:rPr>
          <w:sz w:val="2"/>
          <w:szCs w:val="2"/>
        </w:rPr>
      </w:pPr>
      <w:r>
        <w:br w:type="page"/>
      </w:r>
    </w:p>
    <w:p>
      <w:pPr>
        <w:pStyle w:val="Style49"/>
        <w:keepNext/>
        <w:keepLines/>
        <w:widowControl w:val="0"/>
        <w:shd w:val="clear" w:color="auto" w:fill="auto"/>
        <w:bidi w:val="0"/>
        <w:spacing w:before="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color w:val="000000"/>
          <w:spacing w:val="0"/>
          <w:w w:val="100"/>
          <w:position w:val="0"/>
        </w:rPr>
        <w:t>、预付款项</w:t>
      </w:r>
      <w:bookmarkEnd w:id="910"/>
      <w:bookmarkEnd w:id="911"/>
      <w:bookmarkEnd w:id="913"/>
    </w:p>
    <w:p>
      <w:pPr>
        <w:pStyle w:val="Style69"/>
        <w:keepNext/>
        <w:keepLines/>
        <w:widowControl w:val="0"/>
        <w:shd w:val="clear" w:color="auto" w:fill="auto"/>
        <w:bidi w:val="0"/>
        <w:spacing w:before="0" w:after="36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14"/>
      <w:bookmarkEnd w:id="915"/>
      <w:bookmarkEnd w:id="917"/>
    </w:p>
    <w:p>
      <w:pPr>
        <w:pStyle w:val="Style31"/>
        <w:keepNext w:val="0"/>
        <w:keepLines w:val="0"/>
        <w:widowControl w:val="0"/>
        <w:shd w:val="clear" w:color="auto" w:fill="auto"/>
        <w:bidi w:val="0"/>
        <w:spacing w:before="0" w:after="200" w:line="240" w:lineRule="auto"/>
        <w:ind w:left="9020" w:right="0" w:firstLine="0"/>
        <w:jc w:val="left"/>
      </w:pPr>
      <w:r>
        <w:rPr>
          <w:color w:val="000000"/>
          <w:spacing w:val="0"/>
          <w:w w:val="100"/>
          <w:position w:val="0"/>
        </w:rPr>
        <w:t>单位：元</w:t>
      </w:r>
    </w:p>
    <w:tbl>
      <w:tblPr>
        <w:tblOverlap w:val="never"/>
        <w:jc w:val="center"/>
        <w:tblLayout w:type="fixed"/>
      </w:tblPr>
      <w:tblGrid>
        <w:gridCol w:w="1829"/>
        <w:gridCol w:w="2496"/>
        <w:gridCol w:w="1670"/>
        <w:gridCol w:w="2165"/>
        <w:gridCol w:w="1258"/>
      </w:tblGrid>
      <w:tr>
        <w:trPr>
          <w:trHeight w:val="326"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80"/>
              <w:jc w:val="left"/>
            </w:pPr>
            <w:r>
              <w:rPr>
                <w:b/>
                <w:bCs/>
                <w:color w:val="FFFFFF"/>
                <w:spacing w:val="0"/>
                <w:w w:val="100"/>
                <w:position w:val="0"/>
              </w:rPr>
              <w:t>账龄</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60" w:right="0" w:firstLine="0"/>
              <w:jc w:val="left"/>
            </w:pPr>
            <w:r>
              <w:rPr>
                <w:b/>
                <w:bCs/>
                <w:color w:val="FFFFFF"/>
                <w:spacing w:val="0"/>
                <w:w w:val="100"/>
                <w:position w:val="0"/>
              </w:rPr>
              <w:t>期末余额</w:t>
            </w:r>
          </w:p>
        </w:tc>
        <w:tc>
          <w:tcPr>
            <w:tcBorders/>
            <w:shd w:val="clear" w:color="auto" w:fill="A6A6A6"/>
            <w:vAlign w:val="top"/>
          </w:tcPr>
          <w:p>
            <w:pPr>
              <w:widowControl w:val="0"/>
              <w:rPr>
                <w:sz w:val="10"/>
                <w:szCs w:val="10"/>
              </w:rPr>
            </w:pP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20" w:right="0" w:firstLine="0"/>
              <w:jc w:val="left"/>
            </w:pPr>
            <w:r>
              <w:rPr>
                <w:b/>
                <w:bCs/>
                <w:color w:val="FFFFFF"/>
                <w:spacing w:val="0"/>
                <w:w w:val="100"/>
                <w:position w:val="0"/>
              </w:rPr>
              <w:t>期初余额</w:t>
            </w:r>
          </w:p>
        </w:tc>
        <w:tc>
          <w:tcPr>
            <w:tcBorders/>
            <w:shd w:val="clear" w:color="auto" w:fill="A6A6A6"/>
            <w:vAlign w:val="top"/>
          </w:tcPr>
          <w:p>
            <w:pPr>
              <w:widowControl w:val="0"/>
              <w:rPr>
                <w:sz w:val="10"/>
                <w:szCs w:val="10"/>
              </w:rPr>
            </w:pPr>
          </w:p>
        </w:tc>
      </w:tr>
      <w:tr>
        <w:trPr>
          <w:trHeight w:val="398"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both"/>
            </w:pPr>
            <w:r>
              <w:rPr>
                <w:b/>
                <w:bCs/>
                <w:color w:val="FFFFFF"/>
                <w:spacing w:val="0"/>
                <w:w w:val="100"/>
                <w:position w:val="0"/>
              </w:rPr>
              <w:t>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pPr>
            <w:r>
              <w:rPr>
                <w:b/>
                <w:bCs/>
                <w:color w:val="FFFFFF"/>
                <w:spacing w:val="0"/>
                <w:w w:val="100"/>
                <w:position w:val="0"/>
              </w:rPr>
              <w:t>比例</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年以内</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14,443,053.93</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9,908,208.02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rPr>
                <w:sz w:val="18"/>
                <w:szCs w:val="18"/>
              </w:rPr>
            </w:pPr>
            <w:r>
              <w:rPr>
                <w:rFonts w:ascii="Times New Roman" w:eastAsia="Times New Roman" w:hAnsi="Times New Roman" w:cs="Times New Roman"/>
                <w:b/>
                <w:bCs/>
                <w:color w:val="FFFFFF"/>
                <w:spacing w:val="0"/>
                <w:w w:val="100"/>
                <w:position w:val="0"/>
                <w:sz w:val="18"/>
                <w:szCs w:val="18"/>
              </w:rPr>
              <w:t>14,443,053.93</w:t>
            </w:r>
          </w:p>
        </w:tc>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both"/>
              <w:rPr>
                <w:sz w:val="18"/>
                <w:szCs w:val="18"/>
              </w:rPr>
            </w:pPr>
            <w:r>
              <w:rPr>
                <w:rFonts w:ascii="Times New Roman" w:eastAsia="Times New Roman" w:hAnsi="Times New Roman" w:cs="Times New Roman"/>
                <w:color w:val="FFFFFF"/>
                <w:spacing w:val="0"/>
                <w:w w:val="100"/>
                <w:position w:val="0"/>
                <w:sz w:val="18"/>
                <w:szCs w:val="18"/>
              </w:rPr>
              <w:t>—</w:t>
            </w:r>
          </w:p>
        </w:tc>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rPr>
                <w:sz w:val="18"/>
                <w:szCs w:val="18"/>
              </w:rPr>
            </w:pPr>
            <w:r>
              <w:rPr>
                <w:rFonts w:ascii="Times New Roman" w:eastAsia="Times New Roman" w:hAnsi="Times New Roman" w:cs="Times New Roman"/>
                <w:b/>
                <w:bCs/>
                <w:color w:val="FFFFFF"/>
                <w:spacing w:val="0"/>
                <w:w w:val="100"/>
                <w:position w:val="0"/>
                <w:sz w:val="18"/>
                <w:szCs w:val="18"/>
              </w:rPr>
              <w:t>9,908,208.02</w:t>
            </w:r>
          </w:p>
        </w:tc>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both"/>
              <w:rPr>
                <w:sz w:val="18"/>
                <w:szCs w:val="18"/>
              </w:rPr>
            </w:pPr>
            <w:r>
              <w:rPr>
                <w:rFonts w:ascii="Times New Roman" w:eastAsia="Times New Roman" w:hAnsi="Times New Roman" w:cs="Times New Roman"/>
                <w:color w:val="FFFFFF"/>
                <w:spacing w:val="0"/>
                <w:w w:val="100"/>
                <w:position w:val="0"/>
                <w:sz w:val="18"/>
                <w:szCs w:val="18"/>
              </w:rPr>
              <w:t>—</w:t>
            </w:r>
          </w:p>
        </w:tc>
      </w:tr>
    </w:tbl>
    <w:p>
      <w:pPr>
        <w:widowControl w:val="0"/>
        <w:spacing w:after="19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9"/>
        <w:keepNext/>
        <w:keepLines/>
        <w:widowControl w:val="0"/>
        <w:shd w:val="clear" w:color="auto" w:fill="auto"/>
        <w:bidi w:val="0"/>
        <w:spacing w:before="0" w:after="360" w:line="240" w:lineRule="auto"/>
        <w:ind w:left="0" w:right="0" w:firstLine="22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18"/>
      <w:bookmarkEnd w:id="919"/>
      <w:bookmarkEnd w:id="92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4858"/>
        <w:gridCol w:w="2880"/>
        <w:gridCol w:w="1728"/>
      </w:tblGrid>
      <w:tr>
        <w:trPr>
          <w:trHeight w:val="667"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00" w:after="0" w:line="240" w:lineRule="auto"/>
              <w:ind w:left="0" w:right="0" w:firstLine="0"/>
              <w:jc w:val="center"/>
            </w:pPr>
            <w:r>
              <w:rPr>
                <w:b/>
                <w:bCs/>
                <w:color w:val="FFFFFF"/>
                <w:spacing w:val="0"/>
                <w:w w:val="100"/>
                <w:position w:val="0"/>
              </w:rPr>
              <w:t>单位名称</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00" w:after="0" w:line="240" w:lineRule="auto"/>
              <w:ind w:left="0" w:right="0" w:firstLine="0"/>
              <w:jc w:val="center"/>
            </w:pPr>
            <w:r>
              <w:rPr>
                <w:b/>
                <w:bCs/>
                <w:color w:val="FFFFFF"/>
                <w:spacing w:val="0"/>
                <w:w w:val="100"/>
                <w:position w:val="0"/>
              </w:rPr>
              <w:t>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100" w:right="0" w:firstLine="0"/>
              <w:jc w:val="center"/>
              <w:rPr>
                <w:sz w:val="18"/>
                <w:szCs w:val="18"/>
              </w:rPr>
            </w:pPr>
            <w:r>
              <w:rPr>
                <w:b/>
                <w:bCs/>
                <w:color w:val="FFFFFF"/>
                <w:spacing w:val="0"/>
                <w:w w:val="100"/>
                <w:position w:val="0"/>
                <w:sz w:val="15"/>
                <w:szCs w:val="15"/>
              </w:rPr>
              <w:t>占预付款项 总额的比例</w:t>
            </w:r>
            <w:r>
              <w:rPr>
                <w:rFonts w:ascii="Times New Roman" w:eastAsia="Times New Roman" w:hAnsi="Times New Roman" w:cs="Times New Roman"/>
                <w:b/>
                <w:bCs/>
                <w:color w:val="FFFFFF"/>
                <w:spacing w:val="0"/>
                <w:w w:val="100"/>
                <w:position w:val="0"/>
                <w:sz w:val="18"/>
                <w:szCs w:val="18"/>
              </w:rPr>
              <w:t>（%）</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5,668,257.54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39.25</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单位二</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1,917,554.61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1,325,642.73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1,097,872.15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850,636.00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220" w:firstLine="0"/>
              <w:jc w:val="right"/>
              <w:rPr>
                <w:sz w:val="18"/>
                <w:szCs w:val="18"/>
              </w:rPr>
            </w:pPr>
            <w:r>
              <w:rPr>
                <w:rFonts w:ascii="Times New Roman" w:eastAsia="Times New Roman" w:hAnsi="Times New Roman" w:cs="Times New Roman"/>
                <w:b/>
                <w:bCs/>
                <w:color w:val="FFFFFF"/>
                <w:spacing w:val="0"/>
                <w:w w:val="100"/>
                <w:position w:val="0"/>
                <w:sz w:val="18"/>
                <w:szCs w:val="18"/>
              </w:rPr>
              <w:t>10,859,963.03</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00" w:right="0" w:firstLine="0"/>
              <w:jc w:val="left"/>
              <w:rPr>
                <w:sz w:val="18"/>
                <w:szCs w:val="18"/>
              </w:rPr>
            </w:pPr>
            <w:r>
              <w:rPr>
                <w:rFonts w:ascii="Times New Roman" w:eastAsia="Times New Roman" w:hAnsi="Times New Roman" w:cs="Times New Roman"/>
                <w:b/>
                <w:bCs/>
                <w:color w:val="FFFFFF"/>
                <w:spacing w:val="0"/>
                <w:w w:val="100"/>
                <w:position w:val="0"/>
                <w:sz w:val="18"/>
                <w:szCs w:val="18"/>
              </w:rPr>
              <w:t>75.20</w:t>
            </w:r>
          </w:p>
        </w:tc>
      </w:tr>
    </w:tbl>
    <w:p>
      <w:pPr>
        <w:widowControl w:val="0"/>
        <w:spacing w:after="359" w:line="1" w:lineRule="exact"/>
      </w:pPr>
    </w:p>
    <w:p>
      <w:pPr>
        <w:pStyle w:val="Style49"/>
        <w:keepNext/>
        <w:keepLines/>
        <w:widowControl w:val="0"/>
        <w:shd w:val="clear" w:color="auto" w:fill="auto"/>
        <w:bidi w:val="0"/>
        <w:spacing w:before="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4</w:t>
      </w:r>
      <w:bookmarkEnd w:id="924"/>
      <w:r>
        <w:rPr>
          <w:color w:val="000000"/>
          <w:spacing w:val="0"/>
          <w:w w:val="100"/>
          <w:position w:val="0"/>
        </w:rPr>
        <w:t>、其他应收款</w:t>
      </w:r>
      <w:bookmarkEnd w:id="922"/>
      <w:bookmarkEnd w:id="923"/>
      <w:bookmarkEnd w:id="925"/>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854"/>
        <w:gridCol w:w="2635"/>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应收利息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应收股利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21,171,917.71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11,744,619.69</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40" w:right="0" w:firstLine="0"/>
              <w:jc w:val="left"/>
              <w:rPr>
                <w:sz w:val="18"/>
                <w:szCs w:val="18"/>
              </w:rPr>
            </w:pPr>
            <w:r>
              <w:rPr>
                <w:rFonts w:ascii="Times New Roman" w:eastAsia="Times New Roman" w:hAnsi="Times New Roman" w:cs="Times New Roman"/>
                <w:b/>
                <w:bCs/>
                <w:color w:val="FFFFFF"/>
                <w:spacing w:val="0"/>
                <w:w w:val="100"/>
                <w:position w:val="0"/>
                <w:sz w:val="18"/>
                <w:szCs w:val="18"/>
              </w:rPr>
              <w:t>21,171,917.71</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80" w:right="0" w:firstLine="0"/>
              <w:jc w:val="left"/>
              <w:rPr>
                <w:sz w:val="18"/>
                <w:szCs w:val="18"/>
              </w:rPr>
            </w:pPr>
            <w:r>
              <w:rPr>
                <w:rFonts w:ascii="Times New Roman" w:eastAsia="Times New Roman" w:hAnsi="Times New Roman" w:cs="Times New Roman"/>
                <w:b/>
                <w:bCs/>
                <w:color w:val="FFFFFF"/>
                <w:spacing w:val="0"/>
                <w:w w:val="100"/>
                <w:position w:val="0"/>
                <w:sz w:val="18"/>
                <w:szCs w:val="18"/>
              </w:rPr>
              <w:t>11,744,619.69</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926" w:name="bookmark926"/>
      <w:bookmarkStart w:id="927" w:name="bookmark927"/>
      <w:bookmarkStart w:id="928" w:name="bookmark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926"/>
      <w:bookmarkEnd w:id="927"/>
      <w:bookmarkEnd w:id="928"/>
    </w:p>
    <w:p>
      <w:pPr>
        <w:pStyle w:val="Style121"/>
        <w:keepNext/>
        <w:keepLines/>
        <w:widowControl w:val="0"/>
        <w:shd w:val="clear" w:color="auto" w:fill="auto"/>
        <w:bidi w:val="0"/>
        <w:spacing w:before="0" w:after="6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color w:val="000000"/>
          <w:spacing w:val="0"/>
          <w:w w:val="100"/>
          <w:position w:val="0"/>
        </w:rPr>
        <w:t>）其他应收款按款项性质分类情况</w:t>
      </w:r>
      <w:bookmarkEnd w:id="929"/>
      <w:bookmarkEnd w:id="930"/>
      <w:bookmarkEnd w:id="932"/>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360" w:line="240" w:lineRule="auto"/>
        <w:ind w:left="0" w:right="0" w:firstLine="0"/>
        <w:jc w:val="center"/>
      </w:pPr>
      <w:r>
        <mc:AlternateContent>
          <mc:Choice Requires="wps">
            <w:drawing>
              <wp:anchor distT="0" distB="0" distL="114300" distR="114300" simplePos="0" relativeHeight="125829676" behindDoc="0" locked="0" layoutInCell="1" allowOverlap="1">
                <wp:simplePos x="0" y="0"/>
                <wp:positionH relativeFrom="page">
                  <wp:posOffset>6007735</wp:posOffset>
                </wp:positionH>
                <wp:positionV relativeFrom="paragraph">
                  <wp:posOffset>12700</wp:posOffset>
                </wp:positionV>
                <wp:extent cx="490855" cy="152400"/>
                <wp:wrapSquare wrapText="left"/>
                <wp:docPr id="416" name="Shape 416"/>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年初余额</w:t>
                            </w:r>
                          </w:p>
                        </w:txbxContent>
                      </wps:txbx>
                      <wps:bodyPr wrap="none" lIns="0" tIns="0" rIns="0" bIns="0">
                        <a:noAutoFit/>
                      </wps:bodyPr>
                    </wps:wsp>
                  </a:graphicData>
                </a:graphic>
              </wp:anchor>
            </w:drawing>
          </mc:Choice>
          <mc:Fallback>
            <w:pict>
              <v:shape id="_x0000_s1442" type="#_x0000_t202" style="position:absolute;margin-left:473.05000000000001pt;margin-top:1.pt;width:38.649999999999999pt;height:12.pt;z-index:-125829077;mso-wrap-distance-left:9.pt;mso-wrap-distance-right:9.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年初余额</w:t>
                      </w:r>
                    </w:p>
                  </w:txbxContent>
                </v:textbox>
                <w10:wrap type="square" side="left" anchorx="page"/>
              </v:shape>
            </w:pict>
          </mc:Fallback>
        </mc:AlternateContent>
      </w:r>
      <w:r>
        <mc:AlternateContent>
          <mc:Choice Requires="wps">
            <w:drawing>
              <wp:anchor distT="12700" distB="3175" distL="114300" distR="5295900" simplePos="0" relativeHeight="125829678" behindDoc="0" locked="0" layoutInCell="1" allowOverlap="1">
                <wp:simplePos x="0" y="0"/>
                <wp:positionH relativeFrom="page">
                  <wp:posOffset>880745</wp:posOffset>
                </wp:positionH>
                <wp:positionV relativeFrom="margin">
                  <wp:posOffset>8555990</wp:posOffset>
                </wp:positionV>
                <wp:extent cx="719455" cy="149225"/>
                <wp:wrapTopAndBottom/>
                <wp:docPr id="418" name="Shape 418"/>
                <a:graphic xmlns:a="http://schemas.openxmlformats.org/drawingml/2006/main">
                  <a:graphicData uri="http://schemas.microsoft.com/office/word/2010/wordprocessingShape">
                    <wps:wsp>
                      <wps:cNvSpPr txBox="1"/>
                      <wps:spPr>
                        <a:xfrm>
                          <a:ext cx="719455"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押金及保证金</w:t>
                            </w:r>
                          </w:p>
                        </w:txbxContent>
                      </wps:txbx>
                      <wps:bodyPr wrap="none" lIns="0" tIns="0" rIns="0" bIns="0">
                        <a:noAutoFit/>
                      </wps:bodyPr>
                    </wps:wsp>
                  </a:graphicData>
                </a:graphic>
              </wp:anchor>
            </w:drawing>
          </mc:Choice>
          <mc:Fallback>
            <w:pict>
              <v:shape id="_x0000_s1444" type="#_x0000_t202" style="position:absolute;margin-left:69.350000000000009pt;margin-top:673.70000000000005pt;width:56.649999999999999pt;height:11.75pt;z-index:-125829075;mso-wrap-distance-left:9.pt;mso-wrap-distance-top:1.pt;mso-wrap-distance-right:417.pt;mso-wrap-distance-bottom:0.25pt;mso-position-horizontal-relative:page;mso-position-vertical-relative:margin"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押金及保证金</w:t>
                      </w:r>
                    </w:p>
                  </w:txbxContent>
                </v:textbox>
                <w10:wrap type="topAndBottom" anchorx="page" anchory="margin"/>
              </v:shape>
            </w:pict>
          </mc:Fallback>
        </mc:AlternateContent>
      </w:r>
      <w:r>
        <mc:AlternateContent>
          <mc:Choice Requires="wps">
            <w:drawing>
              <wp:anchor distT="21590" distB="0" distL="4159250" distR="1284605" simplePos="0" relativeHeight="125829680" behindDoc="0" locked="0" layoutInCell="1" allowOverlap="1">
                <wp:simplePos x="0" y="0"/>
                <wp:positionH relativeFrom="page">
                  <wp:posOffset>4925695</wp:posOffset>
                </wp:positionH>
                <wp:positionV relativeFrom="margin">
                  <wp:posOffset>8564880</wp:posOffset>
                </wp:positionV>
                <wp:extent cx="685800" cy="143510"/>
                <wp:wrapTopAndBottom/>
                <wp:docPr id="420" name="Shape 420"/>
                <a:graphic xmlns:a="http://schemas.openxmlformats.org/drawingml/2006/main">
                  <a:graphicData uri="http://schemas.microsoft.com/office/word/2010/wordprocessingShape">
                    <wps:wsp>
                      <wps:cNvSpPr txBox="1"/>
                      <wps:spPr>
                        <a:xfrm>
                          <a:ext cx="68580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21,115,593.56</w:t>
                            </w:r>
                          </w:p>
                        </w:txbxContent>
                      </wps:txbx>
                      <wps:bodyPr wrap="none" lIns="0" tIns="0" rIns="0" bIns="0">
                        <a:noAutoFit/>
                      </wps:bodyPr>
                    </wps:wsp>
                  </a:graphicData>
                </a:graphic>
              </wp:anchor>
            </w:drawing>
          </mc:Choice>
          <mc:Fallback>
            <w:pict>
              <v:shape id="_x0000_s1446" type="#_x0000_t202" style="position:absolute;margin-left:387.85000000000002pt;margin-top:674.39999999999998pt;width:54.pt;height:11.300000000000001pt;z-index:-125829073;mso-wrap-distance-left:327.5pt;mso-wrap-distance-top:1.7pt;mso-wrap-distance-right:101.1500000000000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21,115,593.56</w:t>
                      </w:r>
                    </w:p>
                  </w:txbxContent>
                </v:textbox>
                <w10:wrap type="topAndBottom" anchorx="page" anchory="margin"/>
              </v:shape>
            </w:pict>
          </mc:Fallback>
        </mc:AlternateContent>
      </w:r>
      <w:r>
        <mc:AlternateContent>
          <mc:Choice Requires="wps">
            <w:drawing>
              <wp:anchor distT="21590" distB="0" distL="5338445" distR="114300" simplePos="0" relativeHeight="125829682" behindDoc="0" locked="0" layoutInCell="1" allowOverlap="1">
                <wp:simplePos x="0" y="0"/>
                <wp:positionH relativeFrom="page">
                  <wp:posOffset>6104890</wp:posOffset>
                </wp:positionH>
                <wp:positionV relativeFrom="margin">
                  <wp:posOffset>8564880</wp:posOffset>
                </wp:positionV>
                <wp:extent cx="676910" cy="143510"/>
                <wp:wrapTopAndBottom/>
                <wp:docPr id="422" name="Shape 422"/>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10,761,076.52</w:t>
                            </w:r>
                          </w:p>
                        </w:txbxContent>
                      </wps:txbx>
                      <wps:bodyPr wrap="none" lIns="0" tIns="0" rIns="0" bIns="0">
                        <a:noAutoFit/>
                      </wps:bodyPr>
                    </wps:wsp>
                  </a:graphicData>
                </a:graphic>
              </wp:anchor>
            </w:drawing>
          </mc:Choice>
          <mc:Fallback>
            <w:pict>
              <v:shape id="_x0000_s1448" type="#_x0000_t202" style="position:absolute;margin-left:480.69999999999999pt;margin-top:674.39999999999998pt;width:53.300000000000004pt;height:11.300000000000001pt;z-index:-125829071;mso-wrap-distance-left:420.35000000000002pt;mso-wrap-distance-top:1.7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10,761,076.52</w:t>
                      </w:r>
                    </w:p>
                  </w:txbxContent>
                </v:textbox>
                <w10:wrap type="topAndBottom" anchorx="page" anchory="margin"/>
              </v:shape>
            </w:pict>
          </mc:Fallback>
        </mc:AlternateContent>
      </w:r>
      <w:r>
        <w:rPr>
          <w:b/>
          <w:bCs/>
          <w:color w:val="FFFFFF"/>
          <w:spacing w:val="0"/>
          <w:w w:val="100"/>
          <w:position w:val="0"/>
        </w:rPr>
        <w:t>年末余额</w:t>
      </w:r>
      <w:r>
        <w:br w:type="page"/>
      </w:r>
    </w:p>
    <w:tbl>
      <w:tblPr>
        <w:tblOverlap w:val="never"/>
        <w:jc w:val="center"/>
        <w:tblLayout w:type="fixed"/>
      </w:tblPr>
      <w:tblGrid>
        <w:gridCol w:w="5525"/>
        <w:gridCol w:w="2414"/>
        <w:gridCol w:w="1541"/>
      </w:tblGrid>
      <w:tr>
        <w:trPr>
          <w:trHeight w:val="40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代垫款项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86,939.82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92,561.36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21,202,533.38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11,803,637.88</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30,615.67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59,018.19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60"/>
              <w:jc w:val="left"/>
              <w:rPr>
                <w:sz w:val="18"/>
                <w:szCs w:val="18"/>
              </w:rPr>
            </w:pPr>
            <w:r>
              <w:rPr>
                <w:rFonts w:ascii="Times New Roman" w:eastAsia="Times New Roman" w:hAnsi="Times New Roman" w:cs="Times New Roman"/>
                <w:b/>
                <w:bCs/>
                <w:color w:val="FFFFFF"/>
                <w:spacing w:val="0"/>
                <w:w w:val="100"/>
                <w:position w:val="0"/>
                <w:sz w:val="18"/>
                <w:szCs w:val="18"/>
              </w:rPr>
              <w:t>21,171,917.71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11,744,619.69</w:t>
            </w:r>
          </w:p>
        </w:tc>
      </w:tr>
    </w:tbl>
    <w:p>
      <w:pPr>
        <w:widowControl w:val="0"/>
        <w:spacing w:after="339" w:line="1" w:lineRule="exact"/>
      </w:pPr>
    </w:p>
    <w:p>
      <w:pPr>
        <w:pStyle w:val="Style121"/>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color w:val="000000"/>
          <w:spacing w:val="0"/>
          <w:w w:val="100"/>
          <w:position w:val="0"/>
        </w:rPr>
        <w:t>）坏账准备计提情况</w:t>
      </w:r>
      <w:bookmarkEnd w:id="933"/>
      <w:bookmarkEnd w:id="934"/>
      <w:bookmarkEnd w:id="93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1934"/>
        <w:gridCol w:w="1901"/>
        <w:gridCol w:w="2165"/>
        <w:gridCol w:w="1397"/>
      </w:tblGrid>
      <w:tr>
        <w:trPr>
          <w:trHeight w:val="355"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坏账准备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第一阶段</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第二阶段</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第三阶段</w:t>
            </w:r>
          </w:p>
        </w:tc>
        <w:tc>
          <w:tcPr>
            <w:vMerge w:val="restart"/>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合计</w:t>
            </w:r>
          </w:p>
        </w:tc>
      </w:tr>
      <w:tr>
        <w:trPr>
          <w:trHeight w:val="792" w:hRule="exact"/>
        </w:trPr>
        <w:tc>
          <w:tcPr>
            <w:vMerge/>
            <w:tcBorders/>
            <w:shd w:val="clear" w:color="auto" w:fill="A6A6A6"/>
            <w:vAlign w:val="center"/>
          </w:tcPr>
          <w:p>
            <w:pP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50" w:lineRule="exact"/>
              <w:ind w:left="0" w:right="0" w:firstLine="0"/>
              <w:jc w:val="center"/>
            </w:pPr>
            <w:r>
              <w:rPr>
                <w:b/>
                <w:bCs/>
                <w:color w:val="FFFFFF"/>
                <w:spacing w:val="0"/>
                <w:w w:val="100"/>
                <w:position w:val="0"/>
              </w:rPr>
              <w:t>未来</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个月预期信用 损失</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8" w:lineRule="exact"/>
              <w:ind w:left="0" w:right="0" w:firstLine="0"/>
              <w:jc w:val="center"/>
              <w:rPr>
                <w:sz w:val="19"/>
                <w:szCs w:val="19"/>
              </w:rPr>
            </w:pPr>
            <w:r>
              <w:rPr>
                <w:b/>
                <w:bCs/>
                <w:color w:val="FFFFFF"/>
                <w:spacing w:val="0"/>
                <w:w w:val="100"/>
                <w:position w:val="0"/>
                <w:sz w:val="15"/>
                <w:szCs w:val="15"/>
              </w:rPr>
              <w:t>整个存续期预期信用 损失</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未发生信用减 值</w:t>
            </w:r>
            <w:r>
              <w:rPr>
                <w:b/>
                <w:bCs/>
                <w:color w:val="FFFFFF"/>
                <w:spacing w:val="0"/>
                <w:w w:val="100"/>
                <w:position w:val="0"/>
                <w:sz w:val="19"/>
                <w:szCs w:val="19"/>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center"/>
              <w:rPr>
                <w:sz w:val="19"/>
                <w:szCs w:val="19"/>
              </w:rPr>
            </w:pPr>
            <w:r>
              <w:rPr>
                <w:b/>
                <w:bCs/>
                <w:color w:val="FFFFFF"/>
                <w:spacing w:val="0"/>
                <w:w w:val="100"/>
                <w:position w:val="0"/>
                <w:sz w:val="15"/>
                <w:szCs w:val="15"/>
              </w:rPr>
              <w:t>整个存续期预期信用 损失</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已发生信用减 值</w:t>
            </w:r>
            <w:r>
              <w:rPr>
                <w:b/>
                <w:bCs/>
                <w:color w:val="FFFFFF"/>
                <w:spacing w:val="0"/>
                <w:w w:val="100"/>
                <w:position w:val="0"/>
                <w:sz w:val="19"/>
                <w:szCs w:val="19"/>
              </w:rPr>
              <w:t>）</w:t>
            </w:r>
          </w:p>
        </w:tc>
        <w:tc>
          <w:tcPr>
            <w:vMerge/>
            <w:tcBorders/>
            <w:shd w:val="clear" w:color="auto" w:fill="A6A6A6"/>
            <w:vAlign w:val="center"/>
          </w:tcPr>
          <w:p>
            <w:pP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日余额</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59,018.19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59,018.19</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50" w:lineRule="exact"/>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日余额在本 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本期计提</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top"/>
          </w:tcPr>
          <w:p>
            <w:pPr>
              <w:widowControl w:val="0"/>
              <w:rPr>
                <w:sz w:val="10"/>
                <w:szCs w:val="10"/>
              </w:rPr>
            </w:pPr>
          </w:p>
        </w:tc>
      </w:tr>
      <w:tr>
        <w:trPr>
          <w:trHeight w:val="33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本期转回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28,402.52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28,402.52</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80" w:right="0" w:firstLine="0"/>
              <w:jc w:val="left"/>
              <w:rPr>
                <w:sz w:val="18"/>
                <w:szCs w:val="18"/>
              </w:rPr>
            </w:pPr>
            <w:r>
              <w:rPr>
                <w:rFonts w:ascii="Times New Roman" w:eastAsia="Times New Roman" w:hAnsi="Times New Roman" w:cs="Times New Roman"/>
                <w:b/>
                <w:bCs/>
                <w:color w:val="FFFFFF"/>
                <w:spacing w:val="0"/>
                <w:w w:val="100"/>
                <w:position w:val="0"/>
                <w:sz w:val="18"/>
                <w:szCs w:val="18"/>
              </w:rPr>
              <w:t>30,615.67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72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72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rPr>
                <w:sz w:val="18"/>
                <w:szCs w:val="18"/>
              </w:rPr>
            </w:pPr>
            <w:r>
              <w:rPr>
                <w:rFonts w:ascii="Times New Roman" w:eastAsia="Times New Roman" w:hAnsi="Times New Roman" w:cs="Times New Roman"/>
                <w:b/>
                <w:bCs/>
                <w:color w:val="FFFFFF"/>
                <w:spacing w:val="0"/>
                <w:w w:val="100"/>
                <w:position w:val="0"/>
                <w:sz w:val="18"/>
                <w:szCs w:val="18"/>
              </w:rPr>
              <w:t>30,615.67</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账龄</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年以内（含</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w:t>
            </w:r>
          </w:p>
        </w:tc>
        <w:tc>
          <w:tcPr>
            <w:tcBorders/>
            <w:shd w:val="clear" w:color="auto" w:fill="000000"/>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至</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年</w:t>
            </w:r>
          </w:p>
        </w:tc>
        <w:tc>
          <w:tcPr>
            <w:tcBorders>
              <w:top w:val="single" w:sz="4"/>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至</w:t>
            </w: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年以上</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至</w:t>
            </w: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年</w:t>
            </w:r>
          </w:p>
        </w:tc>
        <w:tc>
          <w:tcPr>
            <w:tcBorders>
              <w:top w:val="single" w:sz="4"/>
            </w:tcBorders>
            <w:shd w:val="clear" w:color="auto" w:fill="A22B6F"/>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 xml:space="preserve">21,171,917.71 </w:t>
            </w:r>
            <w:r>
              <w:rPr>
                <w:rFonts w:ascii="Times New Roman" w:eastAsia="Times New Roman" w:hAnsi="Times New Roman" w:cs="Times New Roman"/>
                <w:b/>
                <w:bCs/>
                <w:color w:val="FFFFFF"/>
                <w:spacing w:val="0"/>
                <w:w w:val="100"/>
                <w:position w:val="0"/>
                <w:sz w:val="18"/>
                <w:szCs w:val="18"/>
              </w:rPr>
              <w:t>|</w:t>
            </w:r>
          </w:p>
        </w:tc>
      </w:tr>
    </w:tbl>
    <w:p>
      <w:pPr>
        <w:widowControl w:val="0"/>
        <w:spacing w:after="339" w:line="1" w:lineRule="exact"/>
      </w:pPr>
    </w:p>
    <w:p>
      <w:pPr>
        <w:pStyle w:val="Style121"/>
        <w:keepNext/>
        <w:keepLines/>
        <w:widowControl w:val="0"/>
        <w:shd w:val="clear" w:color="auto" w:fill="auto"/>
        <w:tabs>
          <w:tab w:pos="392" w:val="left"/>
        </w:tabs>
        <w:bidi w:val="0"/>
        <w:spacing w:before="0" w:after="34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color w:val="000000"/>
          <w:spacing w:val="0"/>
          <w:w w:val="100"/>
          <w:position w:val="0"/>
        </w:rPr>
        <w:t>）</w:t>
        <w:tab/>
        <w:t>本期实际核销的其他应收款情况</w:t>
      </w:r>
      <w:bookmarkEnd w:id="937"/>
      <w:bookmarkEnd w:id="938"/>
      <w:bookmarkEnd w:id="940"/>
    </w:p>
    <w:p>
      <w:pPr>
        <w:pStyle w:val="Style31"/>
        <w:keepNext w:val="0"/>
        <w:keepLines w:val="0"/>
        <w:widowControl w:val="0"/>
        <w:shd w:val="clear" w:color="auto" w:fill="auto"/>
        <w:bidi w:val="0"/>
        <w:spacing w:before="0" w:after="34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年度，不存在实际核销的其他应收款。</w:t>
      </w:r>
    </w:p>
    <w:p>
      <w:pPr>
        <w:pStyle w:val="Style121"/>
        <w:keepNext/>
        <w:keepLines/>
        <w:widowControl w:val="0"/>
        <w:shd w:val="clear" w:color="auto" w:fill="auto"/>
        <w:tabs>
          <w:tab w:pos="392" w:val="left"/>
        </w:tabs>
        <w:bidi w:val="0"/>
        <w:spacing w:before="0" w:after="4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4</w:t>
      </w:r>
      <w:bookmarkEnd w:id="943"/>
      <w:r>
        <w:rPr>
          <w:color w:val="000000"/>
          <w:spacing w:val="0"/>
          <w:w w:val="100"/>
          <w:position w:val="0"/>
        </w:rPr>
        <w:t>）</w:t>
        <w:tab/>
        <w:t>按欠款方归集的期末余额前五名的其他应收款情况</w:t>
      </w:r>
      <w:bookmarkEnd w:id="941"/>
      <w:bookmarkEnd w:id="942"/>
      <w:bookmarkEnd w:id="944"/>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占其他应收款</w:t>
      </w:r>
    </w:p>
    <w:p>
      <w:pPr>
        <w:widowControl w:val="0"/>
        <w:spacing w:line="1" w:lineRule="exact"/>
        <w:sectPr>
          <w:headerReference w:type="default" r:id="rId59"/>
          <w:footerReference w:type="default" r:id="rId60"/>
          <w:headerReference w:type="even" r:id="rId61"/>
          <w:footerReference w:type="even" r:id="rId62"/>
          <w:footnotePr>
            <w:pos w:val="pageBottom"/>
            <w:numFmt w:val="decimal"/>
            <w:numRestart w:val="continuous"/>
          </w:footnotePr>
          <w:pgSz w:w="11966" w:h="17375"/>
          <w:pgMar w:top="1559" w:right="979" w:bottom="1766" w:left="998" w:header="0" w:footer="3" w:gutter="0"/>
          <w:cols w:space="720"/>
          <w:noEndnote/>
          <w:rtlGutter w:val="0"/>
          <w:docGrid w:linePitch="360"/>
        </w:sectPr>
      </w:pPr>
      <w:r>
        <mc:AlternateContent>
          <mc:Choice Requires="wps">
            <w:drawing>
              <wp:anchor distT="0" distB="0" distL="0" distR="0" simplePos="0" relativeHeight="125829684" behindDoc="0" locked="0" layoutInCell="1" allowOverlap="1">
                <wp:simplePos x="0" y="0"/>
                <wp:positionH relativeFrom="page">
                  <wp:posOffset>866775</wp:posOffset>
                </wp:positionH>
                <wp:positionV relativeFrom="paragraph">
                  <wp:posOffset>0</wp:posOffset>
                </wp:positionV>
                <wp:extent cx="487680" cy="152400"/>
                <wp:wrapTopAndBottom/>
                <wp:docPr id="434" name="Shape 434"/>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单位名称</w:t>
                            </w:r>
                          </w:p>
                        </w:txbxContent>
                      </wps:txbx>
                      <wps:bodyPr wrap="none" lIns="0" tIns="0" rIns="0" bIns="0">
                        <a:noAutoFit/>
                      </wps:bodyPr>
                    </wps:wsp>
                  </a:graphicData>
                </a:graphic>
              </wp:anchor>
            </w:drawing>
          </mc:Choice>
          <mc:Fallback>
            <w:pict>
              <v:shape id="_x0000_s1460" type="#_x0000_t202" style="position:absolute;margin-left:68.25pt;margin-top:0;width:38.399999999999999pt;height:12.pt;z-index:-125829069;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单位名称</w:t>
                      </w:r>
                    </w:p>
                  </w:txbxContent>
                </v:textbox>
                <w10:wrap type="topAndBottom" anchorx="page"/>
              </v:shape>
            </w:pict>
          </mc:Fallback>
        </mc:AlternateContent>
      </w:r>
      <w:r>
        <mc:AlternateContent>
          <mc:Choice Requires="wps">
            <w:drawing>
              <wp:anchor distT="0" distB="3175" distL="0" distR="0" simplePos="0" relativeHeight="125829686" behindDoc="0" locked="0" layoutInCell="1" allowOverlap="1">
                <wp:simplePos x="0" y="0"/>
                <wp:positionH relativeFrom="page">
                  <wp:posOffset>1662430</wp:posOffset>
                </wp:positionH>
                <wp:positionV relativeFrom="paragraph">
                  <wp:posOffset>0</wp:posOffset>
                </wp:positionV>
                <wp:extent cx="600710" cy="149225"/>
                <wp:wrapTopAndBottom/>
                <wp:docPr id="436" name="Shape 436"/>
                <a:graphic xmlns:a="http://schemas.openxmlformats.org/drawingml/2006/main">
                  <a:graphicData uri="http://schemas.microsoft.com/office/word/2010/wordprocessingShape">
                    <wps:wsp>
                      <wps:cNvSpPr txBox="1"/>
                      <wps:spPr>
                        <a:xfrm>
                          <a:ext cx="600710"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款项的性质</w:t>
                            </w:r>
                          </w:p>
                        </w:txbxContent>
                      </wps:txbx>
                      <wps:bodyPr wrap="none" lIns="0" tIns="0" rIns="0" bIns="0">
                        <a:noAutoFit/>
                      </wps:bodyPr>
                    </wps:wsp>
                  </a:graphicData>
                </a:graphic>
              </wp:anchor>
            </w:drawing>
          </mc:Choice>
          <mc:Fallback>
            <w:pict>
              <v:shape id="_x0000_s1462" type="#_x0000_t202" style="position:absolute;margin-left:130.90000000000001pt;margin-top:0;width:47.300000000000004pt;height:11.75pt;z-index:-125829067;mso-wrap-distance-left:0;mso-wrap-distance-right:0;mso-wrap-distance-bottom:0.2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款项的性质</w:t>
                      </w:r>
                    </w:p>
                  </w:txbxContent>
                </v:textbox>
                <w10:wrap type="topAndBottom" anchorx="page"/>
              </v:shape>
            </w:pict>
          </mc:Fallback>
        </mc:AlternateContent>
      </w:r>
      <w:r>
        <mc:AlternateContent>
          <mc:Choice Requires="wps">
            <w:drawing>
              <wp:anchor distT="0" distB="3175" distL="0" distR="0" simplePos="0" relativeHeight="125829688" behindDoc="0" locked="0" layoutInCell="1" allowOverlap="1">
                <wp:simplePos x="0" y="0"/>
                <wp:positionH relativeFrom="page">
                  <wp:posOffset>2826385</wp:posOffset>
                </wp:positionH>
                <wp:positionV relativeFrom="paragraph">
                  <wp:posOffset>0</wp:posOffset>
                </wp:positionV>
                <wp:extent cx="262255" cy="149225"/>
                <wp:wrapTopAndBottom/>
                <wp:docPr id="438" name="Shape 438"/>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金额</w:t>
                            </w:r>
                          </w:p>
                        </w:txbxContent>
                      </wps:txbx>
                      <wps:bodyPr wrap="none" lIns="0" tIns="0" rIns="0" bIns="0">
                        <a:noAutoFit/>
                      </wps:bodyPr>
                    </wps:wsp>
                  </a:graphicData>
                </a:graphic>
              </wp:anchor>
            </w:drawing>
          </mc:Choice>
          <mc:Fallback>
            <w:pict>
              <v:shape id="_x0000_s1464" type="#_x0000_t202" style="position:absolute;margin-left:222.55000000000001pt;margin-top:0;width:20.650000000000002pt;height:11.75pt;z-index:-125829065;mso-wrap-distance-left:0;mso-wrap-distance-right:0;mso-wrap-distance-bottom:0.2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金额</w:t>
                      </w:r>
                    </w:p>
                  </w:txbxContent>
                </v:textbox>
                <w10:wrap type="topAndBottom" anchorx="page"/>
              </v:shape>
            </w:pict>
          </mc:Fallback>
        </mc:AlternateContent>
      </w:r>
      <w:r>
        <mc:AlternateContent>
          <mc:Choice Requires="wps">
            <w:drawing>
              <wp:anchor distT="0" distB="3175" distL="0" distR="0" simplePos="0" relativeHeight="125829690" behindDoc="0" locked="0" layoutInCell="1" allowOverlap="1">
                <wp:simplePos x="0" y="0"/>
                <wp:positionH relativeFrom="page">
                  <wp:posOffset>3862705</wp:posOffset>
                </wp:positionH>
                <wp:positionV relativeFrom="paragraph">
                  <wp:posOffset>0</wp:posOffset>
                </wp:positionV>
                <wp:extent cx="259080" cy="149225"/>
                <wp:wrapTopAndBottom/>
                <wp:docPr id="440" name="Shape 440"/>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账龄</w:t>
                            </w:r>
                          </w:p>
                        </w:txbxContent>
                      </wps:txbx>
                      <wps:bodyPr wrap="none" lIns="0" tIns="0" rIns="0" bIns="0">
                        <a:noAutoFit/>
                      </wps:bodyPr>
                    </wps:wsp>
                  </a:graphicData>
                </a:graphic>
              </wp:anchor>
            </w:drawing>
          </mc:Choice>
          <mc:Fallback>
            <w:pict>
              <v:shape id="_x0000_s1466" type="#_x0000_t202" style="position:absolute;margin-left:304.15000000000003pt;margin-top:0;width:20.400000000000002pt;height:11.75pt;z-index:-125829063;mso-wrap-distance-left:0;mso-wrap-distance-right:0;mso-wrap-distance-bottom:0.2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账龄</w:t>
                      </w:r>
                    </w:p>
                  </w:txbxContent>
                </v:textbox>
                <w10:wrap type="topAndBottom" anchorx="page"/>
              </v:shape>
            </w:pict>
          </mc:Fallback>
        </mc:AlternateContent>
      </w:r>
      <w:r>
        <mc:AlternateContent>
          <mc:Choice Requires="wps">
            <w:drawing>
              <wp:anchor distT="0" distB="3175" distL="0" distR="0" simplePos="0" relativeHeight="125829692" behindDoc="0" locked="0" layoutInCell="1" allowOverlap="1">
                <wp:simplePos x="0" y="0"/>
                <wp:positionH relativeFrom="page">
                  <wp:posOffset>4622165</wp:posOffset>
                </wp:positionH>
                <wp:positionV relativeFrom="paragraph">
                  <wp:posOffset>0</wp:posOffset>
                </wp:positionV>
                <wp:extent cx="719455" cy="149225"/>
                <wp:wrapTopAndBottom/>
                <wp:docPr id="442" name="Shape 442"/>
                <a:graphic xmlns:a="http://schemas.openxmlformats.org/drawingml/2006/main">
                  <a:graphicData uri="http://schemas.microsoft.com/office/word/2010/wordprocessingShape">
                    <wps:wsp>
                      <wps:cNvSpPr txBox="1"/>
                      <wps:spPr>
                        <a:xfrm>
                          <a:ext cx="719455" cy="14922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年末余额合计</w:t>
                            </w:r>
                          </w:p>
                        </w:txbxContent>
                      </wps:txbx>
                      <wps:bodyPr wrap="none" lIns="0" tIns="0" rIns="0" bIns="0">
                        <a:noAutoFit/>
                      </wps:bodyPr>
                    </wps:wsp>
                  </a:graphicData>
                </a:graphic>
              </wp:anchor>
            </w:drawing>
          </mc:Choice>
          <mc:Fallback>
            <w:pict>
              <v:shape id="_x0000_s1468" type="#_x0000_t202" style="position:absolute;margin-left:363.94999999999999pt;margin-top:0;width:56.649999999999999pt;height:11.75pt;z-index:-125829061;mso-wrap-distance-left:0;mso-wrap-distance-right:0;mso-wrap-distance-bottom:0.25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年末余额合计</w:t>
                      </w:r>
                    </w:p>
                  </w:txbxContent>
                </v:textbox>
                <w10:wrap type="topAndBottom" anchorx="page"/>
              </v:shape>
            </w:pict>
          </mc:Fallback>
        </mc:AlternateContent>
      </w:r>
      <w:r>
        <mc:AlternateContent>
          <mc:Choice Requires="wps">
            <w:drawing>
              <wp:anchor distT="0" distB="0" distL="0" distR="0" simplePos="0" relativeHeight="125829694" behindDoc="0" locked="0" layoutInCell="1" allowOverlap="1">
                <wp:simplePos x="0" y="0"/>
                <wp:positionH relativeFrom="page">
                  <wp:posOffset>5853430</wp:posOffset>
                </wp:positionH>
                <wp:positionV relativeFrom="paragraph">
                  <wp:posOffset>0</wp:posOffset>
                </wp:positionV>
                <wp:extent cx="490855" cy="152400"/>
                <wp:wrapTopAndBottom/>
                <wp:docPr id="444" name="Shape 444"/>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坏账准备</w:t>
                            </w:r>
                          </w:p>
                        </w:txbxContent>
                      </wps:txbx>
                      <wps:bodyPr wrap="none" lIns="0" tIns="0" rIns="0" bIns="0">
                        <a:noAutoFit/>
                      </wps:bodyPr>
                    </wps:wsp>
                  </a:graphicData>
                </a:graphic>
              </wp:anchor>
            </w:drawing>
          </mc:Choice>
          <mc:Fallback>
            <w:pict>
              <v:shape id="_x0000_s1470" type="#_x0000_t202" style="position:absolute;margin-left:460.90000000000003pt;margin-top:0;width:38.649999999999999pt;height:12.pt;z-index:-125829059;mso-wrap-distance-left:0;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坏账准备</w:t>
                      </w:r>
                    </w:p>
                  </w:txbxContent>
                </v:textbox>
                <w10:wrap type="topAndBottom" anchorx="page"/>
              </v:shape>
            </w:pict>
          </mc:Fallback>
        </mc:AlternateContent>
      </w:r>
    </w:p>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9"/>
          <w:szCs w:val="19"/>
        </w:rPr>
        <w:sectPr>
          <w:footnotePr>
            <w:pos w:val="pageBottom"/>
            <w:numFmt w:val="decimal"/>
            <w:numRestart w:val="continuous"/>
          </w:footnotePr>
          <w:type w:val="continuous"/>
          <w:pgSz w:w="11966" w:h="17375"/>
          <w:pgMar w:top="1703" w:right="1143" w:bottom="1703" w:left="1042" w:header="0" w:footer="3" w:gutter="0"/>
          <w:cols w:space="720"/>
          <w:noEndnote/>
          <w:rtlGutter w:val="0"/>
          <w:docGrid w:linePitch="360"/>
        </w:sectPr>
      </w:pPr>
      <w:r>
        <w:rPr>
          <w:b/>
          <w:bCs/>
          <w:color w:val="FFFFFF"/>
          <w:spacing w:val="0"/>
          <w:w w:val="100"/>
          <w:position w:val="0"/>
          <w:sz w:val="15"/>
          <w:szCs w:val="15"/>
        </w:rPr>
        <w:t>数的比例</w:t>
      </w:r>
      <w:r>
        <w:rPr>
          <w:b/>
          <w:bCs/>
          <w:color w:val="FFFFFF"/>
          <w:spacing w:val="0"/>
          <w:w w:val="100"/>
          <w:position w:val="0"/>
          <w:sz w:val="19"/>
          <w:szCs w:val="19"/>
        </w:rPr>
        <w:t>％</w:t>
      </w:r>
    </w:p>
    <w:tbl>
      <w:tblPr>
        <w:tblOverlap w:val="never"/>
        <w:jc w:val="center"/>
        <w:tblLayout w:type="fixed"/>
      </w:tblPr>
      <w:tblGrid>
        <w:gridCol w:w="1258"/>
        <w:gridCol w:w="1622"/>
        <w:gridCol w:w="1666"/>
        <w:gridCol w:w="1315"/>
        <w:gridCol w:w="1906"/>
        <w:gridCol w:w="1699"/>
      </w:tblGrid>
      <w:tr>
        <w:trPr>
          <w:trHeight w:val="113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单位名称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款项的性质</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账龄</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40" w:line="240" w:lineRule="auto"/>
              <w:ind w:left="0" w:right="0" w:firstLine="320"/>
              <w:jc w:val="left"/>
            </w:pPr>
            <w:r>
              <w:rPr>
                <w:b/>
                <w:bCs/>
                <w:color w:val="FFFFFF"/>
                <w:spacing w:val="0"/>
                <w:w w:val="100"/>
                <w:position w:val="0"/>
              </w:rPr>
              <w:t>占其他应收款</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40" w:line="240" w:lineRule="auto"/>
              <w:ind w:left="0" w:right="0" w:firstLine="320"/>
              <w:jc w:val="left"/>
            </w:pPr>
            <w:r>
              <w:rPr>
                <w:b/>
                <w:bCs/>
                <w:color w:val="FFFFFF"/>
                <w:spacing w:val="0"/>
                <w:w w:val="100"/>
                <w:position w:val="0"/>
              </w:rPr>
              <w:t>年末余额合计</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40" w:line="240" w:lineRule="auto"/>
              <w:ind w:left="0" w:right="0" w:firstLine="400"/>
              <w:jc w:val="left"/>
              <w:rPr>
                <w:sz w:val="19"/>
                <w:szCs w:val="19"/>
              </w:rPr>
            </w:pPr>
            <w:r>
              <w:rPr>
                <w:b/>
                <w:bCs/>
                <w:color w:val="FFFFFF"/>
                <w:spacing w:val="0"/>
                <w:w w:val="100"/>
                <w:position w:val="0"/>
                <w:sz w:val="15"/>
                <w:szCs w:val="15"/>
              </w:rPr>
              <w:t>数的比例</w:t>
            </w:r>
            <w:r>
              <w:rPr>
                <w:b/>
                <w:bCs/>
                <w:color w:val="FFFFFF"/>
                <w:spacing w:val="0"/>
                <w:w w:val="100"/>
                <w:position w:val="0"/>
                <w:sz w:val="19"/>
                <w:szCs w:val="19"/>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坏账准备</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单位一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厂家押金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8,436,000.00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39.79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8,436.00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单位二</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厂家押金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2,681,000.00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26.81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单位三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保证金押金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1,102,400.00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11.02</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单位四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房租押金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1,032,756.00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二到三年</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单位五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房租押金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1,018,469.00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二到三年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31.57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top w:val="single" w:sz="4"/>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rPr>
                <w:sz w:val="18"/>
                <w:szCs w:val="18"/>
              </w:rPr>
            </w:pPr>
            <w:r>
              <w:rPr>
                <w:rFonts w:ascii="Times New Roman" w:eastAsia="Times New Roman" w:hAnsi="Times New Roman" w:cs="Times New Roman"/>
                <w:b/>
                <w:bCs/>
                <w:color w:val="FFFFFF"/>
                <w:spacing w:val="0"/>
                <w:w w:val="100"/>
                <w:position w:val="0"/>
                <w:sz w:val="18"/>
                <w:szCs w:val="18"/>
              </w:rPr>
              <w:t>14,270,625</w:t>
            </w:r>
          </w:p>
        </w:tc>
        <w:tc>
          <w:tcPr>
            <w:tcBorders>
              <w:top w:val="single" w:sz="4"/>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20" w:right="0" w:firstLine="0"/>
              <w:jc w:val="left"/>
              <w:rPr>
                <w:sz w:val="18"/>
                <w:szCs w:val="18"/>
              </w:rPr>
            </w:pPr>
            <w:r>
              <w:rPr>
                <w:rFonts w:ascii="Times New Roman" w:eastAsia="Times New Roman" w:hAnsi="Times New Roman" w:cs="Times New Roman"/>
                <w:b/>
                <w:bCs/>
                <w:color w:val="FFFFFF"/>
                <w:spacing w:val="0"/>
                <w:w w:val="100"/>
                <w:position w:val="0"/>
                <w:sz w:val="18"/>
                <w:szCs w:val="18"/>
              </w:rPr>
              <w:t>67.31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60"/>
              <w:jc w:val="left"/>
              <w:rPr>
                <w:sz w:val="18"/>
                <w:szCs w:val="18"/>
              </w:rPr>
            </w:pPr>
            <w:r>
              <w:rPr>
                <w:rFonts w:ascii="Times New Roman" w:eastAsia="Times New Roman" w:hAnsi="Times New Roman" w:cs="Times New Roman"/>
                <w:b/>
                <w:bCs/>
                <w:color w:val="FFFFFF"/>
                <w:spacing w:val="0"/>
                <w:w w:val="100"/>
                <w:position w:val="0"/>
                <w:sz w:val="18"/>
                <w:szCs w:val="18"/>
              </w:rPr>
              <w:t>8,537.42</w:t>
            </w:r>
          </w:p>
        </w:tc>
      </w:tr>
    </w:tbl>
    <w:p>
      <w:pPr>
        <w:widowControl w:val="0"/>
        <w:spacing w:after="339" w:line="1" w:lineRule="exact"/>
      </w:pPr>
    </w:p>
    <w:p>
      <w:pPr>
        <w:pStyle w:val="Style49"/>
        <w:keepNext/>
        <w:keepLines/>
        <w:widowControl w:val="0"/>
        <w:shd w:val="clear" w:color="auto" w:fill="auto"/>
        <w:bidi w:val="0"/>
        <w:spacing w:before="0" w:after="40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5</w:t>
      </w:r>
      <w:bookmarkEnd w:id="947"/>
      <w:r>
        <w:rPr>
          <w:color w:val="000000"/>
          <w:spacing w:val="0"/>
          <w:w w:val="100"/>
          <w:position w:val="0"/>
        </w:rPr>
        <w:t>、存货</w:t>
      </w:r>
      <w:bookmarkEnd w:id="945"/>
      <w:bookmarkEnd w:id="946"/>
      <w:bookmarkEnd w:id="94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69"/>
        <w:keepNext/>
        <w:keepLines/>
        <w:widowControl w:val="0"/>
        <w:shd w:val="clear" w:color="auto" w:fill="auto"/>
        <w:bidi w:val="0"/>
        <w:spacing w:before="0" w:after="400" w:line="240" w:lineRule="auto"/>
        <w:ind w:left="0" w:right="0" w:firstLine="240"/>
        <w:jc w:val="both"/>
      </w:pPr>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49"/>
      <w:bookmarkEnd w:id="950"/>
      <w:bookmarkEnd w:id="951"/>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272"/>
        <w:gridCol w:w="1459"/>
        <w:gridCol w:w="1411"/>
        <w:gridCol w:w="1378"/>
        <w:gridCol w:w="1315"/>
        <w:gridCol w:w="1411"/>
        <w:gridCol w:w="1320"/>
      </w:tblGrid>
      <w:tr>
        <w:trPr>
          <w:trHeight w:val="418"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项目</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r>
      <w:tr>
        <w:trPr>
          <w:trHeight w:val="1027"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4" w:lineRule="exact"/>
              <w:ind w:left="0" w:right="0" w:firstLine="0"/>
              <w:jc w:val="center"/>
            </w:pPr>
            <w:r>
              <w:rPr>
                <w:b/>
                <w:bCs/>
                <w:color w:val="FFFFFF"/>
                <w:spacing w:val="0"/>
                <w:w w:val="100"/>
                <w:position w:val="0"/>
              </w:rPr>
              <w:t>存货跌价准备 或合同履约成 本减值准备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账面价值</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80" w:right="0" w:firstLine="0"/>
              <w:jc w:val="center"/>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存货跌价准备 或合同履约成 本减值准备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60" w:right="0" w:firstLine="0"/>
              <w:jc w:val="center"/>
            </w:pPr>
            <w:r>
              <w:rPr>
                <w:b/>
                <w:bCs/>
                <w:color w:val="FFFFFF"/>
                <w:spacing w:val="0"/>
                <w:w w:val="100"/>
                <w:position w:val="0"/>
              </w:rPr>
              <w:t>账面价值</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库存商品</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34,671,348.24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4,255,368.67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30,415,979.57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17,611,483.85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1,210,479.74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16,401,004.11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低值易耗品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1,292,511.77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1,292,511.77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1,423,208.95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1,423,208.95</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rPr>
                <w:sz w:val="18"/>
                <w:szCs w:val="18"/>
              </w:rPr>
            </w:pPr>
            <w:r>
              <w:rPr>
                <w:rFonts w:ascii="Times New Roman" w:eastAsia="Times New Roman" w:hAnsi="Times New Roman" w:cs="Times New Roman"/>
                <w:b/>
                <w:bCs/>
                <w:color w:val="FFFFFF"/>
                <w:spacing w:val="0"/>
                <w:w w:val="100"/>
                <w:position w:val="0"/>
                <w:sz w:val="18"/>
                <w:szCs w:val="18"/>
              </w:rPr>
              <w:t>35,963,860.01</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rPr>
                <w:sz w:val="18"/>
                <w:szCs w:val="18"/>
              </w:rPr>
            </w:pPr>
            <w:r>
              <w:rPr>
                <w:rFonts w:ascii="Times New Roman" w:eastAsia="Times New Roman" w:hAnsi="Times New Roman" w:cs="Times New Roman"/>
                <w:b/>
                <w:bCs/>
                <w:color w:val="FFFFFF"/>
                <w:spacing w:val="0"/>
                <w:w w:val="100"/>
                <w:position w:val="0"/>
                <w:sz w:val="18"/>
                <w:szCs w:val="18"/>
              </w:rPr>
              <w:t>4,255,368.67</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31,708,491.34</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rPr>
                <w:sz w:val="18"/>
                <w:szCs w:val="18"/>
              </w:rPr>
            </w:pPr>
            <w:r>
              <w:rPr>
                <w:rFonts w:ascii="Times New Roman" w:eastAsia="Times New Roman" w:hAnsi="Times New Roman" w:cs="Times New Roman"/>
                <w:b/>
                <w:bCs/>
                <w:color w:val="FFFFFF"/>
                <w:spacing w:val="0"/>
                <w:w w:val="100"/>
                <w:position w:val="0"/>
                <w:sz w:val="18"/>
                <w:szCs w:val="18"/>
              </w:rPr>
              <w:t>19,034,692.80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rPr>
                <w:sz w:val="18"/>
                <w:szCs w:val="18"/>
              </w:rPr>
            </w:pPr>
            <w:r>
              <w:rPr>
                <w:rFonts w:ascii="Times New Roman" w:eastAsia="Times New Roman" w:hAnsi="Times New Roman" w:cs="Times New Roman"/>
                <w:b/>
                <w:bCs/>
                <w:color w:val="FFFFFF"/>
                <w:spacing w:val="0"/>
                <w:w w:val="100"/>
                <w:position w:val="0"/>
                <w:sz w:val="18"/>
                <w:szCs w:val="18"/>
              </w:rPr>
              <w:t>1,210,479.74</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rPr>
                <w:sz w:val="18"/>
                <w:szCs w:val="18"/>
              </w:rPr>
            </w:pPr>
            <w:r>
              <w:rPr>
                <w:rFonts w:ascii="Times New Roman" w:eastAsia="Times New Roman" w:hAnsi="Times New Roman" w:cs="Times New Roman"/>
                <w:b/>
                <w:bCs/>
                <w:color w:val="FFFFFF"/>
                <w:spacing w:val="0"/>
                <w:w w:val="100"/>
                <w:position w:val="0"/>
                <w:sz w:val="18"/>
                <w:szCs w:val="18"/>
              </w:rPr>
              <w:t>17,824,213.06</w:t>
            </w:r>
          </w:p>
        </w:tc>
      </w:tr>
    </w:tbl>
    <w:p>
      <w:pPr>
        <w:widowControl w:val="0"/>
        <w:spacing w:after="339" w:line="1" w:lineRule="exact"/>
      </w:pPr>
    </w:p>
    <w:p>
      <w:pPr>
        <w:pStyle w:val="Style69"/>
        <w:keepNext/>
        <w:keepLines/>
        <w:widowControl w:val="0"/>
        <w:numPr>
          <w:ilvl w:val="0"/>
          <w:numId w:val="41"/>
        </w:numPr>
        <w:shd w:val="clear" w:color="auto" w:fill="auto"/>
        <w:bidi w:val="0"/>
        <w:spacing w:before="0" w:after="400" w:line="240" w:lineRule="auto"/>
        <w:ind w:left="0" w:right="0" w:firstLine="240"/>
        <w:jc w:val="left"/>
      </w:pPr>
      <w:bookmarkStart w:id="952" w:name="bookmark952"/>
      <w:bookmarkStart w:id="953" w:name="bookmark953"/>
      <w:bookmarkStart w:id="954" w:name="bookmark954"/>
      <w:bookmarkStart w:id="955" w:name="bookmark955"/>
      <w:bookmarkEnd w:id="954"/>
      <w:r>
        <w:rPr>
          <w:color w:val="000000"/>
          <w:spacing w:val="0"/>
          <w:w w:val="100"/>
          <w:position w:val="0"/>
        </w:rPr>
        <w:t>存货跌价准备和合同履约成本减值准备</w:t>
      </w:r>
      <w:bookmarkEnd w:id="952"/>
      <w:bookmarkEnd w:id="953"/>
      <w:bookmarkEnd w:id="955"/>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272"/>
        <w:gridCol w:w="1574"/>
        <w:gridCol w:w="2318"/>
        <w:gridCol w:w="1886"/>
        <w:gridCol w:w="1267"/>
        <w:gridCol w:w="1277"/>
      </w:tblGrid>
      <w:tr>
        <w:trPr>
          <w:trHeight w:val="437"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b/>
                <w:bCs/>
                <w:color w:val="FFFFFF"/>
                <w:spacing w:val="0"/>
                <w:w w:val="100"/>
                <w:position w:val="0"/>
              </w:rPr>
              <w:t>项目</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pPr>
            <w:r>
              <w:rPr>
                <w:b/>
                <w:bCs/>
                <w:color w:val="FFFFFF"/>
                <w:spacing w:val="0"/>
                <w:w w:val="100"/>
                <w:position w:val="0"/>
              </w:rPr>
              <w:t>本期增加金额</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本期减少金额</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期末余额</w:t>
            </w:r>
          </w:p>
        </w:tc>
      </w:tr>
      <w:tr>
        <w:trPr>
          <w:trHeight w:val="403" w:hRule="exact"/>
        </w:trPr>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763" w:val="left"/>
              </w:tabs>
              <w:bidi w:val="0"/>
              <w:spacing w:before="0" w:after="0" w:line="240" w:lineRule="auto"/>
              <w:ind w:left="0" w:right="0" w:firstLine="400"/>
              <w:jc w:val="left"/>
            </w:pPr>
            <w:r>
              <w:rPr>
                <w:b/>
                <w:bCs/>
                <w:color w:val="FFFFFF"/>
                <w:spacing w:val="0"/>
                <w:w w:val="100"/>
                <w:position w:val="0"/>
              </w:rPr>
              <w:t>计提</w:t>
              <w:tab/>
              <w:t>其他</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b/>
                <w:bCs/>
                <w:color w:val="FFFFFF"/>
                <w:spacing w:val="0"/>
                <w:w w:val="100"/>
                <w:position w:val="0"/>
              </w:rPr>
              <w:t>转回或转销</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其他</w:t>
            </w:r>
          </w:p>
        </w:tc>
        <w:tc>
          <w:tcPr>
            <w:vMerge/>
            <w:tcBorders/>
            <w:shd w:val="clear" w:color="auto" w:fill="A6A6A6"/>
            <w:vAlign w:val="center"/>
          </w:tcPr>
          <w:p>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库存商品</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1,210,479.74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3,354,016.99</w:t>
            </w:r>
          </w:p>
        </w:tc>
        <w:tc>
          <w:tcPr>
            <w:tcBorders/>
            <w:shd w:val="clear" w:color="auto" w:fill="F9ECF3"/>
            <w:vAlign w:val="center"/>
          </w:tcPr>
          <w:p>
            <w:pPr>
              <w:pStyle w:val="Style2"/>
              <w:keepNext w:val="0"/>
              <w:keepLines w:val="0"/>
              <w:widowControl w:val="0"/>
              <w:shd w:val="clear" w:color="auto" w:fill="auto"/>
              <w:tabs>
                <w:tab w:pos="754" w:val="left"/>
              </w:tabs>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309,128.06</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4,255,368.67</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1,210,479.74</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rPr>
                <w:sz w:val="18"/>
                <w:szCs w:val="18"/>
              </w:rPr>
            </w:pPr>
            <w:r>
              <w:rPr>
                <w:rFonts w:ascii="Times New Roman" w:eastAsia="Times New Roman" w:hAnsi="Times New Roman" w:cs="Times New Roman"/>
                <w:b/>
                <w:bCs/>
                <w:color w:val="FFFFFF"/>
                <w:spacing w:val="0"/>
                <w:w w:val="100"/>
                <w:position w:val="0"/>
                <w:sz w:val="18"/>
                <w:szCs w:val="18"/>
              </w:rPr>
              <w:t>3,354,016.99</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745" w:val="left"/>
              </w:tabs>
              <w:bidi w:val="0"/>
              <w:spacing w:before="0" w:after="0" w:line="240" w:lineRule="auto"/>
              <w:ind w:left="0" w:right="0" w:firstLine="140"/>
              <w:jc w:val="left"/>
              <w:rPr>
                <w:sz w:val="18"/>
                <w:szCs w:val="18"/>
              </w:rPr>
            </w:pPr>
            <w:r>
              <w:rPr>
                <w:rFonts w:ascii="Times New Roman" w:eastAsia="Times New Roman" w:hAnsi="Times New Roman" w:cs="Times New Roman"/>
                <w:b/>
                <w:bCs/>
                <w:color w:val="FFFFFF"/>
                <w:spacing w:val="0"/>
                <w:w w:val="100"/>
                <w:position w:val="0"/>
                <w:sz w:val="18"/>
                <w:szCs w:val="18"/>
              </w:rPr>
              <w:t>-</w:t>
              <w:tab/>
            </w:r>
            <w:r>
              <w:rPr>
                <w:rFonts w:ascii="Times New Roman" w:eastAsia="Times New Roman" w:hAnsi="Times New Roman" w:cs="Times New Roman"/>
                <w:b/>
                <w:bCs/>
                <w:color w:val="FFFFFF"/>
                <w:spacing w:val="0"/>
                <w:w w:val="100"/>
                <w:position w:val="0"/>
                <w:sz w:val="18"/>
                <w:szCs w:val="18"/>
              </w:rPr>
              <w:t>309,128.06</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rPr>
                <w:sz w:val="18"/>
                <w:szCs w:val="18"/>
              </w:rPr>
            </w:pPr>
            <w:r>
              <w:rPr>
                <w:rFonts w:ascii="Times New Roman" w:eastAsia="Times New Roman" w:hAnsi="Times New Roman" w:cs="Times New Roman"/>
                <w:b/>
                <w:bCs/>
                <w:color w:val="FFFFFF"/>
                <w:spacing w:val="0"/>
                <w:w w:val="100"/>
                <w:position w:val="0"/>
                <w:sz w:val="18"/>
                <w:szCs w:val="18"/>
              </w:rPr>
              <w:t>0.00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rPr>
                <w:sz w:val="18"/>
                <w:szCs w:val="18"/>
              </w:rPr>
            </w:pPr>
            <w:r>
              <w:rPr>
                <w:rFonts w:ascii="Times New Roman" w:eastAsia="Times New Roman" w:hAnsi="Times New Roman" w:cs="Times New Roman"/>
                <w:b/>
                <w:bCs/>
                <w:color w:val="FFFFFF"/>
                <w:spacing w:val="0"/>
                <w:w w:val="100"/>
                <w:position w:val="0"/>
                <w:sz w:val="18"/>
                <w:szCs w:val="18"/>
              </w:rPr>
              <w:t>4,255,368.67</w:t>
            </w:r>
          </w:p>
        </w:tc>
      </w:tr>
    </w:tbl>
    <w:p>
      <w:pPr>
        <w:widowControl w:val="0"/>
        <w:spacing w:after="339" w:line="1" w:lineRule="exact"/>
      </w:pPr>
    </w:p>
    <w:p>
      <w:pPr>
        <w:pStyle w:val="Style49"/>
        <w:keepNext/>
        <w:keepLines/>
        <w:widowControl w:val="0"/>
        <w:shd w:val="clear" w:color="auto" w:fill="auto"/>
        <w:bidi w:val="0"/>
        <w:spacing w:before="0" w:after="40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6</w:t>
      </w:r>
      <w:bookmarkEnd w:id="958"/>
      <w:r>
        <w:rPr>
          <w:color w:val="000000"/>
          <w:spacing w:val="0"/>
          <w:w w:val="100"/>
          <w:position w:val="0"/>
        </w:rPr>
        <w:t>、其他流动资产</w:t>
      </w:r>
      <w:bookmarkEnd w:id="956"/>
      <w:bookmarkEnd w:id="957"/>
      <w:bookmarkEnd w:id="959"/>
    </w:p>
    <w:p>
      <w:pPr>
        <w:pStyle w:val="Style31"/>
        <w:keepNext w:val="0"/>
        <w:keepLines w:val="0"/>
        <w:widowControl w:val="0"/>
        <w:shd w:val="clear" w:color="auto" w:fill="auto"/>
        <w:bidi w:val="0"/>
        <w:spacing w:before="0" w:after="340" w:line="240" w:lineRule="auto"/>
        <w:ind w:left="9020" w:right="0" w:firstLine="0"/>
        <w:jc w:val="left"/>
      </w:pPr>
      <w:r>
        <w:rPr>
          <w:color w:val="000000"/>
          <w:spacing w:val="0"/>
          <w:w w:val="100"/>
          <w:position w:val="0"/>
        </w:rPr>
        <w:t>单位：元</w:t>
      </w:r>
    </w:p>
    <w:p>
      <w:pPr>
        <w:widowControl w:val="0"/>
        <w:spacing w:line="1" w:lineRule="exact"/>
      </w:pPr>
      <w:r>
        <mc:AlternateContent>
          <mc:Choice Requires="wps">
            <w:drawing>
              <wp:anchor distT="53975" distB="0" distL="0" distR="0" simplePos="0" relativeHeight="125829696" behindDoc="0" locked="0" layoutInCell="1" allowOverlap="1">
                <wp:simplePos x="0" y="0"/>
                <wp:positionH relativeFrom="page">
                  <wp:posOffset>1534795</wp:posOffset>
                </wp:positionH>
                <wp:positionV relativeFrom="paragraph">
                  <wp:posOffset>53975</wp:posOffset>
                </wp:positionV>
                <wp:extent cx="255905" cy="149225"/>
                <wp:wrapTopAndBottom/>
                <wp:docPr id="446" name="Shape 446"/>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项目</w:t>
                            </w:r>
                          </w:p>
                        </w:txbxContent>
                      </wps:txbx>
                      <wps:bodyPr wrap="none" lIns="0" tIns="0" rIns="0" bIns="0">
                        <a:noAutoFit/>
                      </wps:bodyPr>
                    </wps:wsp>
                  </a:graphicData>
                </a:graphic>
              </wp:anchor>
            </w:drawing>
          </mc:Choice>
          <mc:Fallback>
            <w:pict>
              <v:shape id="_x0000_s1472" type="#_x0000_t202" style="position:absolute;margin-left:120.85000000000001pt;margin-top:4.25pt;width:20.150000000000002pt;height:11.75pt;z-index:-125829057;mso-wrap-distance-left:0;mso-wrap-distance-top:4.25pt;mso-wrap-distance-right:0;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项目</w:t>
                      </w:r>
                    </w:p>
                  </w:txbxContent>
                </v:textbox>
                <w10:wrap type="topAndBottom" anchorx="page"/>
              </v:shape>
            </w:pict>
          </mc:Fallback>
        </mc:AlternateContent>
      </w:r>
      <w:r>
        <mc:AlternateContent>
          <mc:Choice Requires="wps">
            <w:drawing>
              <wp:anchor distT="50800" distB="0" distL="0" distR="0" simplePos="0" relativeHeight="125829698" behindDoc="0" locked="0" layoutInCell="1" allowOverlap="1">
                <wp:simplePos x="0" y="0"/>
                <wp:positionH relativeFrom="page">
                  <wp:posOffset>3446145</wp:posOffset>
                </wp:positionH>
                <wp:positionV relativeFrom="paragraph">
                  <wp:posOffset>50800</wp:posOffset>
                </wp:positionV>
                <wp:extent cx="490855" cy="152400"/>
                <wp:wrapTopAndBottom/>
                <wp:docPr id="448" name="Shape 448"/>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期末余额</w:t>
                            </w:r>
                          </w:p>
                        </w:txbxContent>
                      </wps:txbx>
                      <wps:bodyPr wrap="none" lIns="0" tIns="0" rIns="0" bIns="0">
                        <a:noAutoFit/>
                      </wps:bodyPr>
                    </wps:wsp>
                  </a:graphicData>
                </a:graphic>
              </wp:anchor>
            </w:drawing>
          </mc:Choice>
          <mc:Fallback>
            <w:pict>
              <v:shape id="_x0000_s1474" type="#_x0000_t202" style="position:absolute;margin-left:271.35000000000002pt;margin-top:4.pt;width:38.649999999999999pt;height:12.pt;z-index:-125829055;mso-wrap-distance-left:0;mso-wrap-distance-top:4.pt;mso-wrap-distance-right:0;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期末余额</w:t>
                      </w:r>
                    </w:p>
                  </w:txbxContent>
                </v:textbox>
                <w10:wrap type="topAndBottom" anchorx="page"/>
              </v:shape>
            </w:pict>
          </mc:Fallback>
        </mc:AlternateContent>
      </w:r>
      <w:r>
        <mc:AlternateContent>
          <mc:Choice Requires="wps">
            <w:drawing>
              <wp:anchor distT="50800" distB="0" distL="0" distR="0" simplePos="0" relativeHeight="125829700" behindDoc="0" locked="0" layoutInCell="1" allowOverlap="1">
                <wp:simplePos x="0" y="0"/>
                <wp:positionH relativeFrom="page">
                  <wp:posOffset>5473065</wp:posOffset>
                </wp:positionH>
                <wp:positionV relativeFrom="paragraph">
                  <wp:posOffset>50800</wp:posOffset>
                </wp:positionV>
                <wp:extent cx="490855" cy="152400"/>
                <wp:wrapTopAndBottom/>
                <wp:docPr id="450" name="Shape 450"/>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期初余额</w:t>
                            </w:r>
                          </w:p>
                        </w:txbxContent>
                      </wps:txbx>
                      <wps:bodyPr wrap="none" lIns="0" tIns="0" rIns="0" bIns="0">
                        <a:noAutoFit/>
                      </wps:bodyPr>
                    </wps:wsp>
                  </a:graphicData>
                </a:graphic>
              </wp:anchor>
            </w:drawing>
          </mc:Choice>
          <mc:Fallback>
            <w:pict>
              <v:shape id="_x0000_s1476" type="#_x0000_t202" style="position:absolute;margin-left:430.94999999999999pt;margin-top:4.pt;width:38.649999999999999pt;height:12.pt;z-index:-125829053;mso-wrap-distance-left:0;mso-wrap-distance-top:4.pt;mso-wrap-distance-right:0;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期初余额</w:t>
                      </w:r>
                    </w:p>
                  </w:txbxContent>
                </v:textbox>
                <w10:wrap type="topAndBottom" anchorx="page"/>
              </v:shape>
            </w:pict>
          </mc:Fallback>
        </mc:AlternateContent>
      </w:r>
      <w:r>
        <w:br w:type="page"/>
      </w:r>
    </w:p>
    <w:tbl>
      <w:tblPr>
        <w:tblOverlap w:val="never"/>
        <w:jc w:val="center"/>
        <w:tblLayout w:type="fixed"/>
      </w:tblPr>
      <w:tblGrid>
        <w:gridCol w:w="3182"/>
        <w:gridCol w:w="3763"/>
        <w:gridCol w:w="263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60" w:right="0" w:firstLine="0"/>
              <w:jc w:val="center"/>
            </w:pPr>
            <w:r>
              <w:rPr>
                <w:b/>
                <w:bCs/>
                <w:color w:val="FFFFFF"/>
                <w:spacing w:val="0"/>
                <w:w w:val="100"/>
                <w:position w:val="0"/>
              </w:rPr>
              <w:t>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待抵扣进项税额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7,753,422.64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21,244,682.53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待摊房租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3,694,926.06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14,455,068.84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预付管理咨询费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635,290.13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2,524,230.69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待摊物业费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468,877.53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734,659.53</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预付信息技术服务费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368,895.89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714,167.02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116,776.09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107,057.05</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040" w:right="0" w:firstLine="0"/>
              <w:jc w:val="left"/>
              <w:rPr>
                <w:sz w:val="18"/>
                <w:szCs w:val="18"/>
              </w:rPr>
            </w:pPr>
            <w:r>
              <w:rPr>
                <w:rFonts w:ascii="Times New Roman" w:eastAsia="Times New Roman" w:hAnsi="Times New Roman" w:cs="Times New Roman"/>
                <w:b/>
                <w:bCs/>
                <w:color w:val="FFFFFF"/>
                <w:spacing w:val="0"/>
                <w:w w:val="100"/>
                <w:position w:val="0"/>
                <w:sz w:val="18"/>
                <w:szCs w:val="18"/>
              </w:rPr>
              <w:t>13,038,188.34</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80" w:right="0" w:firstLine="0"/>
              <w:jc w:val="both"/>
              <w:rPr>
                <w:sz w:val="18"/>
                <w:szCs w:val="18"/>
              </w:rPr>
            </w:pPr>
            <w:r>
              <w:rPr>
                <w:rFonts w:ascii="Times New Roman" w:eastAsia="Times New Roman" w:hAnsi="Times New Roman" w:cs="Times New Roman"/>
                <w:b/>
                <w:bCs/>
                <w:color w:val="FFFFFF"/>
                <w:spacing w:val="0"/>
                <w:w w:val="100"/>
                <w:position w:val="0"/>
                <w:sz w:val="18"/>
                <w:szCs w:val="18"/>
              </w:rPr>
              <w:t>39,779,865.66</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7</w:t>
      </w:r>
      <w:bookmarkEnd w:id="962"/>
      <w:r>
        <w:rPr>
          <w:color w:val="000000"/>
          <w:spacing w:val="0"/>
          <w:w w:val="100"/>
          <w:position w:val="0"/>
        </w:rPr>
        <w:t>、固定资产</w:t>
      </w:r>
      <w:bookmarkEnd w:id="960"/>
      <w:bookmarkEnd w:id="961"/>
      <w:bookmarkEnd w:id="963"/>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067"/>
        <w:gridCol w:w="3859"/>
        <w:gridCol w:w="2602"/>
      </w:tblGrid>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38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固定资产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3,866,164.60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5,473,900.38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220" w:right="0" w:firstLine="0"/>
              <w:jc w:val="left"/>
              <w:rPr>
                <w:sz w:val="18"/>
                <w:szCs w:val="18"/>
              </w:rPr>
            </w:pPr>
            <w:r>
              <w:rPr>
                <w:rFonts w:ascii="Times New Roman" w:eastAsia="Times New Roman" w:hAnsi="Times New Roman" w:cs="Times New Roman"/>
                <w:b/>
                <w:bCs/>
                <w:color w:val="FFFFFF"/>
                <w:spacing w:val="0"/>
                <w:w w:val="100"/>
                <w:position w:val="0"/>
                <w:sz w:val="18"/>
                <w:szCs w:val="18"/>
              </w:rPr>
              <w:t>3,866,164.60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5,473,900.38</w:t>
            </w:r>
          </w:p>
        </w:tc>
      </w:tr>
    </w:tbl>
    <w:p>
      <w:pPr>
        <w:widowControl w:val="0"/>
        <w:spacing w:after="339" w:line="1" w:lineRule="exact"/>
      </w:pPr>
    </w:p>
    <w:p>
      <w:pPr>
        <w:pStyle w:val="Style69"/>
        <w:keepNext/>
        <w:keepLines/>
        <w:widowControl w:val="0"/>
        <w:shd w:val="clear" w:color="auto" w:fill="auto"/>
        <w:bidi w:val="0"/>
        <w:spacing w:before="0" w:line="240" w:lineRule="auto"/>
        <w:ind w:left="0" w:right="0" w:firstLine="24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64"/>
      <w:bookmarkEnd w:id="965"/>
      <w:bookmarkEnd w:id="966"/>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947"/>
        <w:gridCol w:w="1790"/>
        <w:gridCol w:w="1651"/>
        <w:gridCol w:w="1762"/>
        <w:gridCol w:w="1507"/>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办公设备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运输工具</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电子设备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合计</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一、账面原值：</w:t>
            </w:r>
          </w:p>
        </w:tc>
        <w:tc>
          <w:tcPr>
            <w:gridSpan w:val="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期初余额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1,873,148.23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3,498,194.94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21,152,711.69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26,524,054.86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本期增加金额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470,861.95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4,423.01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1,693,309.25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2,168,594.21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）购置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470,861.95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4,423.01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1,693,309.25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2,168,594.21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）在建工程转入</w:t>
            </w:r>
          </w:p>
        </w:tc>
        <w:tc>
          <w:tcPr>
            <w:gridSpan w:val="4"/>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）企业合并增加</w:t>
            </w:r>
          </w:p>
        </w:tc>
        <w:tc>
          <w:tcPr>
            <w:gridSpan w:val="4"/>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本期减少金额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298,015.47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3,101,066.06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3,399,081.53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）处置或报废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298,015.47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3,101,066.06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3,399,081.53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2,045,994.71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3,502,617.95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19,744,954.88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25,293,567.54</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二、累计折旧</w:t>
            </w:r>
          </w:p>
        </w:tc>
        <w:tc>
          <w:tcPr>
            <w:gridSpan w:val="4"/>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1,233,689.63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2,955,811.98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16,860,652.87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21,050,154.48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本期增加金额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304,021.75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366,252.82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1,902,226.08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2,572,500.65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304,021.75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366,252.82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1,902,226.08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2,572,500.65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本期减少金额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84,641.52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2,110,610.67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2,195,252.19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）处置或报废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84,641.52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2,110,610.67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2,195,252.19</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期末余额</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1,453,069.86</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3,322,064.80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16,652,268.28</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21,427,402.94</w:t>
            </w:r>
          </w:p>
        </w:tc>
      </w:tr>
    </w:tbl>
    <w:p>
      <w:pPr>
        <w:widowControl w:val="0"/>
        <w:spacing w:line="1" w:lineRule="exact"/>
      </w:pPr>
      <w:r>
        <w:br w:type="page"/>
      </w:r>
    </w:p>
    <w:tbl>
      <w:tblPr>
        <w:tblOverlap w:val="never"/>
        <w:jc w:val="center"/>
        <w:tblLayout w:type="fixed"/>
      </w:tblPr>
      <w:tblGrid>
        <w:gridCol w:w="2933"/>
        <w:gridCol w:w="6706"/>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034" w:val="left"/>
                <w:tab w:pos="3723" w:val="left"/>
                <w:tab w:pos="5643" w:val="left"/>
              </w:tabs>
              <w:bidi w:val="0"/>
              <w:spacing w:before="0" w:after="0" w:line="240" w:lineRule="auto"/>
              <w:ind w:left="0" w:right="0" w:firstLine="440"/>
              <w:jc w:val="left"/>
            </w:pPr>
            <w:r>
              <w:rPr>
                <w:b/>
                <w:bCs/>
                <w:color w:val="FFFFFF"/>
                <w:spacing w:val="0"/>
                <w:w w:val="100"/>
                <w:position w:val="0"/>
              </w:rPr>
              <w:t>办公设备</w:t>
              <w:tab/>
              <w:t>运输工具</w:t>
              <w:tab/>
              <w:t>电子设备</w:t>
              <w:tab/>
              <w:t>合计</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三、减值准备</w:t>
            </w: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期初余额</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本期增加金额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）计提</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本期减少金额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）处置或报废</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期末余额</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四、账面价值</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期末账面价值</w:t>
            </w:r>
          </w:p>
        </w:tc>
        <w:tc>
          <w:tcPr>
            <w:tcBorders>
              <w:top w:val="single" w:sz="4"/>
            </w:tcBorders>
            <w:shd w:val="clear" w:color="auto" w:fill="FFFFFF"/>
            <w:vAlign w:val="center"/>
          </w:tcPr>
          <w:p>
            <w:pPr>
              <w:pStyle w:val="Style2"/>
              <w:keepNext w:val="0"/>
              <w:keepLines w:val="0"/>
              <w:widowControl w:val="0"/>
              <w:shd w:val="clear" w:color="auto" w:fill="auto"/>
              <w:tabs>
                <w:tab w:pos="2298" w:val="left"/>
                <w:tab w:pos="3891" w:val="left"/>
                <w:tab w:pos="5624" w:val="left"/>
              </w:tabs>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592,924.85</w:t>
              <w:tab/>
              <w:t>180,553.15</w:t>
              <w:tab/>
              <w:t>3,092,686.60</w:t>
              <w:tab/>
              <w:t>3,866,164.60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期初账面价值</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2293" w:val="left"/>
                <w:tab w:pos="3886" w:val="left"/>
                <w:tab w:pos="5629" w:val="left"/>
              </w:tabs>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639,458.60</w:t>
              <w:tab/>
              <w:t>542,382.96</w:t>
              <w:tab/>
              <w:t>4,292,058.82</w:t>
              <w:tab/>
              <w:t>5,473,900.38</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8</w:t>
      </w:r>
      <w:bookmarkEnd w:id="969"/>
      <w:r>
        <w:rPr>
          <w:color w:val="000000"/>
          <w:spacing w:val="0"/>
          <w:w w:val="100"/>
          <w:position w:val="0"/>
        </w:rPr>
        <w:t>、无形资产</w:t>
      </w:r>
      <w:bookmarkEnd w:id="967"/>
      <w:bookmarkEnd w:id="968"/>
      <w:bookmarkEnd w:id="970"/>
    </w:p>
    <w:p>
      <w:pPr>
        <w:pStyle w:val="Style69"/>
        <w:keepNext/>
        <w:keepLines/>
        <w:widowControl w:val="0"/>
        <w:shd w:val="clear" w:color="auto" w:fill="auto"/>
        <w:bidi w:val="0"/>
        <w:spacing w:before="0" w:line="240" w:lineRule="auto"/>
        <w:ind w:left="0" w:right="0" w:firstLine="220"/>
        <w:jc w:val="left"/>
      </w:pPr>
      <w:bookmarkStart w:id="971" w:name="bookmark971"/>
      <w:bookmarkStart w:id="972" w:name="bookmark972"/>
      <w:bookmarkStart w:id="973" w:name="bookmark9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71"/>
      <w:bookmarkEnd w:id="972"/>
      <w:bookmarkEnd w:id="97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44"/>
        <w:gridCol w:w="854"/>
        <w:gridCol w:w="1291"/>
        <w:gridCol w:w="787"/>
        <w:gridCol w:w="1421"/>
        <w:gridCol w:w="1330"/>
        <w:gridCol w:w="1349"/>
      </w:tblGrid>
      <w:tr>
        <w:trPr>
          <w:trHeight w:val="74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8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土地使</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用权</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专利权</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00" w:line="240" w:lineRule="auto"/>
              <w:ind w:left="0" w:right="0" w:firstLine="0"/>
              <w:jc w:val="center"/>
            </w:pPr>
            <w:r>
              <w:rPr>
                <w:b/>
                <w:bCs/>
                <w:color w:val="FFFFFF"/>
                <w:spacing w:val="0"/>
                <w:w w:val="100"/>
                <w:position w:val="0"/>
              </w:rPr>
              <w:t>非专利</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技术</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合同权利及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520" w:firstLine="0"/>
              <w:jc w:val="right"/>
            </w:pPr>
            <w:r>
              <w:rPr>
                <w:b/>
                <w:bCs/>
                <w:color w:val="FFFFFF"/>
                <w:spacing w:val="0"/>
                <w:w w:val="100"/>
                <w:position w:val="0"/>
              </w:rPr>
              <w:t>软件</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一、账面原值</w:t>
            </w:r>
          </w:p>
        </w:tc>
        <w:tc>
          <w:tcPr>
            <w:gridSpan w:val="6"/>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期初余额</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3,458,508.88</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99,436,700.00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37,963,259.00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140,858,467.88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本期增加金额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718,485.08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718,485.08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）购置</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718,485.08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718,485.08</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）内部研发</w:t>
            </w:r>
          </w:p>
        </w:tc>
        <w:tc>
          <w:tcPr>
            <w:gridSpan w:val="6"/>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）企业合并增加</w:t>
            </w:r>
          </w:p>
        </w:tc>
        <w:tc>
          <w:tcPr>
            <w:gridSpan w:val="6"/>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本期减少金额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-1,514,150.91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-22,463,700.00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-5,653,950.99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-29,631,801.90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）处置</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-1,514,150.91</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-5,653,950.99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-7,168,101.90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处置子公司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-22,463,700.00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-22,463,700.00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期末余额</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1,944,357.97</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76,973,000.00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33,027,793.09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111,945,151.06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二、累计摊销</w:t>
            </w:r>
          </w:p>
        </w:tc>
        <w:tc>
          <w:tcPr>
            <w:gridSpan w:val="6"/>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期初余额</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1,083,284.19</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89,375,480.00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24,508,777.53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114,967,541.72</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本期增加金额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506,796.27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947,979.85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5,020,188.80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6,474,964.92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）计提</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506,796.27</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947,979.85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5,020,188.80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6,474,964.92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本期减少金额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-1,256,813.41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-22,463,700.00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-2,762,437.02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-26,482,950.43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）处置</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-1,256,813.41</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-2,762,437.02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-4,019,250.43</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处置子公司</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-22,463,700.00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-22,463,700.00</w:t>
            </w:r>
          </w:p>
        </w:tc>
      </w:tr>
    </w:tbl>
    <w:p>
      <w:pPr>
        <w:widowControl w:val="0"/>
        <w:spacing w:line="1" w:lineRule="exact"/>
      </w:pPr>
      <w:r>
        <w:br w:type="page"/>
      </w:r>
    </w:p>
    <w:tbl>
      <w:tblPr>
        <w:tblOverlap w:val="never"/>
        <w:jc w:val="center"/>
        <w:tblLayout w:type="fixed"/>
      </w:tblPr>
      <w:tblGrid>
        <w:gridCol w:w="2558"/>
        <w:gridCol w:w="888"/>
        <w:gridCol w:w="1258"/>
        <w:gridCol w:w="821"/>
        <w:gridCol w:w="1387"/>
        <w:gridCol w:w="1373"/>
        <w:gridCol w:w="1306"/>
      </w:tblGrid>
      <w:tr>
        <w:trPr>
          <w:trHeight w:val="749"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土地使</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用权</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60" w:right="0" w:firstLine="0"/>
              <w:jc w:val="center"/>
            </w:pPr>
            <w:r>
              <w:rPr>
                <w:b/>
                <w:bCs/>
                <w:color w:val="FFFFFF"/>
                <w:spacing w:val="0"/>
                <w:w w:val="100"/>
                <w:position w:val="0"/>
              </w:rPr>
              <w:t>专利权</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center"/>
            </w:pPr>
            <w:r>
              <w:rPr>
                <w:b/>
                <w:bCs/>
                <w:color w:val="FFFFFF"/>
                <w:spacing w:val="0"/>
                <w:w w:val="100"/>
                <w:position w:val="0"/>
              </w:rPr>
              <w:t>非专利</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技术</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pPr>
            <w:r>
              <w:rPr>
                <w:b/>
                <w:bCs/>
                <w:color w:val="FFFFFF"/>
                <w:spacing w:val="0"/>
                <w:w w:val="100"/>
                <w:position w:val="0"/>
              </w:rPr>
              <w:t>合同权利及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560" w:firstLine="0"/>
              <w:jc w:val="right"/>
            </w:pPr>
            <w:r>
              <w:rPr>
                <w:b/>
                <w:bCs/>
                <w:color w:val="FFFFFF"/>
                <w:spacing w:val="0"/>
                <w:w w:val="100"/>
                <w:position w:val="0"/>
              </w:rPr>
              <w:t>软件</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期末余额</w:t>
            </w:r>
          </w:p>
        </w:tc>
        <w:tc>
          <w:tcPr>
            <w:tcBorders/>
            <w:shd w:val="clear" w:color="auto" w:fill="F9ECF3"/>
            <w:vAlign w:val="top"/>
          </w:tcPr>
          <w:p>
            <w:pPr>
              <w:widowControl w:val="0"/>
              <w:rPr>
                <w:sz w:val="10"/>
                <w:szCs w:val="10"/>
              </w:rPr>
            </w:pP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333,267.05</w:t>
            </w:r>
          </w:p>
        </w:tc>
        <w:tc>
          <w:tcPr>
            <w:tcBorders/>
            <w:shd w:val="clear" w:color="auto" w:fill="F9ECF3"/>
            <w:vAlign w:val="top"/>
          </w:tcPr>
          <w:p>
            <w:pPr>
              <w:widowControl w:val="0"/>
              <w:rPr>
                <w:sz w:val="10"/>
                <w:szCs w:val="10"/>
              </w:rPr>
            </w:pP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67,859,759.85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26,766,529.31</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94,959,556.21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三、减值准备</w:t>
            </w:r>
          </w:p>
        </w:tc>
        <w:tc>
          <w:tcPr>
            <w:gridSpan w:val="6"/>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期初余额</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257,337.50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6,834,930.11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2,281,483.60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9,373,751.21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本期增加金额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171,698.10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759,629.00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2,951,152.06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3,882,479.16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）计提</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171,698.10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759,629.00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2,951,152.06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3,882,479.16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本期减少金额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-257,337.50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-2,281,483.60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-2,538,821.10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）处置</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-257,337.50</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-2,281,483.60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-2,538,821.10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171,698.10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7,594,559.11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2,951,152.06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10,717,409.27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四、账面价值</w:t>
            </w:r>
          </w:p>
        </w:tc>
        <w:tc>
          <w:tcPr>
            <w:gridSpan w:val="6"/>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期末账面价值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1,439,392.82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1,518,681.04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3,310,111.72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6,268,185.58</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期初账面价值</w:t>
            </w:r>
          </w:p>
        </w:tc>
        <w:tc>
          <w:tcPr>
            <w:tcBorders>
              <w:top w:val="single" w:sz="4"/>
              <w:bottom w:val="single" w:sz="4"/>
            </w:tcBorders>
            <w:shd w:val="clear" w:color="auto" w:fill="F9ECF3"/>
            <w:vAlign w:val="top"/>
          </w:tcPr>
          <w:p>
            <w:pPr>
              <w:widowControl w:val="0"/>
              <w:rPr>
                <w:sz w:val="10"/>
                <w:szCs w:val="10"/>
              </w:rPr>
            </w:pP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2,117,887.19</w:t>
            </w:r>
          </w:p>
        </w:tc>
        <w:tc>
          <w:tcPr>
            <w:tcBorders>
              <w:top w:val="single" w:sz="4"/>
              <w:bottom w:val="single" w:sz="4"/>
            </w:tcBorders>
            <w:shd w:val="clear" w:color="auto" w:fill="F9ECF3"/>
            <w:vAlign w:val="top"/>
          </w:tcPr>
          <w:p>
            <w:pPr>
              <w:widowControl w:val="0"/>
              <w:rPr>
                <w:sz w:val="10"/>
                <w:szCs w:val="10"/>
              </w:rPr>
            </w:pP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3,226,289.89</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11,172,997.87</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16517174.95</w:t>
            </w:r>
          </w:p>
        </w:tc>
      </w:tr>
    </w:tbl>
    <w:p>
      <w:pPr>
        <w:pStyle w:val="Style45"/>
        <w:keepNext w:val="0"/>
        <w:keepLines w:val="0"/>
        <w:widowControl w:val="0"/>
        <w:shd w:val="clear" w:color="auto" w:fill="auto"/>
        <w:bidi w:val="0"/>
        <w:spacing w:before="0" w:after="0" w:line="240" w:lineRule="auto"/>
        <w:ind w:left="461" w:right="0" w:firstLine="0"/>
        <w:jc w:val="left"/>
      </w:pPr>
      <w:r>
        <w:rPr>
          <w:color w:val="000000"/>
          <w:spacing w:val="0"/>
          <w:w w:val="100"/>
          <w:position w:val="0"/>
        </w:rPr>
        <w:t>本年末通过内部研发形成的无形资产占无形资产余额的比例为</w:t>
      </w:r>
      <w:r>
        <w:rPr>
          <w:rFonts w:ascii="Times New Roman" w:eastAsia="Times New Roman" w:hAnsi="Times New Roman" w:cs="Times New Roman"/>
          <w:color w:val="000000"/>
          <w:spacing w:val="0"/>
          <w:w w:val="100"/>
          <w:position w:val="0"/>
          <w:sz w:val="18"/>
          <w:szCs w:val="18"/>
        </w:rPr>
        <w:t>42.69% （2019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41.23%）</w:t>
      </w:r>
      <w:r>
        <w:rPr>
          <w:color w:val="000000"/>
          <w:spacing w:val="0"/>
          <w:w w:val="100"/>
          <w:position w:val="0"/>
        </w:rPr>
        <w:t>。</w:t>
      </w:r>
    </w:p>
    <w:p>
      <w:pPr>
        <w:widowControl w:val="0"/>
        <w:spacing w:after="439" w:line="1" w:lineRule="exact"/>
      </w:pPr>
    </w:p>
    <w:p>
      <w:pPr>
        <w:pStyle w:val="Style49"/>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9</w:t>
      </w:r>
      <w:bookmarkEnd w:id="976"/>
      <w:r>
        <w:rPr>
          <w:color w:val="000000"/>
          <w:spacing w:val="0"/>
          <w:w w:val="100"/>
          <w:position w:val="0"/>
        </w:rPr>
        <w:t>、商誉</w:t>
      </w:r>
      <w:bookmarkEnd w:id="974"/>
      <w:bookmarkEnd w:id="975"/>
      <w:bookmarkEnd w:id="977"/>
    </w:p>
    <w:p>
      <w:pPr>
        <w:pStyle w:val="Style69"/>
        <w:keepNext/>
        <w:keepLines/>
        <w:widowControl w:val="0"/>
        <w:shd w:val="clear" w:color="auto" w:fill="auto"/>
        <w:bidi w:val="0"/>
        <w:spacing w:before="0" w:after="360" w:line="240" w:lineRule="auto"/>
        <w:ind w:left="0" w:right="0" w:firstLine="0"/>
        <w:jc w:val="both"/>
      </w:pPr>
      <w:bookmarkStart w:id="978" w:name="bookmark978"/>
      <w:bookmarkStart w:id="979" w:name="bookmark979"/>
      <w:bookmarkStart w:id="980" w:name="bookmark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978"/>
      <w:bookmarkEnd w:id="979"/>
      <w:bookmarkEnd w:id="980"/>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left"/>
        <w:tblLayout w:type="fixed"/>
      </w:tblPr>
      <w:tblGrid>
        <w:gridCol w:w="3634"/>
        <w:gridCol w:w="1272"/>
        <w:gridCol w:w="1474"/>
        <w:gridCol w:w="936"/>
        <w:gridCol w:w="1262"/>
      </w:tblGrid>
      <w:tr>
        <w:trPr>
          <w:trHeight w:val="437"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被投资单位名称或形成商誉的事项</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本期减少</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r>
      <w:tr>
        <w:trPr>
          <w:trHeight w:val="398" w:hRule="exact"/>
        </w:trPr>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企业合并形成的</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both"/>
            </w:pPr>
            <w:r>
              <w:rPr>
                <w:b/>
                <w:bCs/>
                <w:color w:val="FFFFFF"/>
                <w:spacing w:val="0"/>
                <w:w w:val="100"/>
                <w:position w:val="0"/>
              </w:rPr>
              <w:t>处置</w:t>
            </w:r>
          </w:p>
        </w:tc>
        <w:tc>
          <w:tcPr>
            <w:vMerge/>
            <w:tcBorders/>
            <w:shd w:val="clear" w:color="auto" w:fill="A6A6A6"/>
            <w:vAlign w:val="center"/>
          </w:tcPr>
          <w:p>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上海百华悦邦电子科技有限公司</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25,695,430.44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25,695,430.44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山西凯特通讯信息技术有限公司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8,949,336.57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广州百邦电子科技有限公司</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1,358,476.61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1,358,476.61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上海百华悦邦电子科技有限公司威海分公司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1,173,709.00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1,173,709.00</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37,176,952.62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37,176,952.62</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240"/>
        <w:jc w:val="both"/>
      </w:pPr>
      <w:bookmarkStart w:id="981" w:name="bookmark981"/>
      <w:bookmarkStart w:id="982" w:name="bookmark982"/>
      <w:bookmarkStart w:id="983" w:name="bookmark9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981"/>
      <w:bookmarkEnd w:id="982"/>
      <w:bookmarkEnd w:id="983"/>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4090"/>
        <w:gridCol w:w="1723"/>
        <w:gridCol w:w="1094"/>
        <w:gridCol w:w="1190"/>
        <w:gridCol w:w="1358"/>
      </w:tblGrid>
      <w:tr>
        <w:trPr>
          <w:trHeight w:val="437"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00"/>
              <w:jc w:val="left"/>
            </w:pPr>
            <w:r>
              <w:rPr>
                <w:b/>
                <w:bCs/>
                <w:color w:val="FFFFFF"/>
                <w:spacing w:val="0"/>
                <w:w w:val="100"/>
                <w:position w:val="0"/>
              </w:rPr>
              <w:t>被投资单位名称或形成商誉的事项</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本期减少</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期末余额</w:t>
            </w:r>
          </w:p>
        </w:tc>
      </w:tr>
      <w:tr>
        <w:trPr>
          <w:trHeight w:val="427" w:hRule="exact"/>
        </w:trPr>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计提</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处置</w:t>
            </w:r>
          </w:p>
        </w:tc>
        <w:tc>
          <w:tcPr>
            <w:vMerge/>
            <w:tcBorders/>
            <w:shd w:val="clear" w:color="auto" w:fill="A6A6A6"/>
            <w:vAlign w:val="center"/>
          </w:tcPr>
          <w:p>
            <w:pP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上海百华悦邦电子科技有限公司</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5,961,599.95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5,961,599.95</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山西凯特通讯信息技术有限公司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8,949,336.57</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广州百邦电子科技有限公司</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075"/>
        <w:gridCol w:w="3994"/>
        <w:gridCol w:w="1402"/>
      </w:tblGrid>
      <w:tr>
        <w:trPr>
          <w:trHeight w:val="44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被投资单位名称或形成商誉的事项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842" w:val="left"/>
                <w:tab w:pos="2951" w:val="left"/>
              </w:tabs>
              <w:bidi w:val="0"/>
              <w:spacing w:before="0" w:after="0" w:line="240" w:lineRule="auto"/>
              <w:ind w:left="0" w:right="0" w:firstLine="580"/>
              <w:jc w:val="left"/>
            </w:pPr>
            <w:r>
              <w:rPr>
                <w:b/>
                <w:bCs/>
                <w:color w:val="FFFFFF"/>
                <w:spacing w:val="0"/>
                <w:w w:val="100"/>
                <w:position w:val="0"/>
              </w:rPr>
              <w:t>期初余额</w:t>
              <w:tab/>
              <w:t>本期增加</w:t>
              <w:tab/>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400" w:firstLine="0"/>
              <w:jc w:val="right"/>
            </w:pPr>
            <w:r>
              <w:rPr>
                <w:b/>
                <w:bCs/>
                <w:color w:val="FFFFFF"/>
                <w:spacing w:val="0"/>
                <w:w w:val="100"/>
                <w:position w:val="0"/>
              </w:rPr>
              <w:t>期末余额</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上海百华悦邦电子科技有限公司威海分公司</w:t>
            </w:r>
          </w:p>
        </w:tc>
        <w:tc>
          <w:tcPr>
            <w:tcBorders/>
            <w:shd w:val="clear" w:color="auto" w:fill="FFFFFF"/>
            <w:vAlign w:val="center"/>
          </w:tcPr>
          <w:p>
            <w:pPr>
              <w:pStyle w:val="Style2"/>
              <w:keepNext w:val="0"/>
              <w:keepLines w:val="0"/>
              <w:widowControl w:val="0"/>
              <w:shd w:val="clear" w:color="auto" w:fill="auto"/>
              <w:tabs>
                <w:tab w:pos="1973" w:val="left"/>
                <w:tab w:pos="3072" w:val="left"/>
              </w:tabs>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1,173,709.00</w:t>
              <w:tab/>
            </w:r>
            <w:r>
              <w:rPr>
                <w:rFonts w:ascii="Times New Roman" w:eastAsia="Times New Roman" w:hAnsi="Times New Roman" w:cs="Times New Roman"/>
                <w:color w:val="000000"/>
                <w:spacing w:val="0"/>
                <w:w w:val="100"/>
                <w:position w:val="0"/>
                <w:sz w:val="18"/>
                <w:szCs w:val="18"/>
              </w:rPr>
              <w:t>-</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1,173,709.00</w:t>
            </w:r>
          </w:p>
        </w:tc>
      </w:tr>
      <w:tr>
        <w:trPr>
          <w:trHeight w:val="4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069" w:val="left"/>
                <w:tab w:pos="3168" w:val="left"/>
              </w:tabs>
              <w:bidi w:val="0"/>
              <w:spacing w:before="0" w:after="0" w:line="240" w:lineRule="auto"/>
              <w:ind w:left="0" w:right="200" w:firstLine="0"/>
              <w:jc w:val="right"/>
              <w:rPr>
                <w:sz w:val="18"/>
                <w:szCs w:val="18"/>
              </w:rPr>
            </w:pPr>
            <w:r>
              <w:rPr>
                <w:rFonts w:ascii="Times New Roman" w:eastAsia="Times New Roman" w:hAnsi="Times New Roman" w:cs="Times New Roman"/>
                <w:b/>
                <w:bCs/>
                <w:color w:val="FFFFFF"/>
                <w:spacing w:val="0"/>
                <w:w w:val="100"/>
                <w:position w:val="0"/>
                <w:sz w:val="18"/>
                <w:szCs w:val="18"/>
              </w:rPr>
              <w:t>16,084,645.52</w:t>
              <w:tab/>
            </w:r>
            <w:r>
              <w:rPr>
                <w:rFonts w:ascii="Times New Roman" w:eastAsia="Times New Roman" w:hAnsi="Times New Roman" w:cs="Times New Roman"/>
                <w:b/>
                <w:bCs/>
                <w:color w:val="FFFFFF"/>
                <w:spacing w:val="0"/>
                <w:w w:val="100"/>
                <w:position w:val="0"/>
                <w:sz w:val="18"/>
                <w:szCs w:val="18"/>
              </w:rPr>
              <w:t>-</w:t>
              <w:tab/>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16,084,645.52</w:t>
            </w:r>
          </w:p>
        </w:tc>
      </w:tr>
    </w:tbl>
    <w:p>
      <w:pPr>
        <w:pStyle w:val="Style45"/>
        <w:keepNext w:val="0"/>
        <w:keepLines w:val="0"/>
        <w:widowControl w:val="0"/>
        <w:shd w:val="clear" w:color="auto" w:fill="auto"/>
        <w:bidi w:val="0"/>
        <w:spacing w:before="0" w:after="0" w:line="240" w:lineRule="auto"/>
        <w:ind w:left="91" w:right="0" w:firstLine="0"/>
        <w:jc w:val="left"/>
      </w:pPr>
      <w:r>
        <w:rPr>
          <w:color w:val="000000"/>
          <w:spacing w:val="0"/>
          <w:w w:val="100"/>
          <w:position w:val="0"/>
        </w:rPr>
        <w:t>商誉所在资产组或资产组组合的相关信息</w:t>
      </w:r>
    </w:p>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本集团以经营分部作为报告分部。本集团的所有商誉已于购买日分摊至手机维修业务分部下的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个资产组组合，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日，分配到这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个资产组组合的商誉的账面价值及相关减值准备如下：</w:t>
      </w:r>
    </w:p>
    <w:p>
      <w:pPr>
        <w:pStyle w:val="Style4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人民币元</w:t>
      </w:r>
    </w:p>
    <w:tbl>
      <w:tblPr>
        <w:tblOverlap w:val="never"/>
        <w:jc w:val="center"/>
        <w:tblLayout w:type="fixed"/>
      </w:tblPr>
      <w:tblGrid>
        <w:gridCol w:w="4872"/>
        <w:gridCol w:w="1853"/>
        <w:gridCol w:w="1685"/>
        <w:gridCol w:w="1469"/>
      </w:tblGrid>
      <w:tr>
        <w:trPr>
          <w:trHeight w:val="36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资产组组合</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成本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减值准备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660" w:firstLine="0"/>
              <w:jc w:val="right"/>
            </w:pPr>
            <w:r>
              <w:rPr>
                <w:b/>
                <w:bCs/>
                <w:color w:val="FFFFFF"/>
                <w:spacing w:val="0"/>
                <w:w w:val="100"/>
                <w:position w:val="0"/>
              </w:rPr>
              <w:t>净额</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25,695,430.44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5,961,599.95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25,695,430.44</w:t>
            </w:r>
          </w:p>
        </w:tc>
      </w:tr>
      <w:tr>
        <w:trPr>
          <w:trHeight w:val="3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山西凯特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8,949,336.57</w:t>
            </w:r>
          </w:p>
        </w:tc>
      </w:tr>
      <w:tr>
        <w:trPr>
          <w:trHeight w:val="33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广州百邦电子科技有限公司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1,358,476.61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1,358,476.61</w:t>
            </w:r>
          </w:p>
        </w:tc>
      </w:tr>
      <w:tr>
        <w:trPr>
          <w:trHeight w:val="66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上海百华悦邦电子科技有限公司威海分公司</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9"/>
                <w:szCs w:val="19"/>
              </w:rPr>
            </w:pP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原公司名为威海百邦电子有限公司</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1,173,709.00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1,173,709.00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rPr>
                <w:sz w:val="18"/>
                <w:szCs w:val="18"/>
              </w:rPr>
            </w:pPr>
            <w:r>
              <w:rPr>
                <w:rFonts w:ascii="Times New Roman" w:eastAsia="Times New Roman" w:hAnsi="Times New Roman" w:cs="Times New Roman"/>
                <w:b/>
                <w:bCs/>
                <w:color w:val="FFFFFF"/>
                <w:spacing w:val="0"/>
                <w:w w:val="100"/>
                <w:position w:val="0"/>
                <w:sz w:val="18"/>
                <w:szCs w:val="18"/>
              </w:rPr>
              <w:t>37,176,952.62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rPr>
                <w:sz w:val="18"/>
                <w:szCs w:val="18"/>
              </w:rPr>
            </w:pPr>
            <w:r>
              <w:rPr>
                <w:rFonts w:ascii="Times New Roman" w:eastAsia="Times New Roman" w:hAnsi="Times New Roman" w:cs="Times New Roman"/>
                <w:b/>
                <w:bCs/>
                <w:color w:val="FFFFFF"/>
                <w:spacing w:val="0"/>
                <w:w w:val="100"/>
                <w:position w:val="0"/>
                <w:sz w:val="18"/>
                <w:szCs w:val="18"/>
              </w:rPr>
              <w:t>16,084,645.52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both"/>
              <w:rPr>
                <w:sz w:val="18"/>
                <w:szCs w:val="18"/>
              </w:rPr>
            </w:pPr>
            <w:r>
              <w:rPr>
                <w:rFonts w:ascii="Times New Roman" w:eastAsia="Times New Roman" w:hAnsi="Times New Roman" w:cs="Times New Roman"/>
                <w:b/>
                <w:bCs/>
                <w:color w:val="FFFFFF"/>
                <w:spacing w:val="0"/>
                <w:w w:val="100"/>
                <w:position w:val="0"/>
                <w:sz w:val="18"/>
                <w:szCs w:val="18"/>
              </w:rPr>
              <w:t>21,092,307.10</w:t>
            </w:r>
          </w:p>
        </w:tc>
      </w:tr>
    </w:tbl>
    <w:p>
      <w:pPr>
        <w:pStyle w:val="Style45"/>
        <w:keepNext w:val="0"/>
        <w:keepLines w:val="0"/>
        <w:widowControl w:val="0"/>
        <w:shd w:val="clear" w:color="auto" w:fill="auto"/>
        <w:bidi w:val="0"/>
        <w:spacing w:before="0" w:after="0" w:line="355" w:lineRule="exact"/>
        <w:ind w:left="101" w:right="0" w:firstLine="0"/>
        <w:jc w:val="left"/>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31"/>
        <w:keepNext w:val="0"/>
        <w:keepLines w:val="0"/>
        <w:widowControl w:val="0"/>
        <w:shd w:val="clear" w:color="auto" w:fill="auto"/>
        <w:bidi w:val="0"/>
        <w:spacing w:before="0" w:after="0" w:line="350" w:lineRule="exact"/>
        <w:ind w:left="0" w:right="0" w:firstLine="480"/>
        <w:jc w:val="both"/>
      </w:pPr>
      <w:r>
        <w:rPr>
          <w:color w:val="000000"/>
          <w:spacing w:val="0"/>
          <w:w w:val="100"/>
          <w:position w:val="0"/>
        </w:rPr>
        <w:t>在进行商誉减值测试时，本集团将相关资产组组合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的账面价值与其可收回金额进行比较，可回收金额按照预计 未来现金流量现值确定。如果可收回金额低于账面价值，相关差额计入当期损益。本集团商誉所在的资产组组合的划分于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年度未发生变化。</w:t>
      </w:r>
    </w:p>
    <w:p>
      <w:pPr>
        <w:pStyle w:val="Style31"/>
        <w:keepNext w:val="0"/>
        <w:keepLines w:val="0"/>
        <w:widowControl w:val="0"/>
        <w:shd w:val="clear" w:color="auto" w:fill="auto"/>
        <w:bidi w:val="0"/>
        <w:spacing w:before="0" w:after="160" w:line="360" w:lineRule="exact"/>
        <w:ind w:left="0" w:right="0" w:firstLine="480"/>
        <w:jc w:val="both"/>
      </w:pPr>
      <w:r>
        <w:rPr>
          <w:color w:val="000000"/>
          <w:spacing w:val="0"/>
          <w:w w:val="100"/>
          <w:position w:val="0"/>
        </w:rPr>
        <w:t>资产组组合的可收回金额是依据管理层批准的五年期预算，采用现金流量预测方法计算。超过该五年期的现金流量采用 以下所述的估计增长率作出推算。</w:t>
      </w:r>
    </w:p>
    <w:p>
      <w:pPr>
        <w:pStyle w:val="Style45"/>
        <w:keepNext w:val="0"/>
        <w:keepLines w:val="0"/>
        <w:widowControl w:val="0"/>
        <w:shd w:val="clear" w:color="auto" w:fill="auto"/>
        <w:bidi w:val="0"/>
        <w:spacing w:before="0" w:after="0" w:line="240" w:lineRule="auto"/>
        <w:ind w:left="461" w:right="0" w:firstLine="0"/>
        <w:jc w:val="left"/>
      </w:pPr>
      <w:r>
        <w:rPr>
          <w:color w:val="000000"/>
          <w:spacing w:val="0"/>
          <w:w w:val="100"/>
          <w:position w:val="0"/>
        </w:rPr>
        <w:t>采用未来现金流量折现方法的主要假设:</w:t>
      </w:r>
    </w:p>
    <w:tbl>
      <w:tblPr>
        <w:tblOverlap w:val="never"/>
        <w:jc w:val="center"/>
        <w:tblLayout w:type="fixed"/>
      </w:tblPr>
      <w:tblGrid>
        <w:gridCol w:w="6624"/>
        <w:gridCol w:w="2837"/>
      </w:tblGrid>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预测期增长率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(23.19%)-(2.76%)</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稳定期增长率</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毛利率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13.99%-21.02%</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折现率</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45"/>
        <w:keepNext w:val="0"/>
        <w:keepLines w:val="0"/>
        <w:widowControl w:val="0"/>
        <w:shd w:val="clear" w:color="auto" w:fill="auto"/>
        <w:bidi w:val="0"/>
        <w:spacing w:before="0" w:after="0" w:line="350" w:lineRule="exact"/>
        <w:ind w:left="101" w:right="0" w:firstLine="0"/>
        <w:jc w:val="left"/>
      </w:pPr>
      <w:r>
        <w:rPr>
          <w:color w:val="000000"/>
          <w:spacing w:val="0"/>
          <w:w w:val="100"/>
          <w:position w:val="0"/>
        </w:rPr>
        <w:t>本集团根据历史经验及对市场发展的预测确定增长率和毛利率，并采用能够反映相关资产组组合的特定风险的利率为折 现率，稳定期增长率为零。</w:t>
      </w:r>
    </w:p>
    <w:p>
      <w:pPr>
        <w:pStyle w:val="Style31"/>
        <w:keepNext w:val="0"/>
        <w:keepLines w:val="0"/>
        <w:widowControl w:val="0"/>
        <w:shd w:val="clear" w:color="auto" w:fill="auto"/>
        <w:bidi w:val="0"/>
        <w:spacing w:before="0" w:after="0" w:line="350" w:lineRule="exact"/>
        <w:ind w:left="0" w:right="0" w:firstLine="480"/>
        <w:jc w:val="left"/>
      </w:pPr>
      <w:r>
        <w:rPr>
          <w:color w:val="000000"/>
          <w:spacing w:val="0"/>
          <w:w w:val="100"/>
          <w:position w:val="0"/>
        </w:rPr>
        <w:t>商誉减值测试的影响</w:t>
      </w:r>
    </w:p>
    <w:p>
      <w:pPr>
        <w:pStyle w:val="Style31"/>
        <w:keepNext w:val="0"/>
        <w:keepLines w:val="0"/>
        <w:widowControl w:val="0"/>
        <w:shd w:val="clear" w:color="auto" w:fill="auto"/>
        <w:bidi w:val="0"/>
        <w:spacing w:before="0" w:after="460" w:line="350" w:lineRule="exact"/>
        <w:ind w:left="0" w:right="0" w:firstLine="480"/>
        <w:jc w:val="left"/>
      </w:pPr>
      <w:r>
        <w:rPr>
          <w:color w:val="000000"/>
          <w:spacing w:val="0"/>
          <w:w w:val="100"/>
          <w:position w:val="0"/>
        </w:rPr>
        <w:t>经过商誉减值测试，本年度商誉未发生减值。</w:t>
      </w:r>
    </w:p>
    <w:tbl>
      <w:tblPr>
        <w:tblOverlap w:val="never"/>
        <w:jc w:val="center"/>
        <w:tblLayout w:type="fixed"/>
      </w:tblPr>
      <w:tblGrid>
        <w:gridCol w:w="2342"/>
        <w:gridCol w:w="1546"/>
        <w:gridCol w:w="1574"/>
        <w:gridCol w:w="1555"/>
        <w:gridCol w:w="1594"/>
        <w:gridCol w:w="1306"/>
      </w:tblGrid>
      <w:tr>
        <w:trPr>
          <w:trHeight w:val="95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984" w:name="bookmark984"/>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、长期待摊费用</w:t>
            </w:r>
            <w:bookmarkEnd w:id="98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4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pPr>
            <w:r>
              <w:rPr>
                <w:b/>
                <w:bCs/>
                <w:color w:val="FFFFFF"/>
                <w:spacing w:val="0"/>
                <w:w w:val="100"/>
                <w:position w:val="0"/>
              </w:rPr>
              <w:t>本期增加金额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本期摊销金额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其他减少金额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期末余额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经营租入固定资产改良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7,165,608.56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4,174,875.11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4,479,738.95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2,736,677.04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4,124,067.68</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1,762,524.42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1,601,813.40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955,105.09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1,516,763.46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892,469.27</w:t>
            </w:r>
          </w:p>
        </w:tc>
      </w:tr>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rPr>
                <w:sz w:val="18"/>
                <w:szCs w:val="18"/>
              </w:rPr>
            </w:pPr>
            <w:r>
              <w:rPr>
                <w:rFonts w:ascii="Times New Roman" w:eastAsia="Times New Roman" w:hAnsi="Times New Roman" w:cs="Times New Roman"/>
                <w:b/>
                <w:bCs/>
                <w:color w:val="FFFFFF"/>
                <w:spacing w:val="0"/>
                <w:w w:val="100"/>
                <w:position w:val="0"/>
                <w:sz w:val="18"/>
                <w:szCs w:val="18"/>
              </w:rPr>
              <w:t>8,928,132.98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5,776,688.51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rPr>
                <w:sz w:val="18"/>
                <w:szCs w:val="18"/>
              </w:rPr>
            </w:pPr>
            <w:r>
              <w:rPr>
                <w:rFonts w:ascii="Times New Roman" w:eastAsia="Times New Roman" w:hAnsi="Times New Roman" w:cs="Times New Roman"/>
                <w:b/>
                <w:bCs/>
                <w:color w:val="FFFFFF"/>
                <w:spacing w:val="0"/>
                <w:w w:val="100"/>
                <w:position w:val="0"/>
                <w:sz w:val="18"/>
                <w:szCs w:val="18"/>
              </w:rPr>
              <w:t>5,434,844.04</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4,253,440.50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rPr>
                <w:sz w:val="18"/>
                <w:szCs w:val="18"/>
              </w:rPr>
            </w:pPr>
            <w:r>
              <w:rPr>
                <w:rFonts w:ascii="Times New Roman" w:eastAsia="Times New Roman" w:hAnsi="Times New Roman" w:cs="Times New Roman"/>
                <w:b/>
                <w:bCs/>
                <w:color w:val="FFFFFF"/>
                <w:spacing w:val="0"/>
                <w:w w:val="100"/>
                <w:position w:val="0"/>
                <w:sz w:val="18"/>
                <w:szCs w:val="18"/>
              </w:rPr>
              <w:t>5,016,536.95</w:t>
            </w:r>
          </w:p>
        </w:tc>
      </w:tr>
    </w:tbl>
    <w:p>
      <w:pPr>
        <w:spacing w:lineRule="exact" w:line="1"/>
        <w:rPr>
          <w:sz w:val="2"/>
          <w:szCs w:val="2"/>
        </w:rPr>
      </w:pPr>
      <w:r>
        <w:br w:type="page"/>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25"/>
        <w:keepNext w:val="0"/>
        <w:keepLines w:val="0"/>
        <w:widowControl w:val="0"/>
        <w:shd w:val="clear" w:color="auto" w:fill="auto"/>
        <w:bidi w:val="0"/>
        <w:spacing w:before="0"/>
        <w:ind w:right="0" w:firstLine="0"/>
        <w:jc w:val="both"/>
      </w:pPr>
      <w:r>
        <w:rPr>
          <w:color w:val="000000"/>
          <w:spacing w:val="0"/>
          <w:w w:val="100"/>
          <w:position w:val="0"/>
          <w:sz w:val="24"/>
          <w:szCs w:val="24"/>
        </w:rPr>
        <w:t>长期待摊费用其他减少主要为退租等导致经营租入固定资产改良报废及租赁物管费等 转出，其中经营租入固定资产改良报废净值为人民币</w:t>
      </w:r>
      <w:r>
        <w:rPr>
          <w:rFonts w:ascii="Times New Roman" w:eastAsia="Times New Roman" w:hAnsi="Times New Roman" w:cs="Times New Roman"/>
          <w:color w:val="000000"/>
          <w:spacing w:val="0"/>
          <w:w w:val="100"/>
          <w:position w:val="0"/>
          <w:sz w:val="24"/>
          <w:szCs w:val="24"/>
        </w:rPr>
        <w:t>2,736,677.04</w:t>
      </w:r>
      <w:r>
        <w:rPr>
          <w:color w:val="000000"/>
          <w:spacing w:val="0"/>
          <w:w w:val="100"/>
          <w:position w:val="0"/>
          <w:sz w:val="24"/>
          <w:szCs w:val="24"/>
        </w:rPr>
        <w:t>元，租赁物管费等 转出金额为人民币</w:t>
      </w:r>
      <w:r>
        <w:rPr>
          <w:rFonts w:ascii="Times New Roman" w:eastAsia="Times New Roman" w:hAnsi="Times New Roman" w:cs="Times New Roman"/>
          <w:color w:val="000000"/>
          <w:spacing w:val="0"/>
          <w:w w:val="100"/>
          <w:position w:val="0"/>
          <w:sz w:val="24"/>
          <w:szCs w:val="24"/>
        </w:rPr>
        <w:t>1,516,763.46</w:t>
      </w:r>
      <w:r>
        <w:rPr>
          <w:color w:val="000000"/>
          <w:spacing w:val="0"/>
          <w:w w:val="100"/>
          <w:position w:val="0"/>
          <w:sz w:val="24"/>
          <w:szCs w:val="24"/>
        </w:rPr>
        <w:t>元。</w:t>
      </w:r>
    </w:p>
    <w:p>
      <w:pPr>
        <w:pStyle w:val="Style49"/>
        <w:keepNext/>
        <w:keepLines/>
        <w:widowControl w:val="0"/>
        <w:shd w:val="clear" w:color="auto" w:fill="auto"/>
        <w:bidi w:val="0"/>
        <w:spacing w:before="0" w:after="34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5"/>
      <w:bookmarkEnd w:id="986"/>
      <w:bookmarkEnd w:id="988"/>
    </w:p>
    <w:p>
      <w:pPr>
        <w:pStyle w:val="Style69"/>
        <w:keepNext/>
        <w:keepLines/>
        <w:widowControl w:val="0"/>
        <w:shd w:val="clear" w:color="auto" w:fill="auto"/>
        <w:bidi w:val="0"/>
        <w:spacing w:before="0" w:line="240" w:lineRule="auto"/>
        <w:ind w:left="0" w:right="0" w:firstLine="240"/>
        <w:jc w:val="left"/>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989"/>
      <w:bookmarkEnd w:id="990"/>
      <w:bookmarkEnd w:id="991"/>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10"/>
        <w:gridCol w:w="2030"/>
        <w:gridCol w:w="1867"/>
        <w:gridCol w:w="1963"/>
        <w:gridCol w:w="1805"/>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r>
      <w:tr>
        <w:trPr>
          <w:trHeight w:val="403"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可抵扣暂时性差异</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递延所得税资产</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可抵扣暂时性差异</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递延所得税资产</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资产减值准备</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145,872.38</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36,468.10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1,296,573.07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324,143.27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内部交易未实现利润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573,751.96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143,437.99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1,121,828.04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280,457.01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可抵扣亏损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385,087.48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96,271.87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7,033,349.06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1,161,732.07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信用减值准备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30,891.91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7,396.05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无形资产摊销差异</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3,312,964.01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828,241.00</w:t>
            </w:r>
          </w:p>
        </w:tc>
      </w:tr>
      <w:tr>
        <w:trPr>
          <w:trHeight w:val="221"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递延及预收手机保障</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业务款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1,985,026.11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496,256.53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2,272,963.73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568,240.94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股份支付</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1,256,378.76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314,094.69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递延会员卡服务款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369,570.62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92,392.66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7,806.60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1,951.65</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60"/>
              <w:jc w:val="left"/>
              <w:rPr>
                <w:sz w:val="18"/>
                <w:szCs w:val="18"/>
              </w:rPr>
            </w:pPr>
            <w:r>
              <w:rPr>
                <w:rFonts w:ascii="Times New Roman" w:eastAsia="Times New Roman" w:hAnsi="Times New Roman" w:cs="Times New Roman"/>
                <w:b/>
                <w:bCs/>
                <w:color w:val="FFFFFF"/>
                <w:spacing w:val="0"/>
                <w:w w:val="100"/>
                <w:position w:val="0"/>
                <w:sz w:val="18"/>
                <w:szCs w:val="18"/>
              </w:rPr>
              <w:t>3,459,308.55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60"/>
              <w:jc w:val="left"/>
              <w:rPr>
                <w:sz w:val="18"/>
                <w:szCs w:val="18"/>
              </w:rPr>
            </w:pPr>
            <w:r>
              <w:rPr>
                <w:rFonts w:ascii="Times New Roman" w:eastAsia="Times New Roman" w:hAnsi="Times New Roman" w:cs="Times New Roman"/>
                <w:b/>
                <w:bCs/>
                <w:color w:val="FFFFFF"/>
                <w:spacing w:val="0"/>
                <w:w w:val="100"/>
                <w:position w:val="0"/>
                <w:sz w:val="18"/>
                <w:szCs w:val="18"/>
              </w:rPr>
              <w:t>864,827.15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00"/>
              <w:jc w:val="both"/>
              <w:rPr>
                <w:sz w:val="18"/>
                <w:szCs w:val="18"/>
              </w:rPr>
            </w:pPr>
            <w:r>
              <w:rPr>
                <w:rFonts w:ascii="Times New Roman" w:eastAsia="Times New Roman" w:hAnsi="Times New Roman" w:cs="Times New Roman"/>
                <w:b/>
                <w:bCs/>
                <w:color w:val="FFFFFF"/>
                <w:spacing w:val="0"/>
                <w:w w:val="100"/>
                <w:position w:val="0"/>
                <w:sz w:val="18"/>
                <w:szCs w:val="18"/>
              </w:rPr>
              <w:t>16,332,755.18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rPr>
                <w:sz w:val="18"/>
                <w:szCs w:val="18"/>
              </w:rPr>
            </w:pPr>
            <w:r>
              <w:rPr>
                <w:rFonts w:ascii="Times New Roman" w:eastAsia="Times New Roman" w:hAnsi="Times New Roman" w:cs="Times New Roman"/>
                <w:b/>
                <w:bCs/>
                <w:color w:val="FFFFFF"/>
                <w:spacing w:val="0"/>
                <w:w w:val="100"/>
                <w:position w:val="0"/>
                <w:sz w:val="18"/>
                <w:szCs w:val="18"/>
              </w:rPr>
              <w:t>3,486,256.68</w:t>
            </w:r>
          </w:p>
        </w:tc>
      </w:tr>
    </w:tbl>
    <w:p>
      <w:pPr>
        <w:widowControl w:val="0"/>
        <w:spacing w:after="339" w:line="1" w:lineRule="exact"/>
      </w:pPr>
    </w:p>
    <w:p>
      <w:pPr>
        <w:pStyle w:val="Style69"/>
        <w:keepNext/>
        <w:keepLines/>
        <w:widowControl w:val="0"/>
        <w:shd w:val="clear" w:color="auto" w:fill="auto"/>
        <w:bidi w:val="0"/>
        <w:spacing w:before="0" w:line="240" w:lineRule="auto"/>
        <w:ind w:left="0" w:right="0" w:firstLine="240"/>
        <w:jc w:val="left"/>
      </w:pPr>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992"/>
      <w:bookmarkEnd w:id="993"/>
      <w:bookmarkEnd w:id="994"/>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010"/>
        <w:gridCol w:w="1795"/>
        <w:gridCol w:w="1550"/>
        <w:gridCol w:w="1728"/>
        <w:gridCol w:w="1531"/>
      </w:tblGrid>
      <w:tr>
        <w:trPr>
          <w:trHeight w:val="44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r>
      <w:tr>
        <w:trPr>
          <w:trHeight w:val="432"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pPr>
            <w:r>
              <w:rPr>
                <w:b/>
                <w:bCs/>
                <w:color w:val="FFFFFF"/>
                <w:spacing w:val="0"/>
                <w:w w:val="100"/>
                <w:position w:val="0"/>
              </w:rPr>
              <w:t>应纳税暂时性差异</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递延所得税负债</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应纳税暂时性差异</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递延所得税负债</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非同一控制企业合并资产评估增值</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2,103,817.89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525,954.47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3,155,726.85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788,931.71</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递延成本手机保障业务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775,804.42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193,951.11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1,492,677.85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373,169.47</w:t>
            </w:r>
          </w:p>
        </w:tc>
      </w:tr>
      <w:tr>
        <w:trPr>
          <w:trHeight w:val="4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rPr>
                <w:sz w:val="18"/>
                <w:szCs w:val="18"/>
              </w:rPr>
            </w:pPr>
            <w:r>
              <w:rPr>
                <w:rFonts w:ascii="Times New Roman" w:eastAsia="Times New Roman" w:hAnsi="Times New Roman" w:cs="Times New Roman"/>
                <w:b/>
                <w:bCs/>
                <w:color w:val="FFFFFF"/>
                <w:spacing w:val="0"/>
                <w:w w:val="100"/>
                <w:position w:val="0"/>
                <w:sz w:val="18"/>
                <w:szCs w:val="18"/>
              </w:rPr>
              <w:t>2,879,622.31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rPr>
                <w:sz w:val="18"/>
                <w:szCs w:val="18"/>
              </w:rPr>
            </w:pPr>
            <w:r>
              <w:rPr>
                <w:rFonts w:ascii="Times New Roman" w:eastAsia="Times New Roman" w:hAnsi="Times New Roman" w:cs="Times New Roman"/>
                <w:b/>
                <w:bCs/>
                <w:color w:val="FFFFFF"/>
                <w:spacing w:val="0"/>
                <w:w w:val="100"/>
                <w:position w:val="0"/>
                <w:sz w:val="18"/>
                <w:szCs w:val="18"/>
              </w:rPr>
              <w:t>719,905.58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rPr>
                <w:sz w:val="18"/>
                <w:szCs w:val="18"/>
              </w:rPr>
            </w:pPr>
            <w:r>
              <w:rPr>
                <w:rFonts w:ascii="Times New Roman" w:eastAsia="Times New Roman" w:hAnsi="Times New Roman" w:cs="Times New Roman"/>
                <w:b/>
                <w:bCs/>
                <w:color w:val="FFFFFF"/>
                <w:spacing w:val="0"/>
                <w:w w:val="100"/>
                <w:position w:val="0"/>
                <w:sz w:val="18"/>
                <w:szCs w:val="18"/>
              </w:rPr>
              <w:t>4,648,404.70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1,162,101.18</w:t>
            </w:r>
          </w:p>
        </w:tc>
      </w:tr>
    </w:tbl>
    <w:p>
      <w:pPr>
        <w:widowControl w:val="0"/>
        <w:spacing w:after="339" w:line="1" w:lineRule="exact"/>
      </w:pPr>
    </w:p>
    <w:p>
      <w:pPr>
        <w:pStyle w:val="Style69"/>
        <w:keepNext/>
        <w:keepLines/>
        <w:widowControl w:val="0"/>
        <w:numPr>
          <w:ilvl w:val="0"/>
          <w:numId w:val="41"/>
        </w:numPr>
        <w:shd w:val="clear" w:color="auto" w:fill="auto"/>
        <w:bidi w:val="0"/>
        <w:spacing w:before="0" w:line="240" w:lineRule="auto"/>
        <w:ind w:left="0" w:right="0" w:firstLine="240"/>
        <w:jc w:val="left"/>
      </w:pPr>
      <w:bookmarkStart w:id="995" w:name="bookmark995"/>
      <w:bookmarkStart w:id="996" w:name="bookmark996"/>
      <w:bookmarkStart w:id="997" w:name="bookmark997"/>
      <w:bookmarkStart w:id="998" w:name="bookmark998"/>
      <w:bookmarkEnd w:id="997"/>
      <w:r>
        <w:rPr>
          <w:color w:val="000000"/>
          <w:spacing w:val="0"/>
          <w:w w:val="100"/>
          <w:position w:val="0"/>
        </w:rPr>
        <w:t>以抵销后净额列示的递延所得税资产或负债</w:t>
      </w:r>
      <w:bookmarkEnd w:id="995"/>
      <w:bookmarkEnd w:id="996"/>
      <w:bookmarkEnd w:id="998"/>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723"/>
        <w:gridCol w:w="2126"/>
        <w:gridCol w:w="1920"/>
        <w:gridCol w:w="1915"/>
        <w:gridCol w:w="1939"/>
      </w:tblGrid>
      <w:tr>
        <w:trPr>
          <w:trHeight w:val="74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20" w:after="0" w:line="240" w:lineRule="auto"/>
              <w:ind w:left="0" w:right="0" w:firstLine="78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pPr>
            <w:r>
              <w:rPr>
                <w:b/>
                <w:bCs/>
                <w:color w:val="FFFFFF"/>
                <w:spacing w:val="0"/>
                <w:w w:val="100"/>
                <w:position w:val="0"/>
              </w:rPr>
              <w:t>递延所得税资产和负 债期末互抵金额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抵销后递延所得税资 产或负债期末余额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pPr>
            <w:r>
              <w:rPr>
                <w:b/>
                <w:bCs/>
                <w:color w:val="FFFFFF"/>
                <w:spacing w:val="0"/>
                <w:w w:val="100"/>
                <w:position w:val="0"/>
              </w:rPr>
              <w:t>递延所得税资产和负 债期初互抵金额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center"/>
            </w:pPr>
            <w:r>
              <w:rPr>
                <w:b/>
                <w:bCs/>
                <w:color w:val="FFFFFF"/>
                <w:spacing w:val="0"/>
                <w:w w:val="100"/>
                <w:position w:val="0"/>
              </w:rPr>
              <w:t>抵销后递延所得税资 产或负债期初余额</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递延所得税资产</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-193,951.11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670,876.04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-373,169.47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3,113,087.21</w:t>
            </w:r>
          </w:p>
        </w:tc>
      </w:tr>
    </w:tbl>
    <w:p>
      <w:pPr>
        <w:widowControl w:val="0"/>
        <w:spacing w:line="1" w:lineRule="exact"/>
      </w:pPr>
      <w:r>
        <w:br w:type="page"/>
      </w:r>
    </w:p>
    <w:tbl>
      <w:tblPr>
        <w:tblOverlap w:val="never"/>
        <w:jc w:val="center"/>
        <w:tblLayout w:type="fixed"/>
      </w:tblPr>
      <w:tblGrid>
        <w:gridCol w:w="1709"/>
        <w:gridCol w:w="2126"/>
        <w:gridCol w:w="1925"/>
        <w:gridCol w:w="1910"/>
        <w:gridCol w:w="1906"/>
      </w:tblGrid>
      <w:tr>
        <w:trPr>
          <w:trHeight w:val="749"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20" w:after="0" w:line="240" w:lineRule="auto"/>
              <w:ind w:left="0" w:right="0" w:firstLine="76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pPr>
            <w:r>
              <w:rPr>
                <w:b/>
                <w:bCs/>
                <w:color w:val="FFFFFF"/>
                <w:spacing w:val="0"/>
                <w:w w:val="100"/>
                <w:position w:val="0"/>
              </w:rPr>
              <w:t>递延所得税资产和负 债期末互抵金额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抵销后递延所得税资 产或负债期末余额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pPr>
            <w:r>
              <w:rPr>
                <w:b/>
                <w:bCs/>
                <w:color w:val="FFFFFF"/>
                <w:spacing w:val="0"/>
                <w:w w:val="100"/>
                <w:position w:val="0"/>
              </w:rPr>
              <w:t>递延所得税资产和负 债期初互抵金额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抵销后递延所得税资 产或负债期初余额</w:t>
            </w:r>
          </w:p>
        </w:tc>
      </w:tr>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递延所得税负债</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-193,951.11</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525,954.47</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-373,169.47</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788,931.71</w:t>
            </w:r>
          </w:p>
        </w:tc>
      </w:tr>
    </w:tbl>
    <w:p>
      <w:pPr>
        <w:widowControl w:val="0"/>
        <w:spacing w:after="319" w:line="1" w:lineRule="exact"/>
      </w:pPr>
    </w:p>
    <w:p>
      <w:pPr>
        <w:pStyle w:val="Style69"/>
        <w:keepNext/>
        <w:keepLines/>
        <w:widowControl w:val="0"/>
        <w:numPr>
          <w:ilvl w:val="0"/>
          <w:numId w:val="41"/>
        </w:numPr>
        <w:shd w:val="clear" w:color="auto" w:fill="auto"/>
        <w:bidi w:val="0"/>
        <w:spacing w:before="0" w:line="240" w:lineRule="auto"/>
        <w:ind w:left="0" w:right="0" w:firstLine="240"/>
        <w:jc w:val="left"/>
      </w:pPr>
      <w:bookmarkStart w:id="1000" w:name="bookmark1000"/>
      <w:bookmarkStart w:id="1001" w:name="bookmark1001"/>
      <w:bookmarkStart w:id="1002" w:name="bookmark1002"/>
      <w:bookmarkStart w:id="999" w:name="bookmark999"/>
      <w:bookmarkEnd w:id="1001"/>
      <w:r>
        <w:rPr>
          <w:color w:val="000000"/>
          <w:spacing w:val="0"/>
          <w:w w:val="100"/>
          <w:position w:val="0"/>
        </w:rPr>
        <w:t>未确认递延所得税资产明细</w:t>
      </w:r>
      <w:bookmarkEnd w:id="1000"/>
      <w:bookmarkEnd w:id="1002"/>
      <w:bookmarkEnd w:id="999"/>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768"/>
        <w:gridCol w:w="2626"/>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可抵扣亏损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151,768,435.14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86,173,466.95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信用减值准备</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13,510,045.54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11,016,800.00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14,826,905.56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9,287,657.88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无形资产摊销差异</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10,051,227.02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7,410,361.66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递延贴膜套餐业务款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801,807.75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1,484,884.71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递延及预收手机保障业务款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215,798.97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143,324.51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递延会员卡服务款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172,935.76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99,129.89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股份支付</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1,485,706.86</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192,832,862.60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115,615,625.60</w:t>
            </w:r>
          </w:p>
        </w:tc>
      </w:tr>
    </w:tbl>
    <w:p>
      <w:pPr>
        <w:widowControl w:val="0"/>
        <w:spacing w:after="319" w:line="1" w:lineRule="exact"/>
      </w:pPr>
    </w:p>
    <w:p>
      <w:pPr>
        <w:pStyle w:val="Style69"/>
        <w:keepNext/>
        <w:keepLines/>
        <w:widowControl w:val="0"/>
        <w:numPr>
          <w:ilvl w:val="0"/>
          <w:numId w:val="41"/>
        </w:numPr>
        <w:shd w:val="clear" w:color="auto" w:fill="auto"/>
        <w:bidi w:val="0"/>
        <w:spacing w:before="0" w:line="240" w:lineRule="auto"/>
        <w:ind w:left="0" w:right="0" w:firstLine="24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未确认递延所得税资产的可抵扣亏损将于以下年度到期</w:t>
      </w:r>
      <w:bookmarkEnd w:id="1003"/>
      <w:bookmarkEnd w:id="1004"/>
      <w:bookmarkEnd w:id="1006"/>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400"/>
        <w:gridCol w:w="2765"/>
        <w:gridCol w:w="2486"/>
        <w:gridCol w:w="1939"/>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年份</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40"/>
              <w:jc w:val="left"/>
            </w:pPr>
            <w:r>
              <w:rPr>
                <w:b/>
                <w:bCs/>
                <w:color w:val="FFFFFF"/>
                <w:spacing w:val="0"/>
                <w:w w:val="100"/>
                <w:position w:val="0"/>
              </w:rPr>
              <w:t>期末金额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期初金额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b/>
                <w:bCs/>
                <w:color w:val="FFFFFF"/>
                <w:spacing w:val="0"/>
                <w:w w:val="100"/>
                <w:position w:val="0"/>
              </w:rPr>
              <w:t>备注</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60" w:firstLine="0"/>
              <w:jc w:val="right"/>
              <w:rPr>
                <w:sz w:val="18"/>
                <w:szCs w:val="18"/>
              </w:rPr>
            </w:pPr>
            <w:r>
              <w:rPr>
                <w:rFonts w:ascii="Times New Roman" w:eastAsia="Times New Roman" w:hAnsi="Times New Roman" w:cs="Times New Roman"/>
                <w:color w:val="000000"/>
                <w:spacing w:val="0"/>
                <w:w w:val="100"/>
                <w:position w:val="0"/>
                <w:sz w:val="18"/>
                <w:szCs w:val="18"/>
              </w:rPr>
              <w:t>348,169.78</w:t>
            </w: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2021 </w:t>
            </w:r>
            <w:r>
              <w:rPr>
                <w:b/>
                <w:bCs/>
                <w:color w:val="FFFFFF"/>
                <w:spacing w:val="0"/>
                <w:w w:val="100"/>
                <w:position w:val="0"/>
              </w:rPr>
              <w:t>年</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5,150,566.18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5,189,521.88</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2022 </w:t>
            </w:r>
            <w:r>
              <w:rPr>
                <w:b/>
                <w:bCs/>
                <w:color w:val="FFFFFF"/>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5,048,160.11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11,700,625.58</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2023 </w:t>
            </w:r>
            <w:r>
              <w:rPr>
                <w:b/>
                <w:bCs/>
                <w:color w:val="FFFFFF"/>
                <w:spacing w:val="0"/>
                <w:w w:val="100"/>
                <w:position w:val="0"/>
              </w:rPr>
              <w:t>年</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5,043,720.80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5,043,720.80</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2024 </w:t>
            </w:r>
            <w:r>
              <w:rPr>
                <w:b/>
                <w:bCs/>
                <w:color w:val="FFFFFF"/>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63,019,674.26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63,891,428.91</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2025 </w:t>
            </w:r>
            <w:r>
              <w:rPr>
                <w:b/>
                <w:bCs/>
                <w:color w:val="FFFFFF"/>
                <w:spacing w:val="0"/>
                <w:w w:val="100"/>
                <w:position w:val="0"/>
              </w:rPr>
              <w:t>年</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73,506,313.79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60" w:right="0" w:firstLine="0"/>
              <w:jc w:val="left"/>
              <w:rPr>
                <w:sz w:val="18"/>
                <w:szCs w:val="18"/>
              </w:rPr>
            </w:pPr>
            <w:r>
              <w:rPr>
                <w:rFonts w:ascii="Times New Roman" w:eastAsia="Times New Roman" w:hAnsi="Times New Roman" w:cs="Times New Roman"/>
                <w:b/>
                <w:bCs/>
                <w:color w:val="FFFFFF"/>
                <w:spacing w:val="0"/>
                <w:w w:val="100"/>
                <w:position w:val="0"/>
                <w:sz w:val="18"/>
                <w:szCs w:val="18"/>
              </w:rPr>
              <w:t>151,768,435.14</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80"/>
              <w:jc w:val="both"/>
              <w:rPr>
                <w:sz w:val="18"/>
                <w:szCs w:val="18"/>
              </w:rPr>
            </w:pPr>
            <w:r>
              <w:rPr>
                <w:rFonts w:ascii="Times New Roman" w:eastAsia="Times New Roman" w:hAnsi="Times New Roman" w:cs="Times New Roman"/>
                <w:b/>
                <w:bCs/>
                <w:color w:val="FFFFFF"/>
                <w:spacing w:val="0"/>
                <w:w w:val="100"/>
                <w:position w:val="0"/>
                <w:sz w:val="18"/>
                <w:szCs w:val="18"/>
              </w:rPr>
              <w:t>86,173,466.95</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both"/>
              <w:rPr>
                <w:sz w:val="18"/>
                <w:szCs w:val="18"/>
              </w:rPr>
            </w:pPr>
            <w:r>
              <w:rPr>
                <w:rFonts w:ascii="Times New Roman" w:eastAsia="Times New Roman" w:hAnsi="Times New Roman" w:cs="Times New Roman"/>
                <w:b/>
                <w:bCs/>
                <w:color w:val="FFFFFF"/>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9"/>
        <w:keepNext/>
        <w:keepLines/>
        <w:widowControl w:val="0"/>
        <w:shd w:val="clear" w:color="auto" w:fill="auto"/>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007"/>
      <w:bookmarkEnd w:id="1008"/>
      <w:bookmarkEnd w:id="1010"/>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387"/>
        <w:gridCol w:w="1531"/>
        <w:gridCol w:w="1378"/>
        <w:gridCol w:w="1397"/>
        <w:gridCol w:w="1349"/>
        <w:gridCol w:w="1291"/>
        <w:gridCol w:w="1320"/>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c>
          <w:tcPr>
            <w:tcBorders/>
            <w:shd w:val="clear" w:color="auto" w:fill="A6A6A6"/>
            <w:vAlign w:val="top"/>
          </w:tcPr>
          <w:p>
            <w:pPr>
              <w:widowControl w:val="0"/>
              <w:rPr>
                <w:sz w:val="10"/>
                <w:szCs w:val="10"/>
              </w:rPr>
            </w:pPr>
          </w:p>
        </w:tc>
      </w:tr>
      <w:tr>
        <w:trPr>
          <w:trHeight w:val="403"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减值准备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账面价值</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减值准备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账面价值</w:t>
            </w:r>
          </w:p>
        </w:tc>
      </w:tr>
    </w:tbl>
    <w:p>
      <w:pPr>
        <w:widowControl w:val="0"/>
        <w:spacing w:line="1" w:lineRule="exact"/>
        <w:sectPr>
          <w:footnotePr>
            <w:pos w:val="pageBottom"/>
            <w:numFmt w:val="decimal"/>
            <w:numRestart w:val="continuous"/>
          </w:footnotePr>
          <w:pgSz w:w="11966" w:h="17375"/>
          <w:pgMar w:top="1594" w:right="1101" w:bottom="1731" w:left="948" w:header="0" w:footer="3" w:gutter="0"/>
          <w:cols w:space="720"/>
          <w:noEndnote/>
          <w:rtlGutter w:val="0"/>
          <w:docGrid w:linePitch="360"/>
        </w:sectPr>
      </w:pPr>
    </w:p>
    <w:tbl>
      <w:tblPr>
        <w:tblOverlap w:val="never"/>
        <w:jc w:val="center"/>
        <w:tblLayout w:type="fixed"/>
      </w:tblPr>
      <w:tblGrid>
        <w:gridCol w:w="1464"/>
        <w:gridCol w:w="1589"/>
        <w:gridCol w:w="1330"/>
        <w:gridCol w:w="1502"/>
        <w:gridCol w:w="1248"/>
        <w:gridCol w:w="1310"/>
        <w:gridCol w:w="119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预付软件款</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5,543,700.00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5,543,700.00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192,701.26</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192,701.26</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rPr>
                <w:sz w:val="18"/>
                <w:szCs w:val="18"/>
              </w:rPr>
            </w:pPr>
            <w:r>
              <w:rPr>
                <w:rFonts w:ascii="Times New Roman" w:eastAsia="Times New Roman" w:hAnsi="Times New Roman" w:cs="Times New Roman"/>
                <w:b/>
                <w:bCs/>
                <w:color w:val="FFFFFF"/>
                <w:spacing w:val="0"/>
                <w:w w:val="100"/>
                <w:position w:val="0"/>
                <w:sz w:val="18"/>
                <w:szCs w:val="18"/>
              </w:rPr>
              <w:t>5,543,700.00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rPr>
                <w:sz w:val="18"/>
                <w:szCs w:val="18"/>
              </w:rPr>
            </w:pPr>
            <w:r>
              <w:rPr>
                <w:rFonts w:ascii="Times New Roman" w:eastAsia="Times New Roman" w:hAnsi="Times New Roman" w:cs="Times New Roman"/>
                <w:b/>
                <w:bCs/>
                <w:color w:val="FFFFFF"/>
                <w:spacing w:val="0"/>
                <w:w w:val="100"/>
                <w:position w:val="0"/>
                <w:sz w:val="18"/>
                <w:szCs w:val="18"/>
              </w:rPr>
              <w:t>0.00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5,543,700.00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rPr>
                <w:sz w:val="18"/>
                <w:szCs w:val="18"/>
              </w:rPr>
            </w:pPr>
            <w:r>
              <w:rPr>
                <w:rFonts w:ascii="Times New Roman" w:eastAsia="Times New Roman" w:hAnsi="Times New Roman" w:cs="Times New Roman"/>
                <w:b/>
                <w:bCs/>
                <w:color w:val="FFFFFF"/>
                <w:spacing w:val="0"/>
                <w:w w:val="100"/>
                <w:position w:val="0"/>
                <w:sz w:val="18"/>
                <w:szCs w:val="18"/>
              </w:rPr>
              <w:t>192,701.26</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rPr>
                <w:sz w:val="18"/>
                <w:szCs w:val="18"/>
              </w:rPr>
            </w:pPr>
            <w:r>
              <w:rPr>
                <w:rFonts w:ascii="Times New Roman" w:eastAsia="Times New Roman" w:hAnsi="Times New Roman" w:cs="Times New Roman"/>
                <w:b/>
                <w:bCs/>
                <w:color w:val="FFFFFF"/>
                <w:spacing w:val="0"/>
                <w:w w:val="100"/>
                <w:position w:val="0"/>
                <w:sz w:val="18"/>
                <w:szCs w:val="18"/>
              </w:rPr>
              <w:t>0.00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8"/>
                <w:szCs w:val="18"/>
              </w:rPr>
            </w:pPr>
            <w:r>
              <w:rPr>
                <w:rFonts w:ascii="Times New Roman" w:eastAsia="Times New Roman" w:hAnsi="Times New Roman" w:cs="Times New Roman"/>
                <w:b/>
                <w:bCs/>
                <w:color w:val="FFFFFF"/>
                <w:spacing w:val="0"/>
                <w:w w:val="100"/>
                <w:position w:val="0"/>
                <w:sz w:val="18"/>
                <w:szCs w:val="18"/>
              </w:rPr>
              <w:t>192,701.26</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9"/>
        <w:keepNext/>
        <w:keepLines/>
        <w:widowControl w:val="0"/>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1</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011"/>
      <w:bookmarkEnd w:id="1012"/>
      <w:bookmarkEnd w:id="1014"/>
    </w:p>
    <w:p>
      <w:pPr>
        <w:pStyle w:val="Style69"/>
        <w:keepNext/>
        <w:keepLines/>
        <w:widowControl w:val="0"/>
        <w:shd w:val="clear" w:color="auto" w:fill="auto"/>
        <w:bidi w:val="0"/>
        <w:spacing w:before="0" w:line="240" w:lineRule="auto"/>
        <w:ind w:left="0" w:right="0" w:firstLine="24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15"/>
      <w:bookmarkEnd w:id="1016"/>
      <w:bookmarkEnd w:id="101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864"/>
        <w:gridCol w:w="2630"/>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2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60" w:right="0" w:firstLine="0"/>
              <w:jc w:val="center"/>
            </w:pPr>
            <w:r>
              <w:rPr>
                <w:b/>
                <w:bCs/>
                <w:color w:val="FFFFFF"/>
                <w:spacing w:val="0"/>
                <w:w w:val="100"/>
                <w:position w:val="0"/>
              </w:rPr>
              <w:t>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应付货款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5,625,750.52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6,157,949.24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应付劳务费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161,910.63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384,197.93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240" w:right="0" w:firstLine="0"/>
              <w:jc w:val="left"/>
              <w:rPr>
                <w:sz w:val="18"/>
                <w:szCs w:val="18"/>
              </w:rPr>
            </w:pPr>
            <w:r>
              <w:rPr>
                <w:rFonts w:ascii="Times New Roman" w:eastAsia="Times New Roman" w:hAnsi="Times New Roman" w:cs="Times New Roman"/>
                <w:b/>
                <w:bCs/>
                <w:color w:val="FFFFFF"/>
                <w:spacing w:val="0"/>
                <w:w w:val="100"/>
                <w:position w:val="0"/>
                <w:sz w:val="18"/>
                <w:szCs w:val="18"/>
              </w:rPr>
              <w:t>5,787,661.15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6,542,147.17</w:t>
            </w:r>
          </w:p>
        </w:tc>
      </w:tr>
    </w:tbl>
    <w:p>
      <w:pPr>
        <w:widowControl w:val="0"/>
        <w:spacing w:after="379" w:line="1" w:lineRule="exact"/>
      </w:pPr>
    </w:p>
    <w:p>
      <w:pPr>
        <w:pStyle w:val="Style6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18"/>
      <w:bookmarkEnd w:id="1019"/>
      <w:bookmarkEnd w:id="1020"/>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60" w:line="240" w:lineRule="auto"/>
        <w:ind w:left="0" w:right="0" w:firstLine="48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日，账龄超过一年的应付账款为人民币</w:t>
      </w:r>
      <w:r>
        <w:rPr>
          <w:rFonts w:ascii="Times New Roman" w:eastAsia="Times New Roman" w:hAnsi="Times New Roman" w:cs="Times New Roman"/>
          <w:color w:val="000000"/>
          <w:spacing w:val="0"/>
          <w:w w:val="100"/>
          <w:position w:val="0"/>
          <w:sz w:val="18"/>
          <w:szCs w:val="18"/>
        </w:rPr>
        <w:t>34,512.8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9"/>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021"/>
      <w:bookmarkEnd w:id="1022"/>
      <w:bookmarkEnd w:id="102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864"/>
        <w:gridCol w:w="263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预收联盟商管理费</w:t>
            </w:r>
          </w:p>
        </w:tc>
        <w:tc>
          <w:tcPr>
            <w:tcBorders/>
            <w:shd w:val="clear" w:color="auto" w:fill="A6A6A6"/>
            <w:vAlign w:val="top"/>
          </w:tcPr>
          <w:p>
            <w:pPr>
              <w:widowControl w:val="0"/>
              <w:rPr>
                <w:sz w:val="10"/>
                <w:szCs w:val="10"/>
              </w:rPr>
            </w:pPr>
          </w:p>
        </w:tc>
        <w:tc>
          <w:tcPr>
            <w:tcBorders/>
            <w:shd w:val="clear" w:color="auto" w:fill="7E3F6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预收保外业务款</w:t>
            </w:r>
          </w:p>
        </w:tc>
        <w:tc>
          <w:tcPr>
            <w:tcBorders>
              <w:top w:val="single" w:sz="4"/>
            </w:tcBorders>
            <w:shd w:val="clear" w:color="auto" w:fill="A22B6F"/>
            <w:vAlign w:val="top"/>
          </w:tcPr>
          <w:p>
            <w:pPr>
              <w:widowControl w:val="0"/>
              <w:rPr>
                <w:sz w:val="10"/>
                <w:szCs w:val="10"/>
              </w:rPr>
            </w:pP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预收保障类业务款</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预收货款</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22B6F"/>
            <w:vAlign w:val="top"/>
          </w:tcPr>
          <w:p>
            <w:pPr>
              <w:widowControl w:val="0"/>
              <w:rPr>
                <w:sz w:val="10"/>
                <w:szCs w:val="10"/>
              </w:rPr>
            </w:pP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40" w:right="0" w:firstLine="0"/>
              <w:jc w:val="left"/>
              <w:rPr>
                <w:sz w:val="18"/>
                <w:szCs w:val="18"/>
              </w:rPr>
            </w:pPr>
            <w:r>
              <w:rPr>
                <w:rFonts w:ascii="Times New Roman" w:eastAsia="Times New Roman" w:hAnsi="Times New Roman" w:cs="Times New Roman"/>
                <w:b/>
                <w:bCs/>
                <w:color w:val="FFFFFF"/>
                <w:spacing w:val="0"/>
                <w:w w:val="100"/>
                <w:position w:val="0"/>
                <w:sz w:val="18"/>
                <w:szCs w:val="18"/>
              </w:rPr>
              <w:t>16,641,555.50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w:t>
            </w:r>
          </w:p>
        </w:tc>
      </w:tr>
    </w:tbl>
    <w:p>
      <w:pPr>
        <w:widowControl w:val="0"/>
        <w:spacing w:after="379" w:line="1" w:lineRule="exact"/>
      </w:pPr>
    </w:p>
    <w:p>
      <w:pPr>
        <w:pStyle w:val="Style49"/>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025"/>
      <w:bookmarkEnd w:id="1026"/>
      <w:bookmarkEnd w:id="1028"/>
    </w:p>
    <w:p>
      <w:pPr>
        <w:pStyle w:val="Style69"/>
        <w:keepNext/>
        <w:keepLines/>
        <w:widowControl w:val="0"/>
        <w:shd w:val="clear" w:color="auto" w:fill="auto"/>
        <w:bidi w:val="0"/>
        <w:spacing w:before="0" w:line="240" w:lineRule="auto"/>
        <w:ind w:left="0" w:right="0" w:firstLine="0"/>
        <w:jc w:val="both"/>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29"/>
      <w:bookmarkEnd w:id="1030"/>
      <w:bookmarkEnd w:id="103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44"/>
        <w:gridCol w:w="1915"/>
        <w:gridCol w:w="1618"/>
        <w:gridCol w:w="1589"/>
        <w:gridCol w:w="1368"/>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80" w:right="0" w:firstLine="0"/>
              <w:jc w:val="center"/>
            </w:pPr>
            <w:r>
              <w:rPr>
                <w:b/>
                <w:bCs/>
                <w:color w:val="FFFFFF"/>
                <w:spacing w:val="0"/>
                <w:w w:val="100"/>
                <w:position w:val="0"/>
              </w:rPr>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80" w:firstLine="0"/>
              <w:jc w:val="right"/>
            </w:pPr>
            <w:r>
              <w:rPr>
                <w:b/>
                <w:bCs/>
                <w:color w:val="FFFFFF"/>
                <w:spacing w:val="0"/>
                <w:w w:val="100"/>
                <w:position w:val="0"/>
              </w:rPr>
              <w:t>期末余额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一、短期薪酬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7,754,311.80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93,953,058.63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94,121,751.48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7,585,618.95</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二、离职后福利</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设定提存计划</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1,372,833.26</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1,360,621.20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12,212.06</w:t>
            </w:r>
          </w:p>
        </w:tc>
      </w:tr>
    </w:tbl>
    <w:p>
      <w:pPr>
        <w:widowControl w:val="0"/>
        <w:spacing w:line="1" w:lineRule="exact"/>
      </w:pPr>
      <w:r>
        <w:br w:type="page"/>
      </w:r>
    </w:p>
    <w:tbl>
      <w:tblPr>
        <w:tblOverlap w:val="never"/>
        <w:jc w:val="center"/>
        <w:tblLayout w:type="fixed"/>
      </w:tblPr>
      <w:tblGrid>
        <w:gridCol w:w="1008"/>
        <w:gridCol w:w="1824"/>
        <w:gridCol w:w="2242"/>
        <w:gridCol w:w="1618"/>
        <w:gridCol w:w="1589"/>
        <w:gridCol w:w="1373"/>
      </w:tblGrid>
      <w:tr>
        <w:trPr>
          <w:trHeight w:val="437"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400" w:firstLine="0"/>
              <w:jc w:val="right"/>
            </w:pPr>
            <w:r>
              <w:rPr>
                <w:b/>
                <w:bCs/>
                <w:color w:val="FFFFFF"/>
                <w:spacing w:val="0"/>
                <w:w w:val="100"/>
                <w:position w:val="0"/>
              </w:rPr>
              <w:t>期末余额</w:t>
            </w:r>
          </w:p>
        </w:tc>
      </w:tr>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20" w:right="0" w:firstLine="0"/>
              <w:jc w:val="left"/>
              <w:rPr>
                <w:sz w:val="18"/>
                <w:szCs w:val="18"/>
              </w:rPr>
            </w:pPr>
            <w:r>
              <w:rPr>
                <w:rFonts w:ascii="Times New Roman" w:eastAsia="Times New Roman" w:hAnsi="Times New Roman" w:cs="Times New Roman"/>
                <w:b/>
                <w:bCs/>
                <w:color w:val="FFFFFF"/>
                <w:spacing w:val="0"/>
                <w:w w:val="100"/>
                <w:position w:val="0"/>
                <w:sz w:val="18"/>
                <w:szCs w:val="18"/>
              </w:rPr>
              <w:t>7,754,311.80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8"/>
                <w:szCs w:val="18"/>
              </w:rPr>
            </w:pPr>
            <w:r>
              <w:rPr>
                <w:rFonts w:ascii="Times New Roman" w:eastAsia="Times New Roman" w:hAnsi="Times New Roman" w:cs="Times New Roman"/>
                <w:b/>
                <w:bCs/>
                <w:color w:val="FFFFFF"/>
                <w:spacing w:val="0"/>
                <w:w w:val="100"/>
                <w:position w:val="0"/>
                <w:sz w:val="18"/>
                <w:szCs w:val="18"/>
              </w:rPr>
              <w:t>95,325,891.89</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8"/>
                <w:szCs w:val="18"/>
              </w:rPr>
            </w:pPr>
            <w:r>
              <w:rPr>
                <w:rFonts w:ascii="Times New Roman" w:eastAsia="Times New Roman" w:hAnsi="Times New Roman" w:cs="Times New Roman"/>
                <w:b/>
                <w:bCs/>
                <w:color w:val="FFFFFF"/>
                <w:spacing w:val="0"/>
                <w:w w:val="100"/>
                <w:position w:val="0"/>
                <w:sz w:val="18"/>
                <w:szCs w:val="18"/>
              </w:rPr>
              <w:t>95,482,372.68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rPr>
                <w:sz w:val="18"/>
                <w:szCs w:val="18"/>
              </w:rPr>
            </w:pPr>
            <w:r>
              <w:rPr>
                <w:rFonts w:ascii="Times New Roman" w:eastAsia="Times New Roman" w:hAnsi="Times New Roman" w:cs="Times New Roman"/>
                <w:b/>
                <w:bCs/>
                <w:color w:val="FFFFFF"/>
                <w:spacing w:val="0"/>
                <w:w w:val="100"/>
                <w:position w:val="0"/>
                <w:sz w:val="18"/>
                <w:szCs w:val="18"/>
              </w:rPr>
              <w:t>7,597,831.01</w:t>
            </w:r>
          </w:p>
        </w:tc>
      </w:tr>
    </w:tbl>
    <w:p>
      <w:pPr>
        <w:widowControl w:val="0"/>
        <w:spacing w:after="319" w:line="1" w:lineRule="exact"/>
      </w:pPr>
    </w:p>
    <w:p>
      <w:pPr>
        <w:pStyle w:val="Style69"/>
        <w:keepNext/>
        <w:keepLines/>
        <w:widowControl w:val="0"/>
        <w:shd w:val="clear" w:color="auto" w:fill="auto"/>
        <w:bidi w:val="0"/>
        <w:spacing w:before="0" w:after="400" w:line="240" w:lineRule="auto"/>
        <w:ind w:left="0" w:right="0" w:firstLine="240"/>
        <w:jc w:val="both"/>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32"/>
      <w:bookmarkEnd w:id="1033"/>
      <w:bookmarkEnd w:id="1034"/>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264"/>
        <w:gridCol w:w="1718"/>
        <w:gridCol w:w="1651"/>
        <w:gridCol w:w="1618"/>
        <w:gridCol w:w="1382"/>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期末余额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、工资、奖金、津贴和补贴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7,576,843.57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82,741,089.77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82,974,100.14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7,343,833.20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、职工福利费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477,436.67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477,436.67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、社会保险费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4,832,618.39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4,823,175.47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9,442.92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其中：医疗保险费</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4,611,853.12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4,603,865.52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7,987.60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工伤保险费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38,310.66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37,963.94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生育保险费</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182,454.61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181,346.01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1,108.60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、住房公积金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5,346,442.16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5,326,110.07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20,332.09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5</w:t>
            </w:r>
            <w:r>
              <w:rPr>
                <w:b/>
                <w:bCs/>
                <w:color w:val="FFFFFF"/>
                <w:spacing w:val="0"/>
                <w:w w:val="100"/>
                <w:position w:val="0"/>
              </w:rPr>
              <w:t>、工会经费和职工教育经费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177,468.23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555,471.64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520,929.13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212,010.74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6</w:t>
            </w:r>
            <w:r>
              <w:rPr>
                <w:b/>
                <w:bCs/>
                <w:color w:val="FFFFFF"/>
                <w:spacing w:val="0"/>
                <w:w w:val="100"/>
                <w:position w:val="0"/>
              </w:rPr>
              <w:t>、短期带薪缺勤</w:t>
            </w:r>
          </w:p>
        </w:tc>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7</w:t>
            </w:r>
            <w:r>
              <w:rPr>
                <w:b/>
                <w:bCs/>
                <w:color w:val="FFFFFF"/>
                <w:spacing w:val="0"/>
                <w:w w:val="100"/>
                <w:position w:val="0"/>
              </w:rPr>
              <w:t>、短期利润分享计划</w:t>
            </w:r>
          </w:p>
        </w:tc>
        <w:tc>
          <w:tcPr>
            <w:gridSpan w:val="4"/>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rPr>
                <w:sz w:val="18"/>
                <w:szCs w:val="18"/>
              </w:rPr>
            </w:pPr>
            <w:r>
              <w:rPr>
                <w:rFonts w:ascii="Times New Roman" w:eastAsia="Times New Roman" w:hAnsi="Times New Roman" w:cs="Times New Roman"/>
                <w:b/>
                <w:bCs/>
                <w:color w:val="FFFFFF"/>
                <w:spacing w:val="0"/>
                <w:w w:val="100"/>
                <w:position w:val="0"/>
                <w:sz w:val="18"/>
                <w:szCs w:val="18"/>
              </w:rPr>
              <w:t>7,754,311.80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8"/>
                <w:szCs w:val="18"/>
              </w:rPr>
            </w:pPr>
            <w:r>
              <w:rPr>
                <w:rFonts w:ascii="Times New Roman" w:eastAsia="Times New Roman" w:hAnsi="Times New Roman" w:cs="Times New Roman"/>
                <w:b/>
                <w:bCs/>
                <w:color w:val="FFFFFF"/>
                <w:spacing w:val="0"/>
                <w:w w:val="100"/>
                <w:position w:val="0"/>
                <w:sz w:val="18"/>
                <w:szCs w:val="18"/>
              </w:rPr>
              <w:t>93,953,058.63</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8"/>
                <w:szCs w:val="18"/>
              </w:rPr>
            </w:pPr>
            <w:r>
              <w:rPr>
                <w:rFonts w:ascii="Times New Roman" w:eastAsia="Times New Roman" w:hAnsi="Times New Roman" w:cs="Times New Roman"/>
                <w:b/>
                <w:bCs/>
                <w:color w:val="FFFFFF"/>
                <w:spacing w:val="0"/>
                <w:w w:val="100"/>
                <w:position w:val="0"/>
                <w:sz w:val="18"/>
                <w:szCs w:val="18"/>
              </w:rPr>
              <w:t>94,121,751.48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both"/>
              <w:rPr>
                <w:sz w:val="18"/>
                <w:szCs w:val="18"/>
              </w:rPr>
            </w:pPr>
            <w:r>
              <w:rPr>
                <w:rFonts w:ascii="Times New Roman" w:eastAsia="Times New Roman" w:hAnsi="Times New Roman" w:cs="Times New Roman"/>
                <w:b/>
                <w:bCs/>
                <w:color w:val="FFFFFF"/>
                <w:spacing w:val="0"/>
                <w:w w:val="100"/>
                <w:position w:val="0"/>
                <w:sz w:val="18"/>
                <w:szCs w:val="18"/>
              </w:rPr>
              <w:t>7,585,618.95</w:t>
            </w:r>
          </w:p>
        </w:tc>
      </w:tr>
    </w:tbl>
    <w:p>
      <w:pPr>
        <w:widowControl w:val="0"/>
        <w:spacing w:after="319" w:line="1" w:lineRule="exact"/>
      </w:pPr>
    </w:p>
    <w:p>
      <w:pPr>
        <w:pStyle w:val="Style69"/>
        <w:keepNext/>
        <w:keepLines/>
        <w:widowControl w:val="0"/>
        <w:numPr>
          <w:ilvl w:val="0"/>
          <w:numId w:val="43"/>
        </w:numPr>
        <w:shd w:val="clear" w:color="auto" w:fill="auto"/>
        <w:bidi w:val="0"/>
        <w:spacing w:before="0" w:after="400" w:line="240" w:lineRule="auto"/>
        <w:ind w:left="0" w:right="0" w:firstLine="24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设定提存计划列示</w:t>
      </w:r>
      <w:bookmarkEnd w:id="1035"/>
      <w:bookmarkEnd w:id="1036"/>
      <w:bookmarkEnd w:id="1038"/>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002"/>
        <w:gridCol w:w="1464"/>
        <w:gridCol w:w="2530"/>
        <w:gridCol w:w="1920"/>
        <w:gridCol w:w="1680"/>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期末余额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、基本养老保险</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tabs>
                <w:tab w:pos="1237"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1,318,424.31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1,306,724.15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、失业保险费</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tabs>
                <w:tab w:pos="1453"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54,408.95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53,897.05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、企业年金缴费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232" w:val="left"/>
              </w:tabs>
              <w:bidi w:val="0"/>
              <w:spacing w:before="0" w:after="0" w:line="240" w:lineRule="auto"/>
              <w:ind w:left="0" w:right="0" w:firstLine="200"/>
              <w:jc w:val="left"/>
              <w:rPr>
                <w:sz w:val="18"/>
                <w:szCs w:val="18"/>
              </w:rPr>
            </w:pPr>
            <w:r>
              <w:rPr>
                <w:rFonts w:ascii="Times New Roman" w:eastAsia="Times New Roman" w:hAnsi="Times New Roman" w:cs="Times New Roman"/>
                <w:b/>
                <w:bCs/>
                <w:color w:val="FFFFFF"/>
                <w:spacing w:val="0"/>
                <w:w w:val="100"/>
                <w:position w:val="0"/>
                <w:sz w:val="18"/>
                <w:szCs w:val="18"/>
              </w:rPr>
              <w:t>-</w:t>
              <w:tab/>
            </w:r>
            <w:r>
              <w:rPr>
                <w:rFonts w:ascii="Times New Roman" w:eastAsia="Times New Roman" w:hAnsi="Times New Roman" w:cs="Times New Roman"/>
                <w:b/>
                <w:bCs/>
                <w:color w:val="FFFFFF"/>
                <w:spacing w:val="0"/>
                <w:w w:val="100"/>
                <w:position w:val="0"/>
                <w:sz w:val="18"/>
                <w:szCs w:val="18"/>
              </w:rPr>
              <w:t>1,372,833.26</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rPr>
                <w:sz w:val="18"/>
                <w:szCs w:val="18"/>
              </w:rPr>
            </w:pPr>
            <w:r>
              <w:rPr>
                <w:rFonts w:ascii="Times New Roman" w:eastAsia="Times New Roman" w:hAnsi="Times New Roman" w:cs="Times New Roman"/>
                <w:b/>
                <w:bCs/>
                <w:color w:val="FFFFFF"/>
                <w:spacing w:val="0"/>
                <w:w w:val="100"/>
                <w:position w:val="0"/>
                <w:sz w:val="18"/>
                <w:szCs w:val="18"/>
              </w:rPr>
              <w:t>1,360,621.20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12,212.06</w:t>
            </w:r>
          </w:p>
        </w:tc>
      </w:tr>
    </w:tbl>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80" w:line="350" w:lineRule="exact"/>
        <w:ind w:left="0" w:right="0" w:firstLine="480"/>
        <w:jc w:val="both"/>
      </w:pPr>
      <w:r>
        <w:rPr>
          <w:color w:val="000000"/>
          <w:spacing w:val="0"/>
          <w:w w:val="100"/>
          <w:position w:val="0"/>
        </w:rPr>
        <w:t>本集团按规定参加由政府机构设立的养老保险、失业保险计划，根据该等计划，本集团分别按员工上年平均工资的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每月向该等计划缴存费用。除上述每月缴存费用外，本集团不再承担进一步支付义务。相应的支出于发生时计入当期 损益或相关资产的成本。</w:t>
      </w:r>
    </w:p>
    <w:p>
      <w:pPr>
        <w:pStyle w:val="Style31"/>
        <w:keepNext w:val="0"/>
        <w:keepLines w:val="0"/>
        <w:widowControl w:val="0"/>
        <w:shd w:val="clear" w:color="auto" w:fill="auto"/>
        <w:bidi w:val="0"/>
        <w:spacing w:before="0" w:after="320" w:line="348" w:lineRule="exact"/>
        <w:ind w:left="0" w:right="0" w:firstLine="480"/>
        <w:jc w:val="both"/>
        <w:sectPr>
          <w:headerReference w:type="default" r:id="rId63"/>
          <w:footerReference w:type="default" r:id="rId64"/>
          <w:headerReference w:type="even" r:id="rId65"/>
          <w:footerReference w:type="even" r:id="rId66"/>
          <w:footnotePr>
            <w:pos w:val="pageBottom"/>
            <w:numFmt w:val="decimal"/>
            <w:numRestart w:val="continuous"/>
          </w:footnotePr>
          <w:pgSz w:w="11966" w:h="17375"/>
          <w:pgMar w:top="1594" w:right="1101" w:bottom="1731" w:left="948" w:header="0" w:footer="3" w:gutter="0"/>
          <w:cols w:space="720"/>
          <w:noEndnote/>
          <w:rtlGutter w:val="0"/>
          <w:docGrid w:linePitch="360"/>
        </w:sectPr>
      </w:pPr>
      <w:r>
        <w:rPr>
          <w:color w:val="000000"/>
          <w:spacing w:val="0"/>
          <w:w w:val="100"/>
          <w:position w:val="0"/>
        </w:rPr>
        <w:t>本集团本年应分别向养老保险、失业保险计划缴存费用人民币</w:t>
      </w:r>
      <w:r>
        <w:rPr>
          <w:rFonts w:ascii="Times New Roman" w:eastAsia="Times New Roman" w:hAnsi="Times New Roman" w:cs="Times New Roman"/>
          <w:color w:val="000000"/>
          <w:spacing w:val="0"/>
          <w:w w:val="100"/>
          <w:position w:val="0"/>
          <w:sz w:val="18"/>
          <w:szCs w:val="18"/>
        </w:rPr>
        <w:t>1,318,424.31</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54,408.95</w:t>
      </w:r>
      <w:r>
        <w:rPr>
          <w:color w:val="000000"/>
          <w:spacing w:val="0"/>
          <w:w w:val="100"/>
          <w:position w:val="0"/>
        </w:rPr>
        <w:t>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年：人民币 </w:t>
      </w:r>
      <w:r>
        <w:rPr>
          <w:rFonts w:ascii="Times New Roman" w:eastAsia="Times New Roman" w:hAnsi="Times New Roman" w:cs="Times New Roman"/>
          <w:color w:val="000000"/>
          <w:spacing w:val="0"/>
          <w:w w:val="100"/>
          <w:position w:val="0"/>
          <w:sz w:val="18"/>
          <w:szCs w:val="18"/>
        </w:rPr>
        <w:t>8,078,258.53</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294,971.12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日，本集团于本报告期间到期而未支付给养老保险及失业保险计划 的费用分别为人民币</w:t>
      </w:r>
      <w:r>
        <w:rPr>
          <w:rFonts w:ascii="Times New Roman" w:eastAsia="Times New Roman" w:hAnsi="Times New Roman" w:cs="Times New Roman"/>
          <w:color w:val="000000"/>
          <w:spacing w:val="0"/>
          <w:w w:val="100"/>
          <w:position w:val="0"/>
          <w:sz w:val="18"/>
          <w:szCs w:val="18"/>
        </w:rPr>
        <w:t>11,700.16</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511.90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9"/>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bookmarkEnd w:id="1041"/>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039"/>
      <w:bookmarkEnd w:id="1040"/>
      <w:bookmarkEnd w:id="104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768"/>
        <w:gridCol w:w="2626"/>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增值税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6,701,111.79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2,999,372.62</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企业所得税</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6,810,277.99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6,931,174.45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个人所得税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22,913.08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101,801.39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城市维护建设税</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128,230.69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143,215.85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应交教育费附加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91,999.25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98,730.27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14,909.41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2,661.13</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040" w:right="0" w:firstLine="0"/>
              <w:jc w:val="left"/>
              <w:rPr>
                <w:sz w:val="18"/>
                <w:szCs w:val="18"/>
              </w:rPr>
            </w:pPr>
            <w:r>
              <w:rPr>
                <w:rFonts w:ascii="Times New Roman" w:eastAsia="Times New Roman" w:hAnsi="Times New Roman" w:cs="Times New Roman"/>
                <w:b/>
                <w:bCs/>
                <w:color w:val="FFFFFF"/>
                <w:spacing w:val="0"/>
                <w:w w:val="100"/>
                <w:position w:val="0"/>
                <w:sz w:val="18"/>
                <w:szCs w:val="18"/>
              </w:rPr>
              <w:t>13,769,442.21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10,276,955.71</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9"/>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043"/>
      <w:bookmarkEnd w:id="1044"/>
      <w:bookmarkEnd w:id="1046"/>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610"/>
        <w:gridCol w:w="3336"/>
        <w:gridCol w:w="2630"/>
      </w:tblGrid>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00"/>
              <w:jc w:val="left"/>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053" w:val="left"/>
              </w:tabs>
              <w:bidi w:val="0"/>
              <w:spacing w:before="0" w:after="0" w:line="240" w:lineRule="auto"/>
              <w:ind w:left="0" w:right="0" w:firstLine="0"/>
              <w:jc w:val="left"/>
            </w:pPr>
            <w:r>
              <w:rPr>
                <w:b/>
                <w:bCs/>
                <w:color w:val="FFFFFF"/>
                <w:spacing w:val="0"/>
                <w:w w:val="100"/>
                <w:position w:val="0"/>
              </w:rPr>
              <w:t>应付利息</w:t>
              <w:tab/>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其他应付款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20,269,393.12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23,687,160.71</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620" w:right="0" w:firstLine="0"/>
              <w:jc w:val="left"/>
              <w:rPr>
                <w:sz w:val="18"/>
                <w:szCs w:val="18"/>
              </w:rPr>
            </w:pPr>
            <w:r>
              <w:rPr>
                <w:rFonts w:ascii="Times New Roman" w:eastAsia="Times New Roman" w:hAnsi="Times New Roman" w:cs="Times New Roman"/>
                <w:b/>
                <w:bCs/>
                <w:color w:val="FFFFFF"/>
                <w:spacing w:val="0"/>
                <w:w w:val="100"/>
                <w:position w:val="0"/>
                <w:sz w:val="18"/>
                <w:szCs w:val="18"/>
              </w:rPr>
              <w:t>20,288,893.12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80" w:right="0" w:firstLine="0"/>
              <w:jc w:val="both"/>
              <w:rPr>
                <w:sz w:val="18"/>
                <w:szCs w:val="18"/>
              </w:rPr>
            </w:pPr>
            <w:r>
              <w:rPr>
                <w:rFonts w:ascii="Times New Roman" w:eastAsia="Times New Roman" w:hAnsi="Times New Roman" w:cs="Times New Roman"/>
                <w:b/>
                <w:bCs/>
                <w:color w:val="FFFFFF"/>
                <w:spacing w:val="0"/>
                <w:w w:val="100"/>
                <w:position w:val="0"/>
                <w:sz w:val="18"/>
                <w:szCs w:val="18"/>
              </w:rPr>
              <w:t>23,687,160.71</w:t>
            </w:r>
          </w:p>
        </w:tc>
      </w:tr>
      <w:tr>
        <w:trPr>
          <w:trHeight w:val="13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47" w:name="bookmark104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）应付利息</w:t>
            </w:r>
            <w:bookmarkEnd w:id="1047"/>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00"/>
              <w:jc w:val="left"/>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分期付息到期还本的长期借款利息</w:t>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920" w:right="0" w:firstLine="0"/>
              <w:jc w:val="left"/>
              <w:rPr>
                <w:sz w:val="18"/>
                <w:szCs w:val="18"/>
              </w:rPr>
            </w:pPr>
            <w:r>
              <w:rPr>
                <w:rFonts w:ascii="Times New Roman" w:eastAsia="Times New Roman" w:hAnsi="Times New Roman" w:cs="Times New Roman"/>
                <w:b/>
                <w:bCs/>
                <w:color w:val="FFFFFF"/>
                <w:spacing w:val="0"/>
                <w:w w:val="100"/>
                <w:position w:val="0"/>
                <w:sz w:val="18"/>
                <w:szCs w:val="18"/>
              </w:rPr>
              <w:t>19,500.00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44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r>
    </w:tbl>
    <w:p>
      <w:pPr>
        <w:widowControl w:val="0"/>
        <w:spacing w:after="299" w:line="1" w:lineRule="exact"/>
      </w:pPr>
    </w:p>
    <w:p>
      <w:pPr>
        <w:pStyle w:val="Style69"/>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048"/>
      <w:bookmarkEnd w:id="1049"/>
      <w:bookmarkEnd w:id="1050"/>
    </w:p>
    <w:p>
      <w:pPr>
        <w:pStyle w:val="Style121"/>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color w:val="000000"/>
          <w:spacing w:val="0"/>
          <w:w w:val="100"/>
          <w:position w:val="0"/>
        </w:rPr>
        <w:t>）按款项性质列示其他应付款</w:t>
      </w:r>
      <w:bookmarkEnd w:id="1051"/>
      <w:bookmarkEnd w:id="1052"/>
      <w:bookmarkEnd w:id="105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763"/>
        <w:gridCol w:w="263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应付押金、保证金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13,190,904.02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17,118,645.16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预提费用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5,859,464.75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3,501,312.48</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限制性股票确认回购义务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1,219,024.35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2,576,610.60</w:t>
            </w:r>
          </w:p>
        </w:tc>
      </w:tr>
    </w:tbl>
    <w:p>
      <w:pPr>
        <w:widowControl w:val="0"/>
        <w:spacing w:line="1" w:lineRule="exact"/>
      </w:pPr>
      <w:r>
        <w:br w:type="page"/>
      </w:r>
    </w:p>
    <w:tbl>
      <w:tblPr>
        <w:tblOverlap w:val="never"/>
        <w:jc w:val="center"/>
        <w:tblLayout w:type="fixed"/>
      </w:tblPr>
      <w:tblGrid>
        <w:gridCol w:w="3082"/>
        <w:gridCol w:w="3859"/>
        <w:gridCol w:w="2635"/>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60" w:right="0" w:firstLine="0"/>
              <w:jc w:val="center"/>
            </w:pPr>
            <w:r>
              <w:rPr>
                <w:b/>
                <w:bCs/>
                <w:color w:val="FFFFFF"/>
                <w:spacing w:val="0"/>
                <w:w w:val="100"/>
                <w:position w:val="0"/>
              </w:rPr>
              <w:t>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应退顾客款</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6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490,592.47</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40" w:right="0" w:firstLine="0"/>
              <w:jc w:val="left"/>
              <w:rPr>
                <w:sz w:val="18"/>
                <w:szCs w:val="18"/>
              </w:rPr>
            </w:pPr>
            <w:r>
              <w:rPr>
                <w:rFonts w:ascii="Times New Roman" w:eastAsia="Times New Roman" w:hAnsi="Times New Roman" w:cs="Times New Roman"/>
                <w:b/>
                <w:bCs/>
                <w:color w:val="FFFFFF"/>
                <w:spacing w:val="0"/>
                <w:w w:val="100"/>
                <w:position w:val="0"/>
                <w:sz w:val="18"/>
                <w:szCs w:val="18"/>
              </w:rPr>
              <w:t>20,269,393.12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23,687,160.71</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055"/>
      <w:bookmarkEnd w:id="1056"/>
      <w:bookmarkEnd w:id="1058"/>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82"/>
        <w:gridCol w:w="639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168" w:val="left"/>
              </w:tabs>
              <w:bidi w:val="0"/>
              <w:spacing w:before="0" w:after="0" w:line="240" w:lineRule="auto"/>
              <w:ind w:left="0" w:right="0" w:firstLine="0"/>
              <w:jc w:val="center"/>
            </w:pPr>
            <w:r>
              <w:rPr>
                <w:b/>
                <w:bCs/>
                <w:color w:val="FFFFFF"/>
                <w:spacing w:val="0"/>
                <w:w w:val="100"/>
                <w:position w:val="0"/>
              </w:rPr>
              <w:t>期末余额</w:t>
              <w:tab/>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待转销增值税</w:t>
            </w:r>
          </w:p>
        </w:tc>
        <w:tc>
          <w:tcPr>
            <w:tcBorders/>
            <w:shd w:val="clear" w:color="auto" w:fill="7E3F6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递延贴膜套餐业务款</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递延手机保障业务款</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递延会员卡服务款</w:t>
            </w:r>
          </w:p>
        </w:tc>
        <w:tc>
          <w:tcPr>
            <w:tcBorders>
              <w:top w:val="single" w:sz="4"/>
            </w:tcBorders>
            <w:shd w:val="clear" w:color="auto" w:fill="A22B6F"/>
            <w:vAlign w:val="top"/>
          </w:tcPr>
          <w:p>
            <w:pPr>
              <w:widowControl w:val="0"/>
              <w:rPr>
                <w:sz w:val="10"/>
                <w:szCs w:val="10"/>
              </w:rPr>
            </w:pP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173" w:val="left"/>
              </w:tabs>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1,226,291.81</w:t>
              <w:tab/>
              <w:t>2,305,832.20</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059"/>
      <w:bookmarkEnd w:id="1060"/>
      <w:bookmarkEnd w:id="1062"/>
    </w:p>
    <w:p>
      <w:pPr>
        <w:pStyle w:val="Style69"/>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63"/>
      <w:bookmarkEnd w:id="1064"/>
      <w:bookmarkEnd w:id="1065"/>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118"/>
        <w:gridCol w:w="1963"/>
        <w:gridCol w:w="3864"/>
        <w:gridCol w:w="1939"/>
        <w:gridCol w:w="720"/>
      </w:tblGrid>
      <w:tr>
        <w:trPr>
          <w:trHeight w:val="432"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c>
          <w:tcPr>
            <w:tcBorders/>
            <w:shd w:val="clear" w:color="auto" w:fill="A6A6A6"/>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保证借款</w:t>
            </w: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22B6F"/>
            <w:vAlign w:val="top"/>
          </w:tcPr>
          <w:p>
            <w:pPr>
              <w:widowControl w:val="0"/>
              <w:rPr>
                <w:sz w:val="10"/>
                <w:szCs w:val="10"/>
              </w:rPr>
            </w:pPr>
          </w:p>
        </w:tc>
        <w:tc>
          <w:tcPr>
            <w:tcBorders/>
            <w:shd w:val="clear" w:color="auto" w:fill="A22B6F"/>
            <w:vAlign w:val="center"/>
          </w:tcPr>
          <w:p>
            <w:pPr>
              <w:pStyle w:val="Style2"/>
              <w:keepNext w:val="0"/>
              <w:keepLines w:val="0"/>
              <w:widowControl w:val="0"/>
              <w:pBdr>
                <w:top w:val="single" w:sz="0" w:space="0" w:color="A22B6F"/>
                <w:left w:val="single" w:sz="0" w:space="0" w:color="A22B6F"/>
                <w:bottom w:val="single" w:sz="0" w:space="0" w:color="A22B6F"/>
                <w:right w:val="single" w:sz="0" w:space="0" w:color="A22B6F"/>
              </w:pBdr>
              <w:shd w:val="clear" w:color="auto" w:fill="A22B6F"/>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40" w:right="0" w:firstLine="0"/>
              <w:jc w:val="left"/>
              <w:rPr>
                <w:sz w:val="18"/>
                <w:szCs w:val="18"/>
              </w:rPr>
            </w:pPr>
            <w:r>
              <w:rPr>
                <w:rFonts w:ascii="Times New Roman" w:eastAsia="Times New Roman" w:hAnsi="Times New Roman" w:cs="Times New Roman"/>
                <w:b/>
                <w:bCs/>
                <w:color w:val="FFFFFF"/>
                <w:spacing w:val="0"/>
                <w:w w:val="100"/>
                <w:position w:val="0"/>
                <w:sz w:val="18"/>
                <w:szCs w:val="18"/>
              </w:rPr>
              <w:t>16,000,000.00</w:t>
            </w: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451"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480" w:line="354" w:lineRule="exact"/>
        <w:ind w:left="0" w:right="0" w:firstLine="460"/>
        <w:jc w:val="both"/>
      </w:pPr>
      <w:r>
        <w:rPr>
          <w:color w:val="000000"/>
          <w:spacing w:val="0"/>
          <w:w w:val="100"/>
          <w:position w:val="0"/>
        </w:rPr>
        <w:t>本集团自国家开发银行借款人民币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日，该保证借款由北京 中关村科技融资担保有限公司提供担保，借款年利率为</w:t>
      </w:r>
      <w:r>
        <w:rPr>
          <w:rFonts w:ascii="Times New Roman" w:eastAsia="Times New Roman" w:hAnsi="Times New Roman" w:cs="Times New Roman"/>
          <w:color w:val="000000"/>
          <w:spacing w:val="0"/>
          <w:w w:val="100"/>
          <w:position w:val="0"/>
          <w:sz w:val="18"/>
          <w:szCs w:val="18"/>
        </w:rPr>
        <w:t>LPR1Y+0.05%</w:t>
      </w:r>
      <w:r>
        <w:rPr>
          <w:color w:val="000000"/>
          <w:spacing w:val="0"/>
          <w:w w:val="100"/>
          <w:position w:val="0"/>
        </w:rPr>
        <w:t>；</w:t>
      </w:r>
      <w:r>
        <w:rPr>
          <w:color w:val="000000"/>
          <w:spacing w:val="0"/>
          <w:w w:val="100"/>
          <w:position w:val="0"/>
        </w:rPr>
        <w:t>该借款按还款计划将于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日之前偿还人 民币</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元，列示为一年内到期的非流动负债；于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日偿还人民币</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日偿还 人民币</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日偿还人民币</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日偿还人民币</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元，列示为 长期借款。</w:t>
      </w:r>
    </w:p>
    <w:p>
      <w:pPr>
        <w:pStyle w:val="Style49"/>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066"/>
      <w:bookmarkEnd w:id="1067"/>
      <w:bookmarkEnd w:id="1069"/>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285"/>
        <w:gridCol w:w="2866"/>
        <w:gridCol w:w="1541"/>
        <w:gridCol w:w="835"/>
        <w:gridCol w:w="207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00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期初余额</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形成原因</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未决诉讼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40" w:right="0" w:firstLine="0"/>
              <w:jc w:val="left"/>
              <w:rPr>
                <w:sz w:val="18"/>
                <w:szCs w:val="18"/>
              </w:rPr>
            </w:pPr>
            <w:r>
              <w:rPr>
                <w:rFonts w:ascii="Times New Roman" w:eastAsia="Times New Roman" w:hAnsi="Times New Roman" w:cs="Times New Roman"/>
                <w:b/>
                <w:bCs/>
                <w:color w:val="FFFFFF"/>
                <w:spacing w:val="0"/>
                <w:w w:val="100"/>
                <w:position w:val="0"/>
                <w:sz w:val="18"/>
                <w:szCs w:val="18"/>
              </w:rPr>
              <w:t>1,957,840.00</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80"/>
              <w:jc w:val="left"/>
              <w:rPr>
                <w:sz w:val="18"/>
                <w:szCs w:val="18"/>
              </w:rPr>
            </w:pPr>
            <w:r>
              <w:rPr>
                <w:rFonts w:ascii="Times New Roman" w:eastAsia="Times New Roman" w:hAnsi="Times New Roman" w:cs="Times New Roman"/>
                <w:b/>
                <w:bCs/>
                <w:color w:val="FFFFFF"/>
                <w:spacing w:val="0"/>
                <w:w w:val="100"/>
                <w:position w:val="0"/>
                <w:sz w:val="18"/>
                <w:szCs w:val="18"/>
              </w:rPr>
              <w:t>--</w:t>
            </w:r>
          </w:p>
        </w:tc>
      </w:tr>
    </w:tbl>
    <w:p>
      <w:pPr>
        <w:pStyle w:val="Style31"/>
        <w:keepNext w:val="0"/>
        <w:keepLines w:val="0"/>
        <w:widowControl w:val="0"/>
        <w:shd w:val="clear" w:color="auto" w:fill="auto"/>
        <w:bidi w:val="0"/>
        <w:spacing w:before="0" w:after="360" w:line="360" w:lineRule="exact"/>
        <w:ind w:left="0" w:right="0" w:firstLine="0"/>
        <w:jc w:val="left"/>
        <w:sectPr>
          <w:headerReference w:type="default" r:id="rId67"/>
          <w:footerReference w:type="default" r:id="rId68"/>
          <w:headerReference w:type="even" r:id="rId69"/>
          <w:footerReference w:type="even" r:id="rId70"/>
          <w:footnotePr>
            <w:pos w:val="pageBottom"/>
            <w:numFmt w:val="decimal"/>
            <w:numRestart w:val="continuous"/>
          </w:footnotePr>
          <w:pgSz w:w="11966" w:h="17375"/>
          <w:pgMar w:top="1594" w:right="1101" w:bottom="1731" w:left="948" w:header="0" w:footer="3" w:gutter="0"/>
          <w:cols w:space="720"/>
          <w:noEndnote/>
          <w:rtlGutter w:val="0"/>
          <w:docGrid w:linePitch="360"/>
        </w:sectPr>
      </w:pPr>
      <w:r>
        <w:rPr>
          <w:color w:val="000000"/>
          <w:spacing w:val="0"/>
          <w:w w:val="100"/>
          <w:position w:val="0"/>
        </w:rPr>
        <w:t>其他说明，包括重要预计负债的相关重要假设、估计说明: 无</w:t>
      </w:r>
    </w:p>
    <w:p>
      <w:pPr>
        <w:pStyle w:val="Style49"/>
        <w:keepNext/>
        <w:keepLines/>
        <w:widowControl w:val="0"/>
        <w:shd w:val="clear" w:color="auto" w:fill="auto"/>
        <w:bidi w:val="0"/>
        <w:spacing w:before="440" w:after="400" w:line="240" w:lineRule="auto"/>
        <w:ind w:left="0" w:right="0" w:firstLine="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21</w:t>
      </w:r>
      <w:r>
        <w:rPr>
          <w:color w:val="000000"/>
          <w:spacing w:val="0"/>
          <w:w w:val="100"/>
          <w:position w:val="0"/>
        </w:rPr>
        <w:t>、股本</w:t>
      </w:r>
      <w:bookmarkEnd w:id="1070"/>
      <w:bookmarkEnd w:id="1071"/>
      <w:bookmarkEnd w:id="1072"/>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090"/>
        <w:gridCol w:w="1531"/>
        <w:gridCol w:w="1685"/>
        <w:gridCol w:w="1387"/>
        <w:gridCol w:w="1224"/>
        <w:gridCol w:w="1267"/>
        <w:gridCol w:w="1411"/>
      </w:tblGrid>
      <w:tr>
        <w:trPr>
          <w:trHeight w:val="418" w:hRule="exact"/>
        </w:trPr>
        <w:tc>
          <w:tcPr>
            <w:vMerge w:val="restart"/>
            <w:tcBorders/>
            <w:shd w:val="clear" w:color="auto" w:fill="A6A6A6"/>
            <w:vAlign w:val="top"/>
          </w:tcPr>
          <w:p>
            <w:pPr>
              <w:widowControl w:val="0"/>
              <w:rPr>
                <w:sz w:val="10"/>
                <w:szCs w:val="10"/>
              </w:rPr>
            </w:pP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本次变动增减(</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pP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r>
      <w:tr>
        <w:trPr>
          <w:trHeight w:val="403" w:hRule="exact"/>
        </w:trPr>
        <w:tc>
          <w:tcPr>
            <w:vMerge/>
            <w:tcBorders/>
            <w:shd w:val="clear" w:color="auto" w:fill="A6A6A6"/>
            <w:vAlign w:val="top"/>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发行新股送股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公积金转股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500" w:firstLine="0"/>
              <w:jc w:val="right"/>
            </w:pPr>
            <w:r>
              <w:rPr>
                <w:b/>
                <w:bCs/>
                <w:color w:val="FFFFFF"/>
                <w:spacing w:val="0"/>
                <w:w w:val="100"/>
                <w:position w:val="0"/>
              </w:rPr>
              <w:t>其他</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80" w:right="0" w:firstLine="0"/>
              <w:jc w:val="center"/>
            </w:pPr>
            <w:r>
              <w:rPr>
                <w:b/>
                <w:bCs/>
                <w:color w:val="FFFFFF"/>
                <w:spacing w:val="0"/>
                <w:w w:val="100"/>
                <w:position w:val="0"/>
              </w:rPr>
              <w:t>小计</w:t>
            </w:r>
          </w:p>
        </w:tc>
        <w:tc>
          <w:tcPr>
            <w:vMerge/>
            <w:tcBorders/>
            <w:shd w:val="clear" w:color="auto" w:fill="A6A6A6"/>
            <w:vAlign w:val="center"/>
          </w:tcPr>
          <w:p>
            <w:pPr/>
          </w:p>
        </w:tc>
      </w:tr>
      <w:tr>
        <w:trPr>
          <w:trHeight w:val="427"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54"/>
                <w:szCs w:val="54"/>
              </w:rPr>
            </w:pPr>
            <w:r>
              <w:rPr>
                <w:b/>
                <w:bCs/>
                <w:color w:val="FFFFFF"/>
                <w:spacing w:val="0"/>
                <w:w w:val="100"/>
                <w:position w:val="0"/>
                <w:sz w:val="15"/>
                <w:szCs w:val="15"/>
              </w:rPr>
              <w:t>股份总数</w:t>
            </w:r>
            <w:r>
              <w:rPr>
                <w:rFonts w:ascii="Arial" w:eastAsia="Arial" w:hAnsi="Arial" w:cs="Arial"/>
                <w:color w:val="FFFFFF"/>
                <w:spacing w:val="0"/>
                <w:w w:val="100"/>
                <w:position w:val="0"/>
                <w:sz w:val="54"/>
                <w:szCs w:val="54"/>
              </w:rPr>
              <w:t>1</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130,572,240.00</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bottom w:val="single" w:sz="4"/>
            </w:tcBorders>
            <w:shd w:val="clear" w:color="auto" w:fill="F9ECF3"/>
            <w:vAlign w:val="top"/>
          </w:tcPr>
          <w:p>
            <w:pPr>
              <w:widowControl w:val="0"/>
              <w:rPr>
                <w:sz w:val="10"/>
                <w:szCs w:val="10"/>
              </w:rPr>
            </w:pP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-298,880.00</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-298,880.00</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130,273,360.00</w:t>
            </w:r>
          </w:p>
        </w:tc>
      </w:tr>
    </w:tbl>
    <w:p>
      <w:pPr>
        <w:pStyle w:val="Style45"/>
        <w:keepNext w:val="0"/>
        <w:keepLines w:val="0"/>
        <w:widowControl w:val="0"/>
        <w:shd w:val="clear" w:color="auto" w:fill="auto"/>
        <w:bidi w:val="0"/>
        <w:spacing w:before="0" w:after="0" w:line="240" w:lineRule="auto"/>
        <w:ind w:left="67"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60" w:line="350" w:lineRule="exact"/>
        <w:ind w:left="0" w:right="0" w:firstLine="480"/>
        <w:jc w:val="both"/>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年限制性股票励计划第二个解除限售期公司业绩考核要求未能达标，公司对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名激励对象第一个解除限售期内所 持有的全部已获授但尚未解除限售的限制性股票共计</w:t>
      </w:r>
      <w:r>
        <w:rPr>
          <w:rFonts w:ascii="Times New Roman" w:eastAsia="Times New Roman" w:hAnsi="Times New Roman" w:cs="Times New Roman"/>
          <w:color w:val="000000"/>
          <w:spacing w:val="0"/>
          <w:w w:val="100"/>
          <w:position w:val="0"/>
          <w:sz w:val="18"/>
          <w:szCs w:val="18"/>
        </w:rPr>
        <w:t>144,000</w:t>
      </w:r>
      <w:r>
        <w:rPr>
          <w:color w:val="000000"/>
          <w:spacing w:val="0"/>
          <w:w w:val="100"/>
          <w:position w:val="0"/>
        </w:rPr>
        <w:t>股进行回购注销；因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 离职，公司对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名激励对象的全部限制性股票共计</w:t>
      </w:r>
      <w:r>
        <w:rPr>
          <w:rFonts w:ascii="Times New Roman" w:eastAsia="Times New Roman" w:hAnsi="Times New Roman" w:cs="Times New Roman"/>
          <w:color w:val="000000"/>
          <w:spacing w:val="0"/>
          <w:w w:val="100"/>
          <w:position w:val="0"/>
          <w:sz w:val="18"/>
          <w:szCs w:val="18"/>
        </w:rPr>
        <w:t>154,880</w:t>
      </w:r>
      <w:r>
        <w:rPr>
          <w:color w:val="000000"/>
          <w:spacing w:val="0"/>
          <w:w w:val="100"/>
          <w:position w:val="0"/>
        </w:rPr>
        <w:t>股进行回购注销；共计支付回购成本人民币</w:t>
      </w:r>
      <w:r>
        <w:rPr>
          <w:rFonts w:ascii="Times New Roman" w:eastAsia="Times New Roman" w:hAnsi="Times New Roman" w:cs="Times New Roman"/>
          <w:color w:val="000000"/>
          <w:spacing w:val="0"/>
          <w:w w:val="100"/>
          <w:position w:val="0"/>
          <w:sz w:val="18"/>
          <w:szCs w:val="18"/>
        </w:rPr>
        <w:t>1,357,586.25</w:t>
      </w:r>
      <w:r>
        <w:rPr>
          <w:color w:val="000000"/>
          <w:spacing w:val="0"/>
          <w:w w:val="100"/>
          <w:position w:val="0"/>
        </w:rPr>
        <w:t>元，分别减 少股本人民币</w:t>
      </w:r>
      <w:r>
        <w:rPr>
          <w:rFonts w:ascii="Times New Roman" w:eastAsia="Times New Roman" w:hAnsi="Times New Roman" w:cs="Times New Roman"/>
          <w:color w:val="000000"/>
          <w:spacing w:val="0"/>
          <w:w w:val="100"/>
          <w:position w:val="0"/>
          <w:sz w:val="18"/>
          <w:szCs w:val="18"/>
        </w:rPr>
        <w:t>298,880.00</w:t>
      </w:r>
      <w:r>
        <w:rPr>
          <w:color w:val="000000"/>
          <w:spacing w:val="0"/>
          <w:w w:val="100"/>
          <w:position w:val="0"/>
        </w:rPr>
        <w:t>元和资本公积人民币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,058,706.25</w:t>
      </w:r>
      <w:r>
        <w:rPr>
          <w:color w:val="000000"/>
          <w:spacing w:val="0"/>
          <w:w w:val="100"/>
          <w:position w:val="0"/>
        </w:rPr>
        <w:t>元，减少库存股人民币</w:t>
      </w:r>
      <w:r>
        <w:rPr>
          <w:rFonts w:ascii="Times New Roman" w:eastAsia="Times New Roman" w:hAnsi="Times New Roman" w:cs="Times New Roman"/>
          <w:color w:val="000000"/>
          <w:spacing w:val="0"/>
          <w:w w:val="100"/>
          <w:position w:val="0"/>
          <w:sz w:val="18"/>
          <w:szCs w:val="18"/>
        </w:rPr>
        <w:t>1,357,586.25</w:t>
      </w:r>
      <w:r>
        <w:rPr>
          <w:color w:val="000000"/>
          <w:spacing w:val="0"/>
          <w:w w:val="100"/>
          <w:position w:val="0"/>
        </w:rPr>
        <w:t>元。</w:t>
      </w:r>
    </w:p>
    <w:p>
      <w:pPr>
        <w:pStyle w:val="Style49"/>
        <w:keepNext/>
        <w:keepLines/>
        <w:widowControl w:val="0"/>
        <w:shd w:val="clear" w:color="auto" w:fill="auto"/>
        <w:bidi w:val="0"/>
        <w:spacing w:before="0" w:after="40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073"/>
      <w:bookmarkEnd w:id="1074"/>
      <w:bookmarkEnd w:id="1076"/>
    </w:p>
    <w:p>
      <w:pPr>
        <w:pStyle w:val="Style31"/>
        <w:keepNext w:val="0"/>
        <w:keepLines w:val="0"/>
        <w:widowControl w:val="0"/>
        <w:shd w:val="clear" w:color="auto" w:fill="auto"/>
        <w:bidi w:val="0"/>
        <w:spacing w:before="0" w:after="100" w:line="240" w:lineRule="auto"/>
        <w:ind w:left="9020" w:right="0" w:firstLine="0"/>
        <w:jc w:val="both"/>
      </w:pPr>
      <w:r>
        <w:rPr>
          <w:color w:val="000000"/>
          <w:spacing w:val="0"/>
          <w:w w:val="100"/>
          <w:position w:val="0"/>
        </w:rPr>
        <w:t>单位：元</w:t>
      </w:r>
    </w:p>
    <w:tbl>
      <w:tblPr>
        <w:tblOverlap w:val="never"/>
        <w:jc w:val="center"/>
        <w:tblLayout w:type="fixed"/>
      </w:tblPr>
      <w:tblGrid>
        <w:gridCol w:w="2626"/>
        <w:gridCol w:w="2213"/>
        <w:gridCol w:w="1483"/>
        <w:gridCol w:w="1680"/>
        <w:gridCol w:w="1651"/>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4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期末余额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资本溢价(股本溢价)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154,494,173.40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1,058,706.25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153,435,467.15</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其他资本公积</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2,772,273.52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229,328.10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3,001,601.62</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40"/>
              <w:jc w:val="left"/>
              <w:rPr>
                <w:sz w:val="18"/>
                <w:szCs w:val="18"/>
              </w:rPr>
            </w:pPr>
            <w:r>
              <w:rPr>
                <w:rFonts w:ascii="Times New Roman" w:eastAsia="Times New Roman" w:hAnsi="Times New Roman" w:cs="Times New Roman"/>
                <w:b/>
                <w:bCs/>
                <w:color w:val="FFFFFF"/>
                <w:spacing w:val="0"/>
                <w:w w:val="100"/>
                <w:position w:val="0"/>
                <w:sz w:val="18"/>
                <w:szCs w:val="18"/>
              </w:rPr>
              <w:t>157,266,446.92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229,328.10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1,058,706.25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rPr>
                <w:sz w:val="18"/>
                <w:szCs w:val="18"/>
              </w:rPr>
            </w:pPr>
            <w:r>
              <w:rPr>
                <w:rFonts w:ascii="Times New Roman" w:eastAsia="Times New Roman" w:hAnsi="Times New Roman" w:cs="Times New Roman"/>
                <w:b/>
                <w:bCs/>
                <w:color w:val="FFFFFF"/>
                <w:spacing w:val="0"/>
                <w:w w:val="100"/>
                <w:position w:val="0"/>
                <w:sz w:val="18"/>
                <w:szCs w:val="18"/>
              </w:rPr>
              <w:t>156,437,068.77</w:t>
            </w:r>
          </w:p>
        </w:tc>
      </w:tr>
    </w:tbl>
    <w:p>
      <w:pPr>
        <w:pStyle w:val="Style45"/>
        <w:keepNext w:val="0"/>
        <w:keepLines w:val="0"/>
        <w:widowControl w:val="0"/>
        <w:shd w:val="clear" w:color="auto" w:fill="auto"/>
        <w:bidi w:val="0"/>
        <w:spacing w:before="0" w:after="0" w:line="240" w:lineRule="auto"/>
        <w:ind w:left="456" w:right="0" w:firstLine="0"/>
        <w:jc w:val="left"/>
      </w:pPr>
      <w:r>
        <w:rPr>
          <w:color w:val="000000"/>
          <w:spacing w:val="0"/>
          <w:w w:val="100"/>
          <w:position w:val="0"/>
        </w:rPr>
        <w:t>其他说明，包括本期增减变动情况、变动原因说明：</w:t>
      </w:r>
    </w:p>
    <w:p>
      <w:pPr>
        <w:widowControl w:val="0"/>
        <w:spacing w:after="179" w:line="1" w:lineRule="exact"/>
      </w:pPr>
    </w:p>
    <w:p>
      <w:pPr>
        <w:pStyle w:val="Style31"/>
        <w:keepNext w:val="0"/>
        <w:keepLines w:val="0"/>
        <w:widowControl w:val="0"/>
        <w:numPr>
          <w:ilvl w:val="0"/>
          <w:numId w:val="45"/>
        </w:numPr>
        <w:shd w:val="clear" w:color="auto" w:fill="auto"/>
        <w:tabs>
          <w:tab w:pos="886" w:val="left"/>
        </w:tabs>
        <w:bidi w:val="0"/>
        <w:spacing w:before="0" w:after="180" w:line="240" w:lineRule="auto"/>
        <w:ind w:left="0" w:right="0" w:firstLine="480"/>
        <w:jc w:val="both"/>
      </w:pPr>
      <w:bookmarkStart w:id="1077" w:name="bookmark1077"/>
      <w:bookmarkEnd w:id="1077"/>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年度，本公司对未达标的限制性股票共计</w:t>
      </w:r>
      <w:r>
        <w:rPr>
          <w:rFonts w:ascii="Times New Roman" w:eastAsia="Times New Roman" w:hAnsi="Times New Roman" w:cs="Times New Roman"/>
          <w:color w:val="000000"/>
          <w:spacing w:val="0"/>
          <w:w w:val="100"/>
          <w:position w:val="0"/>
          <w:sz w:val="18"/>
          <w:szCs w:val="18"/>
        </w:rPr>
        <w:t>298,880</w:t>
      </w:r>
      <w:r>
        <w:rPr>
          <w:color w:val="000000"/>
          <w:spacing w:val="0"/>
          <w:w w:val="100"/>
          <w:position w:val="0"/>
        </w:rPr>
        <w:t>股进行回购注销，减少资本公积人民币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,058,706.25</w:t>
      </w:r>
      <w:r>
        <w:rPr>
          <w:color w:val="000000"/>
          <w:spacing w:val="0"/>
          <w:w w:val="100"/>
          <w:position w:val="0"/>
        </w:rPr>
        <w:t>元。</w:t>
      </w:r>
    </w:p>
    <w:p>
      <w:pPr>
        <w:pStyle w:val="Style31"/>
        <w:keepNext w:val="0"/>
        <w:keepLines w:val="0"/>
        <w:widowControl w:val="0"/>
        <w:numPr>
          <w:ilvl w:val="0"/>
          <w:numId w:val="45"/>
        </w:numPr>
        <w:shd w:val="clear" w:color="auto" w:fill="auto"/>
        <w:tabs>
          <w:tab w:pos="406" w:val="left"/>
        </w:tabs>
        <w:bidi w:val="0"/>
        <w:spacing w:before="0" w:after="460" w:line="240" w:lineRule="auto"/>
        <w:ind w:left="0" w:right="0" w:firstLine="480"/>
        <w:jc w:val="both"/>
      </w:pPr>
      <w:bookmarkStart w:id="1078" w:name="bookmark1078"/>
      <w:bookmarkEnd w:id="1078"/>
      <w:r>
        <w:rPr>
          <w:color w:val="000000"/>
          <w:spacing w:val="0"/>
          <w:w w:val="100"/>
          <w:position w:val="0"/>
        </w:rPr>
        <w:t>其他资本公积的增加主要来自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年股权激励计划为获取激励对象的服务而计入相关成本或费用并相应增加资本 </w:t>
      </w:r>
      <w:r>
        <w:rPr>
          <w:rStyle w:val="CharStyle35"/>
          <w:rFonts w:ascii="SimSun" w:eastAsia="SimSun" w:hAnsi="SimSun" w:cs="SimSun"/>
          <w:sz w:val="15"/>
          <w:szCs w:val="15"/>
        </w:rPr>
        <w:t>公积人民币</w:t>
      </w:r>
      <w:r>
        <w:rPr>
          <w:rStyle w:val="CharStyle35"/>
        </w:rPr>
        <w:t>229,328.10</w:t>
      </w:r>
      <w:r>
        <w:rPr>
          <w:rStyle w:val="CharStyle35"/>
          <w:rFonts w:ascii="SimSun" w:eastAsia="SimSun" w:hAnsi="SimSun" w:cs="SimSun"/>
          <w:sz w:val="15"/>
          <w:szCs w:val="15"/>
        </w:rPr>
        <w:t>元。</w:t>
      </w:r>
    </w:p>
    <w:p>
      <w:pPr>
        <w:pStyle w:val="Style49"/>
        <w:keepNext/>
        <w:keepLines/>
        <w:widowControl w:val="0"/>
        <w:shd w:val="clear" w:color="auto" w:fill="auto"/>
        <w:bidi w:val="0"/>
        <w:spacing w:before="0" w:after="40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079"/>
      <w:bookmarkEnd w:id="1080"/>
      <w:bookmarkEnd w:id="1082"/>
    </w:p>
    <w:p>
      <w:pPr>
        <w:pStyle w:val="Style31"/>
        <w:keepNext w:val="0"/>
        <w:keepLines w:val="0"/>
        <w:widowControl w:val="0"/>
        <w:shd w:val="clear" w:color="auto" w:fill="auto"/>
        <w:bidi w:val="0"/>
        <w:spacing w:before="0" w:after="100" w:line="240" w:lineRule="auto"/>
        <w:ind w:left="9020" w:right="0" w:firstLine="0"/>
        <w:jc w:val="both"/>
      </w:pPr>
      <w:r>
        <w:rPr>
          <w:color w:val="000000"/>
          <w:spacing w:val="0"/>
          <w:w w:val="100"/>
          <w:position w:val="0"/>
        </w:rPr>
        <w:t>单位：元</w:t>
      </w:r>
    </w:p>
    <w:tbl>
      <w:tblPr>
        <w:tblOverlap w:val="never"/>
        <w:jc w:val="center"/>
        <w:tblLayout w:type="fixed"/>
      </w:tblPr>
      <w:tblGrid>
        <w:gridCol w:w="1824"/>
        <w:gridCol w:w="2261"/>
        <w:gridCol w:w="1901"/>
        <w:gridCol w:w="1930"/>
        <w:gridCol w:w="1709"/>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8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80"/>
              <w:jc w:val="left"/>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期末余额</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库存股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13,042,829.50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1,357,586.25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11,685,243.25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60"/>
              <w:jc w:val="left"/>
              <w:rPr>
                <w:sz w:val="18"/>
                <w:szCs w:val="18"/>
              </w:rPr>
            </w:pPr>
            <w:r>
              <w:rPr>
                <w:rFonts w:ascii="Times New Roman" w:eastAsia="Times New Roman" w:hAnsi="Times New Roman" w:cs="Times New Roman"/>
                <w:b/>
                <w:bCs/>
                <w:color w:val="FFFFFF"/>
                <w:spacing w:val="0"/>
                <w:w w:val="100"/>
                <w:position w:val="0"/>
                <w:sz w:val="18"/>
                <w:szCs w:val="18"/>
              </w:rPr>
              <w:t>13,042,829.50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0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rPr>
                <w:sz w:val="18"/>
                <w:szCs w:val="18"/>
              </w:rPr>
            </w:pPr>
            <w:r>
              <w:rPr>
                <w:rFonts w:ascii="Times New Roman" w:eastAsia="Times New Roman" w:hAnsi="Times New Roman" w:cs="Times New Roman"/>
                <w:b/>
                <w:bCs/>
                <w:color w:val="FFFFFF"/>
                <w:spacing w:val="0"/>
                <w:w w:val="100"/>
                <w:position w:val="0"/>
                <w:sz w:val="18"/>
                <w:szCs w:val="18"/>
              </w:rPr>
              <w:t>1,357,586.25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rPr>
                <w:sz w:val="18"/>
                <w:szCs w:val="18"/>
              </w:rPr>
            </w:pPr>
            <w:r>
              <w:rPr>
                <w:rFonts w:ascii="Times New Roman" w:eastAsia="Times New Roman" w:hAnsi="Times New Roman" w:cs="Times New Roman"/>
                <w:b/>
                <w:bCs/>
                <w:color w:val="FFFFFF"/>
                <w:spacing w:val="0"/>
                <w:w w:val="100"/>
                <w:position w:val="0"/>
                <w:sz w:val="18"/>
                <w:szCs w:val="18"/>
              </w:rPr>
              <w:t>11,685,243.25</w:t>
            </w:r>
          </w:p>
        </w:tc>
      </w:tr>
    </w:tbl>
    <w:p>
      <w:pPr>
        <w:pStyle w:val="Style45"/>
        <w:keepNext w:val="0"/>
        <w:keepLines w:val="0"/>
        <w:widowControl w:val="0"/>
        <w:shd w:val="clear" w:color="auto" w:fill="auto"/>
        <w:bidi w:val="0"/>
        <w:spacing w:before="0" w:after="0" w:line="240" w:lineRule="auto"/>
        <w:ind w:left="461"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460" w:line="350" w:lineRule="exact"/>
        <w:ind w:left="0" w:right="0" w:firstLine="4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日召开第三届董事会第十七次会议，审议通过了《关于回购注销部分限制性股票和注销部分股票 期权的议案》，本公司使用自有资金回购部分本公司股份。从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日，公司累计回购库存股 </w:t>
      </w:r>
      <w:r>
        <w:rPr>
          <w:rFonts w:ascii="Times New Roman" w:eastAsia="Times New Roman" w:hAnsi="Times New Roman" w:cs="Times New Roman"/>
          <w:color w:val="000000"/>
          <w:spacing w:val="0"/>
          <w:w w:val="100"/>
          <w:position w:val="0"/>
          <w:sz w:val="18"/>
          <w:szCs w:val="18"/>
        </w:rPr>
        <w:t>298,880.00</w:t>
      </w:r>
      <w:r>
        <w:rPr>
          <w:color w:val="000000"/>
          <w:spacing w:val="0"/>
          <w:w w:val="100"/>
          <w:position w:val="0"/>
        </w:rPr>
        <w:t>股，回购已累计支付的金额为人民币</w:t>
      </w:r>
      <w:r>
        <w:rPr>
          <w:rFonts w:ascii="Times New Roman" w:eastAsia="Times New Roman" w:hAnsi="Times New Roman" w:cs="Times New Roman"/>
          <w:color w:val="000000"/>
          <w:spacing w:val="0"/>
          <w:w w:val="100"/>
          <w:position w:val="0"/>
          <w:sz w:val="18"/>
          <w:szCs w:val="18"/>
        </w:rPr>
        <w:t>1,357,586.25</w:t>
      </w:r>
      <w:r>
        <w:rPr>
          <w:color w:val="000000"/>
          <w:spacing w:val="0"/>
          <w:w w:val="100"/>
          <w:position w:val="0"/>
        </w:rPr>
        <w:t>元。对于失效限制性股票注销减少库存股人民币</w:t>
      </w:r>
      <w:r>
        <w:rPr>
          <w:rFonts w:ascii="Times New Roman" w:eastAsia="Times New Roman" w:hAnsi="Times New Roman" w:cs="Times New Roman"/>
          <w:color w:val="000000"/>
          <w:spacing w:val="0"/>
          <w:w w:val="100"/>
          <w:position w:val="0"/>
          <w:sz w:val="18"/>
          <w:szCs w:val="18"/>
        </w:rPr>
        <w:t>1,357,586.25</w:t>
      </w:r>
      <w:r>
        <w:rPr>
          <w:color w:val="000000"/>
          <w:spacing w:val="0"/>
          <w:w w:val="100"/>
          <w:position w:val="0"/>
        </w:rPr>
        <w:t>元。</w:t>
      </w:r>
    </w:p>
    <w:p>
      <w:pPr>
        <w:pStyle w:val="Style49"/>
        <w:keepNext/>
        <w:keepLines/>
        <w:widowControl w:val="0"/>
        <w:shd w:val="clear" w:color="auto" w:fill="auto"/>
        <w:bidi w:val="0"/>
        <w:spacing w:before="0" w:after="2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083"/>
      <w:bookmarkEnd w:id="1084"/>
      <w:bookmarkEnd w:id="1086"/>
      <w:r>
        <w:br w:type="page"/>
      </w:r>
    </w:p>
    <w:tbl>
      <w:tblPr>
        <w:tblOverlap w:val="never"/>
        <w:jc w:val="center"/>
        <w:tblLayout w:type="fixed"/>
      </w:tblPr>
      <w:tblGrid>
        <w:gridCol w:w="1848"/>
        <w:gridCol w:w="2222"/>
        <w:gridCol w:w="1901"/>
        <w:gridCol w:w="1915"/>
        <w:gridCol w:w="171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期初余额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40" w:right="0" w:firstLine="0"/>
              <w:jc w:val="center"/>
            </w:pPr>
            <w:r>
              <w:rPr>
                <w:b/>
                <w:bCs/>
                <w:color w:val="FFFFFF"/>
                <w:spacing w:val="0"/>
                <w:w w:val="100"/>
                <w:position w:val="0"/>
              </w:rPr>
              <w:t>本期增加</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本期减少</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期末余额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法定盈余公积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17,068,098.65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rPr>
                <w:sz w:val="18"/>
                <w:szCs w:val="18"/>
              </w:rPr>
            </w:pPr>
            <w:r>
              <w:rPr>
                <w:rFonts w:ascii="Times New Roman" w:eastAsia="Times New Roman" w:hAnsi="Times New Roman" w:cs="Times New Roman"/>
                <w:b/>
                <w:bCs/>
                <w:color w:val="FFFFFF"/>
                <w:spacing w:val="0"/>
                <w:w w:val="100"/>
                <w:position w:val="0"/>
                <w:sz w:val="18"/>
                <w:szCs w:val="18"/>
              </w:rPr>
              <w:t>17,068,098.65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0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0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rPr>
                <w:sz w:val="18"/>
                <w:szCs w:val="18"/>
              </w:rPr>
            </w:pPr>
            <w:r>
              <w:rPr>
                <w:rFonts w:ascii="Times New Roman" w:eastAsia="Times New Roman" w:hAnsi="Times New Roman" w:cs="Times New Roman"/>
                <w:b/>
                <w:bCs/>
                <w:color w:val="FFFFFF"/>
                <w:spacing w:val="0"/>
                <w:w w:val="100"/>
                <w:position w:val="0"/>
                <w:sz w:val="18"/>
                <w:szCs w:val="18"/>
              </w:rPr>
              <w:t>17,068,098.65</w:t>
            </w:r>
          </w:p>
        </w:tc>
      </w:tr>
    </w:tbl>
    <w:p>
      <w:pPr>
        <w:pStyle w:val="Style45"/>
        <w:keepNext w:val="0"/>
        <w:keepLines w:val="0"/>
        <w:widowControl w:val="0"/>
        <w:shd w:val="clear" w:color="auto" w:fill="auto"/>
        <w:bidi w:val="0"/>
        <w:spacing w:before="0" w:after="0" w:line="240" w:lineRule="auto"/>
        <w:ind w:left="86"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480" w:line="346" w:lineRule="exact"/>
        <w:ind w:left="0" w:right="0" w:firstLine="480"/>
        <w:jc w:val="both"/>
      </w:pPr>
      <w:r>
        <w:rPr>
          <w:color w:val="000000"/>
          <w:spacing w:val="0"/>
          <w:w w:val="100"/>
          <w:position w:val="0"/>
        </w:rPr>
        <w:t>根据《中华人民共和国公司法》及本公司章程，本公司按年度净利润的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提取法定盈余公积金，当法定盈余公积金累 计额达到注册资本的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以上时，可不再提取。法定盈余公积金经批准后可用于弥补亏损，或者增加股本。</w:t>
      </w:r>
    </w:p>
    <w:p>
      <w:pPr>
        <w:pStyle w:val="Style49"/>
        <w:keepNext/>
        <w:keepLines/>
        <w:widowControl w:val="0"/>
        <w:shd w:val="clear" w:color="auto" w:fill="auto"/>
        <w:bidi w:val="0"/>
        <w:spacing w:before="0" w:after="40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087"/>
      <w:bookmarkEnd w:id="1088"/>
      <w:bookmarkEnd w:id="1090"/>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835"/>
        <w:gridCol w:w="3418"/>
        <w:gridCol w:w="2338"/>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80"/>
              <w:jc w:val="left"/>
            </w:pPr>
            <w:r>
              <w:rPr>
                <w:b/>
                <w:bCs/>
                <w:color w:val="FFFFFF"/>
                <w:spacing w:val="0"/>
                <w:w w:val="100"/>
                <w:position w:val="0"/>
              </w:rPr>
              <w:t>上期</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年初未分配利润</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累计亏损</w:t>
            </w:r>
            <w:r>
              <w:rPr>
                <w:b/>
                <w:bCs/>
                <w:color w:val="FFFFFF"/>
                <w:spacing w:val="0"/>
                <w:w w:val="100"/>
                <w:position w:val="0"/>
                <w:sz w:val="19"/>
                <w:szCs w:val="19"/>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-20,844,908.97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96,613,080.17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加：本年归属于本公司股东的净亏损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-92,950,034.98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减：提取法定盈余公积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15,759.16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40"/>
              <w:jc w:val="left"/>
            </w:pPr>
            <w:r>
              <w:rPr>
                <w:b/>
                <w:bCs/>
                <w:color w:val="FFFFFF"/>
                <w:spacing w:val="0"/>
                <w:w w:val="100"/>
                <w:position w:val="0"/>
              </w:rPr>
              <w:t>应付普通股股利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6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24,492,195.00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年末累计亏损</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-108,342,033.18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-20,844,908.97</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调整期初未分配利润明细：</w:t>
      </w:r>
    </w:p>
    <w:p>
      <w:pPr>
        <w:widowControl w:val="0"/>
        <w:spacing w:after="159" w:line="1" w:lineRule="exact"/>
      </w:pPr>
    </w:p>
    <w:p>
      <w:pPr>
        <w:pStyle w:val="Style31"/>
        <w:keepNext w:val="0"/>
        <w:keepLines w:val="0"/>
        <w:widowControl w:val="0"/>
        <w:shd w:val="clear" w:color="auto" w:fill="auto"/>
        <w:tabs>
          <w:tab w:pos="810" w:val="left"/>
        </w:tabs>
        <w:bidi w:val="0"/>
        <w:spacing w:before="0" w:after="160" w:line="240" w:lineRule="auto"/>
        <w:ind w:left="0" w:right="0" w:firstLine="480"/>
        <w:jc w:val="left"/>
      </w:pPr>
      <w:bookmarkStart w:id="1091" w:name="bookmark1091"/>
      <w:r>
        <w:rPr>
          <w:rFonts w:ascii="Times New Roman" w:eastAsia="Times New Roman" w:hAnsi="Times New Roman" w:cs="Times New Roman"/>
          <w:color w:val="000000"/>
          <w:spacing w:val="0"/>
          <w:w w:val="100"/>
          <w:position w:val="0"/>
          <w:sz w:val="18"/>
          <w:szCs w:val="18"/>
        </w:rPr>
        <w:t>1</w:t>
      </w:r>
      <w:bookmarkEnd w:id="10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829" w:val="left"/>
        </w:tabs>
        <w:bidi w:val="0"/>
        <w:spacing w:before="0" w:after="160" w:line="240" w:lineRule="auto"/>
        <w:ind w:left="0" w:right="0" w:firstLine="480"/>
        <w:jc w:val="left"/>
      </w:pPr>
      <w:bookmarkStart w:id="1092" w:name="bookmark1092"/>
      <w:r>
        <w:rPr>
          <w:rFonts w:ascii="Times New Roman" w:eastAsia="Times New Roman" w:hAnsi="Times New Roman" w:cs="Times New Roman"/>
          <w:color w:val="000000"/>
          <w:spacing w:val="0"/>
          <w:w w:val="100"/>
          <w:position w:val="0"/>
          <w:sz w:val="18"/>
          <w:szCs w:val="18"/>
        </w:rPr>
        <w:t>2</w:t>
      </w:r>
      <w:bookmarkEnd w:id="10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829" w:val="left"/>
        </w:tabs>
        <w:bidi w:val="0"/>
        <w:spacing w:before="0" w:after="160" w:line="240" w:lineRule="auto"/>
        <w:ind w:left="0" w:right="0" w:firstLine="480"/>
        <w:jc w:val="left"/>
      </w:pPr>
      <w:bookmarkStart w:id="1093" w:name="bookmark1093"/>
      <w:r>
        <w:rPr>
          <w:rFonts w:ascii="Times New Roman" w:eastAsia="Times New Roman" w:hAnsi="Times New Roman" w:cs="Times New Roman"/>
          <w:color w:val="000000"/>
          <w:spacing w:val="0"/>
          <w:w w:val="100"/>
          <w:position w:val="0"/>
          <w:sz w:val="18"/>
          <w:szCs w:val="18"/>
        </w:rPr>
        <w:t>3</w:t>
      </w:r>
      <w:bookmarkEnd w:id="10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829" w:val="left"/>
        </w:tabs>
        <w:bidi w:val="0"/>
        <w:spacing w:before="0" w:after="160" w:line="240" w:lineRule="auto"/>
        <w:ind w:left="0" w:right="0" w:firstLine="480"/>
        <w:jc w:val="left"/>
      </w:pPr>
      <w:bookmarkStart w:id="1094" w:name="bookmark1094"/>
      <w:r>
        <w:rPr>
          <w:rFonts w:ascii="Times New Roman" w:eastAsia="Times New Roman" w:hAnsi="Times New Roman" w:cs="Times New Roman"/>
          <w:color w:val="000000"/>
          <w:spacing w:val="0"/>
          <w:w w:val="100"/>
          <w:position w:val="0"/>
          <w:sz w:val="18"/>
          <w:szCs w:val="18"/>
        </w:rPr>
        <w:t>4</w:t>
      </w:r>
      <w:bookmarkEnd w:id="10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829" w:val="left"/>
        </w:tabs>
        <w:bidi w:val="0"/>
        <w:spacing w:before="0" w:after="480" w:line="240" w:lineRule="auto"/>
        <w:ind w:left="0" w:right="0" w:firstLine="480"/>
        <w:jc w:val="left"/>
      </w:pPr>
      <w:bookmarkStart w:id="1095" w:name="bookmark1095"/>
      <w:r>
        <w:rPr>
          <w:rFonts w:ascii="Times New Roman" w:eastAsia="Times New Roman" w:hAnsi="Times New Roman" w:cs="Times New Roman"/>
          <w:color w:val="000000"/>
          <w:spacing w:val="0"/>
          <w:w w:val="100"/>
          <w:position w:val="0"/>
          <w:sz w:val="18"/>
          <w:szCs w:val="18"/>
        </w:rPr>
        <w:t>5</w:t>
      </w:r>
      <w:bookmarkEnd w:id="10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9"/>
        <w:keepNext/>
        <w:keepLines/>
        <w:widowControl w:val="0"/>
        <w:shd w:val="clear" w:color="auto" w:fill="auto"/>
        <w:bidi w:val="0"/>
        <w:spacing w:before="0" w:after="40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096"/>
      <w:bookmarkEnd w:id="1097"/>
      <w:bookmarkEnd w:id="1099"/>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858"/>
        <w:gridCol w:w="2544"/>
        <w:gridCol w:w="1637"/>
        <w:gridCol w:w="2194"/>
        <w:gridCol w:w="1363"/>
      </w:tblGrid>
      <w:tr>
        <w:trPr>
          <w:trHeight w:val="437"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80"/>
              <w:jc w:val="left"/>
            </w:pPr>
            <w:r>
              <w:rPr>
                <w:b/>
                <w:bCs/>
                <w:color w:val="FFFFFF"/>
                <w:spacing w:val="0"/>
                <w:w w:val="100"/>
                <w:position w:val="0"/>
              </w:rPr>
              <w:t>项目</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本期发生额</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left"/>
            </w:pPr>
            <w:r>
              <w:rPr>
                <w:b/>
                <w:bCs/>
                <w:color w:val="FFFFFF"/>
                <w:spacing w:val="0"/>
                <w:w w:val="100"/>
                <w:position w:val="0"/>
              </w:rPr>
              <w:t>上期发生额</w:t>
            </w:r>
          </w:p>
        </w:tc>
      </w:tr>
      <w:tr>
        <w:trPr>
          <w:trHeight w:val="398"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40"/>
              <w:jc w:val="left"/>
            </w:pPr>
            <w:r>
              <w:rPr>
                <w:b/>
                <w:bCs/>
                <w:color w:val="FFFFFF"/>
                <w:spacing w:val="0"/>
                <w:w w:val="100"/>
                <w:position w:val="0"/>
              </w:rPr>
              <w:t>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成本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成本</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主营业务</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475,137,934.69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441,432,947.32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346,085,551.59</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306,549,878.40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2,111,469.87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7,298,642.70</w:t>
            </w: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rPr>
                <w:sz w:val="18"/>
                <w:szCs w:val="18"/>
              </w:rPr>
            </w:pPr>
            <w:r>
              <w:rPr>
                <w:rFonts w:ascii="Times New Roman" w:eastAsia="Times New Roman" w:hAnsi="Times New Roman" w:cs="Times New Roman"/>
                <w:b/>
                <w:bCs/>
                <w:color w:val="FFFFFF"/>
                <w:spacing w:val="0"/>
                <w:w w:val="100"/>
                <w:position w:val="0"/>
                <w:sz w:val="18"/>
                <w:szCs w:val="18"/>
              </w:rPr>
              <w:t>488,918,503.86</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443,544,417.19</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353,384,194.29</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306,549,878.40</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224"/>
        <w:gridCol w:w="1589"/>
        <w:gridCol w:w="2131"/>
        <w:gridCol w:w="1358"/>
        <w:gridCol w:w="3355"/>
      </w:tblGrid>
      <w:tr>
        <w:trPr>
          <w:trHeight w:val="432"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20" w:right="0" w:firstLine="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备注</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w:t>
            </w:r>
          </w:p>
        </w:tc>
        <w:tc>
          <w:tcPr>
            <w:tcBorders/>
            <w:shd w:val="clear" w:color="auto" w:fill="A6A6A6"/>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353,384,194.29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公司的主营业务收入</w:t>
            </w:r>
          </w:p>
        </w:tc>
      </w:tr>
    </w:tbl>
    <w:p>
      <w:p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66" w:h="17375"/>
          <w:pgMar w:top="1567" w:right="1110" w:bottom="1893" w:left="992" w:header="0" w:footer="3" w:gutter="0"/>
          <w:cols w:space="720"/>
          <w:noEndnote/>
          <w:titlePg/>
          <w:rtlGutter w:val="0"/>
          <w:docGrid w:linePitch="360"/>
        </w:sectPr>
      </w:pPr>
    </w:p>
    <w:tbl>
      <w:tblPr>
        <w:tblOverlap w:val="never"/>
        <w:jc w:val="center"/>
        <w:tblLayout w:type="fixed"/>
      </w:tblPr>
      <w:tblGrid>
        <w:gridCol w:w="3542"/>
        <w:gridCol w:w="1392"/>
        <w:gridCol w:w="1349"/>
        <w:gridCol w:w="3355"/>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rFonts w:ascii="Times New Roman" w:eastAsia="Times New Roman" w:hAnsi="Times New Roman" w:cs="Times New Roman"/>
                <w:b/>
                <w:bCs/>
                <w:color w:val="FFFFFF"/>
                <w:spacing w:val="0"/>
                <w:w w:val="100"/>
                <w:position w:val="0"/>
                <w:sz w:val="18"/>
                <w:szCs w:val="18"/>
              </w:rPr>
              <w:t xml:space="preserve">2020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rFonts w:ascii="Times New Roman" w:eastAsia="Times New Roman" w:hAnsi="Times New Roman" w:cs="Times New Roman"/>
                <w:b/>
                <w:bCs/>
                <w:color w:val="FFFFFF"/>
                <w:spacing w:val="0"/>
                <w:w w:val="100"/>
                <w:position w:val="0"/>
                <w:sz w:val="18"/>
                <w:szCs w:val="18"/>
              </w:rPr>
              <w:t xml:space="preserve">2019 </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备注</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营业收入扣除项目</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7,298,642.70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gridSpan w:val="3"/>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与主营业务无关的业务收入小计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7,298,642.70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不具备商业实质的收入小计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营业收入扣除后金额</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475,137,934.69</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346,085,551.59</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公司的主营业务收入</w:t>
            </w:r>
          </w:p>
        </w:tc>
      </w:tr>
    </w:tbl>
    <w:p>
      <w:pPr>
        <w:pStyle w:val="Style45"/>
        <w:keepNext w:val="0"/>
        <w:keepLines w:val="0"/>
        <w:widowControl w:val="0"/>
        <w:shd w:val="clear" w:color="auto" w:fill="auto"/>
        <w:bidi w:val="0"/>
        <w:spacing w:before="0" w:after="0" w:line="355" w:lineRule="exact"/>
        <w:ind w:left="82"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55" w:lineRule="exact"/>
        <w:ind w:left="0" w:right="0" w:firstLine="480"/>
        <w:jc w:val="both"/>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480"/>
        <w:jc w:val="both"/>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480" w:line="355" w:lineRule="exact"/>
        <w:ind w:left="0" w:right="0" w:firstLine="4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 确认收入，元预计将于年度确认收入，元预计将于年度确认收入。</w:t>
      </w:r>
    </w:p>
    <w:p>
      <w:pPr>
        <w:pStyle w:val="Style49"/>
        <w:keepNext/>
        <w:keepLines/>
        <w:widowControl w:val="0"/>
        <w:shd w:val="clear" w:color="auto" w:fill="auto"/>
        <w:bidi w:val="0"/>
        <w:spacing w:before="0" w:after="40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100"/>
      <w:bookmarkEnd w:id="1101"/>
      <w:bookmarkEnd w:id="1103"/>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038"/>
        <w:gridCol w:w="3864"/>
        <w:gridCol w:w="267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6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545,624.63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1,035,751.10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教育费附加</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348,340.34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679,757.70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158,865.19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332,529.83</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280" w:right="0" w:firstLine="0"/>
              <w:jc w:val="left"/>
              <w:rPr>
                <w:sz w:val="18"/>
                <w:szCs w:val="18"/>
              </w:rPr>
            </w:pPr>
            <w:r>
              <w:rPr>
                <w:rFonts w:ascii="Times New Roman" w:eastAsia="Times New Roman" w:hAnsi="Times New Roman" w:cs="Times New Roman"/>
                <w:b/>
                <w:bCs/>
                <w:color w:val="FFFFFF"/>
                <w:spacing w:val="0"/>
                <w:w w:val="100"/>
                <w:position w:val="0"/>
                <w:sz w:val="18"/>
                <w:szCs w:val="18"/>
              </w:rPr>
              <w:t>1,052,830.16</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600" w:right="0" w:firstLine="0"/>
              <w:jc w:val="both"/>
              <w:rPr>
                <w:sz w:val="18"/>
                <w:szCs w:val="18"/>
              </w:rPr>
            </w:pPr>
            <w:r>
              <w:rPr>
                <w:rFonts w:ascii="Times New Roman" w:eastAsia="Times New Roman" w:hAnsi="Times New Roman" w:cs="Times New Roman"/>
                <w:b/>
                <w:bCs/>
                <w:color w:val="FFFFFF"/>
                <w:spacing w:val="0"/>
                <w:w w:val="100"/>
                <w:position w:val="0"/>
                <w:sz w:val="18"/>
                <w:szCs w:val="18"/>
              </w:rPr>
              <w:t>2,048,038.63</w:t>
            </w:r>
          </w:p>
        </w:tc>
      </w:tr>
    </w:tbl>
    <w:p>
      <w:pPr>
        <w:widowControl w:val="0"/>
        <w:spacing w:after="339" w:line="1" w:lineRule="exact"/>
      </w:pPr>
    </w:p>
    <w:p>
      <w:pPr>
        <w:pStyle w:val="Style49"/>
        <w:keepNext/>
        <w:keepLines/>
        <w:widowControl w:val="0"/>
        <w:shd w:val="clear" w:color="auto" w:fill="auto"/>
        <w:bidi w:val="0"/>
        <w:spacing w:before="0" w:after="40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104"/>
      <w:bookmarkEnd w:id="1105"/>
      <w:bookmarkEnd w:id="1107"/>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202"/>
        <w:gridCol w:w="3715"/>
        <w:gridCol w:w="267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2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人工成本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21,007,571.57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18,679,091.50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市场推广费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4,034,381.10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3,433,269.30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低值易耗品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3,626,668.12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2,580,406.18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运输邮寄费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3,573,460.83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2,249,788.39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通讯、网络费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1,594,450.76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1,517,564.00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差旅费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775,462.10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822,325.77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办公招待费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743,675.92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447,649.80</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101,846.83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108,579.97</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040" w:right="0" w:firstLine="0"/>
              <w:jc w:val="left"/>
              <w:rPr>
                <w:sz w:val="18"/>
                <w:szCs w:val="18"/>
              </w:rPr>
            </w:pPr>
            <w:r>
              <w:rPr>
                <w:rFonts w:ascii="Times New Roman" w:eastAsia="Times New Roman" w:hAnsi="Times New Roman" w:cs="Times New Roman"/>
                <w:b/>
                <w:bCs/>
                <w:color w:val="FFFFFF"/>
                <w:spacing w:val="0"/>
                <w:w w:val="100"/>
                <w:position w:val="0"/>
                <w:sz w:val="18"/>
                <w:szCs w:val="18"/>
              </w:rPr>
              <w:t>35,457,517.23</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29,838,674.91</w:t>
            </w:r>
          </w:p>
        </w:tc>
      </w:tr>
    </w:tbl>
    <w:p>
      <w:pPr>
        <w:spacing w:lineRule="exact" w:line="1"/>
        <w:rPr>
          <w:sz w:val="2"/>
          <w:szCs w:val="2"/>
        </w:rPr>
      </w:pPr>
      <w:r>
        <w:br w:type="page"/>
      </w:r>
    </w:p>
    <w:p>
      <w:pPr>
        <w:pStyle w:val="Style49"/>
        <w:keepNext/>
        <w:keepLines/>
        <w:widowControl w:val="0"/>
        <w:shd w:val="clear" w:color="auto" w:fill="auto"/>
        <w:bidi w:val="0"/>
        <w:spacing w:before="0" w:after="40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108"/>
      <w:bookmarkEnd w:id="1109"/>
      <w:bookmarkEnd w:id="1111"/>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87"/>
        <w:gridCol w:w="3720"/>
        <w:gridCol w:w="2669"/>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人工成本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29,011,285.90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32,194,129.10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管理咨询费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7,487,746.38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7,408,025.75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租赁物管费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5,333,537.79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6,088,616.89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无形资产摊销</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4,795,919.89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12,108,303.71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审计费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2,405,660.37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1,792,452.75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办公招待费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1,295,783.87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1,000,121.13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957,538.98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1,772,144.45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折旧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883,283.42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1,336,871.27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装修费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801,134.56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1,677,777.05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低值易耗品</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473,437.32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823,747.74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通讯、网络费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350,461.21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451,585.05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保险费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284,765.52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209,946.69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会议交通费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254,610.86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680,149.20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股份支付费用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229,328.10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777,539.76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培训费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26,601.27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170,231.06</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607,157.51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313,774.84</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040" w:right="0" w:firstLine="0"/>
              <w:jc w:val="left"/>
              <w:rPr>
                <w:sz w:val="18"/>
                <w:szCs w:val="18"/>
              </w:rPr>
            </w:pPr>
            <w:r>
              <w:rPr>
                <w:rFonts w:ascii="Times New Roman" w:eastAsia="Times New Roman" w:hAnsi="Times New Roman" w:cs="Times New Roman"/>
                <w:b/>
                <w:bCs/>
                <w:color w:val="FFFFFF"/>
                <w:spacing w:val="0"/>
                <w:w w:val="100"/>
                <w:position w:val="0"/>
                <w:sz w:val="18"/>
                <w:szCs w:val="18"/>
              </w:rPr>
              <w:t>55,198,252.95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00" w:right="0" w:firstLine="0"/>
              <w:jc w:val="both"/>
              <w:rPr>
                <w:sz w:val="18"/>
                <w:szCs w:val="18"/>
              </w:rPr>
            </w:pPr>
            <w:r>
              <w:rPr>
                <w:rFonts w:ascii="Times New Roman" w:eastAsia="Times New Roman" w:hAnsi="Times New Roman" w:cs="Times New Roman"/>
                <w:b/>
                <w:bCs/>
                <w:color w:val="FFFFFF"/>
                <w:spacing w:val="0"/>
                <w:w w:val="100"/>
                <w:position w:val="0"/>
                <w:sz w:val="18"/>
                <w:szCs w:val="18"/>
              </w:rPr>
              <w:t>68,805,416.44</w:t>
            </w:r>
          </w:p>
        </w:tc>
      </w:tr>
    </w:tbl>
    <w:p>
      <w:pPr>
        <w:widowControl w:val="0"/>
        <w:spacing w:after="339" w:line="1" w:lineRule="exact"/>
      </w:pPr>
    </w:p>
    <w:p>
      <w:pPr>
        <w:pStyle w:val="Style49"/>
        <w:keepNext/>
        <w:keepLines/>
        <w:widowControl w:val="0"/>
        <w:shd w:val="clear" w:color="auto" w:fill="auto"/>
        <w:bidi w:val="0"/>
        <w:spacing w:before="0" w:after="40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112"/>
      <w:bookmarkEnd w:id="1113"/>
      <w:bookmarkEnd w:id="1115"/>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87"/>
        <w:gridCol w:w="3715"/>
        <w:gridCol w:w="2674"/>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2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人工成本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4,816,236.86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9,861,846.00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无形资产摊销</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1,079,045.04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1,142,895.54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管理咨询费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41,320.56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784,336.63</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租赁物管费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316,076.11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通讯、网络费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251,638.50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折旧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257,238.96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318,940.15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装修费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81,925.64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82,573.56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低值易耗品</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22,058.07</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差旅费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16,666.13</w:t>
            </w:r>
          </w:p>
        </w:tc>
      </w:tr>
    </w:tbl>
    <w:p>
      <w:pPr>
        <w:spacing w:lineRule="exact" w:line="1"/>
        <w:rPr>
          <w:sz w:val="2"/>
          <w:szCs w:val="2"/>
        </w:rPr>
      </w:pPr>
      <w:r>
        <w:br w:type="page"/>
      </w:r>
    </w:p>
    <w:tbl>
      <w:tblPr>
        <w:tblOverlap w:val="never"/>
        <w:jc w:val="center"/>
        <w:tblLayout w:type="fixed"/>
      </w:tblPr>
      <w:tblGrid>
        <w:gridCol w:w="3038"/>
        <w:gridCol w:w="3859"/>
        <w:gridCol w:w="2678"/>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60" w:right="0" w:firstLine="0"/>
              <w:jc w:val="center"/>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上期发生额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办公招待费</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31,239.21</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725,200.00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581,431.23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280" w:right="0" w:firstLine="0"/>
              <w:jc w:val="left"/>
              <w:rPr>
                <w:sz w:val="18"/>
                <w:szCs w:val="18"/>
              </w:rPr>
            </w:pPr>
            <w:r>
              <w:rPr>
                <w:rFonts w:ascii="Times New Roman" w:eastAsia="Times New Roman" w:hAnsi="Times New Roman" w:cs="Times New Roman"/>
                <w:color w:val="FFFFFF"/>
                <w:spacing w:val="0"/>
                <w:w w:val="100"/>
                <w:position w:val="0"/>
                <w:sz w:val="18"/>
                <w:szCs w:val="18"/>
              </w:rPr>
              <w:t>7,032,206.27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color w:val="FFFFFF"/>
                <w:spacing w:val="0"/>
                <w:w w:val="100"/>
                <w:position w:val="0"/>
                <w:sz w:val="18"/>
                <w:szCs w:val="18"/>
              </w:rPr>
              <w:t>13,385,504.95</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116"/>
      <w:bookmarkEnd w:id="1117"/>
      <w:bookmarkEnd w:id="1119"/>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87"/>
        <w:gridCol w:w="3715"/>
        <w:gridCol w:w="267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2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利息支出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减：利息收入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632,454.11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666,994.29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手续费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1,618,277.52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1,196,627.28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汇兑收益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41,310.76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-48,174.54</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20" w:right="0" w:firstLine="0"/>
              <w:jc w:val="left"/>
              <w:rPr>
                <w:sz w:val="18"/>
                <w:szCs w:val="18"/>
              </w:rPr>
            </w:pPr>
            <w:r>
              <w:rPr>
                <w:rFonts w:ascii="Times New Roman" w:eastAsia="Times New Roman" w:hAnsi="Times New Roman" w:cs="Times New Roman"/>
                <w:b/>
                <w:bCs/>
                <w:color w:val="FFFFFF"/>
                <w:spacing w:val="0"/>
                <w:w w:val="100"/>
                <w:position w:val="0"/>
                <w:sz w:val="18"/>
                <w:szCs w:val="18"/>
              </w:rPr>
              <w:t>1,046,634.17</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483,610.14</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120"/>
      <w:bookmarkEnd w:id="1121"/>
      <w:bookmarkEnd w:id="1123"/>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480"/>
        <w:gridCol w:w="3418"/>
        <w:gridCol w:w="2678"/>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pPr>
            <w:r>
              <w:rPr>
                <w:b/>
                <w:bCs/>
                <w:color w:val="FFFFFF"/>
                <w:spacing w:val="0"/>
                <w:w w:val="100"/>
                <w:position w:val="0"/>
              </w:rPr>
              <w:t>产生其他收益的来源</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上期发生额</w:t>
            </w:r>
          </w:p>
        </w:tc>
      </w:tr>
      <w:tr>
        <w:trPr>
          <w:trHeight w:val="3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077" w:val="left"/>
              </w:tabs>
              <w:bidi w:val="0"/>
              <w:spacing w:before="0" w:after="0" w:line="240" w:lineRule="auto"/>
              <w:ind w:left="0" w:right="0" w:firstLine="0"/>
              <w:jc w:val="left"/>
            </w:pPr>
            <w:r>
              <w:rPr>
                <w:b/>
                <w:bCs/>
                <w:color w:val="FFFFFF"/>
                <w:spacing w:val="0"/>
                <w:w w:val="100"/>
                <w:position w:val="0"/>
              </w:rPr>
              <w:t>增值税税费返还</w:t>
              <w:tab/>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11,430.02</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代扣代缴个人所得税手续费返还</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241,469.41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358.80</w:t>
            </w:r>
          </w:p>
        </w:tc>
      </w:tr>
      <w:tr>
        <w:trPr>
          <w:trHeight w:val="398"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072" w:val="left"/>
              </w:tabs>
              <w:bidi w:val="0"/>
              <w:spacing w:before="0" w:after="0" w:line="240" w:lineRule="auto"/>
              <w:ind w:left="0" w:right="0" w:firstLine="0"/>
              <w:jc w:val="left"/>
            </w:pPr>
            <w:r>
              <w:rPr>
                <w:b/>
                <w:bCs/>
                <w:color w:val="FFFFFF"/>
                <w:spacing w:val="0"/>
                <w:w w:val="100"/>
                <w:position w:val="0"/>
              </w:rPr>
              <w:t>政府补助</w:t>
              <w:tab/>
            </w:r>
            <w:r>
              <w:rPr>
                <w:b/>
                <w:bCs/>
                <w:color w:val="FFFFFF"/>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2,382,000.00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3,189,500.00</w:t>
            </w:r>
          </w:p>
        </w:tc>
      </w:tr>
      <w:tr>
        <w:trPr>
          <w:trHeight w:val="41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840" w:right="0" w:firstLine="0"/>
              <w:jc w:val="left"/>
              <w:rPr>
                <w:sz w:val="18"/>
                <w:szCs w:val="18"/>
              </w:rPr>
            </w:pPr>
            <w:r>
              <w:rPr>
                <w:rFonts w:ascii="Times New Roman" w:eastAsia="Times New Roman" w:hAnsi="Times New Roman" w:cs="Times New Roman"/>
                <w:b/>
                <w:bCs/>
                <w:color w:val="FFFFFF"/>
                <w:spacing w:val="0"/>
                <w:w w:val="100"/>
                <w:position w:val="0"/>
                <w:sz w:val="18"/>
                <w:szCs w:val="18"/>
              </w:rPr>
              <w:t>2,623,469.41</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3,201,288.82</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124"/>
      <w:bookmarkEnd w:id="1125"/>
      <w:bookmarkEnd w:id="1127"/>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797"/>
        <w:gridCol w:w="3307"/>
        <w:gridCol w:w="2467"/>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4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b/>
                <w:bCs/>
                <w:color w:val="FFFFFF"/>
                <w:spacing w:val="0"/>
                <w:w w:val="100"/>
                <w:position w:val="0"/>
              </w:rPr>
              <w:t>上期发生额</w:t>
            </w:r>
          </w:p>
        </w:tc>
      </w:tr>
      <w:tr>
        <w:trPr>
          <w:trHeight w:val="3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326" w:val="left"/>
              </w:tabs>
              <w:bidi w:val="0"/>
              <w:spacing w:before="0" w:after="0" w:line="240" w:lineRule="auto"/>
              <w:ind w:left="0" w:right="0" w:firstLine="0"/>
              <w:jc w:val="left"/>
            </w:pPr>
            <w:r>
              <w:rPr>
                <w:b/>
                <w:bCs/>
                <w:color w:val="FFFFFF"/>
                <w:spacing w:val="0"/>
                <w:w w:val="100"/>
                <w:position w:val="0"/>
              </w:rPr>
              <w:t>处置交易性金融资产取得的投资收益</w:t>
              <w:tab/>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914,017.12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5,094,624.04</w:t>
            </w:r>
          </w:p>
        </w:tc>
      </w:tr>
      <w:tr>
        <w:trPr>
          <w:trHeight w:val="39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股权转让产生的投资亏损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56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-40,734.34</w:t>
            </w:r>
          </w:p>
        </w:tc>
      </w:tr>
      <w:tr>
        <w:trPr>
          <w:trHeight w:val="408" w:hRule="exact"/>
        </w:trPr>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346" w:val="left"/>
              </w:tabs>
              <w:bidi w:val="0"/>
              <w:spacing w:before="0" w:after="0" w:line="240" w:lineRule="auto"/>
              <w:ind w:left="0" w:right="0" w:firstLine="0"/>
              <w:jc w:val="left"/>
            </w:pPr>
            <w:r>
              <w:rPr>
                <w:b/>
                <w:bCs/>
                <w:color w:val="FFFFFF"/>
                <w:spacing w:val="0"/>
                <w:w w:val="100"/>
                <w:position w:val="0"/>
              </w:rPr>
              <w:t>其他投资损失</w:t>
              <w:tab/>
            </w:r>
            <w:r>
              <w:rPr>
                <w:b/>
                <w:bCs/>
                <w:color w:val="FFFFFF"/>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920" w:right="0" w:firstLine="0"/>
              <w:jc w:val="left"/>
              <w:rPr>
                <w:sz w:val="18"/>
                <w:szCs w:val="18"/>
              </w:rPr>
            </w:pPr>
            <w:r>
              <w:rPr>
                <w:rFonts w:ascii="Times New Roman" w:eastAsia="Times New Roman" w:hAnsi="Times New Roman" w:cs="Times New Roman"/>
                <w:b/>
                <w:bCs/>
                <w:color w:val="FFFFFF"/>
                <w:spacing w:val="0"/>
                <w:w w:val="100"/>
                <w:position w:val="0"/>
                <w:sz w:val="18"/>
                <w:szCs w:val="18"/>
              </w:rPr>
              <w:t>934,017.12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rPr>
                <w:sz w:val="18"/>
                <w:szCs w:val="18"/>
              </w:rPr>
            </w:pPr>
            <w:r>
              <w:rPr>
                <w:rFonts w:ascii="Times New Roman" w:eastAsia="Times New Roman" w:hAnsi="Times New Roman" w:cs="Times New Roman"/>
                <w:b/>
                <w:bCs/>
                <w:color w:val="FFFFFF"/>
                <w:spacing w:val="0"/>
                <w:w w:val="100"/>
                <w:position w:val="0"/>
                <w:sz w:val="18"/>
                <w:szCs w:val="18"/>
              </w:rPr>
              <w:t>5,003,889.70</w:t>
            </w:r>
          </w:p>
        </w:tc>
      </w:tr>
    </w:tbl>
    <w:p>
      <w:pPr>
        <w:pStyle w:val="Style45"/>
        <w:keepNext w:val="0"/>
        <w:keepLines w:val="0"/>
        <w:widowControl w:val="0"/>
        <w:shd w:val="clear" w:color="auto" w:fill="auto"/>
        <w:bidi w:val="0"/>
        <w:spacing w:before="0" w:after="0" w:line="240" w:lineRule="auto"/>
        <w:ind w:left="86"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350"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年度，本集团投资结构性存款之投资收益为人民币</w:t>
      </w:r>
      <w:r>
        <w:rPr>
          <w:rFonts w:ascii="Times New Roman" w:eastAsia="Times New Roman" w:hAnsi="Times New Roman" w:cs="Times New Roman"/>
          <w:color w:val="000000"/>
          <w:spacing w:val="0"/>
          <w:w w:val="100"/>
          <w:position w:val="0"/>
          <w:sz w:val="18"/>
          <w:szCs w:val="18"/>
        </w:rPr>
        <w:t>914,017.12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年度：短期银行理财产品之投资收益为人民 币</w:t>
      </w:r>
      <w:r>
        <w:rPr>
          <w:rFonts w:ascii="Times New Roman" w:eastAsia="Times New Roman" w:hAnsi="Times New Roman" w:cs="Times New Roman"/>
          <w:color w:val="000000"/>
          <w:spacing w:val="0"/>
          <w:w w:val="100"/>
          <w:position w:val="0"/>
          <w:sz w:val="18"/>
          <w:szCs w:val="18"/>
        </w:rPr>
        <w:t>8,547.95</w:t>
      </w:r>
      <w:r>
        <w:rPr>
          <w:color w:val="000000"/>
          <w:spacing w:val="0"/>
          <w:w w:val="100"/>
          <w:position w:val="0"/>
        </w:rPr>
        <w:t>元，结构性存款之投资收益为人民币</w:t>
      </w:r>
      <w:r>
        <w:rPr>
          <w:rFonts w:ascii="Times New Roman" w:eastAsia="Times New Roman" w:hAnsi="Times New Roman" w:cs="Times New Roman"/>
          <w:color w:val="000000"/>
          <w:spacing w:val="0"/>
          <w:w w:val="100"/>
          <w:position w:val="0"/>
          <w:sz w:val="18"/>
          <w:szCs w:val="18"/>
        </w:rPr>
        <w:t>5,086,076.09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49"/>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128"/>
      <w:bookmarkEnd w:id="1129"/>
      <w:bookmarkEnd w:id="1131"/>
    </w:p>
    <w:p>
      <w:pPr>
        <w:pStyle w:val="Style31"/>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038"/>
        <w:gridCol w:w="3859"/>
        <w:gridCol w:w="2678"/>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6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其他应收款坏账损失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-28,402.52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59,018.19</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应收账款坏账损失</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3,186,300.48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-116,916.76</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280" w:right="0" w:firstLine="0"/>
              <w:jc w:val="left"/>
              <w:rPr>
                <w:sz w:val="18"/>
                <w:szCs w:val="18"/>
              </w:rPr>
            </w:pPr>
            <w:r>
              <w:rPr>
                <w:rFonts w:ascii="Times New Roman" w:eastAsia="Times New Roman" w:hAnsi="Times New Roman" w:cs="Times New Roman"/>
                <w:b/>
                <w:bCs/>
                <w:color w:val="FFFFFF"/>
                <w:spacing w:val="0"/>
                <w:w w:val="100"/>
                <w:position w:val="0"/>
                <w:sz w:val="18"/>
                <w:szCs w:val="18"/>
              </w:rPr>
              <w:t>3,157,897.96</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-57,898.57</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32"/>
      <w:bookmarkEnd w:id="1133"/>
      <w:bookmarkEnd w:id="1135"/>
    </w:p>
    <w:p>
      <w:pPr>
        <w:pStyle w:val="Style31"/>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4070"/>
        <w:gridCol w:w="2846"/>
        <w:gridCol w:w="267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二、存货跌价损失及合同履约成本减值损失</w:t>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3,044,888.93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1,210,479.74</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十、无形资产减值损失</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3,882,479.16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9,373,751.21</w:t>
            </w:r>
          </w:p>
        </w:tc>
      </w:tr>
      <w:tr>
        <w:trPr>
          <w:trHeight w:val="403"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566" w:val="left"/>
              </w:tabs>
              <w:bidi w:val="0"/>
              <w:spacing w:before="0" w:after="0" w:line="240" w:lineRule="auto"/>
              <w:ind w:left="0" w:right="0" w:firstLine="0"/>
              <w:jc w:val="left"/>
            </w:pPr>
            <w:r>
              <w:rPr>
                <w:b/>
                <w:bCs/>
                <w:color w:val="FFFFFF"/>
                <w:spacing w:val="0"/>
                <w:w w:val="100"/>
                <w:position w:val="0"/>
              </w:rPr>
              <w:t>十一、商誉减值损失</w:t>
              <w:tab/>
            </w:r>
            <w:r>
              <w:rPr>
                <w:b/>
                <w:bCs/>
                <w:color w:val="FFFFFF"/>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14,910,936.52</w:t>
            </w:r>
          </w:p>
        </w:tc>
      </w:tr>
      <w:tr>
        <w:trPr>
          <w:trHeight w:val="40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十三、其他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1,943,155.18</w:t>
            </w:r>
          </w:p>
        </w:tc>
        <w:tc>
          <w:tcPr>
            <w:tcBorders>
              <w:top w:val="single" w:sz="4"/>
            </w:tcBorders>
            <w:shd w:val="clear" w:color="auto" w:fill="F9ECF3"/>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rPr>
                <w:sz w:val="18"/>
                <w:szCs w:val="18"/>
              </w:rPr>
            </w:pPr>
            <w:r>
              <w:rPr>
                <w:rFonts w:ascii="Times New Roman" w:eastAsia="Times New Roman" w:hAnsi="Times New Roman" w:cs="Times New Roman"/>
                <w:b/>
                <w:bCs/>
                <w:color w:val="FFFFFF"/>
                <w:spacing w:val="0"/>
                <w:w w:val="100"/>
                <w:position w:val="0"/>
                <w:sz w:val="18"/>
                <w:szCs w:val="18"/>
              </w:rPr>
              <w:t>8,870,523.27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25,495,167.47</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136"/>
      <w:bookmarkEnd w:id="1137"/>
      <w:bookmarkEnd w:id="1139"/>
    </w:p>
    <w:p>
      <w:pPr>
        <w:pStyle w:val="Style31"/>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346"/>
        <w:gridCol w:w="3533"/>
        <w:gridCol w:w="2650"/>
      </w:tblGrid>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资产处置收益的来源</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70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上期发生额</w:t>
            </w:r>
          </w:p>
        </w:tc>
      </w:tr>
      <w:tr>
        <w:trPr>
          <w:trHeight w:val="427" w:hRule="exact"/>
        </w:trPr>
        <w:tc>
          <w:tcPr>
            <w:tcBorders>
              <w:bottom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062" w:val="left"/>
              </w:tabs>
              <w:bidi w:val="0"/>
              <w:spacing w:before="0" w:after="0" w:line="240" w:lineRule="auto"/>
              <w:ind w:left="0" w:right="0" w:firstLine="0"/>
              <w:jc w:val="left"/>
              <w:rPr>
                <w:sz w:val="54"/>
                <w:szCs w:val="54"/>
              </w:rPr>
            </w:pPr>
            <w:r>
              <w:rPr>
                <w:b/>
                <w:bCs/>
                <w:color w:val="FFFFFF"/>
                <w:spacing w:val="0"/>
                <w:w w:val="100"/>
                <w:position w:val="0"/>
                <w:sz w:val="15"/>
                <w:szCs w:val="15"/>
              </w:rPr>
              <w:t>固定资产处置损失</w:t>
              <w:tab/>
            </w:r>
            <w:r>
              <w:rPr>
                <w:rFonts w:ascii="Arial" w:eastAsia="Arial" w:hAnsi="Arial" w:cs="Arial"/>
                <w:color w:val="FFFFFF"/>
                <w:spacing w:val="0"/>
                <w:w w:val="100"/>
                <w:position w:val="0"/>
                <w:sz w:val="54"/>
                <w:szCs w:val="54"/>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743,324.27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101,322.10</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140"/>
      <w:bookmarkEnd w:id="1141"/>
      <w:bookmarkEnd w:id="1143"/>
    </w:p>
    <w:p>
      <w:pPr>
        <w:pStyle w:val="Style31"/>
        <w:keepNext w:val="0"/>
        <w:keepLines w:val="0"/>
        <w:widowControl w:val="0"/>
        <w:shd w:val="clear" w:color="auto" w:fill="auto"/>
        <w:bidi w:val="0"/>
        <w:spacing w:before="0" w:after="80" w:line="240" w:lineRule="auto"/>
        <w:ind w:left="9040" w:right="0" w:firstLine="0"/>
        <w:jc w:val="left"/>
      </w:pPr>
      <w:bookmarkStart w:id="1144" w:name="bookmark1144"/>
      <w:r>
        <w:rPr>
          <w:color w:val="000000"/>
          <w:spacing w:val="0"/>
          <w:w w:val="100"/>
          <w:position w:val="0"/>
        </w:rPr>
        <w:t>单</w:t>
      </w:r>
      <w:bookmarkEnd w:id="1144"/>
      <w:r>
        <w:rPr>
          <w:color w:val="000000"/>
          <w:spacing w:val="0"/>
          <w:w w:val="100"/>
          <w:position w:val="0"/>
        </w:rPr>
        <w:t>位：元</w:t>
      </w:r>
    </w:p>
    <w:tbl>
      <w:tblPr>
        <w:tblOverlap w:val="never"/>
        <w:jc w:val="center"/>
        <w:tblLayout w:type="fixed"/>
      </w:tblPr>
      <w:tblGrid>
        <w:gridCol w:w="1478"/>
        <w:gridCol w:w="2141"/>
        <w:gridCol w:w="2126"/>
        <w:gridCol w:w="3869"/>
      </w:tblGrid>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上期发生额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20"/>
              <w:jc w:val="left"/>
            </w:pPr>
            <w:r>
              <w:rPr>
                <w:b/>
                <w:bCs/>
                <w:color w:val="FFFFFF"/>
                <w:spacing w:val="0"/>
                <w:w w:val="100"/>
                <w:position w:val="0"/>
              </w:rPr>
              <w:t>计入当期非经常性损益的金额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罚没利得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1,527.87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119,196.80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1,527.87</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96,794.99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216,130.89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96,794.99</w:t>
            </w:r>
          </w:p>
        </w:tc>
      </w:tr>
      <w:tr>
        <w:trPr>
          <w:trHeight w:val="326"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20" w:right="0" w:firstLine="0"/>
              <w:jc w:val="left"/>
              <w:rPr>
                <w:sz w:val="18"/>
                <w:szCs w:val="18"/>
              </w:rPr>
            </w:pPr>
            <w:r>
              <w:rPr>
                <w:rFonts w:ascii="Times New Roman" w:eastAsia="Times New Roman" w:hAnsi="Times New Roman" w:cs="Times New Roman"/>
                <w:b/>
                <w:bCs/>
                <w:color w:val="FFFFFF"/>
                <w:spacing w:val="0"/>
                <w:w w:val="100"/>
                <w:position w:val="0"/>
                <w:sz w:val="18"/>
                <w:szCs w:val="18"/>
              </w:rPr>
              <w:t>98,322.86</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rPr>
                <w:sz w:val="18"/>
                <w:szCs w:val="18"/>
              </w:rPr>
            </w:pPr>
            <w:r>
              <w:rPr>
                <w:rFonts w:ascii="Times New Roman" w:eastAsia="Times New Roman" w:hAnsi="Times New Roman" w:cs="Times New Roman"/>
                <w:b/>
                <w:bCs/>
                <w:color w:val="FFFFFF"/>
                <w:spacing w:val="0"/>
                <w:w w:val="100"/>
                <w:position w:val="0"/>
                <w:sz w:val="18"/>
                <w:szCs w:val="18"/>
              </w:rPr>
              <w:t>335,327.69</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98,322.86</w:t>
            </w:r>
          </w:p>
        </w:tc>
      </w:tr>
    </w:tbl>
    <w:p>
      <w:pPr>
        <w:widowControl w:val="0"/>
        <w:spacing w:after="79" w:line="1" w:lineRule="exact"/>
      </w:pPr>
    </w:p>
    <w:tbl>
      <w:tblPr>
        <w:tblOverlap w:val="never"/>
        <w:jc w:val="center"/>
        <w:tblLayout w:type="fixed"/>
      </w:tblPr>
      <w:tblGrid>
        <w:gridCol w:w="2582"/>
        <w:gridCol w:w="2069"/>
        <w:gridCol w:w="1714"/>
        <w:gridCol w:w="3432"/>
      </w:tblGrid>
      <w:tr>
        <w:trPr>
          <w:trHeight w:val="129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45" w:name="bookmark1145"/>
            <w:r>
              <w:rPr>
                <w:rFonts w:ascii="Times New Roman" w:eastAsia="Times New Roman" w:hAnsi="Times New Roman" w:cs="Times New Roman"/>
                <w:b/>
                <w:bCs/>
                <w:color w:val="000000"/>
                <w:spacing w:val="0"/>
                <w:w w:val="100"/>
                <w:position w:val="0"/>
                <w:sz w:val="20"/>
                <w:szCs w:val="20"/>
              </w:rPr>
              <w:t>38</w:t>
            </w:r>
            <w:r>
              <w:rPr>
                <w:b/>
                <w:bCs/>
                <w:color w:val="000000"/>
                <w:spacing w:val="0"/>
                <w:w w:val="100"/>
                <w:position w:val="0"/>
                <w:sz w:val="20"/>
                <w:szCs w:val="20"/>
              </w:rPr>
              <w:t>、营业外支出</w:t>
            </w:r>
            <w:bookmarkEnd w:id="1145"/>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2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上期发生额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计入当期非经常性损益的金额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门店关闭及转让赔偿金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10,501,545.38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10,501,545.38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非流动资产报废损失</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5,762,416.82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4,458,493.36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5,762,416.82</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1966" w:h="17375"/>
          <w:pgMar w:top="1567" w:right="1110" w:bottom="1893" w:left="992" w:header="0" w:footer="3" w:gutter="0"/>
          <w:cols w:space="720"/>
          <w:noEndnote/>
          <w:rtlGutter w:val="0"/>
          <w:docGrid w:linePitch="360"/>
        </w:sectPr>
      </w:pPr>
    </w:p>
    <w:tbl>
      <w:tblPr>
        <w:tblOverlap w:val="never"/>
        <w:jc w:val="center"/>
        <w:tblLayout w:type="fixed"/>
      </w:tblPr>
      <w:tblGrid>
        <w:gridCol w:w="2779"/>
        <w:gridCol w:w="1848"/>
        <w:gridCol w:w="1714"/>
        <w:gridCol w:w="3293"/>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上期发生额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计入当期非经常性损益的金额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预计诉讼赔偿金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1,957,840.00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违约无法收回的应收款项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1,799,121.68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1,799,121.68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预付房租损失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709,555.90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709,555.90</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536,403.56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364,465.46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536,403.56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rPr>
                <w:sz w:val="18"/>
                <w:szCs w:val="18"/>
              </w:rPr>
            </w:pPr>
            <w:r>
              <w:rPr>
                <w:rFonts w:ascii="Times New Roman" w:eastAsia="Times New Roman" w:hAnsi="Times New Roman" w:cs="Times New Roman"/>
                <w:b/>
                <w:bCs/>
                <w:color w:val="FFFFFF"/>
                <w:spacing w:val="0"/>
                <w:w w:val="100"/>
                <w:position w:val="0"/>
                <w:sz w:val="18"/>
                <w:szCs w:val="18"/>
              </w:rPr>
              <w:t>21,266,883.34</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rPr>
                <w:sz w:val="18"/>
                <w:szCs w:val="18"/>
              </w:rPr>
            </w:pPr>
            <w:r>
              <w:rPr>
                <w:rFonts w:ascii="Times New Roman" w:eastAsia="Times New Roman" w:hAnsi="Times New Roman" w:cs="Times New Roman"/>
                <w:b/>
                <w:bCs/>
                <w:color w:val="FFFFFF"/>
                <w:spacing w:val="0"/>
                <w:w w:val="100"/>
                <w:position w:val="0"/>
                <w:sz w:val="18"/>
                <w:szCs w:val="18"/>
              </w:rPr>
              <w:t>4,822,958.82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21,266,883.34</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both"/>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146"/>
      <w:bookmarkEnd w:id="1147"/>
      <w:bookmarkEnd w:id="1149"/>
    </w:p>
    <w:p>
      <w:pPr>
        <w:pStyle w:val="Style69"/>
        <w:keepNext/>
        <w:keepLines/>
        <w:widowControl w:val="0"/>
        <w:shd w:val="clear" w:color="auto" w:fill="auto"/>
        <w:bidi w:val="0"/>
        <w:spacing w:before="0" w:line="240" w:lineRule="auto"/>
        <w:ind w:left="0" w:right="0" w:firstLine="0"/>
        <w:jc w:val="both"/>
      </w:pPr>
      <w:bookmarkStart w:id="1150" w:name="bookmark1150"/>
      <w:bookmarkStart w:id="1151" w:name="bookmark1151"/>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50"/>
      <w:bookmarkEnd w:id="1151"/>
      <w:bookmarkEnd w:id="1152"/>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038"/>
        <w:gridCol w:w="3864"/>
        <w:gridCol w:w="267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60" w:right="0" w:firstLine="0"/>
              <w:jc w:val="center"/>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当期所得税费用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521,716.73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81,676.98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递延所得税费用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2,179,233.92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3,320,385.21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280" w:right="0" w:firstLine="0"/>
              <w:jc w:val="left"/>
              <w:rPr>
                <w:sz w:val="18"/>
                <w:szCs w:val="18"/>
              </w:rPr>
            </w:pPr>
            <w:r>
              <w:rPr>
                <w:rFonts w:ascii="Times New Roman" w:eastAsia="Times New Roman" w:hAnsi="Times New Roman" w:cs="Times New Roman"/>
                <w:b/>
                <w:bCs/>
                <w:color w:val="FFFFFF"/>
                <w:spacing w:val="0"/>
                <w:w w:val="100"/>
                <w:position w:val="0"/>
                <w:sz w:val="18"/>
                <w:szCs w:val="18"/>
              </w:rPr>
              <w:t>2,700,950.65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3,402,062.19</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240"/>
        <w:jc w:val="both"/>
      </w:pPr>
      <w:bookmarkStart w:id="1153" w:name="bookmark1153"/>
      <w:bookmarkStart w:id="1154" w:name="bookmark1154"/>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53"/>
      <w:bookmarkEnd w:id="1154"/>
      <w:bookmarkEnd w:id="1155"/>
    </w:p>
    <w:p>
      <w:pPr>
        <w:pStyle w:val="Style31"/>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本期发生额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利润总额</w:t>
            </w:r>
          </w:p>
        </w:tc>
        <w:tc>
          <w:tcPr>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按法定</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适用税率计算的所得税费用</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子公司适用不同税率的影响</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不可抵扣的成本、费用和损失的影响</w:t>
            </w:r>
          </w:p>
        </w:tc>
        <w:tc>
          <w:tcPr>
            <w:tcBorders>
              <w:top w:val="single" w:sz="4"/>
            </w:tcBorders>
            <w:shd w:val="clear" w:color="auto" w:fill="A22B6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使用前期未确认递延所得税资产的可抵扣亏损的影响</w:t>
            </w:r>
          </w:p>
        </w:tc>
        <w:tc>
          <w:tcPr>
            <w:tcBorders>
              <w:top w:val="single" w:sz="4"/>
            </w:tcBorders>
            <w:shd w:val="clear" w:color="auto" w:fill="7E3F63"/>
            <w:vAlign w:val="top"/>
          </w:tcPr>
          <w:p>
            <w:pPr>
              <w:widowControl w:val="0"/>
              <w:rPr>
                <w:sz w:val="10"/>
                <w:szCs w:val="10"/>
              </w:rPr>
            </w:pP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left"/>
            </w:pPr>
            <w:r>
              <w:rPr>
                <w:b/>
                <w:bCs/>
                <w:color w:val="FFFFFF"/>
                <w:spacing w:val="0"/>
                <w:w w:val="100"/>
                <w:position w:val="0"/>
              </w:rPr>
              <w:t>本期未确认递延所得税资产的可抵扣暂时性差异或可抵扣 亏损的影响</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转回前期确认递延所得税资产的可抵扣</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本年未确认递延所得税资产的可抵扣</w:t>
            </w:r>
          </w:p>
        </w:tc>
        <w:tc>
          <w:tcPr>
            <w:tcBorders>
              <w:top w:val="single" w:sz="4"/>
            </w:tcBorders>
            <w:shd w:val="clear" w:color="auto" w:fill="A22B6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所得税费用</w:t>
            </w:r>
          </w:p>
        </w:tc>
        <w:tc>
          <w:tcPr>
            <w:tcBorders>
              <w:top w:val="single" w:sz="4"/>
              <w:bottom w:val="single" w:sz="4"/>
            </w:tcBorders>
            <w:shd w:val="clear" w:color="auto" w:fill="A22B6F"/>
            <w:vAlign w:val="top"/>
          </w:tcPr>
          <w:p>
            <w:pPr>
              <w:widowControl w:val="0"/>
              <w:rPr>
                <w:sz w:val="10"/>
                <w:szCs w:val="10"/>
              </w:rPr>
            </w:pPr>
          </w:p>
        </w:tc>
      </w:tr>
    </w:tbl>
    <w:p>
      <w:pPr>
        <w:widowControl w:val="0"/>
        <w:spacing w:after="319" w:line="1" w:lineRule="exact"/>
      </w:pPr>
    </w:p>
    <w:p>
      <w:pPr>
        <w:pStyle w:val="Style49"/>
        <w:keepNext/>
        <w:keepLines/>
        <w:widowControl w:val="0"/>
        <w:shd w:val="clear" w:color="auto" w:fill="auto"/>
        <w:bidi w:val="0"/>
        <w:spacing w:before="0" w:after="320" w:line="240" w:lineRule="auto"/>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156"/>
      <w:bookmarkEnd w:id="1157"/>
      <w:bookmarkEnd w:id="1159"/>
    </w:p>
    <w:p>
      <w:pPr>
        <w:pStyle w:val="Style69"/>
        <w:keepNext/>
        <w:keepLines/>
        <w:widowControl w:val="0"/>
        <w:shd w:val="clear" w:color="auto" w:fill="auto"/>
        <w:bidi w:val="0"/>
        <w:spacing w:before="0" w:after="320" w:line="240" w:lineRule="auto"/>
        <w:ind w:left="0" w:right="0" w:firstLine="24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60"/>
      <w:bookmarkEnd w:id="1161"/>
      <w:bookmarkEnd w:id="1162"/>
    </w:p>
    <w:p>
      <w:pPr>
        <w:widowControl w:val="0"/>
        <w:spacing w:after="900" w:line="1" w:lineRule="exact"/>
        <w:sectPr>
          <w:headerReference w:type="default" r:id="rId81"/>
          <w:footerReference w:type="default" r:id="rId82"/>
          <w:headerReference w:type="even" r:id="rId83"/>
          <w:footerReference w:type="even" r:id="rId84"/>
          <w:footnotePr>
            <w:pos w:val="pageBottom"/>
            <w:numFmt w:val="decimal"/>
            <w:numRestart w:val="continuous"/>
          </w:footnotePr>
          <w:pgSz w:w="11966" w:h="17375"/>
          <w:pgMar w:top="1703" w:right="1143" w:bottom="2462" w:left="1042" w:header="0" w:footer="3" w:gutter="0"/>
          <w:cols w:space="720"/>
          <w:noEndnote/>
          <w:rtlGutter w:val="0"/>
          <w:docGrid w:linePitch="360"/>
        </w:sectPr>
      </w:pPr>
      <w:r>
        <mc:AlternateContent>
          <mc:Choice Requires="wps">
            <w:drawing>
              <wp:anchor distT="0" distB="0" distL="0" distR="0" simplePos="0" relativeHeight="62914842" behindDoc="1" locked="0" layoutInCell="1" allowOverlap="1">
                <wp:simplePos x="0" y="0"/>
                <wp:positionH relativeFrom="page">
                  <wp:posOffset>1551305</wp:posOffset>
                </wp:positionH>
                <wp:positionV relativeFrom="paragraph">
                  <wp:posOffset>422275</wp:posOffset>
                </wp:positionV>
                <wp:extent cx="255905" cy="149225"/>
                <wp:wrapNone/>
                <wp:docPr id="525" name="Shape 525"/>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项目</w:t>
                            </w:r>
                          </w:p>
                        </w:txbxContent>
                      </wps:txbx>
                      <wps:bodyPr wrap="none" lIns="0" tIns="0" rIns="0" bIns="0">
                        <a:noAutoFit/>
                      </wps:bodyPr>
                    </wps:wsp>
                  </a:graphicData>
                </a:graphic>
              </wp:anchor>
            </w:drawing>
          </mc:Choice>
          <mc:Fallback>
            <w:pict>
              <v:shape id="_x0000_s1551" type="#_x0000_t202" style="position:absolute;margin-left:122.15000000000001pt;margin-top:33.25pt;width:20.150000000000002pt;height:11.75pt;z-index:-188743911;mso-wrap-distance-left:0;mso-wrap-distance-right:0;mso-position-horizontal-relative:page" wrapcoords="0 0"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项目</w:t>
                      </w:r>
                    </w:p>
                  </w:txbxContent>
                </v:textbox>
                <w10:wrap anchorx="page"/>
              </v:shape>
            </w:pict>
          </mc:Fallback>
        </mc:AlternateContent>
      </w:r>
      <w:r>
        <mc:AlternateContent>
          <mc:Choice Requires="wps">
            <w:drawing>
              <wp:anchor distT="0" distB="0" distL="0" distR="0" simplePos="0" relativeHeight="62914844" behindDoc="1" locked="0" layoutInCell="1" allowOverlap="1">
                <wp:simplePos x="0" y="0"/>
                <wp:positionH relativeFrom="page">
                  <wp:posOffset>3404235</wp:posOffset>
                </wp:positionH>
                <wp:positionV relativeFrom="paragraph">
                  <wp:posOffset>419100</wp:posOffset>
                </wp:positionV>
                <wp:extent cx="606425" cy="149225"/>
                <wp:wrapNone/>
                <wp:docPr id="527" name="Shape 527"/>
                <a:graphic xmlns:a="http://schemas.openxmlformats.org/drawingml/2006/main">
                  <a:graphicData uri="http://schemas.microsoft.com/office/word/2010/wordprocessingShape">
                    <wps:wsp>
                      <wps:cNvSpPr txBox="1"/>
                      <wps:spPr>
                        <a:xfrm>
                          <a:ext cx="606425"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本期发生额</w:t>
                            </w:r>
                          </w:p>
                        </w:txbxContent>
                      </wps:txbx>
                      <wps:bodyPr wrap="none" lIns="0" tIns="0" rIns="0" bIns="0">
                        <a:noAutoFit/>
                      </wps:bodyPr>
                    </wps:wsp>
                  </a:graphicData>
                </a:graphic>
              </wp:anchor>
            </w:drawing>
          </mc:Choice>
          <mc:Fallback>
            <w:pict>
              <v:shape id="_x0000_s1553" type="#_x0000_t202" style="position:absolute;margin-left:268.05000000000001pt;margin-top:33.pt;width:47.75pt;height:11.75pt;z-index:-188743909;mso-wrap-distance-left:0;mso-wrap-distance-right:0;mso-position-horizontal-relative:page" wrapcoords="0 0"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本期发生额</w:t>
                      </w:r>
                    </w:p>
                  </w:txbxContent>
                </v:textbox>
                <w10:wrap anchorx="page"/>
              </v:shape>
            </w:pict>
          </mc:Fallback>
        </mc:AlternateContent>
      </w:r>
      <w:r>
        <mc:AlternateContent>
          <mc:Choice Requires="wps">
            <w:drawing>
              <wp:anchor distT="0" distB="0" distL="0" distR="0" simplePos="0" relativeHeight="62914846" behindDoc="1" locked="0" layoutInCell="1" allowOverlap="1">
                <wp:simplePos x="0" y="0"/>
                <wp:positionH relativeFrom="page">
                  <wp:posOffset>5434330</wp:posOffset>
                </wp:positionH>
                <wp:positionV relativeFrom="paragraph">
                  <wp:posOffset>419100</wp:posOffset>
                </wp:positionV>
                <wp:extent cx="603250" cy="149225"/>
                <wp:wrapNone/>
                <wp:docPr id="529" name="Shape 529"/>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上期发生额</w:t>
                            </w:r>
                          </w:p>
                        </w:txbxContent>
                      </wps:txbx>
                      <wps:bodyPr wrap="none" lIns="0" tIns="0" rIns="0" bIns="0">
                        <a:noAutoFit/>
                      </wps:bodyPr>
                    </wps:wsp>
                  </a:graphicData>
                </a:graphic>
              </wp:anchor>
            </w:drawing>
          </mc:Choice>
          <mc:Fallback>
            <w:pict>
              <v:shape id="_x0000_s1555" type="#_x0000_t202" style="position:absolute;margin-left:427.90000000000003pt;margin-top:33.pt;width:47.5pt;height:11.75pt;z-index:-188743907;mso-wrap-distance-left:0;mso-wrap-distance-right:0;mso-position-horizontal-relative:page" wrapcoords="0 0"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上期发生额</w:t>
                      </w:r>
                    </w:p>
                  </w:txbxContent>
                </v:textbox>
                <w10:wrap anchorx="page"/>
              </v:shape>
            </w:pict>
          </mc:Fallback>
        </mc:AlternateContent>
      </w:r>
    </w:p>
    <w:tbl>
      <w:tblPr>
        <w:tblOverlap w:val="never"/>
        <w:jc w:val="center"/>
        <w:tblLayout w:type="fixed"/>
      </w:tblPr>
      <w:tblGrid>
        <w:gridCol w:w="3182"/>
        <w:gridCol w:w="3720"/>
        <w:gridCol w:w="267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20" w:right="0" w:firstLine="0"/>
              <w:jc w:val="center"/>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押金、保证金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10,343,346.14</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产业扶持金、政府补助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2,382,000.00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3,189,500.00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632,454.11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666,994.29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代垫款项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955,621.54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443,645.05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2207352.07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347,116.51</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40" w:right="0" w:firstLine="0"/>
              <w:jc w:val="left"/>
              <w:rPr>
                <w:sz w:val="18"/>
                <w:szCs w:val="18"/>
              </w:rPr>
            </w:pPr>
            <w:r>
              <w:rPr>
                <w:rFonts w:ascii="Times New Roman" w:eastAsia="Times New Roman" w:hAnsi="Times New Roman" w:cs="Times New Roman"/>
                <w:b/>
                <w:bCs/>
                <w:color w:val="FFFFFF"/>
                <w:spacing w:val="0"/>
                <w:w w:val="100"/>
                <w:position w:val="0"/>
                <w:sz w:val="18"/>
                <w:szCs w:val="18"/>
              </w:rPr>
              <w:t>6,177,427.72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20" w:right="0" w:firstLine="0"/>
              <w:jc w:val="both"/>
              <w:rPr>
                <w:sz w:val="18"/>
                <w:szCs w:val="18"/>
              </w:rPr>
            </w:pPr>
            <w:r>
              <w:rPr>
                <w:rFonts w:ascii="Times New Roman" w:eastAsia="Times New Roman" w:hAnsi="Times New Roman" w:cs="Times New Roman"/>
                <w:b/>
                <w:bCs/>
                <w:color w:val="FFFFFF"/>
                <w:spacing w:val="0"/>
                <w:w w:val="100"/>
                <w:position w:val="0"/>
                <w:sz w:val="18"/>
                <w:szCs w:val="18"/>
              </w:rPr>
              <w:t>14,990,601.99</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220"/>
        <w:jc w:val="left"/>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63"/>
      <w:bookmarkEnd w:id="1164"/>
      <w:bookmarkEnd w:id="1165"/>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056"/>
        <w:gridCol w:w="2846"/>
        <w:gridCol w:w="2674"/>
      </w:tblGrid>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押金保证金及代垫款项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23,914,517.04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门店关闭及转让赔偿金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9,091,287.75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租赁物管费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6,056,276.82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6,637,649.30</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咨询服务费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5,719,134.03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10,160,625.11</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低值易耗品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4,418,821.72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3,426,211.99</w:t>
            </w:r>
          </w:p>
        </w:tc>
      </w:tr>
      <w:tr>
        <w:trPr>
          <w:trHeight w:val="39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市场推广费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3,957,280.08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3,433,269.30</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运输邮寄费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3,330,740.36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2,249,788.39</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通讯、网络费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1,944,911.97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2,220,787.55</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1,733,001.08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2,611,136.35</w:t>
            </w:r>
          </w:p>
        </w:tc>
      </w:tr>
      <w:tr>
        <w:trPr>
          <w:trHeight w:val="39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水电费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1,668,830.66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1,326,196.64</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银行手续费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1,618,277.52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1,196,627.28</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办公招待费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1,217,113.24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1,454,813.96</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会议交通费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285,850.07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680,149.20</w:t>
            </w:r>
          </w:p>
        </w:tc>
      </w:tr>
      <w:tr>
        <w:trPr>
          <w:trHeight w:val="39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保险费</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284,765.52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209,946.69</w:t>
            </w:r>
          </w:p>
        </w:tc>
      </w:tr>
      <w:tr>
        <w:trPr>
          <w:trHeight w:val="403" w:hRule="exact"/>
        </w:trPr>
        <w:tc>
          <w:tcPr>
            <w:tcBorders>
              <w:top w:val="single" w:sz="4"/>
            </w:tcBorders>
            <w:shd w:val="clear" w:color="auto" w:fill="A6A6A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6,440,347.18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2,819,291.16</w:t>
            </w:r>
          </w:p>
        </w:tc>
      </w:tr>
      <w:tr>
        <w:trPr>
          <w:trHeight w:val="384"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80" w:right="0" w:firstLine="0"/>
              <w:jc w:val="both"/>
              <w:rPr>
                <w:sz w:val="18"/>
                <w:szCs w:val="18"/>
              </w:rPr>
            </w:pPr>
            <w:r>
              <w:rPr>
                <w:rFonts w:ascii="Times New Roman" w:eastAsia="Times New Roman" w:hAnsi="Times New Roman" w:cs="Times New Roman"/>
                <w:b/>
                <w:bCs/>
                <w:color w:val="FFFFFF"/>
                <w:spacing w:val="0"/>
                <w:w w:val="100"/>
                <w:position w:val="0"/>
                <w:sz w:val="18"/>
                <w:szCs w:val="18"/>
              </w:rPr>
              <w:t>71,681,155.04</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20" w:right="0" w:firstLine="0"/>
              <w:jc w:val="both"/>
              <w:rPr>
                <w:sz w:val="18"/>
                <w:szCs w:val="18"/>
              </w:rPr>
            </w:pPr>
            <w:r>
              <w:rPr>
                <w:rFonts w:ascii="Times New Roman" w:eastAsia="Times New Roman" w:hAnsi="Times New Roman" w:cs="Times New Roman"/>
                <w:b/>
                <w:bCs/>
                <w:color w:val="FFFFFF"/>
                <w:spacing w:val="0"/>
                <w:w w:val="100"/>
                <w:position w:val="0"/>
                <w:sz w:val="18"/>
                <w:szCs w:val="18"/>
              </w:rPr>
              <w:t>41,426,492.92</w:t>
            </w:r>
          </w:p>
        </w:tc>
      </w:tr>
      <w:tr>
        <w:trPr>
          <w:trHeight w:val="130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66" w:name="bookmark116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）支付的其他与筹资活动有关的现金</w:t>
            </w:r>
            <w:bookmarkEnd w:id="1166"/>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普通股股份回购</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15,012,216.02</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限制性股票回购</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1,357,586.25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1,015,489.40</w:t>
            </w:r>
          </w:p>
        </w:tc>
      </w:tr>
      <w:tr>
        <w:trPr>
          <w:trHeight w:val="432" w:hRule="exact"/>
        </w:trPr>
        <w:tc>
          <w:tcPr>
            <w:tcBorders>
              <w:top w:val="single" w:sz="4"/>
              <w:bottom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长期借款担保费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307,000.00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66" w:h="17375"/>
          <w:pgMar w:top="1703" w:right="1334" w:bottom="1703" w:left="1056" w:header="0" w:footer="3" w:gutter="0"/>
          <w:cols w:space="720"/>
          <w:noEndnote/>
          <w:rtlGutter w:val="0"/>
          <w:docGrid w:linePitch="360"/>
        </w:sectPr>
      </w:pPr>
    </w:p>
    <w:p>
      <w:pPr>
        <w:widowControl w:val="0"/>
        <w:jc w:val="left"/>
        <w:rPr>
          <w:sz w:val="2"/>
          <w:szCs w:val="2"/>
        </w:rPr>
      </w:pPr>
      <w:r>
        <w:drawing>
          <wp:inline>
            <wp:extent cx="682625" cy="250190"/>
            <wp:docPr id="541" name="Picutre 541"/>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89"/>
                    <a:stretch/>
                  </pic:blipFill>
                  <pic:spPr>
                    <a:xfrm>
                      <a:ext cx="682625" cy="250190"/>
                    </a:xfrm>
                    <a:prstGeom prst="rect"/>
                  </pic:spPr>
                </pic:pic>
              </a:graphicData>
            </a:graphic>
          </wp:inline>
        </w:drawing>
      </w:r>
    </w:p>
    <w:p>
      <w:pPr>
        <w:widowControl w:val="0"/>
        <w:spacing w:after="219" w:line="1" w:lineRule="exact"/>
      </w:pPr>
    </w:p>
    <w:tbl>
      <w:tblPr>
        <w:tblOverlap w:val="never"/>
        <w:jc w:val="center"/>
        <w:tblLayout w:type="fixed"/>
      </w:tblPr>
      <w:tblGrid>
        <w:gridCol w:w="3038"/>
        <w:gridCol w:w="3859"/>
        <w:gridCol w:w="2678"/>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60" w:right="0" w:firstLine="0"/>
              <w:jc w:val="center"/>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上期发生额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280" w:right="0" w:firstLine="0"/>
              <w:jc w:val="left"/>
              <w:rPr>
                <w:sz w:val="18"/>
                <w:szCs w:val="18"/>
              </w:rPr>
            </w:pPr>
            <w:r>
              <w:rPr>
                <w:rFonts w:ascii="Times New Roman" w:eastAsia="Times New Roman" w:hAnsi="Times New Roman" w:cs="Times New Roman"/>
                <w:b/>
                <w:bCs/>
                <w:color w:val="FFFFFF"/>
                <w:spacing w:val="0"/>
                <w:w w:val="100"/>
                <w:position w:val="0"/>
                <w:sz w:val="18"/>
                <w:szCs w:val="18"/>
              </w:rPr>
              <w:t>1,664,586.25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16,027,705.42</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4</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67"/>
      <w:bookmarkEnd w:id="1168"/>
      <w:bookmarkEnd w:id="1170"/>
    </w:p>
    <w:p>
      <w:pPr>
        <w:pStyle w:val="Style69"/>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71"/>
      <w:bookmarkEnd w:id="1172"/>
      <w:bookmarkEnd w:id="117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710"/>
        <w:gridCol w:w="1531"/>
        <w:gridCol w:w="143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补充资料</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本期金额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上期金额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1 </w:t>
            </w:r>
            <w:r>
              <w:rPr>
                <w:b/>
                <w:bCs/>
                <w:color w:val="FFFFFF"/>
                <w:spacing w:val="0"/>
                <w:w w:val="100"/>
                <w:position w:val="0"/>
              </w:rPr>
              <w:t>.将净亏损调节为经营活动现金流量：</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净亏损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-92,950,034.98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加：资产减值准备的计提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8,870,523.27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25,495,167.47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信用损失准备</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3,157,897.96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-57,898.57</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固定资产折旧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2,572,500.65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2,976,094.74</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无形资产摊销</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6,474,964.92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13,251,199.25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长期待摊费用摊销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5,434,844.04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7,967,582.48</w:t>
            </w:r>
          </w:p>
        </w:tc>
      </w:tr>
      <w:tr>
        <w:trPr>
          <w:trHeight w:val="67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300" w:right="0" w:firstLine="300"/>
              <w:jc w:val="left"/>
            </w:pPr>
            <w:r>
              <w:rPr>
                <w:b/>
                <w:bCs/>
                <w:color w:val="FFFFFF"/>
                <w:spacing w:val="0"/>
                <w:w w:val="100"/>
                <w:position w:val="0"/>
              </w:rPr>
              <w:t>处置</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报废固定资产、无形资产和 其他长期资产的损失</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6,505,741.09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4,559,815.46</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财务费用</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收益</w:t>
            </w:r>
            <w:r>
              <w:rPr>
                <w:b/>
                <w:bCs/>
                <w:color w:val="FFFFFF"/>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60,810.76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-46,022.85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股份支付费用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229,328.10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777,539.76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-934,017.12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-5,003,889.70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计提的预计负债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递延所得税资产减少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2,442,211.17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5,894,992.56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递延所得税负债减少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-262,977.24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-2,574,607.35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存货的增加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-16,929,167.21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-3,584,015.23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经营性应收项目的增加</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-10,848,686.47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-20,982,874.35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经营性应付项目的</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减少</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-10,061,934.42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11,515,122.35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经营活动使用的现金流量净额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-88827244.71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-52,761,828.96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.现金及现金等价物净变动情况：</w:t>
            </w:r>
          </w:p>
        </w:tc>
        <w:tc>
          <w:tcPr>
            <w:gridSpan w:val="2"/>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现金的年末余额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108,733,250.43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191,487,434.05</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减：现金的年初余额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-191,487,434.05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-291,310,595.60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现金及现金等价物净减少</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-82,754,183.62</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-99,823,161.55</w:t>
            </w:r>
          </w:p>
        </w:tc>
      </w:tr>
    </w:tbl>
    <w:p>
      <w:pPr>
        <w:widowControl w:val="0"/>
        <w:spacing w:after="319" w:line="1" w:lineRule="exact"/>
      </w:pPr>
    </w:p>
    <w:p>
      <w:pPr>
        <w:pStyle w:val="Style69"/>
        <w:keepNext/>
        <w:keepLines/>
        <w:widowControl w:val="0"/>
        <w:shd w:val="clear" w:color="auto" w:fill="auto"/>
        <w:bidi w:val="0"/>
        <w:spacing w:before="0" w:after="320" w:line="240" w:lineRule="auto"/>
        <w:ind w:left="0" w:right="0" w:firstLine="240"/>
        <w:jc w:val="left"/>
        <w:sectPr>
          <w:headerReference w:type="default" r:id="rId91"/>
          <w:footerReference w:type="default" r:id="rId92"/>
          <w:headerReference w:type="even" r:id="rId93"/>
          <w:footerReference w:type="even" r:id="rId94"/>
          <w:footnotePr>
            <w:pos w:val="pageBottom"/>
            <w:numFmt w:val="decimal"/>
            <w:numRestart w:val="continuous"/>
          </w:footnotePr>
          <w:pgSz w:w="11966" w:h="17375"/>
          <w:pgMar w:top="1084" w:right="1143" w:bottom="2399" w:left="1042" w:header="0" w:footer="3" w:gutter="0"/>
          <w:cols w:space="720"/>
          <w:noEndnote/>
          <w:rtlGutter w:val="0"/>
          <w:docGrid w:linePitch="360"/>
        </w:sectPr>
      </w:pPr>
      <w:bookmarkStart w:id="1174" w:name="bookmark1174"/>
      <w:bookmarkStart w:id="1175" w:name="bookmark1175"/>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174"/>
      <w:bookmarkEnd w:id="1175"/>
      <w:bookmarkEnd w:id="1176"/>
    </w:p>
    <w:tbl>
      <w:tblPr>
        <w:tblOverlap w:val="never"/>
        <w:jc w:val="center"/>
        <w:tblLayout w:type="fixed"/>
      </w:tblPr>
      <w:tblGrid>
        <w:gridCol w:w="4992"/>
        <w:gridCol w:w="4598"/>
      </w:tblGrid>
      <w:tr>
        <w:trPr>
          <w:trHeight w:val="437"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金额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本期处置子公司于本期收到的现金或现金等价物</w:t>
            </w:r>
          </w:p>
        </w:tc>
        <w:tc>
          <w:tcPr>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山东百邦</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保定百邦</w:t>
            </w:r>
          </w:p>
        </w:tc>
        <w:tc>
          <w:tcPr>
            <w:tcBorders>
              <w:top w:val="single" w:sz="4"/>
            </w:tcBorders>
            <w:shd w:val="clear" w:color="auto" w:fill="A22B6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tcBorders>
              <w:top w:val="single" w:sz="4"/>
            </w:tcBorders>
            <w:shd w:val="clear" w:color="auto" w:fill="A22B6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处置子公司收到的现金净额</w:t>
            </w:r>
          </w:p>
        </w:tc>
        <w:tc>
          <w:tcPr>
            <w:tcBorders>
              <w:top w:val="single" w:sz="4"/>
              <w:bottom w:val="single" w:sz="4"/>
            </w:tcBorders>
            <w:shd w:val="clear" w:color="auto" w:fill="A22B6F"/>
            <w:vAlign w:val="top"/>
          </w:tcPr>
          <w:p>
            <w:pPr>
              <w:widowControl w:val="0"/>
              <w:rPr>
                <w:sz w:val="10"/>
                <w:szCs w:val="10"/>
              </w:rPr>
            </w:pPr>
          </w:p>
        </w:tc>
      </w:tr>
    </w:tbl>
    <w:p>
      <w:pPr>
        <w:widowControl w:val="0"/>
        <w:spacing w:after="319" w:line="1" w:lineRule="exact"/>
      </w:pPr>
    </w:p>
    <w:p>
      <w:pPr>
        <w:pStyle w:val="Style69"/>
        <w:keepNext/>
        <w:keepLines/>
        <w:widowControl w:val="0"/>
        <w:numPr>
          <w:ilvl w:val="0"/>
          <w:numId w:val="47"/>
        </w:numPr>
        <w:shd w:val="clear" w:color="auto" w:fill="auto"/>
        <w:bidi w:val="0"/>
        <w:spacing w:before="0" w:line="240" w:lineRule="auto"/>
        <w:ind w:left="0" w:right="0" w:firstLine="24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现金和现金等价物的构成</w:t>
      </w:r>
      <w:bookmarkEnd w:id="1177"/>
      <w:bookmarkEnd w:id="1178"/>
      <w:bookmarkEnd w:id="1180"/>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326"/>
        <w:gridCol w:w="3624"/>
        <w:gridCol w:w="2621"/>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60" w:right="0" w:firstLine="0"/>
              <w:jc w:val="center"/>
            </w:pPr>
            <w:r>
              <w:rPr>
                <w:b/>
                <w:bCs/>
                <w:color w:val="FFFFFF"/>
                <w:spacing w:val="0"/>
                <w:w w:val="100"/>
                <w:position w:val="0"/>
              </w:rPr>
              <w:t>期末余额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一、现金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108,733,250.43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191,487,434.05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其中：库存现金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184,461.28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437,365.16</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可随时用于支付的银行存款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108,548,789.15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191,050,068.89</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二、现金等价物</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三、期末现金及现金等价物余额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108,733,250.43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191,487,434.05</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181"/>
      <w:bookmarkEnd w:id="1182"/>
      <w:bookmarkEnd w:id="1184"/>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171"/>
        <w:gridCol w:w="1906"/>
        <w:gridCol w:w="3326"/>
        <w:gridCol w:w="3216"/>
      </w:tblGrid>
      <w:tr>
        <w:trPr>
          <w:trHeight w:val="432"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期末账面价值</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受限原因</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货币资金</w:t>
            </w:r>
          </w:p>
        </w:tc>
        <w:tc>
          <w:tcPr>
            <w:tcBorders/>
            <w:shd w:val="clear" w:color="auto" w:fill="A6A6A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16,560,000.00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本集团存放于银行的供应商保证金</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60" w:right="0" w:firstLine="0"/>
              <w:jc w:val="left"/>
              <w:rPr>
                <w:sz w:val="18"/>
                <w:szCs w:val="18"/>
              </w:rPr>
            </w:pPr>
            <w:r>
              <w:rPr>
                <w:rFonts w:ascii="Times New Roman" w:eastAsia="Times New Roman" w:hAnsi="Times New Roman" w:cs="Times New Roman"/>
                <w:b/>
                <w:bCs/>
                <w:color w:val="FFFFFF"/>
                <w:spacing w:val="0"/>
                <w:w w:val="100"/>
                <w:position w:val="0"/>
                <w:sz w:val="18"/>
                <w:szCs w:val="18"/>
              </w:rPr>
              <w:t>16,560,000.00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4</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185"/>
      <w:bookmarkEnd w:id="1186"/>
      <w:bookmarkEnd w:id="1188"/>
    </w:p>
    <w:p>
      <w:pPr>
        <w:pStyle w:val="Style69"/>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189"/>
      <w:bookmarkEnd w:id="1190"/>
      <w:bookmarkEnd w:id="1191"/>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491"/>
        <w:gridCol w:w="2654"/>
        <w:gridCol w:w="1805"/>
        <w:gridCol w:w="2621"/>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期末外币余额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0" w:right="0" w:firstLine="0"/>
              <w:jc w:val="center"/>
            </w:pPr>
            <w:r>
              <w:rPr>
                <w:b/>
                <w:bCs/>
                <w:color w:val="FFFFFF"/>
                <w:spacing w:val="0"/>
                <w:w w:val="100"/>
                <w:position w:val="0"/>
              </w:rPr>
              <w:t>折算汇率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期末折算人民币余额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货币资金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其中：美元</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48,706.75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317,806.67</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欧元</w:t>
            </w:r>
          </w:p>
        </w:tc>
        <w:tc>
          <w:tcPr>
            <w:gridSpan w:val="3"/>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港币</w:t>
            </w:r>
          </w:p>
        </w:tc>
        <w:tc>
          <w:tcPr>
            <w:gridSpan w:val="3"/>
            <w:tcBorders>
              <w:top w:val="single" w:sz="4"/>
            </w:tcBorders>
            <w:shd w:val="clear" w:color="auto" w:fill="F9ECF3"/>
            <w:vAlign w:val="top"/>
          </w:tcPr>
          <w:p>
            <w:pPr>
              <w:widowControl w:val="0"/>
              <w:rPr>
                <w:sz w:val="10"/>
                <w:szCs w:val="10"/>
              </w:rPr>
            </w:pPr>
          </w:p>
        </w:tc>
      </w:tr>
      <w:tr>
        <w:trPr>
          <w:trHeight w:val="41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应收账款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91"/>
        <w:gridCol w:w="708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106" w:val="left"/>
                <w:tab w:pos="5030" w:val="left"/>
              </w:tabs>
              <w:bidi w:val="0"/>
              <w:spacing w:before="0" w:after="0" w:line="240" w:lineRule="auto"/>
              <w:ind w:left="0" w:right="0" w:firstLine="600"/>
              <w:jc w:val="left"/>
            </w:pPr>
            <w:r>
              <w:rPr>
                <w:b/>
                <w:bCs/>
                <w:color w:val="FFFFFF"/>
                <w:spacing w:val="0"/>
                <w:w w:val="100"/>
                <w:position w:val="0"/>
              </w:rPr>
              <w:t>期末外币余额</w:t>
              <w:tab/>
              <w:t>折算汇率</w:t>
              <w:tab/>
              <w:t>期末折算人民币余额</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其中：美元</w:t>
            </w:r>
          </w:p>
        </w:tc>
        <w:tc>
          <w:tcPr>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欧元</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港币</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长期借款</w:t>
            </w:r>
          </w:p>
        </w:tc>
        <w:tc>
          <w:tcPr>
            <w:tcBorders>
              <w:top w:val="single" w:sz="4"/>
            </w:tcBorders>
            <w:shd w:val="clear" w:color="auto" w:fill="A22B6F"/>
            <w:vAlign w:val="center"/>
          </w:tcPr>
          <w:p>
            <w:pPr>
              <w:pStyle w:val="Style2"/>
              <w:keepNext w:val="0"/>
              <w:keepLines w:val="0"/>
              <w:widowControl w:val="0"/>
              <w:pBdr>
                <w:top w:val="single" w:sz="0" w:space="0" w:color="A22B6F"/>
                <w:left w:val="single" w:sz="0" w:space="0" w:color="A22B6F"/>
                <w:bottom w:val="single" w:sz="0" w:space="0" w:color="A22B6F"/>
                <w:right w:val="single" w:sz="0" w:space="0" w:color="A22B6F"/>
              </w:pBdr>
              <w:shd w:val="clear" w:color="auto" w:fill="A22B6F"/>
              <w:tabs>
                <w:tab w:pos="3418" w:val="left"/>
              </w:tabs>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其中：美元</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欧元</w:t>
            </w:r>
          </w:p>
        </w:tc>
        <w:tc>
          <w:tcPr>
            <w:tcBorders>
              <w:top w:val="single" w:sz="4"/>
            </w:tcBorders>
            <w:shd w:val="clear" w:color="auto" w:fill="A22B6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港币</w:t>
            </w:r>
          </w:p>
        </w:tc>
        <w:tc>
          <w:tcPr>
            <w:tcBorders>
              <w:top w:val="single" w:sz="4"/>
              <w:bottom w:val="single" w:sz="4"/>
            </w:tcBorders>
            <w:shd w:val="clear" w:color="auto" w:fill="A22B6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86"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上述外币货币性项目指除人民币之外的所有货币。</w:t>
      </w:r>
    </w:p>
    <w:p>
      <w:pPr>
        <w:pStyle w:val="Style69"/>
        <w:keepNext/>
        <w:keepLines/>
        <w:widowControl w:val="0"/>
        <w:shd w:val="clear" w:color="auto" w:fill="auto"/>
        <w:bidi w:val="0"/>
        <w:spacing w:before="0" w:after="360" w:line="326" w:lineRule="exact"/>
        <w:ind w:left="0" w:right="0" w:firstLine="0"/>
        <w:jc w:val="left"/>
      </w:pPr>
      <w:bookmarkStart w:id="1192" w:name="bookmark1192"/>
      <w:bookmarkStart w:id="1193" w:name="bookmark1193"/>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192"/>
      <w:bookmarkEnd w:id="1193"/>
      <w:bookmarkEnd w:id="119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bidi w:val="0"/>
        <w:spacing w:before="0" w:after="160" w:line="341"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195"/>
      <w:bookmarkEnd w:id="1196"/>
      <w:bookmarkEnd w:id="1198"/>
    </w:p>
    <w:p>
      <w:pPr>
        <w:pStyle w:val="Style69"/>
        <w:keepNext/>
        <w:keepLines/>
        <w:widowControl w:val="0"/>
        <w:shd w:val="clear" w:color="auto" w:fill="auto"/>
        <w:bidi w:val="0"/>
        <w:spacing w:before="0" w:after="360" w:line="326" w:lineRule="exact"/>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199"/>
      <w:bookmarkEnd w:id="1200"/>
      <w:bookmarkEnd w:id="12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74"/>
        <w:gridCol w:w="2491"/>
        <w:gridCol w:w="1795"/>
        <w:gridCol w:w="2630"/>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20" w:right="0" w:firstLine="0"/>
              <w:jc w:val="left"/>
            </w:pPr>
            <w:r>
              <w:rPr>
                <w:b/>
                <w:bCs/>
                <w:color w:val="FFFFFF"/>
                <w:spacing w:val="0"/>
                <w:w w:val="100"/>
                <w:position w:val="0"/>
              </w:rPr>
              <w:t>种类</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列报项目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计入当期损益的金额</w:t>
            </w:r>
          </w:p>
        </w:tc>
      </w:tr>
      <w:tr>
        <w:trPr>
          <w:trHeight w:val="39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256" w:val="left"/>
              </w:tabs>
              <w:bidi w:val="0"/>
              <w:spacing w:before="0" w:after="0" w:line="240" w:lineRule="auto"/>
              <w:ind w:left="0" w:right="0" w:firstLine="0"/>
              <w:jc w:val="left"/>
            </w:pPr>
            <w:r>
              <w:rPr>
                <w:b/>
                <w:bCs/>
                <w:color w:val="FFFFFF"/>
                <w:spacing w:val="0"/>
                <w:w w:val="100"/>
                <w:position w:val="0"/>
              </w:rPr>
              <w:t>总部型特征企业奖励金</w:t>
              <w:tab/>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2,252,000.00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2,252,000.00</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青浦区扶持资金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其他收益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408"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60" w:right="0" w:firstLine="0"/>
              <w:jc w:val="both"/>
              <w:rPr>
                <w:sz w:val="18"/>
                <w:szCs w:val="18"/>
              </w:rPr>
            </w:pPr>
            <w:r>
              <w:rPr>
                <w:rFonts w:ascii="Times New Roman" w:eastAsia="Times New Roman" w:hAnsi="Times New Roman" w:cs="Times New Roman"/>
                <w:b/>
                <w:bCs/>
                <w:color w:val="FFFFFF"/>
                <w:spacing w:val="0"/>
                <w:w w:val="100"/>
                <w:position w:val="0"/>
                <w:sz w:val="18"/>
                <w:szCs w:val="18"/>
              </w:rPr>
              <w:t>2,382,000.00</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60" w:right="0" w:firstLine="0"/>
              <w:jc w:val="both"/>
              <w:rPr>
                <w:sz w:val="18"/>
                <w:szCs w:val="18"/>
              </w:rPr>
            </w:pPr>
            <w:r>
              <w:rPr>
                <w:rFonts w:ascii="Times New Roman" w:eastAsia="Times New Roman" w:hAnsi="Times New Roman" w:cs="Times New Roman"/>
                <w:b/>
                <w:bCs/>
                <w:color w:val="FFFFFF"/>
                <w:spacing w:val="0"/>
                <w:w w:val="100"/>
                <w:position w:val="0"/>
                <w:sz w:val="18"/>
                <w:szCs w:val="18"/>
              </w:rPr>
              <w:t>2,382,000.00</w:t>
            </w:r>
          </w:p>
        </w:tc>
      </w:tr>
    </w:tbl>
    <w:p>
      <w:pPr>
        <w:widowControl w:val="0"/>
        <w:spacing w:after="359" w:line="1" w:lineRule="exact"/>
      </w:pPr>
    </w:p>
    <w:p>
      <w:pPr>
        <w:pStyle w:val="Style49"/>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02"/>
      <w:bookmarkEnd w:id="1203"/>
      <w:bookmarkEnd w:id="1204"/>
    </w:p>
    <w:p>
      <w:pPr>
        <w:pStyle w:val="Style31"/>
        <w:keepNext w:val="0"/>
        <w:keepLines w:val="0"/>
        <w:widowControl w:val="0"/>
        <w:shd w:val="clear" w:color="auto" w:fill="auto"/>
        <w:bidi w:val="0"/>
        <w:spacing w:before="0" w:after="16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3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分子计算过程如下:</w:t>
      </w:r>
    </w:p>
    <w:tbl>
      <w:tblPr>
        <w:tblOverlap w:val="never"/>
        <w:jc w:val="center"/>
        <w:tblLayout w:type="fixed"/>
      </w:tblPr>
      <w:tblGrid>
        <w:gridCol w:w="5501"/>
        <w:gridCol w:w="2347"/>
        <w:gridCol w:w="1795"/>
      </w:tblGrid>
      <w:tr>
        <w:trPr>
          <w:trHeight w:val="355" w:hRule="exact"/>
        </w:trPr>
        <w:tc>
          <w:tcPr>
            <w:tcBorders>
              <w:top w:val="single" w:sz="4"/>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b/>
                <w:bCs/>
                <w:color w:val="FFFFFF"/>
                <w:spacing w:val="0"/>
                <w:w w:val="100"/>
                <w:position w:val="0"/>
              </w:rPr>
              <w:t>上年金额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归属于普通股股东的当年净亏损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-92,950,034.98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减：当年分配给预计未来可解锁限制性股票的现金股利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用于计算基本每股收益的分子</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-92,950,034.98</w:t>
            </w:r>
          </w:p>
        </w:tc>
      </w:tr>
    </w:tbl>
    <w:p>
      <w:pPr>
        <w:pStyle w:val="Style45"/>
        <w:keepNext w:val="0"/>
        <w:keepLines w:val="0"/>
        <w:widowControl w:val="0"/>
        <w:shd w:val="clear" w:color="auto" w:fill="auto"/>
        <w:bidi w:val="0"/>
        <w:spacing w:before="0" w:after="0" w:line="240" w:lineRule="auto"/>
        <w:ind w:left="446" w:right="0" w:firstLine="0"/>
        <w:jc w:val="left"/>
      </w:pPr>
      <w:r>
        <w:rPr>
          <w:color w:val="000000"/>
          <w:spacing w:val="0"/>
          <w:w w:val="100"/>
          <w:position w:val="0"/>
        </w:rPr>
        <w:t>分母计算过程如下:</w:t>
      </w:r>
    </w:p>
    <w:p>
      <w:pPr>
        <w:widowControl w:val="0"/>
        <w:spacing w:after="159" w:line="1" w:lineRule="exact"/>
      </w:pPr>
    </w:p>
    <w:p>
      <w:pPr>
        <w:widowControl w:val="0"/>
        <w:spacing w:line="1" w:lineRule="exact"/>
      </w:pPr>
    </w:p>
    <w:tbl>
      <w:tblPr>
        <w:tblOverlap w:val="never"/>
        <w:jc w:val="center"/>
        <w:tblLayout w:type="fixed"/>
      </w:tblPr>
      <w:tblGrid>
        <w:gridCol w:w="5587"/>
        <w:gridCol w:w="2342"/>
        <w:gridCol w:w="1709"/>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本年数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pPr>
            <w:r>
              <w:rPr>
                <w:b/>
                <w:bCs/>
                <w:color w:val="FFFFFF"/>
                <w:spacing w:val="0"/>
                <w:w w:val="100"/>
                <w:position w:val="0"/>
              </w:rPr>
              <w:t>上年数</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年初已发行的普通股股数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130,572,240.00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81,703,050.00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加：资本公积转增股本及本年发行的普通股</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48,984,390.00</w:t>
            </w:r>
          </w:p>
        </w:tc>
      </w:tr>
      <w:tr>
        <w:trPr>
          <w:trHeight w:val="33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减：本年回购的普通股及已发行的限制性股票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-348,613.00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-751,900.00</w:t>
            </w:r>
          </w:p>
        </w:tc>
      </w:tr>
    </w:tbl>
    <w:p>
      <w:pPr>
        <w:widowControl w:val="0"/>
        <w:spacing w:line="1" w:lineRule="exact"/>
      </w:pPr>
      <w:r>
        <w:br w:type="page"/>
      </w:r>
    </w:p>
    <w:tbl>
      <w:tblPr>
        <w:tblOverlap w:val="never"/>
        <w:jc w:val="center"/>
        <w:tblLayout w:type="fixed"/>
      </w:tblPr>
      <w:tblGrid>
        <w:gridCol w:w="4546"/>
        <w:gridCol w:w="3365"/>
        <w:gridCol w:w="1790"/>
      </w:tblGrid>
      <w:tr>
        <w:trPr>
          <w:trHeight w:val="350"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760" w:right="0" w:firstLine="0"/>
              <w:jc w:val="left"/>
            </w:pPr>
            <w:r>
              <w:rPr>
                <w:b/>
                <w:bCs/>
                <w:color w:val="FFFFFF"/>
                <w:spacing w:val="0"/>
                <w:w w:val="100"/>
                <w:position w:val="0"/>
              </w:rPr>
              <w:t>本年数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上年数</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用于计算基本每股收益的分母</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130,223,627.00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129,935,540.00</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分子计算过程如下：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720" w:right="0" w:firstLine="0"/>
              <w:jc w:val="left"/>
            </w:pPr>
            <w:r>
              <w:rPr>
                <w:b/>
                <w:bCs/>
                <w:color w:val="FFFFFF"/>
                <w:spacing w:val="0"/>
                <w:w w:val="100"/>
                <w:position w:val="0"/>
              </w:rPr>
              <w:t>本年金额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上年金额</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归属于普通股股东的当年净亏损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-92,950,034.98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用于计算稀释每股收益的分子</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-92,950,034.98</w:t>
            </w:r>
          </w:p>
        </w:tc>
      </w:tr>
      <w:tr>
        <w:trPr>
          <w:trHeight w:val="475"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分母计算过程如下：</w:t>
            </w:r>
          </w:p>
        </w:tc>
      </w:tr>
      <w:tr>
        <w:trPr>
          <w:trHeight w:val="331"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上年数</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基本每股收益的分母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130,223,627.00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129,887,540.00</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用于计算稀释每股收益的分母</w:t>
            </w:r>
            <w:r>
              <w:rPr>
                <w:b/>
                <w:bCs/>
                <w:color w:val="FFFFFF"/>
                <w:spacing w:val="0"/>
                <w:w w:val="100"/>
                <w:position w:val="0"/>
                <w:sz w:val="19"/>
                <w:szCs w:val="19"/>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130,223,627.00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129,887,540.00</w:t>
            </w:r>
          </w:p>
        </w:tc>
      </w:tr>
    </w:tbl>
    <w:p>
      <w:pPr>
        <w:pStyle w:val="Style45"/>
        <w:keepNext w:val="0"/>
        <w:keepLines w:val="0"/>
        <w:widowControl w:val="0"/>
        <w:shd w:val="clear" w:color="auto" w:fill="auto"/>
        <w:bidi w:val="0"/>
        <w:spacing w:before="0" w:after="0" w:line="240" w:lineRule="auto"/>
        <w:ind w:left="475" w:right="0" w:firstLine="0"/>
        <w:jc w:val="left"/>
      </w:pPr>
      <w:r>
        <w:rPr>
          <w:color w:val="000000"/>
          <w:spacing w:val="0"/>
          <w:w w:val="100"/>
          <w:position w:val="0"/>
        </w:rPr>
        <w:t>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年度，本集团出现亏损，如果稀释性潜在普通股转换成普通股，将降低每股亏损的金额，具有反稀释性，在</w:t>
      </w:r>
    </w:p>
    <w:p>
      <w:pPr>
        <w:widowControl w:val="0"/>
        <w:spacing w:after="11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86" w:right="0" w:firstLine="0"/>
        <w:jc w:val="left"/>
      </w:pPr>
      <w:r>
        <w:rPr>
          <w:color w:val="000000"/>
          <w:spacing w:val="0"/>
          <w:w w:val="100"/>
          <w:position w:val="0"/>
        </w:rPr>
        <w:t>计算稀释性每股收益时不予考虑，用于计算稀释每股收益的分母等于计算基本每股收益的分母。</w:t>
      </w:r>
    </w:p>
    <w:tbl>
      <w:tblPr>
        <w:tblOverlap w:val="never"/>
        <w:jc w:val="center"/>
        <w:tblLayout w:type="fixed"/>
      </w:tblPr>
      <w:tblGrid>
        <w:gridCol w:w="3730"/>
        <w:gridCol w:w="3936"/>
        <w:gridCol w:w="1795"/>
      </w:tblGrid>
      <w:tr>
        <w:trPr>
          <w:trHeight w:val="403" w:hRule="exact"/>
        </w:trPr>
        <w:tc>
          <w:tcPr>
            <w:gridSpan w:val="3"/>
            <w:tcBorders/>
            <w:shd w:val="clear" w:color="auto" w:fill="A22B6F"/>
            <w:vAlign w:val="top"/>
          </w:tcPr>
          <w:p>
            <w:pPr>
              <w:widowControl w:val="0"/>
              <w:rPr>
                <w:sz w:val="10"/>
                <w:szCs w:val="10"/>
              </w:rPr>
            </w:pPr>
          </w:p>
        </w:tc>
      </w:tr>
      <w:tr>
        <w:trPr>
          <w:trHeight w:val="33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本年金额</w:t>
            </w:r>
          </w:p>
        </w:tc>
        <w:tc>
          <w:tcPr>
            <w:tcBorders/>
            <w:shd w:val="clear" w:color="auto" w:fill="A6A6A6"/>
            <w:vAlign w:val="top"/>
          </w:tcPr>
          <w:p>
            <w:pPr>
              <w:widowControl w:val="0"/>
              <w:rPr>
                <w:sz w:val="10"/>
                <w:szCs w:val="10"/>
              </w:rPr>
            </w:pP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基本每股收益</w:t>
            </w:r>
          </w:p>
        </w:tc>
        <w:tc>
          <w:tcPr>
            <w:tcBorders/>
            <w:shd w:val="clear" w:color="auto" w:fill="A6A6A6"/>
            <w:vAlign w:val="top"/>
          </w:tcPr>
          <w:p>
            <w:pPr>
              <w:widowControl w:val="0"/>
              <w:rPr>
                <w:sz w:val="10"/>
                <w:szCs w:val="10"/>
              </w:rPr>
            </w:pPr>
          </w:p>
        </w:tc>
        <w:tc>
          <w:tcPr>
            <w:tcBorders/>
            <w:shd w:val="clear" w:color="auto" w:fill="A22B6F"/>
            <w:vAlign w:val="top"/>
          </w:tcPr>
          <w:p>
            <w:pPr>
              <w:widowControl w:val="0"/>
              <w:rPr>
                <w:sz w:val="10"/>
                <w:szCs w:val="10"/>
              </w:rPr>
            </w:pP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稀释每股收益</w:t>
            </w:r>
          </w:p>
        </w:tc>
        <w:tc>
          <w:tcPr>
            <w:tcBorders>
              <w:top w:val="single" w:sz="4"/>
              <w:bottom w:val="single" w:sz="4"/>
            </w:tcBorders>
            <w:shd w:val="clear" w:color="auto" w:fill="A6A6A6"/>
            <w:vAlign w:val="top"/>
          </w:tcPr>
          <w:p>
            <w:pPr>
              <w:widowControl w:val="0"/>
              <w:rPr>
                <w:sz w:val="10"/>
                <w:szCs w:val="10"/>
              </w:rPr>
            </w:pPr>
          </w:p>
        </w:tc>
        <w:tc>
          <w:tcPr>
            <w:tcBorders>
              <w:top w:val="single" w:sz="4"/>
              <w:bottom w:val="single" w:sz="4"/>
            </w:tcBorders>
            <w:shd w:val="clear" w:color="auto" w:fill="A22B6F"/>
            <w:vAlign w:val="top"/>
          </w:tcPr>
          <w:p>
            <w:pPr>
              <w:widowControl w:val="0"/>
              <w:rPr>
                <w:sz w:val="10"/>
                <w:szCs w:val="10"/>
              </w:rPr>
            </w:pPr>
          </w:p>
        </w:tc>
      </w:tr>
    </w:tbl>
    <w:p>
      <w:pPr>
        <w:widowControl w:val="0"/>
        <w:spacing w:after="599" w:line="1" w:lineRule="exact"/>
      </w:pPr>
    </w:p>
    <w:p>
      <w:pPr>
        <w:pStyle w:val="Style39"/>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sz w:val="24"/>
          <w:szCs w:val="24"/>
        </w:rPr>
        <w:t>八</w:t>
      </w:r>
      <w:bookmarkEnd w:id="1207"/>
      <w:r>
        <w:rPr>
          <w:color w:val="000000"/>
          <w:spacing w:val="0"/>
          <w:w w:val="100"/>
          <w:position w:val="0"/>
          <w:sz w:val="24"/>
          <w:szCs w:val="24"/>
        </w:rPr>
        <w:t>、合并范围的变更</w:t>
      </w:r>
      <w:bookmarkEnd w:id="1205"/>
      <w:bookmarkEnd w:id="1206"/>
      <w:bookmarkEnd w:id="1208"/>
    </w:p>
    <w:p>
      <w:pPr>
        <w:pStyle w:val="Style49"/>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209"/>
      <w:bookmarkEnd w:id="1210"/>
      <w:bookmarkEnd w:id="121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95"/>
          <w:footerReference w:type="default" r:id="rId96"/>
          <w:headerReference w:type="even" r:id="rId97"/>
          <w:footerReference w:type="even" r:id="rId98"/>
          <w:footnotePr>
            <w:pos w:val="pageBottom"/>
            <w:numFmt w:val="decimal"/>
            <w:numRestart w:val="continuous"/>
          </w:footnotePr>
          <w:pgSz w:w="11966" w:h="17375"/>
          <w:pgMar w:top="1703" w:right="1166" w:bottom="1799" w:left="1004" w:header="0" w:footer="3" w:gutter="0"/>
          <w:cols w:space="720"/>
          <w:noEndnote/>
          <w:rtlGutter w:val="0"/>
          <w:docGrid w:linePitch="360"/>
        </w:sectPr>
      </w:pPr>
      <w:r>
        <mc:AlternateContent>
          <mc:Choice Requires="wps">
            <w:drawing>
              <wp:anchor distT="158750" distB="146685" distL="0" distR="0" simplePos="0" relativeHeight="125829702" behindDoc="0" locked="0" layoutInCell="1" allowOverlap="1">
                <wp:simplePos x="0" y="0"/>
                <wp:positionH relativeFrom="page">
                  <wp:posOffset>747395</wp:posOffset>
                </wp:positionH>
                <wp:positionV relativeFrom="paragraph">
                  <wp:posOffset>158750</wp:posOffset>
                </wp:positionV>
                <wp:extent cx="240665" cy="460375"/>
                <wp:wrapTopAndBottom/>
                <wp:docPr id="566" name="Shape 566"/>
                <a:graphic xmlns:a="http://schemas.openxmlformats.org/drawingml/2006/main">
                  <a:graphicData uri="http://schemas.microsoft.com/office/word/2010/wordprocessingShape">
                    <wps:wsp>
                      <wps:cNvSpPr txBox="1"/>
                      <wps:spPr>
                        <a:xfrm>
                          <a:ext cx="240665" cy="460375"/>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子公</w:t>
                              <w:br/>
                              <w:t>司名</w:t>
                              <w:br/>
                              <w:t>称</w:t>
                            </w:r>
                          </w:p>
                        </w:txbxContent>
                      </wps:txbx>
                      <wps:bodyPr lIns="0" tIns="0" rIns="0" bIns="0">
                        <a:noAutoFit/>
                      </wps:bodyPr>
                    </wps:wsp>
                  </a:graphicData>
                </a:graphic>
              </wp:anchor>
            </w:drawing>
          </mc:Choice>
          <mc:Fallback>
            <w:pict>
              <v:shape id="_x0000_s1592" type="#_x0000_t202" style="position:absolute;margin-left:58.850000000000001pt;margin-top:12.5pt;width:18.949999999999999pt;height:36.25pt;z-index:-125829051;mso-wrap-distance-left:0;mso-wrap-distance-top:12.5pt;mso-wrap-distance-right:0;mso-wrap-distance-bottom:11.550000000000001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子公</w:t>
                        <w:br/>
                        <w:t>司名</w:t>
                        <w:br/>
                        <w:t>称</w:t>
                      </w:r>
                    </w:p>
                  </w:txbxContent>
                </v:textbox>
                <w10:wrap type="topAndBottom" anchorx="page"/>
              </v:shape>
            </w:pict>
          </mc:Fallback>
        </mc:AlternateContent>
      </w:r>
      <w:r>
        <mc:AlternateContent>
          <mc:Choice Requires="wps">
            <w:drawing>
              <wp:anchor distT="171450" distB="152400" distL="0" distR="0" simplePos="0" relativeHeight="125829704" behindDoc="0" locked="0" layoutInCell="1" allowOverlap="1">
                <wp:simplePos x="0" y="0"/>
                <wp:positionH relativeFrom="page">
                  <wp:posOffset>1012825</wp:posOffset>
                </wp:positionH>
                <wp:positionV relativeFrom="paragraph">
                  <wp:posOffset>171450</wp:posOffset>
                </wp:positionV>
                <wp:extent cx="1597025" cy="441960"/>
                <wp:wrapTopAndBottom/>
                <wp:docPr id="568" name="Shape 568"/>
                <a:graphic xmlns:a="http://schemas.openxmlformats.org/drawingml/2006/main">
                  <a:graphicData uri="http://schemas.microsoft.com/office/word/2010/wordprocessingShape">
                    <wps:wsp>
                      <wps:cNvSpPr txBox="1"/>
                      <wps:spPr>
                        <a:xfrm>
                          <a:ext cx="1597025" cy="44196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07" w:val="left"/>
                              </w:tabs>
                              <w:bidi w:val="0"/>
                              <w:spacing w:before="0" w:after="0" w:line="230" w:lineRule="exact"/>
                              <w:ind w:left="0" w:right="0" w:firstLine="0"/>
                              <w:jc w:val="center"/>
                            </w:pPr>
                            <w:r>
                              <w:rPr>
                                <w:b/>
                                <w:bCs/>
                                <w:color w:val="FFFFFF"/>
                                <w:spacing w:val="0"/>
                                <w:w w:val="100"/>
                                <w:position w:val="0"/>
                              </w:rPr>
                              <w:t>股权处置股权处置股权丧失控制</w:t>
                              <w:br/>
                              <w:t>价款</w:t>
                              <w:tab/>
                              <w:t>比例处置权的时点</w:t>
                            </w:r>
                          </w:p>
                        </w:txbxContent>
                      </wps:txbx>
                      <wps:bodyPr lIns="0" tIns="0" rIns="0" bIns="0">
                        <a:noAutoFit/>
                      </wps:bodyPr>
                    </wps:wsp>
                  </a:graphicData>
                </a:graphic>
              </wp:anchor>
            </w:drawing>
          </mc:Choice>
          <mc:Fallback>
            <w:pict>
              <v:shape id="_x0000_s1594" type="#_x0000_t202" style="position:absolute;margin-left:79.75pt;margin-top:13.5pt;width:125.75pt;height:34.800000000000004pt;z-index:-125829049;mso-wrap-distance-left:0;mso-wrap-distance-top:13.5pt;mso-wrap-distance-right:0;mso-wrap-distance-bottom:12.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907" w:val="left"/>
                        </w:tabs>
                        <w:bidi w:val="0"/>
                        <w:spacing w:before="0" w:after="0" w:line="230" w:lineRule="exact"/>
                        <w:ind w:left="0" w:right="0" w:firstLine="0"/>
                        <w:jc w:val="center"/>
                      </w:pPr>
                      <w:r>
                        <w:rPr>
                          <w:b/>
                          <w:bCs/>
                          <w:color w:val="FFFFFF"/>
                          <w:spacing w:val="0"/>
                          <w:w w:val="100"/>
                          <w:position w:val="0"/>
                        </w:rPr>
                        <w:t>股权处置股权处置股权丧失控制</w:t>
                        <w:br/>
                        <w:t>价款</w:t>
                        <w:tab/>
                        <w:t>比例处置权的时点</w:t>
                      </w:r>
                    </w:p>
                  </w:txbxContent>
                </v:textbox>
                <w10:wrap type="topAndBottom" anchorx="page"/>
              </v:shape>
            </w:pict>
          </mc:Fallback>
        </mc:AlternateContent>
      </w:r>
      <w:r>
        <mc:AlternateContent>
          <mc:Choice Requires="wps">
            <w:drawing>
              <wp:anchor distT="12700" distB="0" distL="0" distR="0" simplePos="0" relativeHeight="125829706" behindDoc="0" locked="0" layoutInCell="1" allowOverlap="1">
                <wp:simplePos x="0" y="0"/>
                <wp:positionH relativeFrom="page">
                  <wp:posOffset>2628265</wp:posOffset>
                </wp:positionH>
                <wp:positionV relativeFrom="paragraph">
                  <wp:posOffset>12700</wp:posOffset>
                </wp:positionV>
                <wp:extent cx="1149350" cy="753110"/>
                <wp:wrapTopAndBottom/>
                <wp:docPr id="570" name="Shape 570"/>
                <a:graphic xmlns:a="http://schemas.openxmlformats.org/drawingml/2006/main">
                  <a:graphicData uri="http://schemas.microsoft.com/office/word/2010/wordprocessingShape">
                    <wps:wsp>
                      <wps:cNvSpPr txBox="1"/>
                      <wps:spPr>
                        <a:xfrm>
                          <a:ext cx="1149350" cy="7531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right"/>
                            </w:pPr>
                            <w:r>
                              <w:rPr>
                                <w:b/>
                                <w:bCs/>
                                <w:color w:val="FFFFFF"/>
                                <w:spacing w:val="0"/>
                                <w:w w:val="100"/>
                                <w:position w:val="0"/>
                              </w:rPr>
                              <w:t>处置价款与处置 丧失控制投资对应的合并 权时点的财务报表层面享 确定依据有该子公司净资 产份额的差额</w:t>
                            </w:r>
                          </w:p>
                        </w:txbxContent>
                      </wps:txbx>
                      <wps:bodyPr lIns="0" tIns="0" rIns="0" bIns="0">
                        <a:noAutoFit/>
                      </wps:bodyPr>
                    </wps:wsp>
                  </a:graphicData>
                </a:graphic>
              </wp:anchor>
            </w:drawing>
          </mc:Choice>
          <mc:Fallback>
            <w:pict>
              <v:shape id="_x0000_s1596" type="#_x0000_t202" style="position:absolute;margin-left:206.95000000000002pt;margin-top:1.pt;width:90.5pt;height:59.300000000000004pt;z-index:-125829047;mso-wrap-distance-left:0;mso-wrap-distance-top:1.pt;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right"/>
                      </w:pPr>
                      <w:r>
                        <w:rPr>
                          <w:b/>
                          <w:bCs/>
                          <w:color w:val="FFFFFF"/>
                          <w:spacing w:val="0"/>
                          <w:w w:val="100"/>
                          <w:position w:val="0"/>
                        </w:rPr>
                        <w:t>处置价款与处置 丧失控制投资对应的合并 权时点的财务报表层面享 确定依据有该子公司净资 产份额的差额</w:t>
                      </w:r>
                    </w:p>
                  </w:txbxContent>
                </v:textbox>
                <w10:wrap type="topAndBottom" anchorx="page"/>
              </v:shape>
            </w:pict>
          </mc:Fallback>
        </mc:AlternateContent>
      </w:r>
      <w:r>
        <mc:AlternateContent>
          <mc:Choice Requires="wps">
            <w:drawing>
              <wp:anchor distT="82550" distB="73660" distL="0" distR="0" simplePos="0" relativeHeight="125829708" behindDoc="0" locked="0" layoutInCell="1" allowOverlap="1">
                <wp:simplePos x="0" y="0"/>
                <wp:positionH relativeFrom="page">
                  <wp:posOffset>3752850</wp:posOffset>
                </wp:positionH>
                <wp:positionV relativeFrom="paragraph">
                  <wp:posOffset>82550</wp:posOffset>
                </wp:positionV>
                <wp:extent cx="1273810" cy="609600"/>
                <wp:wrapTopAndBottom/>
                <wp:docPr id="572" name="Shape 572"/>
                <a:graphic xmlns:a="http://schemas.openxmlformats.org/drawingml/2006/main">
                  <a:graphicData uri="http://schemas.microsoft.com/office/word/2010/wordprocessingShape">
                    <wps:wsp>
                      <wps:cNvSpPr txBox="1"/>
                      <wps:spPr>
                        <a:xfrm>
                          <a:ext cx="1273810" cy="60960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丧失控制丧失控制丧失控制 权之日剩权之日剩权之日剩 余股权的余股权的余股权的 比例账®价值公允价值</w:t>
                            </w:r>
                          </w:p>
                        </w:txbxContent>
                      </wps:txbx>
                      <wps:bodyPr lIns="0" tIns="0" rIns="0" bIns="0">
                        <a:noAutoFit/>
                      </wps:bodyPr>
                    </wps:wsp>
                  </a:graphicData>
                </a:graphic>
              </wp:anchor>
            </w:drawing>
          </mc:Choice>
          <mc:Fallback>
            <w:pict>
              <v:shape id="_x0000_s1598" type="#_x0000_t202" style="position:absolute;margin-left:295.5pt;margin-top:6.5pt;width:100.3pt;height:48.pt;z-index:-125829045;mso-wrap-distance-left:0;mso-wrap-distance-top:6.5pt;mso-wrap-distance-right:0;mso-wrap-distance-bottom:5.7999999999999998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丧失控制丧失控制丧失控制 权之日剩权之日剩权之日剩 余股权的余股权的余股权的 比例账®价值公允价值</w:t>
                      </w:r>
                    </w:p>
                  </w:txbxContent>
                </v:textbox>
                <w10:wrap type="topAndBottom" anchorx="page"/>
              </v:shape>
            </w:pict>
          </mc:Fallback>
        </mc:AlternateContent>
      </w:r>
      <w:r>
        <mc:AlternateContent>
          <mc:Choice Requires="wps">
            <w:drawing>
              <wp:anchor distT="12700" distB="0" distL="0" distR="0" simplePos="0" relativeHeight="125829710" behindDoc="0" locked="0" layoutInCell="1" allowOverlap="1">
                <wp:simplePos x="0" y="0"/>
                <wp:positionH relativeFrom="page">
                  <wp:posOffset>5036185</wp:posOffset>
                </wp:positionH>
                <wp:positionV relativeFrom="paragraph">
                  <wp:posOffset>12700</wp:posOffset>
                </wp:positionV>
                <wp:extent cx="1798320" cy="753110"/>
                <wp:wrapTopAndBottom/>
                <wp:docPr id="574" name="Shape 574"/>
                <a:graphic xmlns:a="http://schemas.openxmlformats.org/drawingml/2006/main">
                  <a:graphicData uri="http://schemas.microsoft.com/office/word/2010/wordprocessingShape">
                    <wps:wsp>
                      <wps:cNvSpPr txBox="1"/>
                      <wps:spPr>
                        <a:xfrm>
                          <a:ext cx="1798320" cy="75311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224" w:val="left"/>
                                <w:tab w:pos="2083" w:val="left"/>
                              </w:tabs>
                              <w:bidi w:val="0"/>
                              <w:spacing w:before="0" w:after="0" w:line="234" w:lineRule="exact"/>
                              <w:ind w:left="0" w:right="0" w:firstLine="0"/>
                              <w:jc w:val="both"/>
                            </w:pPr>
                            <w:r>
                              <w:rPr>
                                <w:b/>
                                <w:bCs/>
                                <w:color w:val="FFFFFF"/>
                                <w:spacing w:val="0"/>
                                <w:w w:val="100"/>
                                <w:position w:val="0"/>
                              </w:rPr>
                              <w:t>按照公允价丧失控制权之与原子公司股 值重新计量日剩余股权公权投资相关的 剩余股权产允价值的确定其他综合收益 生的利得或方法及主要假转入投资损益 损失</w:t>
                              <w:tab/>
                              <w:t>设</w:t>
                              <w:tab/>
                              <w:t>的金额</w:t>
                            </w:r>
                          </w:p>
                        </w:txbxContent>
                      </wps:txbx>
                      <wps:bodyPr lIns="0" tIns="0" rIns="0" bIns="0">
                        <a:noAutoFit/>
                      </wps:bodyPr>
                    </wps:wsp>
                  </a:graphicData>
                </a:graphic>
              </wp:anchor>
            </w:drawing>
          </mc:Choice>
          <mc:Fallback>
            <w:pict>
              <v:shape id="_x0000_s1600" type="#_x0000_t202" style="position:absolute;margin-left:396.55000000000001pt;margin-top:1.pt;width:141.59999999999999pt;height:59.300000000000004pt;z-index:-125829043;mso-wrap-distance-left:0;mso-wrap-distance-top:1.pt;mso-wrap-distance-right:0;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224" w:val="left"/>
                          <w:tab w:pos="2083" w:val="left"/>
                        </w:tabs>
                        <w:bidi w:val="0"/>
                        <w:spacing w:before="0" w:after="0" w:line="234" w:lineRule="exact"/>
                        <w:ind w:left="0" w:right="0" w:firstLine="0"/>
                        <w:jc w:val="both"/>
                      </w:pPr>
                      <w:r>
                        <w:rPr>
                          <w:b/>
                          <w:bCs/>
                          <w:color w:val="FFFFFF"/>
                          <w:spacing w:val="0"/>
                          <w:w w:val="100"/>
                          <w:position w:val="0"/>
                        </w:rPr>
                        <w:t>按照公允价丧失控制权之与原子公司股 值重新计量日剩余股权公权投资相关的 剩余股权产允价值的确定其他综合收益 生的利得或方法及主要假转入投资损益 损失</w:t>
                        <w:tab/>
                        <w:t>设</w:t>
                        <w:tab/>
                        <w:t>的金额</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1480" w:right="0" w:firstLine="0"/>
        <w:jc w:val="left"/>
        <w:rPr>
          <w:sz w:val="15"/>
          <w:szCs w:val="15"/>
        </w:rPr>
      </w:pPr>
      <w:r>
        <mc:AlternateContent>
          <mc:Choice Requires="wps">
            <w:drawing>
              <wp:anchor distT="0" distB="0" distL="50800" distR="50800" simplePos="0" relativeHeight="125829712" behindDoc="0" locked="0" layoutInCell="1" allowOverlap="1">
                <wp:simplePos x="0" y="0"/>
                <wp:positionH relativeFrom="page">
                  <wp:posOffset>728980</wp:posOffset>
                </wp:positionH>
                <wp:positionV relativeFrom="paragraph">
                  <wp:posOffset>12700</wp:posOffset>
                </wp:positionV>
                <wp:extent cx="225425" cy="311150"/>
                <wp:wrapSquare wrapText="right"/>
                <wp:docPr id="576" name="Shape 576"/>
                <a:graphic xmlns:a="http://schemas.openxmlformats.org/drawingml/2006/main">
                  <a:graphicData uri="http://schemas.microsoft.com/office/word/2010/wordprocessingShape">
                    <wps:wsp>
                      <wps:cNvSpPr txBox="1"/>
                      <wps:spPr>
                        <a:xfrm>
                          <a:ext cx="225425" cy="311150"/>
                        </a:xfrm>
                        <a:prstGeom prst="rect"/>
                        <a:noFill/>
                      </wps:spPr>
                      <wps:txbx>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山东 百邦</w:t>
                            </w:r>
                          </w:p>
                        </w:txbxContent>
                      </wps:txbx>
                      <wps:bodyPr lIns="0" tIns="0" rIns="0" bIns="0">
                        <a:noAutoFit/>
                      </wps:bodyPr>
                    </wps:wsp>
                  </a:graphicData>
                </a:graphic>
              </wp:anchor>
            </w:drawing>
          </mc:Choice>
          <mc:Fallback>
            <w:pict>
              <v:shape id="_x0000_s1602" type="#_x0000_t202" style="position:absolute;margin-left:57.399999999999999pt;margin-top:1.pt;width:17.75pt;height:24.5pt;z-index:-125829041;mso-wrap-distance-left:4.pt;mso-wrap-distance-right:4.pt;mso-position-horizontal-relative:page" filled="f" stroked="f">
                <v:textbox inset="0,0,0,0">
                  <w:txbxContent>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both"/>
                      </w:pPr>
                      <w:r>
                        <w:rPr>
                          <w:b/>
                          <w:bCs/>
                          <w:color w:val="FFFFFF"/>
                          <w:spacing w:val="0"/>
                          <w:w w:val="100"/>
                          <w:position w:val="0"/>
                        </w:rPr>
                        <w:t>山东 百邦</w:t>
                      </w:r>
                    </w:p>
                  </w:txbxContent>
                </v:textbox>
                <w10:wrap type="square" side="right" anchorx="page"/>
              </v:shape>
            </w:pict>
          </mc:Fallback>
        </mc:AlternateContent>
      </w:r>
      <w:r>
        <w:rPr>
          <w:rFonts w:ascii="SimSun" w:eastAsia="SimSun" w:hAnsi="SimSun" w:cs="SimSun"/>
          <w:color w:val="000000"/>
          <w:spacing w:val="0"/>
          <w:w w:val="100"/>
          <w:position w:val="0"/>
          <w:sz w:val="15"/>
          <w:szCs w:val="15"/>
        </w:rPr>
        <w:t>现金</w:t>
      </w:r>
      <w:r>
        <w:rPr>
          <w:color w:val="000000"/>
          <w:spacing w:val="0"/>
          <w:w w:val="100"/>
          <w:position w:val="0"/>
          <w:sz w:val="18"/>
          <w:szCs w:val="18"/>
        </w:rPr>
        <w:t>2020</w:t>
      </w:r>
      <w:r>
        <w:rPr>
          <w:rFonts w:ascii="SimSun" w:eastAsia="SimSun" w:hAnsi="SimSun" w:cs="SimSun"/>
          <w:color w:val="000000"/>
          <w:spacing w:val="0"/>
          <w:w w:val="100"/>
          <w:position w:val="0"/>
          <w:sz w:val="15"/>
          <w:szCs w:val="15"/>
        </w:rPr>
        <w:t>年</w:t>
      </w:r>
      <w:r>
        <w:rPr>
          <w:color w:val="000000"/>
          <w:spacing w:val="0"/>
          <w:w w:val="100"/>
          <w:position w:val="0"/>
          <w:sz w:val="18"/>
          <w:szCs w:val="18"/>
        </w:rPr>
        <w:t xml:space="preserve">08 </w:t>
      </w:r>
      <w:r>
        <w:rPr>
          <w:rFonts w:ascii="SimSun" w:eastAsia="SimSun" w:hAnsi="SimSun" w:cs="SimSun"/>
          <w:color w:val="000000"/>
          <w:spacing w:val="0"/>
          <w:w w:val="100"/>
          <w:position w:val="0"/>
          <w:sz w:val="15"/>
          <w:szCs w:val="15"/>
        </w:rPr>
        <w:t>注</w:t>
      </w:r>
    </w:p>
    <w:p>
      <w:pPr>
        <w:pStyle w:val="Style34"/>
        <w:keepNext w:val="0"/>
        <w:keepLines w:val="0"/>
        <w:widowControl w:val="0"/>
        <w:pBdr>
          <w:bottom w:val="single" w:sz="4" w:space="0" w:color="auto"/>
        </w:pBdr>
        <w:shd w:val="clear" w:color="auto" w:fill="auto"/>
        <w:tabs>
          <w:tab w:pos="805" w:val="left"/>
        </w:tabs>
        <w:bidi w:val="0"/>
        <w:spacing w:before="0" w:after="0" w:line="180" w:lineRule="auto"/>
        <w:ind w:left="0" w:right="0" w:firstLine="0"/>
        <w:jc w:val="left"/>
        <w:rPr>
          <w:sz w:val="15"/>
          <w:szCs w:val="15"/>
        </w:rPr>
      </w:pPr>
      <w:r>
        <w:rPr>
          <w:color w:val="000000"/>
          <w:spacing w:val="0"/>
          <w:w w:val="100"/>
          <w:position w:val="0"/>
          <w:sz w:val="18"/>
          <w:szCs w:val="18"/>
        </w:rPr>
        <w:t>20,000.00</w:t>
        <w:tab/>
      </w:r>
      <w:r>
        <w:rPr>
          <w:color w:val="000000"/>
          <w:spacing w:val="0"/>
          <w:w w:val="100"/>
          <w:position w:val="0"/>
          <w:sz w:val="18"/>
          <w:szCs w:val="18"/>
        </w:rPr>
        <w:t xml:space="preserve">100.00% </w:t>
      </w:r>
      <w:r>
        <w:rPr>
          <w:rFonts w:ascii="SimSun" w:eastAsia="SimSun" w:hAnsi="SimSun" w:cs="SimSun"/>
          <w:color w:val="000000"/>
          <w:spacing w:val="0"/>
          <w:w w:val="100"/>
          <w:position w:val="0"/>
          <w:sz w:val="15"/>
          <w:szCs w:val="15"/>
        </w:rPr>
        <w:t xml:space="preserve">出售 月 </w:t>
      </w:r>
      <w:r>
        <w:rPr>
          <w:color w:val="000000"/>
          <w:spacing w:val="0"/>
          <w:w w:val="100"/>
          <w:position w:val="0"/>
          <w:sz w:val="18"/>
          <w:szCs w:val="18"/>
        </w:rPr>
        <w:t xml:space="preserve">30 </w:t>
      </w:r>
      <w:r>
        <w:rPr>
          <w:rFonts w:ascii="SimSun" w:eastAsia="SimSun" w:hAnsi="SimSun" w:cs="SimSun"/>
          <w:color w:val="000000"/>
          <w:spacing w:val="0"/>
          <w:w w:val="100"/>
          <w:position w:val="0"/>
          <w:sz w:val="15"/>
          <w:szCs w:val="15"/>
        </w:rPr>
        <w:t xml:space="preserve">日 注 </w:t>
      </w:r>
      <w:r>
        <w:rPr>
          <w:rStyle w:val="CharStyle32"/>
        </w:rPr>
        <w:t>其他说明：</w:t>
      </w:r>
    </w:p>
    <w:p>
      <w:pPr>
        <w:pStyle w:val="Style31"/>
        <w:keepNext w:val="0"/>
        <w:keepLines w:val="0"/>
        <w:widowControl w:val="0"/>
        <w:shd w:val="clear" w:color="auto" w:fill="auto"/>
        <w:bidi w:val="0"/>
        <w:spacing w:before="0" w:after="80" w:line="350" w:lineRule="exact"/>
        <w:ind w:left="0" w:right="0" w:firstLine="480"/>
        <w:jc w:val="left"/>
      </w:pPr>
      <w:r>
        <w:rPr>
          <w:color w:val="000000"/>
          <w:spacing w:val="0"/>
          <w:w w:val="100"/>
          <w:position w:val="0"/>
        </w:rPr>
        <w:t>注：丧失控制权时点为本公司失去了决定被投资单位的财务和经营政策的能力，不再能够从其经营活动中获取利益的时 点。</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9"/>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212"/>
      <w:bookmarkEnd w:id="1213"/>
      <w:bookmarkEnd w:id="1214"/>
    </w:p>
    <w:p>
      <w:pPr>
        <w:pStyle w:val="Style31"/>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说明其他原因导致的合并范围变动（如，新设子公司、清算子公司等）及其相关情况:</w:t>
      </w:r>
      <w:r>
        <w:br w:type="page"/>
      </w:r>
    </w:p>
    <w:p>
      <w:pPr>
        <w:pStyle w:val="Style31"/>
        <w:keepNext w:val="0"/>
        <w:keepLines w:val="0"/>
        <w:widowControl w:val="0"/>
        <w:shd w:val="clear" w:color="auto" w:fill="auto"/>
        <w:bidi w:val="0"/>
        <w:spacing w:before="0" w:after="46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本年新设子公司的情况:</w:t>
      </w:r>
    </w:p>
    <w:tbl>
      <w:tblPr>
        <w:tblOverlap w:val="never"/>
        <w:jc w:val="center"/>
        <w:tblLayout w:type="fixed"/>
      </w:tblPr>
      <w:tblGrid>
        <w:gridCol w:w="7253"/>
        <w:gridCol w:w="2405"/>
      </w:tblGrid>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440" w:right="0" w:firstLine="0"/>
              <w:jc w:val="left"/>
            </w:pPr>
            <w:r>
              <w:rPr>
                <w:b/>
                <w:bCs/>
                <w:color w:val="FFFFFF"/>
                <w:spacing w:val="0"/>
                <w:w w:val="100"/>
                <w:position w:val="0"/>
              </w:rPr>
              <w:t>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成立时间</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深圳市百邦世纪电子科技有限公司</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以下简称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深圳百邦</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9"/>
                <w:szCs w:val="19"/>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上海百悦乐语科贸有限公司</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以下简称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百悦乐语</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百邦日新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北京</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科技有限公司</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以下简称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百邦日新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河北雄安悦睿电子科技有限公司</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以下简称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雄安悦睿</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河北雄安悦星电子科技有限公司</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以下简称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雄安悦星</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百隆嘉讯</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上海</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信息科技有限公司</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以下简称</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百隆嘉讯</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9"/>
                <w:szCs w:val="19"/>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59" w:line="1" w:lineRule="exact"/>
      </w:pPr>
    </w:p>
    <w:p>
      <w:pPr>
        <w:pStyle w:val="Style31"/>
        <w:keepNext w:val="0"/>
        <w:keepLines w:val="0"/>
        <w:widowControl w:val="0"/>
        <w:shd w:val="clear" w:color="auto" w:fill="auto"/>
        <w:bidi w:val="0"/>
        <w:spacing w:before="0" w:after="46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本年注销子公司的情况:</w:t>
      </w:r>
    </w:p>
    <w:tbl>
      <w:tblPr>
        <w:tblOverlap w:val="never"/>
        <w:jc w:val="center"/>
        <w:tblLayout w:type="fixed"/>
      </w:tblPr>
      <w:tblGrid>
        <w:gridCol w:w="7118"/>
        <w:gridCol w:w="2539"/>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注销时间</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山西凯特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骏驰融资</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sz w:val="24"/>
          <w:szCs w:val="24"/>
        </w:rPr>
        <w:t>九</w:t>
      </w:r>
      <w:bookmarkEnd w:id="1217"/>
      <w:r>
        <w:rPr>
          <w:color w:val="000000"/>
          <w:spacing w:val="0"/>
          <w:w w:val="100"/>
          <w:position w:val="0"/>
          <w:sz w:val="24"/>
          <w:szCs w:val="24"/>
        </w:rPr>
        <w:t>、在其他主体中的权益</w:t>
      </w:r>
      <w:bookmarkEnd w:id="1215"/>
      <w:bookmarkEnd w:id="1216"/>
      <w:bookmarkEnd w:id="1218"/>
    </w:p>
    <w:p>
      <w:pPr>
        <w:pStyle w:val="Style49"/>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19"/>
      <w:bookmarkEnd w:id="1220"/>
      <w:bookmarkEnd w:id="1221"/>
    </w:p>
    <w:p>
      <w:pPr>
        <w:pStyle w:val="Style69"/>
        <w:keepNext/>
        <w:keepLines/>
        <w:widowControl w:val="0"/>
        <w:shd w:val="clear" w:color="auto" w:fill="auto"/>
        <w:bidi w:val="0"/>
        <w:spacing w:before="0" w:after="300" w:line="240" w:lineRule="auto"/>
        <w:ind w:left="0" w:right="0" w:firstLine="24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22"/>
      <w:bookmarkEnd w:id="1223"/>
      <w:bookmarkEnd w:id="1224"/>
    </w:p>
    <w:tbl>
      <w:tblPr>
        <w:tblOverlap w:val="never"/>
        <w:jc w:val="center"/>
        <w:tblLayout w:type="fixed"/>
      </w:tblPr>
      <w:tblGrid>
        <w:gridCol w:w="1378"/>
        <w:gridCol w:w="1334"/>
        <w:gridCol w:w="1450"/>
        <w:gridCol w:w="1416"/>
        <w:gridCol w:w="1656"/>
        <w:gridCol w:w="926"/>
        <w:gridCol w:w="1512"/>
      </w:tblGrid>
      <w:tr>
        <w:trPr>
          <w:trHeight w:val="355"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子公司名称</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主要经营地</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注册地</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both"/>
            </w:pPr>
            <w:r>
              <w:rPr>
                <w:b/>
                <w:bCs/>
                <w:color w:val="FFFFFF"/>
                <w:spacing w:val="0"/>
                <w:w w:val="100"/>
                <w:position w:val="0"/>
              </w:rPr>
              <w:t>业务性质</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持股比例</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pPr>
            <w:r>
              <w:rPr>
                <w:b/>
                <w:bCs/>
                <w:color w:val="FFFFFF"/>
                <w:spacing w:val="0"/>
                <w:w w:val="100"/>
                <w:position w:val="0"/>
              </w:rPr>
              <w:t>取得方式</w:t>
            </w:r>
          </w:p>
        </w:tc>
      </w:tr>
      <w:tr>
        <w:trPr>
          <w:trHeight w:val="322" w:hRule="exact"/>
        </w:trPr>
        <w:tc>
          <w:tcPr>
            <w:vMerge/>
            <w:tcBorders/>
            <w:shd w:val="clear" w:color="auto" w:fill="A6A6A6"/>
            <w:vAlign w:val="center"/>
          </w:tcPr>
          <w:p>
            <w:pPr/>
          </w:p>
        </w:tc>
        <w:tc>
          <w:tcPr>
            <w:vMerge/>
            <w:tcBorders/>
            <w:shd w:val="clear" w:color="auto" w:fill="A6A6A6"/>
            <w:vAlign w:val="center"/>
          </w:tcPr>
          <w:p>
            <w:pPr/>
          </w:p>
        </w:tc>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pPr>
            <w:r>
              <w:rPr>
                <w:b/>
                <w:bCs/>
                <w:color w:val="FFFFFF"/>
                <w:spacing w:val="0"/>
                <w:w w:val="100"/>
                <w:position w:val="0"/>
              </w:rPr>
              <w:t>直接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间接</w:t>
            </w:r>
          </w:p>
        </w:tc>
        <w:tc>
          <w:tcPr>
            <w:vMerge/>
            <w:tcBorders/>
            <w:shd w:val="clear" w:color="auto" w:fill="A6A6A6"/>
            <w:vAlign w:val="center"/>
          </w:tcPr>
          <w:p>
            <w:pP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8" w:lineRule="exact"/>
              <w:ind w:left="0" w:right="0" w:firstLine="0"/>
              <w:jc w:val="left"/>
            </w:pPr>
            <w:r>
              <w:rPr>
                <w:b/>
                <w:bCs/>
                <w:color w:val="FFFFFF"/>
                <w:spacing w:val="0"/>
                <w:w w:val="100"/>
                <w:position w:val="0"/>
              </w:rPr>
              <w:t>石家庄市百华 悦邦电子科技 有限公司</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石家庄</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石家庄</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百邦日新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雄安悦睿</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保定</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保定</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雄安悦星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保定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78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上海</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上海</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通过非同一控 制下的企业合 并取得</w:t>
            </w: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exact"/>
              <w:ind w:left="0" w:right="0" w:firstLine="0"/>
              <w:jc w:val="left"/>
            </w:pPr>
            <w:r>
              <w:rPr>
                <w:b/>
                <w:bCs/>
                <w:color w:val="FFFFFF"/>
                <w:spacing w:val="0"/>
                <w:w w:val="100"/>
                <w:position w:val="0"/>
              </w:rPr>
              <w:t>上海闪电蜂电 子商务有限公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上海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电子商务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9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Bybon Investment Company Limited</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中国大陆</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英属维京群岛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控股投资</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临沂百联商贸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临沂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临沂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52" w:lineRule="exact"/>
              <w:ind w:left="0" w:right="0" w:firstLine="0"/>
              <w:jc w:val="left"/>
            </w:pPr>
            <w:r>
              <w:rPr>
                <w:b/>
                <w:bCs/>
                <w:color w:val="FFFFFF"/>
                <w:spacing w:val="0"/>
                <w:w w:val="100"/>
                <w:position w:val="0"/>
              </w:rPr>
              <w:t>北京华延睿信 技术服务有限 公司</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北京</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北京</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北京百华悦邦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北京</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北京</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维修、销售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bl>
    <w:p>
      <w:pPr>
        <w:widowControl w:val="0"/>
        <w:spacing w:line="1" w:lineRule="exact"/>
      </w:pPr>
      <w:r>
        <w:br w:type="page"/>
      </w:r>
    </w:p>
    <w:tbl>
      <w:tblPr>
        <w:tblOverlap w:val="never"/>
        <w:jc w:val="center"/>
        <w:tblLayout w:type="fixed"/>
      </w:tblPr>
      <w:tblGrid>
        <w:gridCol w:w="1354"/>
        <w:gridCol w:w="1469"/>
        <w:gridCol w:w="1195"/>
        <w:gridCol w:w="1536"/>
        <w:gridCol w:w="2573"/>
        <w:gridCol w:w="1493"/>
      </w:tblGrid>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子公司名称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主要经营地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注册地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业务性质</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持股比例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pPr>
            <w:r>
              <w:rPr>
                <w:b/>
                <w:bCs/>
                <w:color w:val="FFFFFF"/>
                <w:spacing w:val="0"/>
                <w:w w:val="100"/>
                <w:position w:val="0"/>
              </w:rPr>
              <w:t>取得方式</w:t>
            </w:r>
          </w:p>
        </w:tc>
      </w:tr>
      <w:tr>
        <w:trPr>
          <w:trHeight w:val="51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信息服务有限</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公司</w:t>
            </w:r>
          </w:p>
        </w:tc>
        <w:tc>
          <w:tcPr>
            <w:gridSpan w:val="5"/>
            <w:tcBorders/>
            <w:shd w:val="clear" w:color="auto" w:fill="FFFFFF"/>
            <w:vAlign w:val="top"/>
          </w:tcPr>
          <w:p>
            <w:pPr>
              <w:widowControl w:val="0"/>
              <w:rPr>
                <w:sz w:val="10"/>
                <w:szCs w:val="10"/>
              </w:rPr>
            </w:pPr>
          </w:p>
        </w:tc>
      </w:tr>
      <w:tr>
        <w:trPr>
          <w:trHeight w:val="283"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威尔沃斯</w:t>
            </w:r>
            <w:r>
              <w:rPr>
                <w:b/>
                <w:bCs/>
                <w:color w:val="FFFFFF"/>
                <w:spacing w:val="0"/>
                <w:w w:val="100"/>
                <w:position w:val="0"/>
                <w:sz w:val="19"/>
                <w:szCs w:val="19"/>
              </w:rPr>
              <w:t>（</w:t>
            </w:r>
            <w:r>
              <w:rPr>
                <w:b/>
                <w:bCs/>
                <w:color w:val="FFFFFF"/>
                <w:spacing w:val="0"/>
                <w:w w:val="100"/>
                <w:position w:val="0"/>
              </w:rPr>
              <w:t>香</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通过非同一控</w:t>
            </w:r>
          </w:p>
        </w:tc>
      </w:tr>
      <w:tr>
        <w:trPr>
          <w:trHeight w:val="230"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港</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国际贸易有</w:t>
            </w: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中国大陆</w:t>
            </w: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贸易、投资</w:t>
            </w:r>
          </w:p>
        </w:tc>
        <w:tc>
          <w:tcPr>
            <w:tcBorders/>
            <w:shd w:val="clear" w:color="auto" w:fill="F9ECF3"/>
            <w:vAlign w:val="top"/>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制下的企业合</w:t>
            </w:r>
          </w:p>
        </w:tc>
      </w:tr>
      <w:tr>
        <w:trPr>
          <w:trHeight w:val="27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限公司</w:t>
            </w: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并取得</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孝昌百邦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孝感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维修、销售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r>
        <w:trPr>
          <w:trHeight w:val="9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Bybon</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Hongkong Company Limited</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中国大陆</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控股投资</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出资设立</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69"/>
        <w:keepNext/>
        <w:keepLines/>
        <w:widowControl w:val="0"/>
        <w:shd w:val="clear" w:color="auto" w:fill="auto"/>
        <w:bidi w:val="0"/>
        <w:spacing w:before="0" w:line="240" w:lineRule="auto"/>
        <w:ind w:left="0" w:right="0" w:firstLine="22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225"/>
      <w:bookmarkEnd w:id="1226"/>
      <w:bookmarkEnd w:id="1227"/>
    </w:p>
    <w:tbl>
      <w:tblPr>
        <w:tblOverlap w:val="never"/>
        <w:jc w:val="center"/>
        <w:tblLayout w:type="fixed"/>
      </w:tblPr>
      <w:tblGrid>
        <w:gridCol w:w="1776"/>
        <w:gridCol w:w="2078"/>
        <w:gridCol w:w="1891"/>
        <w:gridCol w:w="1915"/>
        <w:gridCol w:w="2107"/>
      </w:tblGrid>
      <w:tr>
        <w:trPr>
          <w:trHeight w:val="322" w:hRule="exact"/>
        </w:trPr>
        <w:tc>
          <w:tcPr>
            <w:gridSpan w:val="5"/>
            <w:tcBorders/>
            <w:shd w:val="clear" w:color="auto" w:fill="A22B6F"/>
            <w:vAlign w:val="top"/>
          </w:tcPr>
          <w:p>
            <w:pPr>
              <w:widowControl w:val="0"/>
              <w:rPr>
                <w:sz w:val="10"/>
                <w:szCs w:val="10"/>
              </w:rPr>
            </w:pPr>
          </w:p>
        </w:tc>
      </w:tr>
      <w:tr>
        <w:trPr>
          <w:trHeight w:val="782"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20" w:after="0" w:line="240" w:lineRule="auto"/>
              <w:ind w:left="0" w:right="0" w:firstLine="500"/>
              <w:jc w:val="left"/>
            </w:pPr>
            <w:r>
              <w:rPr>
                <w:b/>
                <w:bCs/>
                <w:color w:val="FFFFFF"/>
                <w:spacing w:val="0"/>
                <w:w w:val="100"/>
                <w:position w:val="0"/>
              </w:rPr>
              <w:t>子公司名称</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20" w:after="0" w:line="240" w:lineRule="auto"/>
              <w:ind w:left="0" w:right="0" w:firstLine="360"/>
              <w:jc w:val="left"/>
            </w:pPr>
            <w:r>
              <w:rPr>
                <w:b/>
                <w:bCs/>
                <w:color w:val="FFFFFF"/>
                <w:spacing w:val="0"/>
                <w:w w:val="100"/>
                <w:position w:val="0"/>
              </w:rPr>
              <w:t>少数股东持股比例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pPr>
            <w:r>
              <w:rPr>
                <w:b/>
                <w:bCs/>
                <w:color w:val="FFFFFF"/>
                <w:spacing w:val="0"/>
                <w:w w:val="100"/>
                <w:position w:val="0"/>
              </w:rPr>
              <w:t>本期归属于少数股东 的损益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pPr>
            <w:r>
              <w:rPr>
                <w:b/>
                <w:bCs/>
                <w:color w:val="FFFFFF"/>
                <w:spacing w:val="0"/>
                <w:w w:val="100"/>
                <w:position w:val="0"/>
              </w:rPr>
              <w:t>本期向少数股东宣告 分派的股利</w:t>
            </w:r>
          </w:p>
        </w:tc>
        <w:tc>
          <w:tcPr>
            <w:tcBorders/>
            <w:shd w:val="clear" w:color="auto" w:fill="A6A6A6"/>
            <w:vAlign w:val="top"/>
          </w:tcPr>
          <w:p>
            <w:pPr>
              <w:widowControl w:val="0"/>
              <w:rPr>
                <w:sz w:val="10"/>
                <w:szCs w:val="10"/>
              </w:rPr>
            </w:pP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深圳百邦</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shd w:val="clear" w:color="auto" w:fill="A6A6A6"/>
            <w:vAlign w:val="top"/>
          </w:tcPr>
          <w:p>
            <w:pPr>
              <w:widowControl w:val="0"/>
              <w:rPr>
                <w:sz w:val="10"/>
                <w:szCs w:val="10"/>
              </w:rPr>
            </w:pPr>
          </w:p>
        </w:tc>
        <w:tc>
          <w:tcPr>
            <w:tcBorders/>
            <w:shd w:val="clear" w:color="auto" w:fill="A22B6F"/>
            <w:vAlign w:val="top"/>
          </w:tcPr>
          <w:p>
            <w:pPr>
              <w:widowControl w:val="0"/>
              <w:rPr>
                <w:sz w:val="10"/>
                <w:szCs w:val="10"/>
              </w:rPr>
            </w:pPr>
          </w:p>
        </w:tc>
        <w:tc>
          <w:tcPr>
            <w:tcBorders/>
            <w:shd w:val="clear" w:color="auto" w:fill="A22B6F"/>
            <w:vAlign w:val="top"/>
          </w:tcPr>
          <w:p>
            <w:pPr>
              <w:widowControl w:val="0"/>
              <w:rPr>
                <w:sz w:val="10"/>
                <w:szCs w:val="10"/>
              </w:rPr>
            </w:pPr>
          </w:p>
        </w:tc>
        <w:tc>
          <w:tcPr>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百悦乐语</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22B6F"/>
            <w:vAlign w:val="center"/>
          </w:tcPr>
          <w:p>
            <w:pPr>
              <w:pStyle w:val="Style2"/>
              <w:keepNext w:val="0"/>
              <w:keepLines w:val="0"/>
              <w:widowControl w:val="0"/>
              <w:pBdr>
                <w:top w:val="single" w:sz="0" w:space="0" w:color="A22B6F"/>
                <w:left w:val="single" w:sz="0" w:space="0" w:color="A22B6F"/>
                <w:bottom w:val="single" w:sz="0" w:space="0" w:color="A22B6F"/>
                <w:right w:val="single" w:sz="0" w:space="0" w:color="A22B6F"/>
              </w:pBdr>
              <w:shd w:val="clear" w:color="auto" w:fill="A22B6F"/>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A22B6F"/>
            <w:vAlign w:val="center"/>
          </w:tcPr>
          <w:p>
            <w:pPr>
              <w:pStyle w:val="Style2"/>
              <w:keepNext w:val="0"/>
              <w:keepLines w:val="0"/>
              <w:widowControl w:val="0"/>
              <w:pBdr>
                <w:top w:val="single" w:sz="0" w:space="0" w:color="A22B6F"/>
                <w:left w:val="single" w:sz="0" w:space="0" w:color="A22B6F"/>
                <w:bottom w:val="single" w:sz="0" w:space="0" w:color="A22B6F"/>
                <w:right w:val="single" w:sz="0" w:space="0" w:color="A22B6F"/>
              </w:pBdr>
              <w:shd w:val="clear" w:color="auto" w:fill="A22B6F"/>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A22B6F"/>
            <w:vAlign w:val="top"/>
          </w:tcPr>
          <w:p>
            <w:pPr>
              <w:widowControl w:val="0"/>
              <w:rPr>
                <w:sz w:val="10"/>
                <w:szCs w:val="10"/>
              </w:rPr>
            </w:pP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百隆嘉讯</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注</w:t>
            </w:r>
            <w:r>
              <w:rPr>
                <w:b/>
                <w:bCs/>
                <w:color w:val="FFFFFF"/>
                <w:spacing w:val="0"/>
                <w:w w:val="100"/>
                <w:position w:val="0"/>
                <w:sz w:val="19"/>
                <w:szCs w:val="19"/>
              </w:rPr>
              <w:t>）</w:t>
            </w:r>
          </w:p>
        </w:tc>
        <w:tc>
          <w:tcPr>
            <w:tcBorders>
              <w:top w:val="single" w:sz="4"/>
              <w:bottom w:val="single" w:sz="4"/>
            </w:tcBorders>
            <w:shd w:val="clear" w:color="auto" w:fill="A22B6F"/>
            <w:vAlign w:val="top"/>
          </w:tcPr>
          <w:p>
            <w:pPr>
              <w:widowControl w:val="0"/>
              <w:rPr>
                <w:sz w:val="10"/>
                <w:szCs w:val="10"/>
              </w:rPr>
            </w:pPr>
          </w:p>
        </w:tc>
        <w:tc>
          <w:tcPr>
            <w:tcBorders>
              <w:top w:val="single" w:sz="4"/>
              <w:bottom w:val="single" w:sz="4"/>
            </w:tcBorders>
            <w:shd w:val="clear" w:color="auto" w:fill="A22B6F"/>
            <w:vAlign w:val="top"/>
          </w:tcPr>
          <w:p>
            <w:pPr>
              <w:widowControl w:val="0"/>
              <w:rPr>
                <w:sz w:val="10"/>
                <w:szCs w:val="10"/>
              </w:rPr>
            </w:pPr>
          </w:p>
        </w:tc>
        <w:tc>
          <w:tcPr>
            <w:tcBorders>
              <w:top w:val="single" w:sz="4"/>
              <w:bottom w:val="single" w:sz="4"/>
            </w:tcBorders>
            <w:shd w:val="clear" w:color="auto" w:fill="A22B6F"/>
            <w:vAlign w:val="top"/>
          </w:tcPr>
          <w:p>
            <w:pPr>
              <w:widowControl w:val="0"/>
              <w:rPr>
                <w:sz w:val="10"/>
                <w:szCs w:val="10"/>
              </w:rPr>
            </w:pPr>
          </w:p>
        </w:tc>
        <w:tc>
          <w:tcPr>
            <w:tcBorders>
              <w:top w:val="single" w:sz="4"/>
              <w:bottom w:val="single" w:sz="4"/>
            </w:tcBorders>
            <w:shd w:val="clear" w:color="auto" w:fill="A22B6F"/>
            <w:vAlign w:val="top"/>
          </w:tcPr>
          <w:p>
            <w:pPr>
              <w:widowControl w:val="0"/>
              <w:rPr>
                <w:sz w:val="10"/>
                <w:szCs w:val="10"/>
              </w:rPr>
            </w:pP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子公司少数股东的持股比例不同于表决权比例的说明： 无</w:t>
      </w:r>
    </w:p>
    <w:p>
      <w:pPr>
        <w:pStyle w:val="Style96"/>
        <w:keepNext w:val="0"/>
        <w:keepLines w:val="0"/>
        <w:widowControl w:val="0"/>
        <w:shd w:val="clear" w:color="auto" w:fill="auto"/>
        <w:bidi w:val="0"/>
        <w:spacing w:before="0" w:line="360" w:lineRule="exact"/>
        <w:ind w:left="0" w:right="0" w:firstLine="0"/>
        <w:jc w:val="left"/>
        <w:rPr>
          <w:sz w:val="19"/>
          <w:szCs w:val="19"/>
        </w:rPr>
      </w:pPr>
      <w:r>
        <w:rPr>
          <w:b w:val="0"/>
          <w:bCs w:val="0"/>
          <w:color w:val="000000"/>
          <w:spacing w:val="0"/>
          <w:w w:val="100"/>
          <w:position w:val="0"/>
          <w:sz w:val="15"/>
          <w:szCs w:val="15"/>
        </w:rPr>
        <w:t xml:space="preserve">其他说明： </w:t>
      </w:r>
      <w:r>
        <w:rPr>
          <w:b w:val="0"/>
          <w:bCs w:val="0"/>
          <w:color w:val="000000"/>
          <w:spacing w:val="0"/>
          <w:w w:val="100"/>
          <w:position w:val="0"/>
          <w:sz w:val="19"/>
          <w:szCs w:val="19"/>
        </w:rPr>
        <w:t>注：截至</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19"/>
          <w:szCs w:val="19"/>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19"/>
          <w:szCs w:val="19"/>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19"/>
          <w:szCs w:val="19"/>
        </w:rPr>
        <w:t>日，以上三家公司的股东均未实缴出资。</w:t>
      </w:r>
    </w:p>
    <w:p>
      <w:pPr>
        <w:pStyle w:val="Style39"/>
        <w:keepNext/>
        <w:keepLines/>
        <w:widowControl w:val="0"/>
        <w:shd w:val="clear" w:color="auto" w:fill="auto"/>
        <w:bidi w:val="0"/>
        <w:spacing w:before="0" w:after="160" w:line="240" w:lineRule="auto"/>
        <w:ind w:left="0" w:right="0" w:firstLine="0"/>
        <w:jc w:val="left"/>
      </w:pPr>
      <w:bookmarkStart w:id="1228" w:name="bookmark1228"/>
      <w:bookmarkStart w:id="1229" w:name="bookmark1229"/>
      <w:bookmarkStart w:id="1230" w:name="bookmark1230"/>
      <w:r>
        <w:rPr>
          <w:color w:val="000000"/>
          <w:spacing w:val="0"/>
          <w:w w:val="100"/>
          <w:position w:val="0"/>
          <w:sz w:val="24"/>
          <w:szCs w:val="24"/>
        </w:rPr>
        <w:t>十、与金融工具相关的风险</w:t>
      </w:r>
      <w:bookmarkEnd w:id="1228"/>
      <w:bookmarkEnd w:id="1229"/>
      <w:bookmarkEnd w:id="1230"/>
    </w:p>
    <w:p>
      <w:pPr>
        <w:pStyle w:val="Style31"/>
        <w:keepNext w:val="0"/>
        <w:keepLines w:val="0"/>
        <w:widowControl w:val="0"/>
        <w:shd w:val="clear" w:color="auto" w:fill="auto"/>
        <w:bidi w:val="0"/>
        <w:spacing w:before="0" w:after="0" w:line="350" w:lineRule="exact"/>
        <w:ind w:left="0" w:right="0" w:firstLine="460"/>
        <w:jc w:val="both"/>
      </w:pPr>
      <w:r>
        <w:rPr>
          <w:color w:val="000000"/>
          <w:spacing w:val="0"/>
          <w:w w:val="100"/>
          <w:position w:val="0"/>
        </w:rPr>
        <w:t>本集团的主要金融工具包括应收账款、其他应收款、长期借款、应付账款、其他应付款，各项金融工具的详细情况说明 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。与这些金融工具有关的风险，以及本集团为降低这些风险所采取的风险管理政策如下所述。本集团管理层对这 些风险敞口进行管理和监控以确保将上述风险控制在限定的范围之内。</w:t>
      </w:r>
    </w:p>
    <w:p>
      <w:pPr>
        <w:pStyle w:val="Style31"/>
        <w:keepNext w:val="0"/>
        <w:keepLines w:val="0"/>
        <w:widowControl w:val="0"/>
        <w:shd w:val="clear" w:color="auto" w:fill="auto"/>
        <w:bidi w:val="0"/>
        <w:spacing w:before="0" w:after="180" w:line="346" w:lineRule="exact"/>
        <w:ind w:left="0" w:right="0" w:firstLine="460"/>
        <w:jc w:val="both"/>
      </w:pPr>
      <w:r>
        <w:rPr>
          <w:color w:val="000000"/>
          <w:spacing w:val="0"/>
          <w:w w:val="100"/>
          <w:position w:val="0"/>
        </w:rPr>
        <w:t>本集团采用敏感性分析技术分析风险变量的合理、可能变化对当期损益或股东权益可能产生的影响。由于任何风险变量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w:t>
        <w:br w:type="page"/>
      </w:r>
      <w:r>
        <w:rPr>
          <w:color w:val="000000"/>
          <w:spacing w:val="0"/>
          <w:w w:val="100"/>
          <w:position w:val="0"/>
        </w:rPr>
        <w:t>假设每一变量的变化是在独立的情况下进行的。</w:t>
      </w:r>
    </w:p>
    <w:p>
      <w:pPr>
        <w:pStyle w:val="Style31"/>
        <w:keepNext w:val="0"/>
        <w:keepLines w:val="0"/>
        <w:widowControl w:val="0"/>
        <w:shd w:val="clear" w:color="auto" w:fill="auto"/>
        <w:bidi w:val="0"/>
        <w:spacing w:before="0" w:after="0" w:line="406" w:lineRule="auto"/>
        <w:ind w:left="0" w:right="0" w:firstLine="500"/>
        <w:jc w:val="left"/>
      </w:pPr>
      <w:bookmarkStart w:id="1231" w:name="bookmark1231"/>
      <w:r>
        <w:rPr>
          <w:rFonts w:ascii="Times New Roman" w:eastAsia="Times New Roman" w:hAnsi="Times New Roman" w:cs="Times New Roman"/>
          <w:color w:val="000000"/>
          <w:spacing w:val="0"/>
          <w:w w:val="100"/>
          <w:position w:val="0"/>
          <w:sz w:val="18"/>
          <w:szCs w:val="18"/>
        </w:rPr>
        <w:t>1</w:t>
      </w:r>
      <w:bookmarkEnd w:id="1231"/>
      <w:r>
        <w:rPr>
          <w:color w:val="000000"/>
          <w:spacing w:val="0"/>
          <w:w w:val="100"/>
          <w:position w:val="0"/>
        </w:rPr>
        <w:t>、风险管理目标和政策</w:t>
      </w:r>
    </w:p>
    <w:p>
      <w:pPr>
        <w:pStyle w:val="Style31"/>
        <w:keepNext w:val="0"/>
        <w:keepLines w:val="0"/>
        <w:widowControl w:val="0"/>
        <w:shd w:val="clear" w:color="auto" w:fill="auto"/>
        <w:bidi w:val="0"/>
        <w:spacing w:before="0" w:after="180" w:line="350" w:lineRule="exact"/>
        <w:ind w:left="140" w:right="0" w:firstLine="360"/>
        <w:jc w:val="left"/>
      </w:pPr>
      <w:r>
        <w:rPr>
          <w:color w:val="000000"/>
          <w:spacing w:val="0"/>
          <w:w w:val="100"/>
          <w:position w:val="0"/>
        </w:rPr>
        <w:t>本集团从事风险管理的目标是在风险和收益之间取得适当的平衡,将风险对本集团经营业绩的负面影响降低到最低水平, 使股东的利益最大化。基于该风险管理目标，本集团风险管理的基本策略是确定和分析本集团所面临的各种风险，建立适当 的风险承受底线和进行风险管理，并及时可靠地对各种风险进行监督，将风险控制在限定的范围之内。</w:t>
      </w:r>
    </w:p>
    <w:p>
      <w:pPr>
        <w:pStyle w:val="Style31"/>
        <w:keepNext w:val="0"/>
        <w:keepLines w:val="0"/>
        <w:widowControl w:val="0"/>
        <w:shd w:val="clear" w:color="auto" w:fill="auto"/>
        <w:bidi w:val="0"/>
        <w:spacing w:before="0" w:after="0" w:line="406" w:lineRule="auto"/>
        <w:ind w:left="0" w:right="0" w:firstLine="50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市场风险</w:t>
      </w:r>
    </w:p>
    <w:p>
      <w:pPr>
        <w:pStyle w:val="Style34"/>
        <w:keepNext w:val="0"/>
        <w:keepLines w:val="0"/>
        <w:widowControl w:val="0"/>
        <w:shd w:val="clear" w:color="auto" w:fill="auto"/>
        <w:bidi w:val="0"/>
        <w:spacing w:before="0" w:after="0" w:line="406" w:lineRule="auto"/>
        <w:ind w:left="0" w:right="0" w:firstLine="500"/>
        <w:jc w:val="left"/>
        <w:rPr>
          <w:sz w:val="15"/>
          <w:szCs w:val="15"/>
        </w:rPr>
      </w:pPr>
      <w:r>
        <w:rPr>
          <w:color w:val="000000"/>
          <w:spacing w:val="0"/>
          <w:w w:val="100"/>
          <w:position w:val="0"/>
          <w:sz w:val="18"/>
          <w:szCs w:val="18"/>
          <w:u w:val="single"/>
        </w:rPr>
        <w:t>1.1.1</w:t>
      </w:r>
      <w:r>
        <w:rPr>
          <w:rFonts w:ascii="SimSun" w:eastAsia="SimSun" w:hAnsi="SimSun" w:cs="SimSun"/>
          <w:color w:val="000000"/>
          <w:spacing w:val="0"/>
          <w:w w:val="100"/>
          <w:position w:val="0"/>
          <w:sz w:val="15"/>
          <w:szCs w:val="15"/>
          <w:u w:val="single"/>
        </w:rPr>
        <w:t>外汇风险</w:t>
      </w:r>
    </w:p>
    <w:p>
      <w:pPr>
        <w:pStyle w:val="Style31"/>
        <w:keepNext w:val="0"/>
        <w:keepLines w:val="0"/>
        <w:widowControl w:val="0"/>
        <w:shd w:val="clear" w:color="auto" w:fill="auto"/>
        <w:bidi w:val="0"/>
        <w:spacing w:before="0" w:after="180" w:line="350" w:lineRule="exact"/>
        <w:ind w:left="140" w:right="0" w:firstLine="360"/>
        <w:jc w:val="both"/>
      </w:pPr>
      <w:r>
        <w:rPr>
          <w:color w:val="000000"/>
          <w:spacing w:val="0"/>
          <w:w w:val="100"/>
          <w:position w:val="0"/>
        </w:rPr>
        <w:t>外汇风险指因汇率变动产生损失的风险。本集团承受外汇风险主要与美元有关。于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日，除下表所述资产为 美元余额外，本集团其他主要资产及负债均为人民币余额。该等外币余额的资产和负债产生的外汇风险可能对本集团的经营 业绩产生影响。</w:t>
      </w:r>
    </w:p>
    <w:p>
      <w:pPr>
        <w:pStyle w:val="Style31"/>
        <w:keepNext w:val="0"/>
        <w:keepLines w:val="0"/>
        <w:widowControl w:val="0"/>
        <w:shd w:val="clear" w:color="auto" w:fill="auto"/>
        <w:bidi w:val="0"/>
        <w:spacing w:before="0" w:after="180" w:line="240" w:lineRule="auto"/>
        <w:ind w:left="0" w:right="180" w:firstLine="0"/>
        <w:jc w:val="right"/>
      </w:pPr>
      <w:r>
        <w:rPr>
          <w:color w:val="000000"/>
          <w:spacing w:val="0"/>
          <w:w w:val="100"/>
          <w:position w:val="0"/>
        </w:rPr>
        <w:t>人民币元</w:t>
      </w:r>
    </w:p>
    <w:tbl>
      <w:tblPr>
        <w:tblOverlap w:val="never"/>
        <w:jc w:val="center"/>
        <w:tblLayout w:type="fixed"/>
      </w:tblPr>
      <w:tblGrid>
        <w:gridCol w:w="1435"/>
        <w:gridCol w:w="2592"/>
        <w:gridCol w:w="3346"/>
        <w:gridCol w:w="2160"/>
      </w:tblGrid>
      <w:tr>
        <w:trPr>
          <w:trHeight w:val="341"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pPr>
            <w:r>
              <w:rPr>
                <w:b/>
                <w:bCs/>
                <w:color w:val="FFFFFF"/>
                <w:spacing w:val="0"/>
                <w:w w:val="100"/>
                <w:position w:val="0"/>
              </w:rPr>
              <w:t>美元项目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上年年末余额</w:t>
            </w:r>
          </w:p>
        </w:tc>
      </w:tr>
      <w:tr>
        <w:trPr>
          <w:trHeight w:val="360"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317,806.67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345,136.54</w:t>
            </w:r>
          </w:p>
        </w:tc>
      </w:tr>
    </w:tbl>
    <w:p>
      <w:pPr>
        <w:pStyle w:val="Style45"/>
        <w:keepNext w:val="0"/>
        <w:keepLines w:val="0"/>
        <w:widowControl w:val="0"/>
        <w:shd w:val="clear" w:color="auto" w:fill="auto"/>
        <w:bidi w:val="0"/>
        <w:spacing w:before="0" w:after="0" w:line="240" w:lineRule="auto"/>
        <w:ind w:left="485" w:right="0" w:firstLine="0"/>
        <w:jc w:val="left"/>
      </w:pPr>
      <w:r>
        <w:rPr>
          <w:color w:val="000000"/>
          <w:spacing w:val="0"/>
          <w:w w:val="100"/>
          <w:position w:val="0"/>
        </w:rPr>
        <w:t>外汇风险敏感性分析</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在其他变量不变的情况下，汇率可能发生的合理变动对当期损益和股东权益的税前影响如下:</w:t>
      </w:r>
    </w:p>
    <w:p>
      <w:pPr>
        <w:pStyle w:val="Style4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人民币元</w:t>
      </w:r>
    </w:p>
    <w:tbl>
      <w:tblPr>
        <w:tblOverlap w:val="never"/>
        <w:jc w:val="center"/>
        <w:tblLayout w:type="fixed"/>
      </w:tblPr>
      <w:tblGrid>
        <w:gridCol w:w="1013"/>
        <w:gridCol w:w="1901"/>
        <w:gridCol w:w="2294"/>
        <w:gridCol w:w="1080"/>
        <w:gridCol w:w="2102"/>
        <w:gridCol w:w="1070"/>
      </w:tblGrid>
      <w:tr>
        <w:trPr>
          <w:trHeight w:val="350"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项目</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汇率变动</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本年度</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上年度</w:t>
            </w:r>
          </w:p>
        </w:tc>
      </w:tr>
      <w:tr>
        <w:trPr>
          <w:trHeight w:val="312" w:hRule="exact"/>
        </w:trPr>
        <w:tc>
          <w:tcPr>
            <w:vMerge/>
            <w:tcBorders/>
            <w:shd w:val="clear" w:color="auto" w:fill="A6A6A6"/>
            <w:vAlign w:val="center"/>
          </w:tcPr>
          <w:p>
            <w:pPr/>
          </w:p>
        </w:tc>
        <w:tc>
          <w:tcPr>
            <w:vMerge/>
            <w:tcBorders/>
            <w:shd w:val="clear" w:color="auto" w:fill="A6A6A6"/>
            <w:vAlign w:val="center"/>
          </w:tcPr>
          <w:p>
            <w:pP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对净利润的影响对股东权益的影响</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对净利润的影响对股东权益的影响</w:t>
            </w:r>
          </w:p>
        </w:tc>
      </w:tr>
      <w:tr>
        <w:trPr>
          <w:trHeight w:val="336" w:hRule="exact"/>
        </w:trPr>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对人民币升值</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15,890.33</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15,890.33</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17,256.83</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17,256.83</w:t>
            </w:r>
          </w:p>
        </w:tc>
      </w:tr>
    </w:tbl>
    <w:p>
      <w:pPr>
        <w:pStyle w:val="Style45"/>
        <w:keepNext w:val="0"/>
        <w:keepLines w:val="0"/>
        <w:widowControl w:val="0"/>
        <w:shd w:val="clear" w:color="auto" w:fill="auto"/>
        <w:tabs>
          <w:tab w:pos="1253" w:val="left"/>
          <w:tab w:pos="3706" w:val="left"/>
          <w:tab w:pos="5371" w:val="left"/>
          <w:tab w:pos="6874" w:val="left"/>
          <w:tab w:pos="8539" w:val="left"/>
        </w:tabs>
        <w:bidi w:val="0"/>
        <w:spacing w:before="0" w:after="0" w:line="240" w:lineRule="auto"/>
        <w:ind w:left="91" w:right="0" w:firstLine="0"/>
        <w:jc w:val="left"/>
        <w:rPr>
          <w:sz w:val="18"/>
          <w:szCs w:val="18"/>
        </w:rPr>
      </w:pPr>
      <w:r>
        <w:rPr>
          <w:color w:val="000000"/>
          <w:spacing w:val="0"/>
          <w:w w:val="100"/>
          <w:position w:val="0"/>
          <w:sz w:val="15"/>
          <w:szCs w:val="15"/>
        </w:rPr>
        <w:t>美元</w:t>
        <w:tab/>
        <w:t xml:space="preserve">对人民币贬值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5"/>
          <w:szCs w:val="15"/>
        </w:rPr>
        <w:t>%</w:t>
        <w:tab/>
      </w:r>
      <w:r>
        <w:rPr>
          <w:rFonts w:ascii="Times New Roman" w:eastAsia="Times New Roman" w:hAnsi="Times New Roman" w:cs="Times New Roman"/>
          <w:color w:val="000000"/>
          <w:spacing w:val="0"/>
          <w:w w:val="100"/>
          <w:position w:val="0"/>
          <w:sz w:val="18"/>
          <w:szCs w:val="18"/>
        </w:rPr>
        <w:t>-15,890.33</w:t>
        <w:tab/>
        <w:t>-15,890.33</w:t>
        <w:tab/>
        <w:t>-17,256.83</w:t>
        <w:tab/>
        <w:t>-17,256.83</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18"/>
          <w:szCs w:val="18"/>
          <w:u w:val="single"/>
        </w:rPr>
        <w:t>1.1.2</w:t>
      </w:r>
      <w:r>
        <w:rPr>
          <w:color w:val="000000"/>
          <w:spacing w:val="0"/>
          <w:w w:val="100"/>
          <w:position w:val="0"/>
          <w:u w:val="single"/>
        </w:rPr>
        <w:t>利率风险</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现金流量变动风险</w:t>
      </w:r>
    </w:p>
    <w:p>
      <w:pPr>
        <w:pStyle w:val="Style3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在其他变量不变的情况下，利率可能发生的合理变动对当期损益和股东权益的税前影响如下：</w:t>
      </w:r>
    </w:p>
    <w:p>
      <w:pPr>
        <w:pStyle w:val="Style31"/>
        <w:keepNext w:val="0"/>
        <w:keepLines w:val="0"/>
        <w:widowControl w:val="0"/>
        <w:shd w:val="clear" w:color="auto" w:fill="auto"/>
        <w:bidi w:val="0"/>
        <w:spacing w:before="0" w:after="180" w:line="240" w:lineRule="auto"/>
        <w:ind w:left="0" w:right="180" w:firstLine="0"/>
        <w:jc w:val="right"/>
      </w:pPr>
      <w:r>
        <w:rPr>
          <w:color w:val="000000"/>
          <w:spacing w:val="0"/>
          <w:w w:val="100"/>
          <w:position w:val="0"/>
        </w:rPr>
        <w:t>人民币元</w:t>
      </w:r>
    </w:p>
    <w:tbl>
      <w:tblPr>
        <w:tblOverlap w:val="never"/>
        <w:jc w:val="center"/>
        <w:tblLayout w:type="fixed"/>
      </w:tblPr>
      <w:tblGrid>
        <w:gridCol w:w="1320"/>
        <w:gridCol w:w="1550"/>
        <w:gridCol w:w="2376"/>
        <w:gridCol w:w="1075"/>
        <w:gridCol w:w="3197"/>
      </w:tblGrid>
      <w:tr>
        <w:trPr>
          <w:trHeight w:val="355"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pPr>
            <w:r>
              <w:rPr>
                <w:b/>
                <w:bCs/>
                <w:color w:val="FFFFFF"/>
                <w:spacing w:val="0"/>
                <w:w w:val="100"/>
                <w:position w:val="0"/>
              </w:rPr>
              <w:t>项目</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利率变动</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300" w:right="0" w:firstLine="0"/>
              <w:jc w:val="both"/>
            </w:pPr>
            <w:r>
              <w:rPr>
                <w:b/>
                <w:bCs/>
                <w:color w:val="FFFFFF"/>
                <w:spacing w:val="0"/>
                <w:w w:val="100"/>
                <w:position w:val="0"/>
              </w:rPr>
              <w:t>上年度</w:t>
            </w:r>
          </w:p>
        </w:tc>
      </w:tr>
      <w:tr>
        <w:trPr>
          <w:trHeight w:val="312" w:hRule="exact"/>
        </w:trPr>
        <w:tc>
          <w:tcPr>
            <w:vMerge/>
            <w:tcBorders/>
            <w:shd w:val="clear" w:color="auto" w:fill="A6A6A6"/>
            <w:vAlign w:val="center"/>
          </w:tcPr>
          <w:p>
            <w:pPr/>
          </w:p>
        </w:tc>
        <w:tc>
          <w:tcPr>
            <w:vMerge/>
            <w:tcBorders/>
            <w:shd w:val="clear" w:color="auto" w:fill="A6A6A6"/>
            <w:vAlign w:val="center"/>
          </w:tcPr>
          <w:p>
            <w:pP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对净利润的影响对股东权益的影响</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对净利润的影响对股东权益的影响</w:t>
            </w:r>
          </w:p>
        </w:tc>
      </w:tr>
      <w:tr>
        <w:trPr>
          <w:trHeight w:val="326" w:hRule="exact"/>
        </w:trPr>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shd w:val="clear" w:color="auto" w:fill="F9ECF3"/>
            <w:vAlign w:val="center"/>
          </w:tcPr>
          <w:p>
            <w:pPr>
              <w:pStyle w:val="Style2"/>
              <w:keepNext w:val="0"/>
              <w:keepLines w:val="0"/>
              <w:widowControl w:val="0"/>
              <w:shd w:val="clear" w:color="auto" w:fill="auto"/>
              <w:tabs>
                <w:tab w:pos="2961" w:val="left"/>
              </w:tabs>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3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tcBorders>
            <w:shd w:val="clear" w:color="auto" w:fill="FFFFFF"/>
            <w:vAlign w:val="center"/>
          </w:tcPr>
          <w:p>
            <w:pPr>
              <w:pStyle w:val="Style2"/>
              <w:keepNext w:val="0"/>
              <w:keepLines w:val="0"/>
              <w:widowControl w:val="0"/>
              <w:shd w:val="clear" w:color="auto" w:fill="auto"/>
              <w:tabs>
                <w:tab w:pos="2961" w:val="left"/>
              </w:tabs>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384" w:hRule="exact"/>
        </w:trPr>
        <w:tc>
          <w:tcPr>
            <w:gridSpan w:val="5"/>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u w:val="single"/>
              </w:rPr>
              <w:t>1.1.3</w:t>
            </w:r>
            <w:r>
              <w:rPr>
                <w:color w:val="000000"/>
                <w:spacing w:val="0"/>
                <w:w w:val="100"/>
                <w:position w:val="0"/>
                <w:u w:val="single"/>
              </w:rPr>
              <w:t>其他价格风险</w:t>
            </w:r>
          </w:p>
        </w:tc>
      </w:tr>
    </w:tbl>
    <w:p>
      <w:pPr>
        <w:pStyle w:val="Style31"/>
        <w:keepNext w:val="0"/>
        <w:keepLines w:val="0"/>
        <w:widowControl w:val="0"/>
        <w:shd w:val="clear" w:color="auto" w:fill="auto"/>
        <w:bidi w:val="0"/>
        <w:spacing w:before="0" w:after="180" w:line="349" w:lineRule="exact"/>
        <w:ind w:left="0" w:right="0" w:firstLine="500"/>
        <w:jc w:val="left"/>
      </w:pPr>
      <w:r>
        <w:rPr>
          <w:color w:val="000000"/>
          <w:spacing w:val="0"/>
          <w:w w:val="100"/>
          <w:position w:val="0"/>
        </w:rPr>
        <w:t>因本公司无权益证券投资，因此不受证券市场变动或其他价格变动的风险。</w:t>
      </w:r>
    </w:p>
    <w:p>
      <w:pPr>
        <w:pStyle w:val="Style31"/>
        <w:keepNext w:val="0"/>
        <w:keepLines w:val="0"/>
        <w:widowControl w:val="0"/>
        <w:shd w:val="clear" w:color="auto" w:fill="auto"/>
        <w:bidi w:val="0"/>
        <w:spacing w:before="0" w:after="0" w:line="406" w:lineRule="auto"/>
        <w:ind w:left="0" w:right="0" w:firstLine="50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信用风险</w:t>
      </w:r>
    </w:p>
    <w:p>
      <w:pPr>
        <w:pStyle w:val="Style31"/>
        <w:keepNext w:val="0"/>
        <w:keepLines w:val="0"/>
        <w:widowControl w:val="0"/>
        <w:shd w:val="clear" w:color="auto" w:fill="auto"/>
        <w:bidi w:val="0"/>
        <w:spacing w:before="0" w:after="0" w:line="355" w:lineRule="exact"/>
        <w:ind w:left="14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日，可能引起本集团信用损失的最大信用风险敞口主要来自于合同另一方未能履行义务而导致本集团金 融资产产生的损失，具体包括应收账款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。于资产负债表日，本集团金融资产的账面价值 已代表其最大信用风险敞口。</w:t>
      </w:r>
    </w:p>
    <w:p>
      <w:pPr>
        <w:pStyle w:val="Style31"/>
        <w:keepNext w:val="0"/>
        <w:keepLines w:val="0"/>
        <w:widowControl w:val="0"/>
        <w:shd w:val="clear" w:color="auto" w:fill="auto"/>
        <w:bidi w:val="0"/>
        <w:spacing w:before="0" w:after="0" w:line="349" w:lineRule="exact"/>
        <w:ind w:left="140" w:right="0" w:firstLine="360"/>
        <w:jc w:val="both"/>
      </w:pPr>
      <w:r>
        <w:rPr>
          <w:color w:val="000000"/>
          <w:spacing w:val="0"/>
          <w:w w:val="100"/>
          <w:position w:val="0"/>
        </w:rPr>
        <w:t>对于应收账款和其他应收款，本集团设定相关政策以控制信用风险敞口。本集团基于对客户的财务状况、从第三方获取 担保的可能性、信用记录及其他因素诸如目前市场状况等评估客户的信用资质并设置相应信用期。本集团会定期对债务人信 用记录进行监控，对于信用记录不良的客户，本集团会采用书面催款、缩短信用期或取消信用期等方式，以确保本集团的整 体信用风险在可控的范围内。对于应收账款，本集团按照简化方法，即按照相当于整个存续期内预期信用损失的金额计量损 失准备，相关预期信用损失计量详见附注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。对于其他应收款，本集团根据违约风险敞口按未来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个月或整个存续期内</w:t>
        <w:br w:type="page"/>
      </w:r>
      <w:r>
        <w:rPr>
          <w:color w:val="000000"/>
          <w:spacing w:val="0"/>
          <w:w w:val="100"/>
          <w:position w:val="0"/>
        </w:rPr>
        <w:t>的预期信用损失率，计算预期信用损失，详见附注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31"/>
        <w:keepNext w:val="0"/>
        <w:keepLines w:val="0"/>
        <w:widowControl w:val="0"/>
        <w:shd w:val="clear" w:color="auto" w:fill="auto"/>
        <w:bidi w:val="0"/>
        <w:spacing w:before="0" w:after="0" w:line="358" w:lineRule="exact"/>
        <w:ind w:left="0" w:right="0" w:firstLine="500"/>
        <w:jc w:val="left"/>
      </w:pPr>
      <w:r>
        <w:rPr>
          <w:color w:val="000000"/>
          <w:spacing w:val="0"/>
          <w:w w:val="100"/>
          <w:position w:val="0"/>
        </w:rPr>
        <w:t>本集团的货币资金存放在信用评级较高的银行，故货币资金具有较低的信用风险。</w:t>
      </w:r>
    </w:p>
    <w:p>
      <w:pPr>
        <w:pStyle w:val="Style31"/>
        <w:keepNext w:val="0"/>
        <w:keepLines w:val="0"/>
        <w:widowControl w:val="0"/>
        <w:shd w:val="clear" w:color="auto" w:fill="auto"/>
        <w:bidi w:val="0"/>
        <w:spacing w:before="0" w:after="180" w:line="358" w:lineRule="exact"/>
        <w:ind w:left="14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日，本集团对前五大客户的应收账款余额为人民币</w:t>
      </w:r>
      <w:r>
        <w:rPr>
          <w:rFonts w:ascii="Times New Roman" w:eastAsia="Times New Roman" w:hAnsi="Times New Roman" w:cs="Times New Roman"/>
          <w:color w:val="000000"/>
          <w:spacing w:val="0"/>
          <w:w w:val="100"/>
          <w:position w:val="0"/>
          <w:sz w:val="18"/>
          <w:szCs w:val="18"/>
        </w:rPr>
        <w:t>30,429,809.71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sz w:val="18"/>
          <w:szCs w:val="18"/>
        </w:rPr>
        <w:t>24,432,436.57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，占本集团应收账款余额的</w:t>
      </w:r>
      <w:r>
        <w:rPr>
          <w:rFonts w:ascii="Times New Roman" w:eastAsia="Times New Roman" w:hAnsi="Times New Roman" w:cs="Times New Roman"/>
          <w:color w:val="000000"/>
          <w:spacing w:val="0"/>
          <w:w w:val="100"/>
          <w:position w:val="0"/>
          <w:sz w:val="18"/>
          <w:szCs w:val="18"/>
        </w:rPr>
        <w:t>82.07%（2019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84.34%）</w:t>
      </w:r>
      <w:r>
        <w:rPr>
          <w:color w:val="000000"/>
          <w:spacing w:val="0"/>
          <w:w w:val="100"/>
          <w:position w:val="0"/>
        </w:rPr>
        <w:t>。除此之外，本集团无其他重大信用风险敞 口集中于单一金融资产或有类似特征的金融资产组合。</w:t>
      </w:r>
    </w:p>
    <w:p>
      <w:pPr>
        <w:pStyle w:val="Style31"/>
        <w:keepNext w:val="0"/>
        <w:keepLines w:val="0"/>
        <w:widowControl w:val="0"/>
        <w:shd w:val="clear" w:color="auto" w:fill="auto"/>
        <w:bidi w:val="0"/>
        <w:spacing w:before="0" w:after="0" w:line="415" w:lineRule="auto"/>
        <w:ind w:left="0" w:right="0" w:firstLine="50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流动性风险</w:t>
      </w:r>
    </w:p>
    <w:p>
      <w:pPr>
        <w:pStyle w:val="Style31"/>
        <w:keepNext w:val="0"/>
        <w:keepLines w:val="0"/>
        <w:widowControl w:val="0"/>
        <w:shd w:val="clear" w:color="auto" w:fill="auto"/>
        <w:bidi w:val="0"/>
        <w:spacing w:before="0" w:after="0" w:line="355" w:lineRule="exact"/>
        <w:ind w:left="140" w:right="0" w:firstLine="360"/>
        <w:jc w:val="both"/>
      </w:pPr>
      <w:r>
        <w:rPr>
          <w:color w:val="000000"/>
          <w:spacing w:val="0"/>
          <w:w w:val="100"/>
          <w:position w:val="0"/>
        </w:rPr>
        <w:t>管理流动风险时，本集团保持管理层认为充分的现金及现金等价物并对其进行监控，以满足本集团经营需要，并降低现 金流量波动的影响。</w:t>
      </w:r>
    </w:p>
    <w:p>
      <w:pPr>
        <w:pStyle w:val="Style31"/>
        <w:keepNext w:val="0"/>
        <w:keepLines w:val="0"/>
        <w:widowControl w:val="0"/>
        <w:shd w:val="clear" w:color="auto" w:fill="auto"/>
        <w:bidi w:val="0"/>
        <w:spacing w:before="0" w:after="180" w:line="358" w:lineRule="exact"/>
        <w:ind w:left="0" w:right="0" w:firstLine="600"/>
        <w:jc w:val="left"/>
      </w:pPr>
      <w:r>
        <w:rPr>
          <w:color w:val="000000"/>
          <w:spacing w:val="0"/>
          <w:w w:val="100"/>
          <w:position w:val="0"/>
        </w:rPr>
        <w:t>本集团持有的金融负债按未折现剩余合同义务的到期期限分析如下：</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1406"/>
        <w:gridCol w:w="1747"/>
        <w:gridCol w:w="1589"/>
        <w:gridCol w:w="1661"/>
        <w:gridCol w:w="1622"/>
        <w:gridCol w:w="1771"/>
      </w:tblGrid>
      <w:tr>
        <w:trPr>
          <w:trHeight w:val="355"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项目</w:t>
            </w:r>
          </w:p>
        </w:tc>
        <w:tc>
          <w:tcPr>
            <w:gridSpan w:val="5"/>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年末余额</w:t>
            </w:r>
          </w:p>
        </w:tc>
      </w:tr>
      <w:tr>
        <w:trPr>
          <w:trHeight w:val="312"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年以内</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到</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到</w:t>
            </w: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年以上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合计</w:t>
            </w:r>
          </w:p>
        </w:tc>
      </w:tr>
      <w:tr>
        <w:trPr>
          <w:trHeight w:val="326" w:hRule="exact"/>
        </w:trPr>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4,681,633.33</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6,572,866.67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10,312,541.67</w:t>
            </w:r>
          </w:p>
        </w:tc>
        <w:tc>
          <w:tcPr>
            <w:tcBorders/>
            <w:shd w:val="clear" w:color="auto" w:fill="F9ECF3"/>
            <w:vAlign w:val="top"/>
          </w:tcPr>
          <w:p>
            <w:pPr>
              <w:widowControl w:val="0"/>
              <w:rPr>
                <w:sz w:val="10"/>
                <w:szCs w:val="10"/>
              </w:rPr>
            </w:pP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21,567,041.67</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5,787,661.15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5,787,661.15</w:t>
            </w:r>
          </w:p>
        </w:tc>
      </w:tr>
      <w:tr>
        <w:trPr>
          <w:trHeight w:val="336" w:hRule="exact"/>
        </w:trPr>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20,288,893.12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20,288,893.12</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30,758,187.60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both"/>
              <w:rPr>
                <w:sz w:val="18"/>
                <w:szCs w:val="18"/>
              </w:rPr>
            </w:pPr>
            <w:r>
              <w:rPr>
                <w:rFonts w:ascii="Times New Roman" w:eastAsia="Times New Roman" w:hAnsi="Times New Roman" w:cs="Times New Roman"/>
                <w:b/>
                <w:bCs/>
                <w:color w:val="FFFFFF"/>
                <w:spacing w:val="0"/>
                <w:w w:val="100"/>
                <w:position w:val="0"/>
                <w:sz w:val="18"/>
                <w:szCs w:val="18"/>
              </w:rPr>
              <w:t>6,572,866.67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rPr>
                <w:sz w:val="18"/>
                <w:szCs w:val="18"/>
              </w:rPr>
            </w:pPr>
            <w:r>
              <w:rPr>
                <w:rFonts w:ascii="Times New Roman" w:eastAsia="Times New Roman" w:hAnsi="Times New Roman" w:cs="Times New Roman"/>
                <w:b/>
                <w:bCs/>
                <w:color w:val="FFFFFF"/>
                <w:spacing w:val="0"/>
                <w:w w:val="100"/>
                <w:position w:val="0"/>
                <w:sz w:val="18"/>
                <w:szCs w:val="18"/>
              </w:rPr>
              <w:t>10,312,541.67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rPr>
                <w:sz w:val="18"/>
                <w:szCs w:val="18"/>
              </w:rPr>
            </w:pPr>
            <w:r>
              <w:rPr>
                <w:rFonts w:ascii="Times New Roman" w:eastAsia="Times New Roman" w:hAnsi="Times New Roman" w:cs="Times New Roman"/>
                <w:b/>
                <w:bCs/>
                <w:color w:val="FFFFFF"/>
                <w:spacing w:val="0"/>
                <w:w w:val="100"/>
                <w:position w:val="0"/>
                <w:sz w:val="18"/>
                <w:szCs w:val="18"/>
              </w:rPr>
              <w:t>47,643,595.94 M</w:t>
            </w:r>
          </w:p>
        </w:tc>
      </w:tr>
      <w:tr>
        <w:trPr>
          <w:trHeight w:val="504" w:hRule="exact"/>
        </w:trPr>
        <w:tc>
          <w:tcPr>
            <w:gridSpan w:val="6"/>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人民币元</w:t>
            </w:r>
          </w:p>
        </w:tc>
      </w:tr>
      <w:tr>
        <w:trPr>
          <w:trHeight w:val="322"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项目</w:t>
            </w: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年初余额</w:t>
            </w:r>
          </w:p>
        </w:tc>
        <w:tc>
          <w:tcPr>
            <w:tcBorders/>
            <w:shd w:val="clear" w:color="auto" w:fill="A6A6A6"/>
            <w:vAlign w:val="top"/>
          </w:tcPr>
          <w:p>
            <w:pPr>
              <w:widowControl w:val="0"/>
              <w:rPr>
                <w:sz w:val="10"/>
                <w:szCs w:val="10"/>
              </w:rPr>
            </w:pP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w:t>
            </w:r>
          </w:p>
        </w:tc>
      </w:tr>
      <w:tr>
        <w:trPr>
          <w:trHeight w:val="317"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年以内</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到</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到</w:t>
            </w: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年以上</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合计</w:t>
            </w:r>
          </w:p>
        </w:tc>
      </w:tr>
      <w:tr>
        <w:trPr>
          <w:trHeight w:val="331" w:hRule="exact"/>
        </w:trPr>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6,542,147.17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6,542,147.17</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23,687,160.71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23,687,160.71</w:t>
            </w:r>
          </w:p>
        </w:tc>
      </w:tr>
      <w:tr>
        <w:trPr>
          <w:trHeight w:val="322"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30,229,307.88</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4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8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rPr>
                <w:sz w:val="18"/>
                <w:szCs w:val="18"/>
              </w:rPr>
            </w:pPr>
            <w:r>
              <w:rPr>
                <w:rFonts w:ascii="Times New Roman" w:eastAsia="Times New Roman" w:hAnsi="Times New Roman" w:cs="Times New Roman"/>
                <w:b/>
                <w:bCs/>
                <w:color w:val="FFFFFF"/>
                <w:spacing w:val="0"/>
                <w:w w:val="100"/>
                <w:position w:val="0"/>
                <w:sz w:val="18"/>
                <w:szCs w:val="18"/>
              </w:rPr>
              <w:t>30,229,307.88 B</w:t>
            </w:r>
          </w:p>
        </w:tc>
      </w:tr>
    </w:tbl>
    <w:p>
      <w:pPr>
        <w:widowControl w:val="0"/>
        <w:spacing w:after="319" w:line="1" w:lineRule="exact"/>
      </w:pPr>
    </w:p>
    <w:p>
      <w:pPr>
        <w:pStyle w:val="Style39"/>
        <w:keepNext/>
        <w:keepLines/>
        <w:widowControl w:val="0"/>
        <w:shd w:val="clear" w:color="auto" w:fill="auto"/>
        <w:bidi w:val="0"/>
        <w:spacing w:before="0" w:after="180" w:line="240" w:lineRule="auto"/>
        <w:ind w:left="0" w:right="0" w:firstLine="140"/>
        <w:jc w:val="left"/>
      </w:pPr>
      <w:bookmarkStart w:id="1232" w:name="bookmark1232"/>
      <w:bookmarkStart w:id="1233" w:name="bookmark1233"/>
      <w:bookmarkStart w:id="1234" w:name="bookmark1234"/>
      <w:r>
        <w:rPr>
          <w:color w:val="000000"/>
          <w:spacing w:val="0"/>
          <w:w w:val="100"/>
          <w:position w:val="0"/>
          <w:sz w:val="24"/>
          <w:szCs w:val="24"/>
        </w:rPr>
        <w:t>十一、公允价值的披露</w:t>
      </w:r>
      <w:bookmarkEnd w:id="1232"/>
      <w:bookmarkEnd w:id="1233"/>
      <w:bookmarkEnd w:id="1234"/>
    </w:p>
    <w:p>
      <w:pPr>
        <w:pStyle w:val="Style31"/>
        <w:keepNext w:val="0"/>
        <w:keepLines w:val="0"/>
        <w:widowControl w:val="0"/>
        <w:shd w:val="clear" w:color="auto" w:fill="auto"/>
        <w:bidi w:val="0"/>
        <w:spacing w:before="0" w:after="0" w:line="365" w:lineRule="exact"/>
        <w:ind w:left="0" w:right="0" w:firstLine="500"/>
        <w:jc w:val="left"/>
      </w:pPr>
      <w:bookmarkStart w:id="1235" w:name="bookmark1235"/>
      <w:r>
        <w:rPr>
          <w:rFonts w:ascii="Times New Roman" w:eastAsia="Times New Roman" w:hAnsi="Times New Roman" w:cs="Times New Roman"/>
          <w:b/>
          <w:bCs/>
          <w:color w:val="000000"/>
          <w:spacing w:val="0"/>
          <w:w w:val="100"/>
          <w:position w:val="0"/>
          <w:sz w:val="18"/>
          <w:szCs w:val="18"/>
        </w:rPr>
        <w:t>1</w:t>
      </w:r>
      <w:bookmarkEnd w:id="1235"/>
      <w:r>
        <w:rPr>
          <w:b/>
          <w:bCs/>
          <w:color w:val="000000"/>
          <w:spacing w:val="0"/>
          <w:w w:val="100"/>
          <w:position w:val="0"/>
        </w:rPr>
        <w:t>、其他</w:t>
      </w:r>
    </w:p>
    <w:p>
      <w:pPr>
        <w:pStyle w:val="Style31"/>
        <w:keepNext w:val="0"/>
        <w:keepLines w:val="0"/>
        <w:widowControl w:val="0"/>
        <w:shd w:val="clear" w:color="auto" w:fill="auto"/>
        <w:tabs>
          <w:tab w:pos="834" w:val="left"/>
        </w:tabs>
        <w:bidi w:val="0"/>
        <w:spacing w:before="0" w:after="0" w:line="365" w:lineRule="exact"/>
        <w:ind w:left="0" w:right="0" w:firstLine="500"/>
        <w:jc w:val="left"/>
      </w:pPr>
      <w:bookmarkStart w:id="1236" w:name="bookmark1236"/>
      <w:r>
        <w:rPr>
          <w:rFonts w:ascii="Times New Roman" w:eastAsia="Times New Roman" w:hAnsi="Times New Roman" w:cs="Times New Roman"/>
          <w:color w:val="000000"/>
          <w:spacing w:val="0"/>
          <w:w w:val="100"/>
          <w:position w:val="0"/>
          <w:sz w:val="18"/>
          <w:szCs w:val="18"/>
        </w:rPr>
        <w:t>1</w:t>
      </w:r>
      <w:bookmarkEnd w:id="1236"/>
      <w:r>
        <w:rPr>
          <w:color w:val="000000"/>
          <w:spacing w:val="0"/>
          <w:w w:val="100"/>
          <w:position w:val="0"/>
        </w:rPr>
        <w:t>、</w:t>
        <w:tab/>
        <w:t>以公允价值计量的资产和负债的年末公允价值</w:t>
      </w:r>
    </w:p>
    <w:p>
      <w:pPr>
        <w:pStyle w:val="Style31"/>
        <w:keepNext w:val="0"/>
        <w:keepLines w:val="0"/>
        <w:widowControl w:val="0"/>
        <w:shd w:val="clear" w:color="auto" w:fill="auto"/>
        <w:bidi w:val="0"/>
        <w:spacing w:before="0" w:after="0" w:line="365" w:lineRule="exact"/>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日，本集团不存在以公允价值计量的资产和负债。</w:t>
      </w:r>
    </w:p>
    <w:p>
      <w:pPr>
        <w:pStyle w:val="Style31"/>
        <w:keepNext w:val="0"/>
        <w:keepLines w:val="0"/>
        <w:widowControl w:val="0"/>
        <w:shd w:val="clear" w:color="auto" w:fill="auto"/>
        <w:tabs>
          <w:tab w:pos="844" w:val="left"/>
        </w:tabs>
        <w:bidi w:val="0"/>
        <w:spacing w:before="0" w:after="440" w:line="365" w:lineRule="exact"/>
        <w:ind w:left="140" w:right="0" w:firstLine="360"/>
        <w:jc w:val="both"/>
      </w:pPr>
      <w:bookmarkStart w:id="1237" w:name="bookmark1237"/>
      <w:r>
        <w:rPr>
          <w:rFonts w:ascii="Times New Roman" w:eastAsia="Times New Roman" w:hAnsi="Times New Roman" w:cs="Times New Roman"/>
          <w:color w:val="000000"/>
          <w:spacing w:val="0"/>
          <w:w w:val="100"/>
          <w:position w:val="0"/>
          <w:sz w:val="18"/>
          <w:szCs w:val="18"/>
        </w:rPr>
        <w:t>2</w:t>
      </w:r>
      <w:bookmarkEnd w:id="1237"/>
      <w:r>
        <w:rPr>
          <w:color w:val="000000"/>
          <w:spacing w:val="0"/>
          <w:w w:val="100"/>
          <w:position w:val="0"/>
        </w:rPr>
        <w:t>、</w:t>
        <w:tab/>
        <w:t>本集团管理层认为，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日的财务报表中按摊余成本计量的金融资产及金融负债的账面 价值接近该等资产及负债的公允价值。</w:t>
      </w:r>
    </w:p>
    <w:p>
      <w:pPr>
        <w:pStyle w:val="Style39"/>
        <w:keepNext/>
        <w:keepLines/>
        <w:widowControl w:val="0"/>
        <w:shd w:val="clear" w:color="auto" w:fill="auto"/>
        <w:bidi w:val="0"/>
        <w:spacing w:before="0" w:after="380" w:line="240" w:lineRule="auto"/>
        <w:ind w:left="0" w:right="0" w:firstLine="140"/>
        <w:jc w:val="left"/>
      </w:pPr>
      <w:bookmarkStart w:id="1238" w:name="bookmark1238"/>
      <w:bookmarkStart w:id="1239" w:name="bookmark1239"/>
      <w:bookmarkStart w:id="1240" w:name="bookmark1240"/>
      <w:r>
        <w:rPr>
          <w:color w:val="000000"/>
          <w:spacing w:val="0"/>
          <w:w w:val="100"/>
          <w:position w:val="0"/>
          <w:sz w:val="24"/>
          <w:szCs w:val="24"/>
        </w:rPr>
        <w:t>十二、关联方及关联交易</w:t>
      </w:r>
      <w:bookmarkEnd w:id="1238"/>
      <w:bookmarkEnd w:id="1239"/>
      <w:bookmarkEnd w:id="1240"/>
    </w:p>
    <w:p>
      <w:pPr>
        <w:pStyle w:val="Style49"/>
        <w:keepNext/>
        <w:keepLines/>
        <w:widowControl w:val="0"/>
        <w:shd w:val="clear" w:color="auto" w:fill="auto"/>
        <w:bidi w:val="0"/>
        <w:spacing w:before="0" w:after="320" w:line="240" w:lineRule="auto"/>
        <w:ind w:left="0" w:right="0" w:firstLine="14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41"/>
      <w:bookmarkEnd w:id="1242"/>
      <w:bookmarkEnd w:id="1243"/>
    </w:p>
    <w:tbl>
      <w:tblPr>
        <w:tblOverlap w:val="never"/>
        <w:jc w:val="center"/>
        <w:tblLayout w:type="fixed"/>
      </w:tblPr>
      <w:tblGrid>
        <w:gridCol w:w="1786"/>
        <w:gridCol w:w="1397"/>
        <w:gridCol w:w="1642"/>
        <w:gridCol w:w="1622"/>
        <w:gridCol w:w="1598"/>
        <w:gridCol w:w="1603"/>
      </w:tblGrid>
      <w:tr>
        <w:trPr>
          <w:trHeight w:val="73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40" w:after="0" w:line="240" w:lineRule="auto"/>
              <w:ind w:left="0" w:right="0" w:firstLine="380"/>
              <w:jc w:val="left"/>
            </w:pPr>
            <w:r>
              <w:rPr>
                <w:b/>
                <w:bCs/>
                <w:color w:val="FFFFFF"/>
                <w:spacing w:val="0"/>
                <w:w w:val="100"/>
                <w:position w:val="0"/>
              </w:rPr>
              <w:t>母公司名称</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40" w:after="0" w:line="240" w:lineRule="auto"/>
              <w:ind w:left="0" w:right="0" w:firstLine="0"/>
              <w:jc w:val="center"/>
            </w:pPr>
            <w:r>
              <w:rPr>
                <w:b/>
                <w:bCs/>
                <w:color w:val="FFFFFF"/>
                <w:spacing w:val="0"/>
                <w:w w:val="100"/>
                <w:position w:val="0"/>
              </w:rPr>
              <w:t>注册地</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40" w:after="0" w:line="240" w:lineRule="auto"/>
              <w:ind w:left="0" w:right="0" w:firstLine="0"/>
              <w:jc w:val="center"/>
            </w:pPr>
            <w:r>
              <w:rPr>
                <w:b/>
                <w:bCs/>
                <w:color w:val="FFFFFF"/>
                <w:spacing w:val="0"/>
                <w:w w:val="100"/>
                <w:position w:val="0"/>
              </w:rPr>
              <w:t>业务性质</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140" w:after="0" w:line="240" w:lineRule="auto"/>
              <w:ind w:left="0" w:right="0" w:firstLine="420"/>
              <w:jc w:val="left"/>
            </w:pPr>
            <w:r>
              <w:rPr>
                <w:b/>
                <w:bCs/>
                <w:color w:val="FFFFFF"/>
                <w:spacing w:val="0"/>
                <w:w w:val="100"/>
                <w:position w:val="0"/>
              </w:rPr>
              <w:t>注册资本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center"/>
            </w:pPr>
            <w:r>
              <w:rPr>
                <w:b/>
                <w:bCs/>
                <w:color w:val="FFFFFF"/>
                <w:spacing w:val="0"/>
                <w:w w:val="100"/>
                <w:position w:val="0"/>
              </w:rPr>
              <w:t>母公司对本企业 的持股比例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60" w:right="0" w:firstLine="0"/>
              <w:jc w:val="center"/>
            </w:pPr>
            <w:r>
              <w:rPr>
                <w:b/>
                <w:bCs/>
                <w:color w:val="FFFFFF"/>
                <w:spacing w:val="0"/>
                <w:w w:val="100"/>
                <w:position w:val="0"/>
              </w:rPr>
              <w:t>母公司对本企业 的表决权比例</w:t>
            </w:r>
          </w:p>
        </w:tc>
      </w:tr>
      <w:tr>
        <w:trPr>
          <w:trHeight w:val="451" w:hRule="exact"/>
        </w:trPr>
        <w:tc>
          <w:tcPr>
            <w:vMerge w:val="restart"/>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北京达安世纪投</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资管理有限公司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31.20%</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31.20%</w:t>
            </w:r>
          </w:p>
        </w:tc>
      </w:tr>
      <w:tr>
        <w:trPr>
          <w:trHeight w:val="302" w:hRule="exact"/>
        </w:trPr>
        <w:tc>
          <w:tcPr>
            <w:vMerge/>
            <w:tcBorders>
              <w:bottom w:val="single" w:sz="4"/>
            </w:tcBorders>
            <w:shd w:val="clear" w:color="auto" w:fill="FFFFFF"/>
            <w:vAlign w:val="center"/>
          </w:tcPr>
          <w:p>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center"/>
          </w:tcPr>
          <w:p>
            <w:pPr/>
          </w:p>
        </w:tc>
        <w:tc>
          <w:tcPr>
            <w:vMerge/>
            <w:tcBorders>
              <w:bottom w:val="single" w:sz="4"/>
            </w:tcBorders>
            <w:shd w:val="clear" w:color="auto" w:fill="FFFFFF"/>
            <w:vAlign w:val="center"/>
          </w:tcPr>
          <w:p>
            <w:pPr/>
          </w:p>
        </w:tc>
        <w:tc>
          <w:tcPr>
            <w:vMerge/>
            <w:tcBorders>
              <w:bottom w:val="single" w:sz="4"/>
            </w:tcBorders>
            <w:shd w:val="clear" w:color="auto" w:fill="FFFFFF"/>
            <w:vAlign w:val="center"/>
          </w:tcPr>
          <w:p>
            <w:pPr/>
          </w:p>
        </w:tc>
      </w:tr>
    </w:tbl>
    <w:p>
      <w:pPr>
        <w:sectPr>
          <w:footnotePr>
            <w:pos w:val="pageBottom"/>
            <w:numFmt w:val="decimal"/>
            <w:numRestart w:val="continuous"/>
          </w:footnotePr>
          <w:type w:val="continuous"/>
          <w:pgSz w:w="11966" w:h="17375"/>
          <w:pgMar w:top="1569" w:right="1038" w:bottom="1713" w:left="940"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80" w:line="355" w:lineRule="exact"/>
        <w:ind w:left="140" w:right="0" w:firstLine="360"/>
        <w:jc w:val="both"/>
      </w:pPr>
      <w:r>
        <w:rPr>
          <w:color w:val="000000"/>
          <w:spacing w:val="0"/>
          <w:w w:val="100"/>
          <w:position w:val="0"/>
        </w:rPr>
        <w:t>北京达安世纪投资管理有限公司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月成立，主营业务是投资管理、投资咨询，刘铁峰持有达安世纪</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股权，为 达安世纪的控股股东、实际控制人。</w:t>
      </w:r>
    </w:p>
    <w:p>
      <w:pPr>
        <w:pStyle w:val="Style31"/>
        <w:keepNext w:val="0"/>
        <w:keepLines w:val="0"/>
        <w:widowControl w:val="0"/>
        <w:shd w:val="clear" w:color="auto" w:fill="auto"/>
        <w:bidi w:val="0"/>
        <w:spacing w:before="0" w:after="380" w:line="355" w:lineRule="exact"/>
        <w:ind w:left="0" w:right="0" w:firstLine="140"/>
        <w:jc w:val="left"/>
      </w:pPr>
      <w:r>
        <w:rPr>
          <w:color w:val="000000"/>
          <w:spacing w:val="0"/>
          <w:w w:val="100"/>
          <w:position w:val="0"/>
        </w:rPr>
        <w:t>本企业最终控制方是刘铁峰。</w:t>
      </w:r>
    </w:p>
    <w:p>
      <w:pPr>
        <w:pStyle w:val="Style49"/>
        <w:keepNext/>
        <w:keepLines/>
        <w:widowControl w:val="0"/>
        <w:shd w:val="clear" w:color="auto" w:fill="auto"/>
        <w:tabs>
          <w:tab w:pos="518" w:val="left"/>
        </w:tabs>
        <w:bidi w:val="0"/>
        <w:spacing w:before="0" w:after="380" w:line="240" w:lineRule="auto"/>
        <w:ind w:left="0" w:right="0" w:firstLine="14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color w:val="000000"/>
          <w:spacing w:val="0"/>
          <w:w w:val="100"/>
          <w:position w:val="0"/>
        </w:rPr>
        <w:t>、</w:t>
        <w:tab/>
        <w:t>本企业的子公司情况</w:t>
      </w:r>
      <w:bookmarkEnd w:id="1244"/>
      <w:bookmarkEnd w:id="1245"/>
      <w:bookmarkEnd w:id="1247"/>
    </w:p>
    <w:p>
      <w:pPr>
        <w:pStyle w:val="Style31"/>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9"/>
        <w:keepNext/>
        <w:keepLines/>
        <w:widowControl w:val="0"/>
        <w:shd w:val="clear" w:color="auto" w:fill="auto"/>
        <w:tabs>
          <w:tab w:pos="518" w:val="left"/>
        </w:tabs>
        <w:bidi w:val="0"/>
        <w:spacing w:before="0" w:after="320" w:line="240" w:lineRule="auto"/>
        <w:ind w:left="0" w:right="0" w:firstLine="14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color w:val="000000"/>
          <w:spacing w:val="0"/>
          <w:w w:val="100"/>
          <w:position w:val="0"/>
        </w:rPr>
        <w:t>、</w:t>
        <w:tab/>
        <w:t>其他关联方情况</w:t>
      </w:r>
      <w:bookmarkEnd w:id="1248"/>
      <w:bookmarkEnd w:id="1249"/>
      <w:bookmarkEnd w:id="1251"/>
    </w:p>
    <w:tbl>
      <w:tblPr>
        <w:tblOverlap w:val="never"/>
        <w:jc w:val="center"/>
        <w:tblLayout w:type="fixed"/>
      </w:tblPr>
      <w:tblGrid>
        <w:gridCol w:w="4042"/>
        <w:gridCol w:w="5606"/>
      </w:tblGrid>
      <w:tr>
        <w:trPr>
          <w:trHeight w:val="4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800" w:right="0" w:firstLine="0"/>
              <w:jc w:val="left"/>
            </w:pPr>
            <w:r>
              <w:rPr>
                <w:b/>
                <w:bCs/>
                <w:color w:val="FFFFFF"/>
                <w:spacing w:val="0"/>
                <w:w w:val="100"/>
                <w:position w:val="0"/>
              </w:rPr>
              <w:t>其他关联方名称</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其他关联方与本企业关系</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赵新宇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w:t>
            </w:r>
          </w:p>
        </w:tc>
      </w:tr>
      <w:tr>
        <w:trPr>
          <w:trHeight w:val="398" w:hRule="exact"/>
        </w:trPr>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5"/>
                <w:szCs w:val="15"/>
              </w:rPr>
              <w:t>北京悦华众城投资管理中心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有限合伙</w:t>
            </w:r>
            <w:r>
              <w:rPr>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受同一实际控制人控制的股东</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董事、监事、高级管理人员</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关键管理人员</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14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color w:val="000000"/>
          <w:spacing w:val="0"/>
          <w:w w:val="100"/>
          <w:position w:val="0"/>
        </w:rPr>
        <w:t>、关联交易情况</w:t>
      </w:r>
      <w:bookmarkEnd w:id="1252"/>
      <w:bookmarkEnd w:id="1253"/>
      <w:bookmarkEnd w:id="1255"/>
    </w:p>
    <w:p>
      <w:pPr>
        <w:pStyle w:val="Style69"/>
        <w:keepNext/>
        <w:keepLines/>
        <w:widowControl w:val="0"/>
        <w:shd w:val="clear" w:color="auto" w:fill="auto"/>
        <w:bidi w:val="0"/>
        <w:spacing w:before="0" w:line="240" w:lineRule="auto"/>
        <w:ind w:left="0" w:right="0" w:firstLine="14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256"/>
      <w:bookmarkEnd w:id="1257"/>
      <w:bookmarkEnd w:id="1258"/>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本公司作为承租方：</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17"/>
        <w:gridCol w:w="2616"/>
        <w:gridCol w:w="2669"/>
        <w:gridCol w:w="2246"/>
      </w:tblGrid>
      <w:tr>
        <w:trPr>
          <w:trHeight w:val="4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80"/>
              <w:jc w:val="left"/>
            </w:pPr>
            <w:r>
              <w:rPr>
                <w:b/>
                <w:bCs/>
                <w:color w:val="FFFFFF"/>
                <w:spacing w:val="0"/>
                <w:w w:val="100"/>
                <w:position w:val="0"/>
              </w:rPr>
              <w:t>出租方名称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60"/>
              <w:jc w:val="left"/>
            </w:pPr>
            <w:r>
              <w:rPr>
                <w:b/>
                <w:bCs/>
                <w:color w:val="FFFFFF"/>
                <w:spacing w:val="0"/>
                <w:w w:val="100"/>
                <w:position w:val="0"/>
              </w:rPr>
              <w:t>租赁资产种类</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pPr>
            <w:r>
              <w:rPr>
                <w:b/>
                <w:bCs/>
                <w:color w:val="FFFFFF"/>
                <w:spacing w:val="0"/>
                <w:w w:val="100"/>
                <w:position w:val="0"/>
              </w:rPr>
              <w:t>本期确认的租赁费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上期确认的租赁费</w:t>
            </w:r>
          </w:p>
        </w:tc>
      </w:tr>
      <w:tr>
        <w:trPr>
          <w:trHeight w:val="44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赵新宇</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房产</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225,421.77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207,490.88</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14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259"/>
      <w:bookmarkEnd w:id="1260"/>
      <w:bookmarkEnd w:id="1261"/>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本公司作为被担保方</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1618"/>
        <w:gridCol w:w="1944"/>
        <w:gridCol w:w="2208"/>
        <w:gridCol w:w="2890"/>
      </w:tblGrid>
      <w:tr>
        <w:trPr>
          <w:trHeight w:val="41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担保方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担保金额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担保起始日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40" w:firstLine="0"/>
              <w:jc w:val="right"/>
            </w:pPr>
            <w:r>
              <w:rPr>
                <w:b/>
                <w:bCs/>
                <w:color w:val="FFFFFF"/>
                <w:spacing w:val="0"/>
                <w:w w:val="100"/>
                <w:position w:val="0"/>
              </w:rPr>
              <w:t>担保到期日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担保是否已经履行完毕</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刘铁峰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刘铁峰</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刘铁峰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w:t>
            </w:r>
          </w:p>
        </w:tc>
      </w:tr>
    </w:tbl>
    <w:p>
      <w:pPr>
        <w:pStyle w:val="Style45"/>
        <w:keepNext w:val="0"/>
        <w:keepLines w:val="0"/>
        <w:widowControl w:val="0"/>
        <w:shd w:val="clear" w:color="auto" w:fill="auto"/>
        <w:bidi w:val="0"/>
        <w:spacing w:before="0" w:after="0" w:line="240" w:lineRule="auto"/>
        <w:ind w:left="67" w:right="0" w:firstLine="0"/>
        <w:jc w:val="left"/>
      </w:pPr>
      <w:r>
        <w:rPr>
          <w:color w:val="000000"/>
          <w:spacing w:val="0"/>
          <w:w w:val="100"/>
          <w:position w:val="0"/>
        </w:rPr>
        <w:t>关联担保情况说明</w:t>
      </w:r>
    </w:p>
    <w:p>
      <w:pPr>
        <w:widowControl w:val="0"/>
        <w:spacing w:after="79" w:line="1" w:lineRule="exact"/>
      </w:pPr>
    </w:p>
    <w:p>
      <w:pPr>
        <w:pStyle w:val="Style31"/>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担保方在担保期间对本集团与银行在授信额度内的短期借款进行担保。</w:t>
      </w:r>
    </w:p>
    <w:p>
      <w:pPr>
        <w:pStyle w:val="Style69"/>
        <w:keepNext/>
        <w:keepLines/>
        <w:widowControl w:val="0"/>
        <w:shd w:val="clear" w:color="auto" w:fill="auto"/>
        <w:bidi w:val="0"/>
        <w:spacing w:before="0" w:after="320" w:line="240" w:lineRule="auto"/>
        <w:ind w:left="0" w:right="0" w:firstLine="260"/>
        <w:jc w:val="left"/>
        <w:sectPr>
          <w:headerReference w:type="default" r:id="rId99"/>
          <w:footerReference w:type="default" r:id="rId100"/>
          <w:headerReference w:type="even" r:id="rId101"/>
          <w:footerReference w:type="even" r:id="rId102"/>
          <w:footnotePr>
            <w:pos w:val="pageBottom"/>
            <w:numFmt w:val="decimal"/>
            <w:numRestart w:val="continuous"/>
          </w:footnotePr>
          <w:pgSz w:w="11966" w:h="17375"/>
          <w:pgMar w:top="1751" w:right="1143" w:bottom="2380" w:left="1013" w:header="0" w:footer="3" w:gutter="0"/>
          <w:cols w:space="720"/>
          <w:noEndnote/>
          <w:rtlGutter w:val="0"/>
          <w:docGrid w:linePitch="360"/>
        </w:sectPr>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262"/>
      <w:bookmarkEnd w:id="1263"/>
      <w:bookmarkEnd w:id="1265"/>
    </w:p>
    <w:p>
      <w:pPr>
        <w:widowControl w:val="0"/>
        <w:spacing w:after="139" w:line="1" w:lineRule="exact"/>
      </w:pPr>
    </w:p>
    <w:tbl>
      <w:tblPr>
        <w:tblOverlap w:val="never"/>
        <w:jc w:val="center"/>
        <w:tblLayout w:type="fixed"/>
      </w:tblPr>
      <w:tblGrid>
        <w:gridCol w:w="3038"/>
        <w:gridCol w:w="3859"/>
        <w:gridCol w:w="2678"/>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360" w:right="0" w:firstLine="0"/>
              <w:jc w:val="center"/>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上期发生额</w:t>
            </w:r>
          </w:p>
        </w:tc>
      </w:tr>
      <w:tr>
        <w:trPr>
          <w:trHeight w:val="42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关键管理人员薪酬</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1,889,305.44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2,735,588.05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r>
        <w:rPr>
          <w:color w:val="000000"/>
          <w:spacing w:val="0"/>
          <w:w w:val="100"/>
          <w:position w:val="0"/>
          <w:sz w:val="24"/>
          <w:szCs w:val="24"/>
        </w:rPr>
        <w:t>十三、股份支付</w:t>
      </w:r>
      <w:bookmarkEnd w:id="1266"/>
      <w:bookmarkEnd w:id="1267"/>
      <w:bookmarkEnd w:id="1268"/>
    </w:p>
    <w:p>
      <w:pPr>
        <w:pStyle w:val="Style49"/>
        <w:keepNext/>
        <w:keepLines/>
        <w:widowControl w:val="0"/>
        <w:shd w:val="clear" w:color="auto" w:fill="auto"/>
        <w:tabs>
          <w:tab w:pos="357" w:val="left"/>
        </w:tabs>
        <w:bidi w:val="0"/>
        <w:spacing w:before="0" w:after="18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color w:val="000000"/>
          <w:spacing w:val="0"/>
          <w:w w:val="100"/>
          <w:position w:val="0"/>
        </w:rPr>
        <w:t>、</w:t>
        <w:tab/>
        <w:t>总体情况</w:t>
      </w:r>
      <w:bookmarkEnd w:id="1269"/>
      <w:bookmarkEnd w:id="1270"/>
      <w:bookmarkEnd w:id="1272"/>
    </w:p>
    <w:p>
      <w:pPr>
        <w:pStyle w:val="Style31"/>
        <w:keepNext w:val="0"/>
        <w:keepLines w:val="0"/>
        <w:widowControl w:val="0"/>
        <w:shd w:val="clear" w:color="auto" w:fill="auto"/>
        <w:bidi w:val="0"/>
        <w:spacing w:before="0" w:after="40" w:line="353" w:lineRule="exact"/>
        <w:ind w:left="0" w:right="0" w:firstLine="480"/>
        <w:jc w:val="both"/>
      </w:pPr>
      <w:r>
        <w:rPr>
          <w:rFonts w:ascii="Times New Roman" w:eastAsia="Times New Roman" w:hAnsi="Times New Roman" w:cs="Times New Roman"/>
          <w:color w:val="000000"/>
          <w:spacing w:val="0"/>
          <w:w w:val="100"/>
          <w:position w:val="0"/>
          <w:sz w:val="18"/>
          <w:szCs w:val="18"/>
          <w:u w:val="single"/>
        </w:rPr>
        <w:t>1.1</w:t>
      </w:r>
      <w:r>
        <w:rPr>
          <w:color w:val="000000"/>
          <w:spacing w:val="0"/>
          <w:w w:val="100"/>
          <w:position w:val="0"/>
          <w:u w:val="single"/>
        </w:rPr>
        <w:t>限制性股票</w:t>
      </w:r>
    </w:p>
    <w:p>
      <w:pPr>
        <w:pStyle w:val="Style31"/>
        <w:keepNext w:val="0"/>
        <w:keepLines w:val="0"/>
        <w:widowControl w:val="0"/>
        <w:shd w:val="clear" w:color="auto" w:fill="auto"/>
        <w:bidi w:val="0"/>
        <w:spacing w:before="0" w:after="40" w:line="353" w:lineRule="exact"/>
        <w:ind w:left="0" w:right="0" w:firstLine="480"/>
        <w:jc w:val="both"/>
      </w:pPr>
      <w:r>
        <w:rPr>
          <w:color w:val="000000"/>
          <w:spacing w:val="0"/>
          <w:w w:val="100"/>
          <w:position w:val="0"/>
        </w:rPr>
        <w:t>根据本公司于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日股东大会审议通过的《关于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年度激励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及其摘要等议案，本公司以每股人民币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252,900</w:t>
      </w:r>
      <w:r>
        <w:rPr>
          <w:color w:val="000000"/>
          <w:spacing w:val="0"/>
          <w:w w:val="100"/>
          <w:position w:val="0"/>
        </w:rPr>
        <w:t>股限制性股票。上述激励对象限制性股票解锁 条件需满足一定的业绩要求，涉及业绩期间为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31"/>
        <w:keepNext w:val="0"/>
        <w:keepLines w:val="0"/>
        <w:widowControl w:val="0"/>
        <w:shd w:val="clear" w:color="auto" w:fill="auto"/>
        <w:bidi w:val="0"/>
        <w:spacing w:before="0" w:after="180" w:line="353" w:lineRule="exact"/>
        <w:ind w:left="0" w:right="0" w:firstLine="480"/>
        <w:jc w:val="both"/>
      </w:pPr>
      <w:r>
        <w:rPr>
          <w:color w:val="000000"/>
          <w:spacing w:val="0"/>
          <w:w w:val="100"/>
          <w:position w:val="0"/>
        </w:rPr>
        <w:t>根据本公司于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日股东大会审议通过的《关于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及其摘要等议案，本公司以每股人民币</w:t>
      </w:r>
      <w:r>
        <w:rPr>
          <w:rFonts w:ascii="Times New Roman" w:eastAsia="Times New Roman" w:hAnsi="Times New Roman" w:cs="Times New Roman"/>
          <w:color w:val="000000"/>
          <w:spacing w:val="0"/>
          <w:w w:val="100"/>
          <w:position w:val="0"/>
          <w:sz w:val="18"/>
          <w:szCs w:val="18"/>
        </w:rPr>
        <w:t>13.9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240,000</w:t>
      </w:r>
      <w:r>
        <w:rPr>
          <w:color w:val="000000"/>
          <w:spacing w:val="0"/>
          <w:w w:val="100"/>
          <w:position w:val="0"/>
        </w:rPr>
        <w:t>股限制性股票。上述激励对象限制 性股票解锁条件需满足一定的业绩要求，涉及业绩期间为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31"/>
        <w:keepNext w:val="0"/>
        <w:keepLines w:val="0"/>
        <w:widowControl w:val="0"/>
        <w:shd w:val="clear" w:color="auto" w:fill="auto"/>
        <w:bidi w:val="0"/>
        <w:spacing w:before="0" w:after="0" w:line="410" w:lineRule="auto"/>
        <w:ind w:left="0" w:right="0" w:firstLine="480"/>
        <w:jc w:val="both"/>
      </w:pP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u w:val="single"/>
        </w:rPr>
        <w:t>股票期权</w:t>
      </w:r>
    </w:p>
    <w:p>
      <w:pPr>
        <w:pStyle w:val="Style31"/>
        <w:keepNext w:val="0"/>
        <w:keepLines w:val="0"/>
        <w:widowControl w:val="0"/>
        <w:shd w:val="clear" w:color="auto" w:fill="auto"/>
        <w:bidi w:val="0"/>
        <w:spacing w:before="0" w:after="480" w:line="350" w:lineRule="exact"/>
        <w:ind w:left="0" w:right="0" w:firstLine="4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年度激励计划，本公司向</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名激励对象授予股票期权，共授予</w:t>
      </w:r>
      <w:r>
        <w:rPr>
          <w:rFonts w:ascii="Times New Roman" w:eastAsia="Times New Roman" w:hAnsi="Times New Roman" w:cs="Times New Roman"/>
          <w:color w:val="000000"/>
          <w:spacing w:val="0"/>
          <w:w w:val="100"/>
          <w:position w:val="0"/>
          <w:sz w:val="18"/>
          <w:szCs w:val="18"/>
        </w:rPr>
        <w:t>271,125</w:t>
      </w:r>
      <w:r>
        <w:rPr>
          <w:color w:val="000000"/>
          <w:spacing w:val="0"/>
          <w:w w:val="100"/>
          <w:position w:val="0"/>
        </w:rPr>
        <w:t>份股票期权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Times New Roman" w:eastAsia="Times New Roman" w:hAnsi="Times New Roman" w:cs="Times New Roman"/>
          <w:color w:val="000000"/>
          <w:spacing w:val="0"/>
          <w:w w:val="100"/>
          <w:position w:val="0"/>
          <w:sz w:val="17"/>
          <w:szCs w:val="17"/>
        </w:rPr>
        <w:t>0</w:t>
      </w:r>
      <w:r>
        <w:rPr>
          <w:color w:val="000000"/>
          <w:spacing w:val="0"/>
          <w:w w:val="100"/>
          <w:position w:val="0"/>
          <w:sz w:val="17"/>
          <w:szCs w:val="17"/>
        </w:rPr>
        <w:t>，</w:t>
      </w:r>
      <w:r>
        <w:rPr>
          <w:color w:val="000000"/>
          <w:spacing w:val="0"/>
          <w:w w:val="100"/>
          <w:position w:val="0"/>
        </w:rPr>
        <w:t>扣除 离职人员后剩余</w:t>
      </w:r>
      <w:r>
        <w:rPr>
          <w:rFonts w:ascii="Times New Roman" w:eastAsia="Times New Roman" w:hAnsi="Times New Roman" w:cs="Times New Roman"/>
          <w:color w:val="000000"/>
          <w:spacing w:val="0"/>
          <w:w w:val="100"/>
          <w:position w:val="0"/>
          <w:sz w:val="18"/>
          <w:szCs w:val="18"/>
        </w:rPr>
        <w:t>227,625</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日，行权价格为</w:t>
      </w:r>
      <w:r>
        <w:rPr>
          <w:rFonts w:ascii="Times New Roman" w:eastAsia="Times New Roman" w:hAnsi="Times New Roman" w:cs="Times New Roman"/>
          <w:color w:val="000000"/>
          <w:spacing w:val="0"/>
          <w:w w:val="100"/>
          <w:position w:val="0"/>
          <w:sz w:val="18"/>
          <w:szCs w:val="18"/>
        </w:rPr>
        <w:t>28.27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年度激励计划的股票期权有效期自其授 予之日起至激励对象获授的股票期权全部行权或注销之日止，最长不超过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年度激励计划授予各批次股票期权等 待期分别为其授予登记完成之日起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个月。上述激励对象期权计划行权需满足一定业绩要求，涉及期间为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49"/>
        <w:keepNext/>
        <w:keepLines/>
        <w:widowControl w:val="0"/>
        <w:shd w:val="clear" w:color="auto" w:fill="auto"/>
        <w:tabs>
          <w:tab w:pos="366" w:val="left"/>
        </w:tabs>
        <w:bidi w:val="0"/>
        <w:spacing w:before="0" w:after="32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color w:val="000000"/>
          <w:spacing w:val="0"/>
          <w:w w:val="100"/>
          <w:position w:val="0"/>
        </w:rPr>
        <w:t>、</w:t>
        <w:tab/>
        <w:t>变动情况</w:t>
      </w:r>
      <w:bookmarkEnd w:id="1273"/>
      <w:bookmarkEnd w:id="1274"/>
      <w:bookmarkEnd w:id="1276"/>
    </w:p>
    <w:p>
      <w:pPr>
        <w:pStyle w:val="Style45"/>
        <w:keepNext w:val="0"/>
        <w:keepLines w:val="0"/>
        <w:widowControl w:val="0"/>
        <w:shd w:val="clear" w:color="auto" w:fill="auto"/>
        <w:bidi w:val="0"/>
        <w:spacing w:before="0" w:after="0" w:line="240" w:lineRule="auto"/>
        <w:ind w:left="461" w:right="0" w:firstLine="0"/>
        <w:jc w:val="left"/>
      </w:pPr>
      <w:r>
        <w:rPr>
          <w:color w:val="000000"/>
          <w:spacing w:val="0"/>
          <w:w w:val="100"/>
          <w:position w:val="0"/>
        </w:rPr>
        <w:t>报告期内与上述股份支付有关的各项权益工具变动情况表</w:t>
      </w:r>
    </w:p>
    <w:tbl>
      <w:tblPr>
        <w:tblOverlap w:val="never"/>
        <w:jc w:val="center"/>
        <w:tblLayout w:type="fixed"/>
      </w:tblPr>
      <w:tblGrid>
        <w:gridCol w:w="4454"/>
        <w:gridCol w:w="1781"/>
        <w:gridCol w:w="1867"/>
        <w:gridCol w:w="1776"/>
      </w:tblGrid>
      <w:tr>
        <w:trPr>
          <w:trHeight w:val="437"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2018</w:t>
            </w:r>
            <w:r>
              <w:rPr>
                <w:b/>
                <w:bCs/>
                <w:color w:val="FFFFFF"/>
                <w:spacing w:val="0"/>
                <w:w w:val="100"/>
                <w:position w:val="0"/>
              </w:rPr>
              <w:t>年度激励计划</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年度激励计划</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rFonts w:ascii="Times New Roman" w:eastAsia="Times New Roman" w:hAnsi="Times New Roman" w:cs="Times New Roman"/>
                <w:b/>
                <w:bCs/>
                <w:color w:val="FFFFFF"/>
                <w:spacing w:val="0"/>
                <w:w w:val="100"/>
                <w:position w:val="0"/>
                <w:sz w:val="18"/>
                <w:szCs w:val="18"/>
              </w:rPr>
              <w:t>2018</w:t>
            </w:r>
            <w:r>
              <w:rPr>
                <w:b/>
                <w:bCs/>
                <w:color w:val="FFFFFF"/>
                <w:spacing w:val="0"/>
                <w:w w:val="100"/>
                <w:position w:val="0"/>
              </w:rPr>
              <w:t>年股票期权</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2019</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日发行在外的本公司的权益工具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授予</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220,800.00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失效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33,000.00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行使</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tcBorders>
            <w:shd w:val="clear" w:color="auto" w:fill="F9ECF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离职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日发行在外的本公司的权益工具</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348" w:lineRule="exact"/>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年度激励计划下发行在外的限制性股票数量</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股，预计将在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年内解锁。</w:t>
      </w:r>
    </w:p>
    <w:p>
      <w:pPr>
        <w:widowControl w:val="0"/>
        <w:spacing w:after="39" w:line="1" w:lineRule="exact"/>
      </w:pPr>
    </w:p>
    <w:p>
      <w:pPr>
        <w:pStyle w:val="Style31"/>
        <w:keepNext w:val="0"/>
        <w:keepLines w:val="0"/>
        <w:widowControl w:val="0"/>
        <w:shd w:val="clear" w:color="auto" w:fill="auto"/>
        <w:bidi w:val="0"/>
        <w:spacing w:before="0" w:after="40" w:line="348" w:lineRule="exact"/>
        <w:ind w:left="0" w:right="0" w:firstLine="480"/>
        <w:jc w:val="both"/>
      </w:pPr>
      <w:r>
        <w:rPr>
          <w:color w:val="000000"/>
          <w:spacing w:val="0"/>
          <w:w w:val="100"/>
          <w:position w:val="0"/>
        </w:rPr>
        <w:t>公允价值的确定及股份支付费用</w:t>
      </w:r>
    </w:p>
    <w:p>
      <w:pPr>
        <w:pStyle w:val="Style31"/>
        <w:keepNext w:val="0"/>
        <w:keepLines w:val="0"/>
        <w:widowControl w:val="0"/>
        <w:shd w:val="clear" w:color="auto" w:fill="auto"/>
        <w:bidi w:val="0"/>
        <w:spacing w:before="0" w:after="40" w:line="348" w:lineRule="exact"/>
        <w:ind w:left="0" w:right="0" w:firstLine="480"/>
        <w:jc w:val="both"/>
      </w:pPr>
      <w:r>
        <w:rPr>
          <w:color w:val="000000"/>
          <w:spacing w:val="0"/>
          <w:w w:val="100"/>
          <w:position w:val="0"/>
        </w:rPr>
        <w:t>对于上述限制性股票激励计划，限制性股票的公允价值以普通股市价为基础进行计量。</w:t>
      </w:r>
    </w:p>
    <w:p>
      <w:pPr>
        <w:pStyle w:val="Style31"/>
        <w:keepNext w:val="0"/>
        <w:keepLines w:val="0"/>
        <w:widowControl w:val="0"/>
        <w:shd w:val="clear" w:color="auto" w:fill="auto"/>
        <w:bidi w:val="0"/>
        <w:spacing w:before="0" w:after="40" w:line="348" w:lineRule="exact"/>
        <w:ind w:left="0" w:right="0" w:firstLine="480"/>
        <w:jc w:val="both"/>
      </w:pPr>
      <w:r>
        <w:rPr>
          <w:color w:val="000000"/>
          <w:spacing w:val="0"/>
          <w:w w:val="100"/>
          <w:position w:val="0"/>
        </w:rPr>
        <w:t>对于上述股票期权激励计划，本公司按照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斯科尔期权定价模型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对股票期权在授予日的公允价值进行测算，模 型中主要选取参数为标的股价、行权价格、期权有效期、公司近两年股价波动率、中国国债一年、两年和三年期利率和公司 最近三年的平均股息率。</w:t>
      </w:r>
    </w:p>
    <w:p>
      <w:pPr>
        <w:pStyle w:val="Style34"/>
        <w:keepNext w:val="0"/>
        <w:keepLines w:val="0"/>
        <w:widowControl w:val="0"/>
        <w:shd w:val="clear" w:color="auto" w:fill="auto"/>
        <w:bidi w:val="0"/>
        <w:spacing w:before="0" w:after="100" w:line="348" w:lineRule="exact"/>
        <w:ind w:left="0" w:right="0" w:firstLine="480"/>
        <w:jc w:val="both"/>
        <w:rPr>
          <w:sz w:val="15"/>
          <w:szCs w:val="15"/>
        </w:rPr>
      </w:pPr>
      <w:r>
        <w:rPr>
          <w:rFonts w:ascii="SimSun" w:eastAsia="SimSun" w:hAnsi="SimSun" w:cs="SimSun"/>
          <w:color w:val="000000"/>
          <w:spacing w:val="0"/>
          <w:w w:val="100"/>
          <w:position w:val="0"/>
          <w:sz w:val="15"/>
          <w:szCs w:val="15"/>
        </w:rPr>
        <w:t>本公司于</w:t>
      </w:r>
      <w:r>
        <w:rPr>
          <w:color w:val="000000"/>
          <w:spacing w:val="0"/>
          <w:w w:val="100"/>
          <w:position w:val="0"/>
          <w:sz w:val="18"/>
          <w:szCs w:val="18"/>
        </w:rPr>
        <w:t>2020</w:t>
      </w:r>
      <w:r>
        <w:rPr>
          <w:rFonts w:ascii="SimSun" w:eastAsia="SimSun" w:hAnsi="SimSun" w:cs="SimSun"/>
          <w:color w:val="000000"/>
          <w:spacing w:val="0"/>
          <w:w w:val="100"/>
          <w:position w:val="0"/>
          <w:sz w:val="15"/>
          <w:szCs w:val="15"/>
        </w:rPr>
        <w:t>年确认股份支付费用人民币</w:t>
      </w:r>
      <w:r>
        <w:rPr>
          <w:color w:val="000000"/>
          <w:spacing w:val="0"/>
          <w:w w:val="100"/>
          <w:position w:val="0"/>
          <w:sz w:val="18"/>
          <w:szCs w:val="18"/>
        </w:rPr>
        <w:t>229,328.10</w:t>
      </w:r>
      <w:r>
        <w:rPr>
          <w:rFonts w:ascii="SimSun" w:eastAsia="SimSun" w:hAnsi="SimSun" w:cs="SimSun"/>
          <w:color w:val="000000"/>
          <w:spacing w:val="0"/>
          <w:w w:val="100"/>
          <w:position w:val="0"/>
          <w:sz w:val="15"/>
          <w:szCs w:val="15"/>
        </w:rPr>
        <w:t>元</w:t>
      </w:r>
      <w:r>
        <w:rPr>
          <w:color w:val="000000"/>
          <w:spacing w:val="0"/>
          <w:w w:val="100"/>
          <w:position w:val="0"/>
          <w:sz w:val="18"/>
          <w:szCs w:val="18"/>
        </w:rPr>
        <w:t>（2019</w:t>
      </w:r>
      <w:r>
        <w:rPr>
          <w:rFonts w:ascii="SimSun" w:eastAsia="SimSun" w:hAnsi="SimSun" w:cs="SimSun"/>
          <w:color w:val="000000"/>
          <w:spacing w:val="0"/>
          <w:w w:val="100"/>
          <w:position w:val="0"/>
          <w:sz w:val="15"/>
          <w:szCs w:val="15"/>
        </w:rPr>
        <w:t>年：人民币</w:t>
      </w:r>
      <w:r>
        <w:rPr>
          <w:color w:val="000000"/>
          <w:spacing w:val="0"/>
          <w:w w:val="100"/>
          <w:position w:val="0"/>
          <w:sz w:val="18"/>
          <w:szCs w:val="18"/>
        </w:rPr>
        <w:t>777,539.76</w:t>
      </w:r>
      <w:r>
        <w:rPr>
          <w:rFonts w:ascii="SimSun" w:eastAsia="SimSun" w:hAnsi="SimSun" w:cs="SimSun"/>
          <w:color w:val="000000"/>
          <w:spacing w:val="0"/>
          <w:w w:val="100"/>
          <w:position w:val="0"/>
          <w:sz w:val="15"/>
          <w:szCs w:val="15"/>
        </w:rPr>
        <w:t>元</w:t>
      </w:r>
      <w:r>
        <w:rPr>
          <w:color w:val="000000"/>
          <w:spacing w:val="0"/>
          <w:w w:val="100"/>
          <w:position w:val="0"/>
          <w:sz w:val="18"/>
          <w:szCs w:val="18"/>
        </w:rPr>
        <w:t>）</w:t>
      </w:r>
      <w:r>
        <w:rPr>
          <w:rFonts w:ascii="SimSun" w:eastAsia="SimSun" w:hAnsi="SimSun" w:cs="SimSun"/>
          <w:color w:val="000000"/>
          <w:spacing w:val="0"/>
          <w:w w:val="100"/>
          <w:position w:val="0"/>
          <w:sz w:val="15"/>
          <w:szCs w:val="15"/>
        </w:rPr>
        <w:t>。截至</w:t>
      </w:r>
      <w:r>
        <w:rPr>
          <w:color w:val="000000"/>
          <w:spacing w:val="0"/>
          <w:w w:val="100"/>
          <w:position w:val="0"/>
          <w:sz w:val="18"/>
          <w:szCs w:val="18"/>
        </w:rPr>
        <w:t>2020</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日，股份支</w:t>
      </w:r>
      <w:r>
        <w:br w:type="page"/>
      </w:r>
    </w:p>
    <w:p>
      <w:pPr>
        <w:pStyle w:val="Style34"/>
        <w:keepNext w:val="0"/>
        <w:keepLines w:val="0"/>
        <w:widowControl w:val="0"/>
        <w:shd w:val="clear" w:color="auto" w:fill="auto"/>
        <w:bidi w:val="0"/>
        <w:spacing w:before="0" w:after="440" w:line="240" w:lineRule="auto"/>
        <w:ind w:left="0" w:right="0" w:firstLine="140"/>
        <w:jc w:val="both"/>
        <w:rPr>
          <w:sz w:val="15"/>
          <w:szCs w:val="15"/>
        </w:rPr>
      </w:pPr>
      <w:r>
        <w:rPr>
          <w:rFonts w:ascii="SimSun" w:eastAsia="SimSun" w:hAnsi="SimSun" w:cs="SimSun"/>
          <w:color w:val="000000"/>
          <w:spacing w:val="0"/>
          <w:w w:val="100"/>
          <w:position w:val="0"/>
          <w:sz w:val="15"/>
          <w:szCs w:val="15"/>
        </w:rPr>
        <w:t>付累计计入资本公积的金额为人民币</w:t>
      </w:r>
      <w:r>
        <w:rPr>
          <w:color w:val="000000"/>
          <w:spacing w:val="0"/>
          <w:w w:val="100"/>
          <w:position w:val="0"/>
          <w:sz w:val="18"/>
          <w:szCs w:val="18"/>
        </w:rPr>
        <w:t>1,485,706.86</w:t>
      </w:r>
      <w:r>
        <w:rPr>
          <w:rFonts w:ascii="SimSun" w:eastAsia="SimSun" w:hAnsi="SimSun" w:cs="SimSun"/>
          <w:color w:val="000000"/>
          <w:spacing w:val="0"/>
          <w:w w:val="100"/>
          <w:position w:val="0"/>
          <w:sz w:val="15"/>
          <w:szCs w:val="15"/>
        </w:rPr>
        <w:t>元</w:t>
      </w:r>
      <w:r>
        <w:rPr>
          <w:color w:val="000000"/>
          <w:spacing w:val="0"/>
          <w:w w:val="100"/>
          <w:position w:val="0"/>
          <w:sz w:val="18"/>
          <w:szCs w:val="18"/>
        </w:rPr>
        <w:t>（2019</w:t>
      </w:r>
      <w:r>
        <w:rPr>
          <w:rFonts w:ascii="SimSun" w:eastAsia="SimSun" w:hAnsi="SimSun" w:cs="SimSun"/>
          <w:color w:val="000000"/>
          <w:spacing w:val="0"/>
          <w:w w:val="100"/>
          <w:position w:val="0"/>
          <w:sz w:val="15"/>
          <w:szCs w:val="15"/>
        </w:rPr>
        <w:t>年</w:t>
      </w:r>
      <w:r>
        <w:rPr>
          <w:color w:val="000000"/>
          <w:spacing w:val="0"/>
          <w:w w:val="100"/>
          <w:position w:val="0"/>
          <w:sz w:val="18"/>
          <w:szCs w:val="18"/>
        </w:rPr>
        <w:t>12</w:t>
      </w:r>
      <w:r>
        <w:rPr>
          <w:rFonts w:ascii="SimSun" w:eastAsia="SimSun" w:hAnsi="SimSun" w:cs="SimSun"/>
          <w:color w:val="000000"/>
          <w:spacing w:val="0"/>
          <w:w w:val="100"/>
          <w:position w:val="0"/>
          <w:sz w:val="15"/>
          <w:szCs w:val="15"/>
        </w:rPr>
        <w:t>月</w:t>
      </w:r>
      <w:r>
        <w:rPr>
          <w:color w:val="000000"/>
          <w:spacing w:val="0"/>
          <w:w w:val="100"/>
          <w:position w:val="0"/>
          <w:sz w:val="18"/>
          <w:szCs w:val="18"/>
        </w:rPr>
        <w:t>31</w:t>
      </w:r>
      <w:r>
        <w:rPr>
          <w:rFonts w:ascii="SimSun" w:eastAsia="SimSun" w:hAnsi="SimSun" w:cs="SimSun"/>
          <w:color w:val="000000"/>
          <w:spacing w:val="0"/>
          <w:w w:val="100"/>
          <w:position w:val="0"/>
          <w:sz w:val="15"/>
          <w:szCs w:val="15"/>
        </w:rPr>
        <w:t>日：人民币</w:t>
      </w:r>
      <w:r>
        <w:rPr>
          <w:color w:val="000000"/>
          <w:spacing w:val="0"/>
          <w:w w:val="100"/>
          <w:position w:val="0"/>
          <w:sz w:val="18"/>
          <w:szCs w:val="18"/>
        </w:rPr>
        <w:t>1</w:t>
      </w:r>
      <w:r>
        <w:rPr>
          <w:color w:val="000000"/>
          <w:spacing w:val="0"/>
          <w:w w:val="100"/>
          <w:position w:val="0"/>
          <w:sz w:val="18"/>
          <w:szCs w:val="18"/>
        </w:rPr>
        <w:t>,256,378.76</w:t>
      </w:r>
      <w:r>
        <w:rPr>
          <w:rFonts w:ascii="SimSun" w:eastAsia="SimSun" w:hAnsi="SimSun" w:cs="SimSun"/>
          <w:color w:val="000000"/>
          <w:spacing w:val="0"/>
          <w:w w:val="100"/>
          <w:position w:val="0"/>
          <w:sz w:val="15"/>
          <w:szCs w:val="15"/>
        </w:rPr>
        <w:t>元</w:t>
      </w:r>
      <w:r>
        <w:rPr>
          <w:color w:val="000000"/>
          <w:spacing w:val="0"/>
          <w:w w:val="100"/>
          <w:position w:val="0"/>
          <w:sz w:val="18"/>
          <w:szCs w:val="18"/>
        </w:rPr>
        <w:t>）</w:t>
      </w:r>
      <w:r>
        <w:rPr>
          <w:rFonts w:ascii="SimSun" w:eastAsia="SimSun" w:hAnsi="SimSun" w:cs="SimSun"/>
          <w:color w:val="000000"/>
          <w:spacing w:val="0"/>
          <w:w w:val="100"/>
          <w:position w:val="0"/>
          <w:sz w:val="15"/>
          <w:szCs w:val="15"/>
        </w:rPr>
        <w:t>。</w:t>
      </w:r>
    </w:p>
    <w:p>
      <w:pPr>
        <w:pStyle w:val="Style39"/>
        <w:keepNext/>
        <w:keepLines/>
        <w:widowControl w:val="0"/>
        <w:shd w:val="clear" w:color="auto" w:fill="auto"/>
        <w:bidi w:val="0"/>
        <w:spacing w:before="0" w:after="380" w:line="240" w:lineRule="auto"/>
        <w:ind w:left="0" w:right="0" w:firstLine="140"/>
        <w:jc w:val="left"/>
      </w:pPr>
      <w:bookmarkStart w:id="1277" w:name="bookmark1277"/>
      <w:bookmarkStart w:id="1278" w:name="bookmark1278"/>
      <w:bookmarkStart w:id="1279" w:name="bookmark1279"/>
      <w:r>
        <w:rPr>
          <w:color w:val="000000"/>
          <w:spacing w:val="0"/>
          <w:w w:val="100"/>
          <w:position w:val="0"/>
          <w:sz w:val="24"/>
          <w:szCs w:val="24"/>
        </w:rPr>
        <w:t>十四、承诺及或有事项</w:t>
      </w:r>
      <w:bookmarkEnd w:id="1277"/>
      <w:bookmarkEnd w:id="1278"/>
      <w:bookmarkEnd w:id="1279"/>
    </w:p>
    <w:p>
      <w:pPr>
        <w:pStyle w:val="Style49"/>
        <w:keepNext/>
        <w:keepLines/>
        <w:widowControl w:val="0"/>
        <w:shd w:val="clear" w:color="auto" w:fill="auto"/>
        <w:bidi w:val="0"/>
        <w:spacing w:before="0" w:after="340" w:line="240" w:lineRule="auto"/>
        <w:ind w:left="0" w:right="0" w:firstLine="14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280"/>
      <w:bookmarkEnd w:id="1281"/>
      <w:bookmarkEnd w:id="1282"/>
    </w:p>
    <w:p>
      <w:pPr>
        <w:pStyle w:val="Style3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180" w:line="240" w:lineRule="auto"/>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、资本性支出承诺事项</w:t>
      </w:r>
    </w:p>
    <w:p>
      <w:pPr>
        <w:pStyle w:val="Style31"/>
        <w:keepNext w:val="0"/>
        <w:keepLines w:val="0"/>
        <w:widowControl w:val="0"/>
        <w:shd w:val="clear" w:color="auto" w:fill="auto"/>
        <w:bidi w:val="0"/>
        <w:spacing w:before="0" w:after="340" w:line="240" w:lineRule="auto"/>
        <w:ind w:left="0" w:right="0" w:firstLine="500"/>
        <w:jc w:val="both"/>
      </w:pPr>
      <w:r>
        <w:rPr>
          <w:color w:val="000000"/>
          <w:spacing w:val="0"/>
          <w:w w:val="100"/>
          <w:position w:val="0"/>
        </w:rPr>
        <w:t>以下为本集团于资产负债表日，已签约而尚不必在资产负债表上列示的资本性支出承诺：</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人民币元</w:t>
      </w:r>
    </w:p>
    <w:tbl>
      <w:tblPr>
        <w:tblOverlap w:val="never"/>
        <w:jc w:val="center"/>
        <w:tblLayout w:type="fixed"/>
      </w:tblPr>
      <w:tblGrid>
        <w:gridCol w:w="1800"/>
        <w:gridCol w:w="2914"/>
        <w:gridCol w:w="3163"/>
        <w:gridCol w:w="1666"/>
      </w:tblGrid>
      <w:tr>
        <w:trPr>
          <w:trHeight w:val="33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2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年初余额</w:t>
            </w:r>
          </w:p>
        </w:tc>
      </w:tr>
      <w:tr>
        <w:trPr>
          <w:trHeight w:val="365"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3,091,000.00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、经营租赁承诺事项</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根据已签订的不可撤销的经营性租赁合同，本集团未来最低应支付租金汇总如下:</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人民币元</w:t>
      </w:r>
    </w:p>
    <w:tbl>
      <w:tblPr>
        <w:tblOverlap w:val="never"/>
        <w:jc w:val="center"/>
        <w:tblLayout w:type="fixed"/>
      </w:tblPr>
      <w:tblGrid>
        <w:gridCol w:w="3614"/>
        <w:gridCol w:w="4272"/>
        <w:gridCol w:w="1656"/>
      </w:tblGrid>
      <w:tr>
        <w:trPr>
          <w:trHeight w:val="34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年初余额</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80" w:right="0" w:firstLine="0"/>
              <w:jc w:val="left"/>
              <w:rPr>
                <w:sz w:val="18"/>
                <w:szCs w:val="18"/>
              </w:rPr>
            </w:pPr>
            <w:r>
              <w:rPr>
                <w:rFonts w:ascii="Times New Roman" w:eastAsia="Times New Roman" w:hAnsi="Times New Roman" w:cs="Times New Roman"/>
                <w:color w:val="000000"/>
                <w:spacing w:val="0"/>
                <w:w w:val="100"/>
                <w:position w:val="0"/>
                <w:sz w:val="18"/>
                <w:szCs w:val="18"/>
              </w:rPr>
              <w:t>20,447,053.19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24,140,145.89</w:t>
            </w:r>
          </w:p>
        </w:tc>
      </w:tr>
      <w:tr>
        <w:trPr>
          <w:trHeight w:val="322" w:hRule="exact"/>
        </w:trPr>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一到二年</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980" w:right="0" w:firstLine="0"/>
              <w:jc w:val="left"/>
              <w:rPr>
                <w:sz w:val="18"/>
                <w:szCs w:val="18"/>
              </w:rPr>
            </w:pPr>
            <w:r>
              <w:rPr>
                <w:rFonts w:ascii="Times New Roman" w:eastAsia="Times New Roman" w:hAnsi="Times New Roman" w:cs="Times New Roman"/>
                <w:color w:val="000000"/>
                <w:spacing w:val="0"/>
                <w:w w:val="100"/>
                <w:position w:val="0"/>
                <w:sz w:val="18"/>
                <w:szCs w:val="18"/>
              </w:rPr>
              <w:t>9,396,154.20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15,280,310.44</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二到三年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80" w:right="0" w:firstLine="0"/>
              <w:jc w:val="left"/>
              <w:rPr>
                <w:sz w:val="18"/>
                <w:szCs w:val="18"/>
              </w:rPr>
            </w:pPr>
            <w:r>
              <w:rPr>
                <w:rFonts w:ascii="Times New Roman" w:eastAsia="Times New Roman" w:hAnsi="Times New Roman" w:cs="Times New Roman"/>
                <w:color w:val="000000"/>
                <w:spacing w:val="0"/>
                <w:w w:val="100"/>
                <w:position w:val="0"/>
                <w:sz w:val="18"/>
                <w:szCs w:val="18"/>
              </w:rPr>
              <w:t>5,482,832.36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11,930,964.82</w:t>
            </w:r>
          </w:p>
        </w:tc>
      </w:tr>
      <w:tr>
        <w:trPr>
          <w:trHeight w:val="336" w:hRule="exact"/>
        </w:trPr>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三年以上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868,341.43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15,174,076.10</w:t>
            </w:r>
          </w:p>
        </w:tc>
      </w:tr>
      <w:tr>
        <w:trPr>
          <w:trHeight w:val="312"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880" w:right="0" w:firstLine="0"/>
              <w:jc w:val="left"/>
              <w:rPr>
                <w:sz w:val="18"/>
                <w:szCs w:val="18"/>
              </w:rPr>
            </w:pPr>
            <w:r>
              <w:rPr>
                <w:rFonts w:ascii="Times New Roman" w:eastAsia="Times New Roman" w:hAnsi="Times New Roman" w:cs="Times New Roman"/>
                <w:b/>
                <w:bCs/>
                <w:color w:val="FFFFFF"/>
                <w:spacing w:val="0"/>
                <w:w w:val="100"/>
                <w:position w:val="0"/>
                <w:sz w:val="18"/>
                <w:szCs w:val="18"/>
              </w:rPr>
              <w:t>36,194,381.18</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rPr>
                <w:sz w:val="18"/>
                <w:szCs w:val="18"/>
              </w:rPr>
            </w:pPr>
            <w:r>
              <w:rPr>
                <w:rFonts w:ascii="Times New Roman" w:eastAsia="Times New Roman" w:hAnsi="Times New Roman" w:cs="Times New Roman"/>
                <w:b/>
                <w:bCs/>
                <w:color w:val="FFFFFF"/>
                <w:spacing w:val="0"/>
                <w:w w:val="100"/>
                <w:position w:val="0"/>
                <w:sz w:val="18"/>
                <w:szCs w:val="18"/>
              </w:rPr>
              <w:t>66,525,497.25</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14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283"/>
      <w:bookmarkEnd w:id="1284"/>
      <w:bookmarkEnd w:id="1285"/>
    </w:p>
    <w:p>
      <w:pPr>
        <w:pStyle w:val="Style69"/>
        <w:keepNext/>
        <w:keepLines/>
        <w:widowControl w:val="0"/>
        <w:shd w:val="clear" w:color="auto" w:fill="auto"/>
        <w:bidi w:val="0"/>
        <w:spacing w:before="0" w:after="180" w:line="240" w:lineRule="auto"/>
        <w:ind w:left="0" w:right="0" w:firstLine="14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286"/>
      <w:bookmarkEnd w:id="1287"/>
      <w:bookmarkEnd w:id="1288"/>
    </w:p>
    <w:p>
      <w:pPr>
        <w:pStyle w:val="Style31"/>
        <w:keepNext w:val="0"/>
        <w:keepLines w:val="0"/>
        <w:widowControl w:val="0"/>
        <w:shd w:val="clear" w:color="auto" w:fill="auto"/>
        <w:bidi w:val="0"/>
        <w:spacing w:before="0" w:after="0" w:line="350" w:lineRule="exact"/>
        <w:ind w:left="0" w:right="0" w:firstLine="5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日，本集团存在以下或有事项：</w:t>
      </w:r>
    </w:p>
    <w:p>
      <w:pPr>
        <w:pStyle w:val="Style31"/>
        <w:keepNext w:val="0"/>
        <w:keepLines w:val="0"/>
        <w:widowControl w:val="0"/>
        <w:shd w:val="clear" w:color="auto" w:fill="auto"/>
        <w:tabs>
          <w:tab w:pos="844" w:val="left"/>
        </w:tabs>
        <w:bidi w:val="0"/>
        <w:spacing w:before="0" w:after="0" w:line="350" w:lineRule="exact"/>
        <w:ind w:left="140" w:right="0" w:firstLine="360"/>
        <w:jc w:val="both"/>
      </w:pPr>
      <w:bookmarkStart w:id="1289" w:name="bookmark1289"/>
      <w:r>
        <w:rPr>
          <w:rFonts w:ascii="Times New Roman" w:eastAsia="Times New Roman" w:hAnsi="Times New Roman" w:cs="Times New Roman"/>
          <w:color w:val="000000"/>
          <w:spacing w:val="0"/>
          <w:w w:val="100"/>
          <w:position w:val="0"/>
          <w:sz w:val="18"/>
          <w:szCs w:val="18"/>
        </w:rPr>
        <w:t>1</w:t>
      </w:r>
      <w:bookmarkEnd w:id="12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日，天津地福商场经营管理有限公司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天津地福商场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就与上海百邦签订的《商铺租赁合同》 诉诸法庭，请求判决没收上海百邦已支付的履约保证金人民币</w:t>
      </w:r>
      <w:r>
        <w:rPr>
          <w:rFonts w:ascii="Times New Roman" w:eastAsia="Times New Roman" w:hAnsi="Times New Roman" w:cs="Times New Roman"/>
          <w:color w:val="000000"/>
          <w:spacing w:val="0"/>
          <w:w w:val="100"/>
          <w:position w:val="0"/>
          <w:sz w:val="18"/>
          <w:szCs w:val="18"/>
        </w:rPr>
        <w:t>999,721.68</w:t>
      </w:r>
      <w:r>
        <w:rPr>
          <w:color w:val="000000"/>
          <w:spacing w:val="0"/>
          <w:w w:val="100"/>
          <w:position w:val="0"/>
        </w:rPr>
        <w:t>元，要求上海百邦额外支付天津地福商场违约金人 民币</w:t>
      </w:r>
      <w:r>
        <w:rPr>
          <w:rFonts w:ascii="Times New Roman" w:eastAsia="Times New Roman" w:hAnsi="Times New Roman" w:cs="Times New Roman"/>
          <w:color w:val="000000"/>
          <w:spacing w:val="0"/>
          <w:w w:val="100"/>
          <w:position w:val="0"/>
          <w:sz w:val="18"/>
          <w:szCs w:val="18"/>
        </w:rPr>
        <w:t>2,097,637.80</w:t>
      </w:r>
      <w:r>
        <w:rPr>
          <w:color w:val="000000"/>
          <w:spacing w:val="0"/>
          <w:w w:val="100"/>
          <w:position w:val="0"/>
        </w:rPr>
        <w:t>元，并返还免除的租金人民币</w:t>
      </w:r>
      <w:r>
        <w:rPr>
          <w:rFonts w:ascii="Times New Roman" w:eastAsia="Times New Roman" w:hAnsi="Times New Roman" w:cs="Times New Roman"/>
          <w:color w:val="000000"/>
          <w:spacing w:val="0"/>
          <w:w w:val="100"/>
          <w:position w:val="0"/>
          <w:sz w:val="18"/>
          <w:szCs w:val="18"/>
        </w:rPr>
        <w:t>710,440.00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Times New Roman" w:eastAsia="Times New Roman" w:hAnsi="Times New Roman" w:cs="Times New Roman"/>
          <w:color w:val="000000"/>
          <w:spacing w:val="0"/>
          <w:w w:val="100"/>
          <w:position w:val="0"/>
          <w:sz w:val="17"/>
          <w:szCs w:val="17"/>
        </w:rPr>
        <w:t>0</w:t>
      </w:r>
      <w:r>
        <w:rPr>
          <w:color w:val="000000"/>
          <w:spacing w:val="0"/>
          <w:w w:val="100"/>
          <w:position w:val="0"/>
          <w:sz w:val="17"/>
          <w:szCs w:val="17"/>
        </w:rPr>
        <w:t>，</w:t>
      </w:r>
      <w:r>
        <w:rPr>
          <w:color w:val="000000"/>
          <w:spacing w:val="0"/>
          <w:w w:val="100"/>
          <w:position w:val="0"/>
        </w:rPr>
        <w:t>该案件尚未完结，本集团已就该案件计 提预计负债人民币</w:t>
      </w:r>
      <w:r>
        <w:rPr>
          <w:rFonts w:ascii="Times New Roman" w:eastAsia="Times New Roman" w:hAnsi="Times New Roman" w:cs="Times New Roman"/>
          <w:color w:val="000000"/>
          <w:spacing w:val="0"/>
          <w:w w:val="100"/>
          <w:position w:val="0"/>
          <w:sz w:val="18"/>
          <w:szCs w:val="18"/>
        </w:rPr>
        <w:t>1,300,000.00</w:t>
      </w:r>
      <w:r>
        <w:rPr>
          <w:color w:val="000000"/>
          <w:spacing w:val="0"/>
          <w:w w:val="100"/>
          <w:position w:val="0"/>
        </w:rPr>
        <w:t>元。</w:t>
      </w:r>
    </w:p>
    <w:p>
      <w:pPr>
        <w:pStyle w:val="Style31"/>
        <w:keepNext w:val="0"/>
        <w:keepLines w:val="0"/>
        <w:widowControl w:val="0"/>
        <w:shd w:val="clear" w:color="auto" w:fill="auto"/>
        <w:bidi w:val="0"/>
        <w:spacing w:before="0" w:after="0" w:line="353" w:lineRule="exact"/>
        <w:ind w:left="140" w:right="0" w:firstLine="360"/>
        <w:jc w:val="both"/>
      </w:pPr>
      <w:bookmarkStart w:id="1290" w:name="bookmark1290"/>
      <w:r>
        <w:rPr>
          <w:rFonts w:ascii="Times New Roman" w:eastAsia="Times New Roman" w:hAnsi="Times New Roman" w:cs="Times New Roman"/>
          <w:color w:val="000000"/>
          <w:spacing w:val="0"/>
          <w:w w:val="100"/>
          <w:position w:val="0"/>
          <w:sz w:val="18"/>
          <w:szCs w:val="18"/>
        </w:rPr>
        <w:t>2</w:t>
      </w:r>
      <w:bookmarkEnd w:id="129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日，中国移动通信山东有限公司泰安分公司就与上海百邦签订的《商铺租赁合同》诉诸法庭，请求判 决上海百邦等公司向其赔偿房租等损失合计人民币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288,828.00</w:t>
      </w:r>
      <w:r>
        <w:rPr>
          <w:color w:val="000000"/>
          <w:spacing w:val="0"/>
          <w:w w:val="100"/>
          <w:position w:val="0"/>
        </w:rPr>
        <w:t>元，一审法院判决上海百邦向其支付人民币</w:t>
      </w:r>
      <w:r>
        <w:rPr>
          <w:rFonts w:ascii="Times New Roman" w:eastAsia="Times New Roman" w:hAnsi="Times New Roman" w:cs="Times New Roman"/>
          <w:color w:val="000000"/>
          <w:spacing w:val="0"/>
          <w:w w:val="100"/>
          <w:position w:val="0"/>
          <w:sz w:val="18"/>
          <w:szCs w:val="18"/>
        </w:rPr>
        <w:t>99,040.00</w:t>
      </w:r>
      <w:r>
        <w:rPr>
          <w:color w:val="000000"/>
          <w:spacing w:val="0"/>
          <w:w w:val="100"/>
          <w:position w:val="0"/>
        </w:rPr>
        <w:t>元，后 上海百邦提出二审上诉。截至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日，该案件尚未完结，本集团已就该案件计提预计负债人民币</w:t>
      </w:r>
      <w:r>
        <w:rPr>
          <w:rFonts w:ascii="Times New Roman" w:eastAsia="Times New Roman" w:hAnsi="Times New Roman" w:cs="Times New Roman"/>
          <w:color w:val="000000"/>
          <w:spacing w:val="0"/>
          <w:w w:val="100"/>
          <w:position w:val="0"/>
          <w:sz w:val="18"/>
          <w:szCs w:val="18"/>
        </w:rPr>
        <w:t>99,040.00</w:t>
      </w:r>
      <w:r>
        <w:rPr>
          <w:color w:val="000000"/>
          <w:spacing w:val="0"/>
          <w:w w:val="100"/>
          <w:position w:val="0"/>
        </w:rPr>
        <w:t>元。</w:t>
      </w:r>
    </w:p>
    <w:p>
      <w:pPr>
        <w:pStyle w:val="Style31"/>
        <w:keepNext w:val="0"/>
        <w:keepLines w:val="0"/>
        <w:widowControl w:val="0"/>
        <w:shd w:val="clear" w:color="auto" w:fill="auto"/>
        <w:tabs>
          <w:tab w:pos="854" w:val="left"/>
        </w:tabs>
        <w:bidi w:val="0"/>
        <w:spacing w:before="0" w:after="180" w:line="350" w:lineRule="exact"/>
        <w:ind w:left="140" w:right="0" w:firstLine="360"/>
        <w:jc w:val="both"/>
      </w:pPr>
      <w:bookmarkStart w:id="1291" w:name="bookmark1291"/>
      <w:r>
        <w:rPr>
          <w:rFonts w:ascii="Times New Roman" w:eastAsia="Times New Roman" w:hAnsi="Times New Roman" w:cs="Times New Roman"/>
          <w:color w:val="000000"/>
          <w:spacing w:val="0"/>
          <w:w w:val="100"/>
          <w:position w:val="0"/>
          <w:sz w:val="18"/>
          <w:szCs w:val="18"/>
        </w:rPr>
        <w:t>3</w:t>
      </w:r>
      <w:bookmarkEnd w:id="12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年，韩萧就与上海百邦、倪善福和翟文博等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人就与北京百邦的劳动合同纠纷诉诸法庭，请求判决支付 其违法解除劳动合同赔偿金、未休年假工资、工资和违法解除劳动合同赔偿金等。上述案件由北京市海淀区人民法院、济南 市天桥区人民法院等审理，截至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日，尚未审理完结，本集团已就上述案件分别计提预计负债人民币</w:t>
      </w:r>
      <w:r>
        <w:rPr>
          <w:rFonts w:ascii="Times New Roman" w:eastAsia="Times New Roman" w:hAnsi="Times New Roman" w:cs="Times New Roman"/>
          <w:color w:val="000000"/>
          <w:spacing w:val="0"/>
          <w:w w:val="100"/>
          <w:position w:val="0"/>
          <w:sz w:val="18"/>
          <w:szCs w:val="18"/>
        </w:rPr>
        <w:t xml:space="preserve">53,000.00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w:t>
      </w:r>
      <w:r>
        <w:br w:type="page"/>
      </w:r>
    </w:p>
    <w:p>
      <w:pPr>
        <w:pStyle w:val="Style96"/>
        <w:keepNext w:val="0"/>
        <w:keepLines w:val="0"/>
        <w:widowControl w:val="0"/>
        <w:shd w:val="clear" w:color="auto" w:fill="auto"/>
        <w:bidi w:val="0"/>
        <w:spacing w:before="0" w:after="0" w:line="614" w:lineRule="exact"/>
        <w:ind w:left="140" w:right="0" w:firstLine="0"/>
        <w:jc w:val="left"/>
        <w:rPr>
          <w:sz w:val="15"/>
          <w:szCs w:val="15"/>
        </w:rPr>
      </w:pPr>
      <w:bookmarkStart w:id="1292" w:name="bookmark1292"/>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)公司没有需要披露的重要或有事项，也应予以说明 </w:t>
      </w:r>
      <w:r>
        <w:rPr>
          <w:b w:val="0"/>
          <w:bCs w:val="0"/>
          <w:color w:val="000000"/>
          <w:spacing w:val="0"/>
          <w:w w:val="100"/>
          <w:position w:val="0"/>
          <w:sz w:val="15"/>
          <w:szCs w:val="15"/>
        </w:rPr>
        <w:t>公司不存在需要披露的重要或有事项。</w:t>
      </w:r>
      <w:bookmarkEnd w:id="1292"/>
    </w:p>
    <w:p>
      <w:pPr>
        <w:pStyle w:val="Style39"/>
        <w:keepNext/>
        <w:keepLines/>
        <w:widowControl w:val="0"/>
        <w:shd w:val="clear" w:color="auto" w:fill="auto"/>
        <w:bidi w:val="0"/>
        <w:spacing w:before="0" w:after="0" w:line="614" w:lineRule="exact"/>
        <w:ind w:left="0" w:right="0" w:firstLine="140"/>
        <w:jc w:val="left"/>
      </w:pPr>
      <w:bookmarkStart w:id="1293" w:name="bookmark1293"/>
      <w:bookmarkStart w:id="1294" w:name="bookmark1294"/>
      <w:bookmarkStart w:id="1295" w:name="bookmark1295"/>
      <w:r>
        <w:rPr>
          <w:color w:val="000000"/>
          <w:spacing w:val="0"/>
          <w:w w:val="100"/>
          <w:position w:val="0"/>
          <w:sz w:val="24"/>
          <w:szCs w:val="24"/>
        </w:rPr>
        <w:t>十五、其他重要事项</w:t>
      </w:r>
      <w:bookmarkEnd w:id="1293"/>
      <w:bookmarkEnd w:id="1294"/>
      <w:bookmarkEnd w:id="1295"/>
    </w:p>
    <w:p>
      <w:pPr>
        <w:pStyle w:val="Style49"/>
        <w:keepNext/>
        <w:keepLines/>
        <w:widowControl w:val="0"/>
        <w:shd w:val="clear" w:color="auto" w:fill="auto"/>
        <w:bidi w:val="0"/>
        <w:spacing w:before="0" w:after="380" w:line="614" w:lineRule="exact"/>
        <w:ind w:left="0" w:right="0" w:firstLine="14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r>
        <w:rPr>
          <w:color w:val="000000"/>
          <w:spacing w:val="0"/>
          <w:w w:val="100"/>
          <w:position w:val="0"/>
        </w:rPr>
        <w:t>、终止经营</w:t>
      </w:r>
      <w:bookmarkEnd w:id="1296"/>
      <w:bookmarkEnd w:id="1297"/>
      <w:bookmarkEnd w:id="12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334"/>
        <w:gridCol w:w="1339"/>
        <w:gridCol w:w="1397"/>
        <w:gridCol w:w="902"/>
        <w:gridCol w:w="1378"/>
        <w:gridCol w:w="2131"/>
      </w:tblGrid>
      <w:tr>
        <w:trPr>
          <w:trHeight w:val="58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费用</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利润总额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center"/>
            </w:pPr>
            <w:r>
              <w:rPr>
                <w:b/>
                <w:bCs/>
                <w:color w:val="FFFFFF"/>
                <w:spacing w:val="0"/>
                <w:w w:val="100"/>
                <w:position w:val="0"/>
              </w:rPr>
              <w:t>所得税 费用</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净利润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center"/>
            </w:pPr>
            <w:r>
              <w:rPr>
                <w:b/>
                <w:bCs/>
                <w:color w:val="FFFFFF"/>
                <w:spacing w:val="0"/>
                <w:w w:val="100"/>
                <w:position w:val="0"/>
              </w:rPr>
              <w:t>归属于母公司所有者的 终止经营利润</w:t>
            </w:r>
          </w:p>
        </w:tc>
      </w:tr>
      <w:tr>
        <w:trPr>
          <w:trHeight w:val="590"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某品牌授权 门店业务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72,432,880.44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93,427,461.81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-20,994,581.37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-20,994,581.37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-20,994,581.37</w:t>
            </w:r>
          </w:p>
        </w:tc>
      </w:tr>
    </w:tbl>
    <w:p>
      <w:pPr>
        <w:pStyle w:val="Style45"/>
        <w:keepNext w:val="0"/>
        <w:keepLines w:val="0"/>
        <w:widowControl w:val="0"/>
        <w:shd w:val="clear" w:color="auto" w:fill="auto"/>
        <w:bidi w:val="0"/>
        <w:spacing w:before="0" w:after="0" w:line="240" w:lineRule="auto"/>
        <w:ind w:left="49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55" w:lineRule="exact"/>
        <w:ind w:left="14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年本集团决定终止某品牌授权门店业务，计划转让门店</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家，计划关闭门店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家。由于其中两家门店的现金流量 无法与本集团其他组成部分进行清晰的区分，因此未按照终止经营进行列示，上述两家门店于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年度合计产生的收入和净 亏损金额分别为人民币</w:t>
      </w:r>
      <w:r>
        <w:rPr>
          <w:rFonts w:ascii="Times New Roman" w:eastAsia="Times New Roman" w:hAnsi="Times New Roman" w:cs="Times New Roman"/>
          <w:color w:val="000000"/>
          <w:spacing w:val="0"/>
          <w:w w:val="100"/>
          <w:position w:val="0"/>
          <w:sz w:val="18"/>
          <w:szCs w:val="18"/>
        </w:rPr>
        <w:t>3,813,099.19</w:t>
      </w:r>
      <w:r>
        <w:rPr>
          <w:color w:val="000000"/>
          <w:spacing w:val="0"/>
          <w:w w:val="100"/>
          <w:position w:val="0"/>
        </w:rPr>
        <w:t>元和人民币</w:t>
      </w:r>
      <w:r>
        <w:rPr>
          <w:rFonts w:ascii="Times New Roman" w:eastAsia="Times New Roman" w:hAnsi="Times New Roman" w:cs="Times New Roman"/>
          <w:color w:val="000000"/>
          <w:spacing w:val="0"/>
          <w:w w:val="100"/>
          <w:position w:val="0"/>
          <w:sz w:val="18"/>
          <w:szCs w:val="18"/>
        </w:rPr>
        <w:t>5,262,636.57</w:t>
      </w:r>
      <w:r>
        <w:rPr>
          <w:color w:val="000000"/>
          <w:spacing w:val="0"/>
          <w:w w:val="100"/>
          <w:position w:val="0"/>
        </w:rPr>
        <w:t>元。对于其余</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家门店处置业务构成终止经营业务，按终止经营 进行列示。</w:t>
      </w:r>
    </w:p>
    <w:p>
      <w:pPr>
        <w:pStyle w:val="Style31"/>
        <w:keepNext w:val="0"/>
        <w:keepLines w:val="0"/>
        <w:widowControl w:val="0"/>
        <w:shd w:val="clear" w:color="auto" w:fill="auto"/>
        <w:bidi w:val="0"/>
        <w:spacing w:before="0" w:after="0" w:line="355" w:lineRule="exact"/>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终止经营损益</w:t>
      </w:r>
    </w:p>
    <w:p>
      <w:pPr>
        <w:pStyle w:val="Style31"/>
        <w:keepNext w:val="0"/>
        <w:keepLines w:val="0"/>
        <w:widowControl w:val="0"/>
        <w:shd w:val="clear" w:color="auto" w:fill="auto"/>
        <w:bidi w:val="0"/>
        <w:spacing w:before="0" w:after="320" w:line="350" w:lineRule="exact"/>
        <w:ind w:left="140" w:right="0" w:firstLine="360"/>
        <w:jc w:val="both"/>
      </w:pPr>
      <w:r>
        <w:rPr>
          <w:color w:val="000000"/>
          <w:spacing w:val="0"/>
          <w:w w:val="100"/>
          <w:position w:val="0"/>
        </w:rPr>
        <w:t>本集团在合并利润表中已将部分某品牌授权门店的处置业务列报为终止经营，并对比较数据进行了重述。部分某品牌授 权门店终止经营损益情况如下：</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人民币元</w:t>
      </w:r>
    </w:p>
    <w:tbl>
      <w:tblPr>
        <w:tblOverlap w:val="never"/>
        <w:jc w:val="center"/>
        <w:tblLayout w:type="fixed"/>
      </w:tblPr>
      <w:tblGrid>
        <w:gridCol w:w="4627"/>
        <w:gridCol w:w="2822"/>
        <w:gridCol w:w="2016"/>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本年累计数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上年累计数</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72,432,880.44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2,040,685.04</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成本费用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93,427,461.81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5068474.64</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亏损总额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20,994,581.37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3,027,789.60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所得税费用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净亏损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20,994,581.37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3,027,789.60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处置损益调整：</w:t>
            </w:r>
          </w:p>
        </w:tc>
        <w:tc>
          <w:tcPr>
            <w:gridSpan w:val="2"/>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转让门店支付赔偿金</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5,289,557.89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履行与处置相关的职工薪酬支付义务</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785,991.61</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处置亏损总额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6,075,549.50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减：所得税费用</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处置净损失</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6,075,549.50</w:t>
            </w:r>
          </w:p>
        </w:tc>
      </w:tr>
    </w:tbl>
    <w:p>
      <w:pPr>
        <w:pStyle w:val="Style45"/>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在资产负债表中持有待售资产项目列报的某品牌授权门店资产如下:</w:t>
      </w:r>
    </w:p>
    <w:p>
      <w:pPr>
        <w:widowControl w:val="0"/>
        <w:spacing w:after="17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3144"/>
        <w:gridCol w:w="1752"/>
        <w:gridCol w:w="4579"/>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期末账面价值</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392" w:val="left"/>
                <w:tab w:pos="2957" w:val="left"/>
              </w:tabs>
              <w:bidi w:val="0"/>
              <w:spacing w:before="0" w:after="0" w:line="240" w:lineRule="auto"/>
              <w:ind w:left="0" w:right="0" w:firstLine="0"/>
              <w:jc w:val="center"/>
            </w:pPr>
            <w:r>
              <w:rPr>
                <w:b/>
                <w:bCs/>
                <w:color w:val="FFFFFF"/>
                <w:spacing w:val="0"/>
                <w:w w:val="100"/>
                <w:position w:val="0"/>
              </w:rPr>
              <w:t>公允价值</w:t>
              <w:tab/>
              <w:t>预计处置费用</w:t>
              <w:tab/>
              <w:t>预计处置时间</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171,500.00</w:t>
            </w:r>
          </w:p>
        </w:tc>
        <w:tc>
          <w:tcPr>
            <w:tcBorders/>
            <w:shd w:val="clear" w:color="auto" w:fill="FFFFFF"/>
            <w:vAlign w:val="center"/>
          </w:tcPr>
          <w:p>
            <w:pPr>
              <w:pStyle w:val="Style2"/>
              <w:keepNext w:val="0"/>
              <w:keepLines w:val="0"/>
              <w:widowControl w:val="0"/>
              <w:shd w:val="clear" w:color="auto" w:fill="auto"/>
              <w:tabs>
                <w:tab w:pos="2819" w:val="left"/>
              </w:tabs>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18"/>
                <w:szCs w:val="18"/>
              </w:rPr>
              <w:t>-</w:t>
              <w:tab/>
              <w:t>-</w:t>
            </w:r>
            <w:r>
              <w:rPr>
                <w:color w:val="000000"/>
                <w:spacing w:val="0"/>
                <w:w w:val="100"/>
                <w:position w:val="0"/>
              </w:rPr>
              <w:t>一年内</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存货</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118,608.92</w:t>
            </w:r>
          </w:p>
        </w:tc>
        <w:tc>
          <w:tcPr>
            <w:tcBorders>
              <w:top w:val="single" w:sz="4"/>
            </w:tcBorders>
            <w:shd w:val="clear" w:color="auto" w:fill="F9ECF3"/>
            <w:vAlign w:val="center"/>
          </w:tcPr>
          <w:p>
            <w:pPr>
              <w:pStyle w:val="Style2"/>
              <w:keepNext w:val="0"/>
              <w:keepLines w:val="0"/>
              <w:widowControl w:val="0"/>
              <w:shd w:val="clear" w:color="auto" w:fill="auto"/>
              <w:tabs>
                <w:tab w:pos="2819" w:val="left"/>
              </w:tabs>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18"/>
                <w:szCs w:val="18"/>
              </w:rPr>
              <w:t>-</w:t>
              <w:tab/>
              <w:t>-</w:t>
            </w:r>
            <w:r>
              <w:rPr>
                <w:color w:val="000000"/>
                <w:spacing w:val="0"/>
                <w:w w:val="100"/>
                <w:position w:val="0"/>
              </w:rPr>
              <w:t>一年内</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347,385.17</w:t>
            </w:r>
          </w:p>
        </w:tc>
        <w:tc>
          <w:tcPr>
            <w:tcBorders>
              <w:top w:val="single" w:sz="4"/>
            </w:tcBorders>
            <w:shd w:val="clear" w:color="auto" w:fill="FFFFFF"/>
            <w:vAlign w:val="center"/>
          </w:tcPr>
          <w:p>
            <w:pPr>
              <w:pStyle w:val="Style2"/>
              <w:keepNext w:val="0"/>
              <w:keepLines w:val="0"/>
              <w:widowControl w:val="0"/>
              <w:shd w:val="clear" w:color="auto" w:fill="auto"/>
              <w:tabs>
                <w:tab w:pos="2819" w:val="left"/>
              </w:tabs>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18"/>
                <w:szCs w:val="18"/>
              </w:rPr>
              <w:t>-</w:t>
              <w:tab/>
              <w:t>-</w:t>
            </w:r>
            <w:r>
              <w:rPr>
                <w:color w:val="000000"/>
                <w:spacing w:val="0"/>
                <w:w w:val="100"/>
                <w:position w:val="0"/>
              </w:rPr>
              <w:t>一年内</w:t>
            </w:r>
          </w:p>
        </w:tc>
      </w:tr>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长期待摊费用</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1,305,661.09</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2819" w:val="left"/>
              </w:tabs>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sz w:val="18"/>
                <w:szCs w:val="18"/>
              </w:rPr>
              <w:t>-</w:t>
              <w:tab/>
              <w:t>-</w:t>
            </w:r>
            <w:r>
              <w:rPr>
                <w:color w:val="000000"/>
                <w:spacing w:val="0"/>
                <w:w w:val="100"/>
                <w:position w:val="0"/>
              </w:rPr>
              <w:t>一年内</w:t>
            </w:r>
          </w:p>
        </w:tc>
      </w:tr>
    </w:tbl>
    <w:p>
      <w:pPr>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Restart w:val="continuous"/>
          </w:footnotePr>
          <w:pgSz w:w="11966" w:h="17375"/>
          <w:pgMar w:top="1514" w:right="1088" w:bottom="1811" w:left="1000" w:header="0" w:footer="3" w:gutter="0"/>
          <w:cols w:space="720"/>
          <w:noEndnote/>
          <w:titlePg/>
          <w:rtlGutter w:val="0"/>
          <w:docGrid w:linePitch="360"/>
        </w:sectPr>
      </w:pPr>
    </w:p>
    <w:p>
      <w:pPr>
        <w:widowControl w:val="0"/>
        <w:spacing w:after="299" w:line="1" w:lineRule="exact"/>
      </w:pPr>
    </w:p>
    <w:tbl>
      <w:tblPr>
        <w:tblOverlap w:val="never"/>
        <w:jc w:val="center"/>
        <w:tblLayout w:type="fixed"/>
      </w:tblPr>
      <w:tblGrid>
        <w:gridCol w:w="3144"/>
        <w:gridCol w:w="6331"/>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762" w:val="left"/>
                <w:tab w:pos="3149" w:val="left"/>
                <w:tab w:pos="4723" w:val="left"/>
              </w:tabs>
              <w:bidi w:val="0"/>
              <w:spacing w:before="0" w:after="0" w:line="240" w:lineRule="auto"/>
              <w:ind w:left="0" w:right="0" w:firstLine="0"/>
              <w:jc w:val="center"/>
            </w:pPr>
            <w:r>
              <w:rPr>
                <w:b/>
                <w:bCs/>
                <w:color w:val="FFFFFF"/>
                <w:spacing w:val="0"/>
                <w:w w:val="100"/>
                <w:position w:val="0"/>
              </w:rPr>
              <w:t>期末账面价值</w:t>
              <w:tab/>
              <w:t>公允价值</w:t>
              <w:tab/>
              <w:t>预计处置费用</w:t>
              <w:tab/>
              <w:t>预计处置时间</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减：持有待售资产减值准备</w:t>
            </w:r>
          </w:p>
        </w:tc>
        <w:tc>
          <w:tcPr>
            <w:tcBorders/>
            <w:shd w:val="clear" w:color="auto" w:fill="FFFFFF"/>
            <w:vAlign w:val="center"/>
          </w:tcPr>
          <w:p>
            <w:pPr>
              <w:pStyle w:val="Style2"/>
              <w:keepNext w:val="0"/>
              <w:keepLines w:val="0"/>
              <w:widowControl w:val="0"/>
              <w:shd w:val="clear" w:color="auto" w:fill="auto"/>
              <w:tabs>
                <w:tab w:pos="2968" w:val="left"/>
                <w:tab w:pos="4552" w:val="left"/>
                <w:tab w:pos="4830" w:val="left"/>
              </w:tabs>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8"/>
                <w:szCs w:val="18"/>
              </w:rPr>
              <w:t>1,943,155.18</w:t>
              <w:tab/>
            </w:r>
            <w:r>
              <w:rPr>
                <w:rFonts w:ascii="Times New Roman" w:eastAsia="Times New Roman" w:hAnsi="Times New Roman" w:cs="Times New Roman"/>
                <w:color w:val="000000"/>
                <w:spacing w:val="0"/>
                <w:w w:val="100"/>
                <w:position w:val="0"/>
                <w:sz w:val="18"/>
                <w:szCs w:val="18"/>
              </w:rPr>
              <w:t>-</w:t>
              <w:tab/>
              <w:t>-</w:t>
              <w:tab/>
            </w:r>
            <w:r>
              <w:rPr>
                <w:color w:val="000000"/>
                <w:spacing w:val="0"/>
                <w:w w:val="100"/>
                <w:position w:val="0"/>
              </w:rPr>
              <w:t>一年内</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bottom w:val="single" w:sz="4"/>
            </w:tcBorders>
            <w:shd w:val="clear" w:color="auto" w:fill="F9ECF3"/>
            <w:vAlign w:val="center"/>
          </w:tcPr>
          <w:p>
            <w:pPr>
              <w:pStyle w:val="Style2"/>
              <w:keepNext w:val="0"/>
              <w:keepLines w:val="0"/>
              <w:widowControl w:val="0"/>
              <w:shd w:val="clear" w:color="auto" w:fill="auto"/>
              <w:tabs>
                <w:tab w:pos="1574" w:val="left"/>
                <w:tab w:pos="3158"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tab/>
              <w:t>-</w:t>
              <w:tab/>
              <w:t>-</w:t>
            </w:r>
          </w:p>
        </w:tc>
      </w:tr>
    </w:tbl>
    <w:p>
      <w:pPr>
        <w:pStyle w:val="Style45"/>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终止经营资产减值损失</w:t>
      </w:r>
    </w:p>
    <w:p>
      <w:pPr>
        <w:widowControl w:val="0"/>
        <w:spacing w:after="25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人民币元</w:t>
      </w:r>
    </w:p>
    <w:tbl>
      <w:tblPr>
        <w:tblOverlap w:val="never"/>
        <w:jc w:val="center"/>
        <w:tblLayout w:type="fixed"/>
      </w:tblPr>
      <w:tblGrid>
        <w:gridCol w:w="2213"/>
        <w:gridCol w:w="2414"/>
        <w:gridCol w:w="3163"/>
        <w:gridCol w:w="1675"/>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本年累计数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上年累计数</w:t>
            </w:r>
          </w:p>
        </w:tc>
      </w:tr>
      <w:tr>
        <w:trPr>
          <w:trHeight w:val="3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当期确认的减值损失</w:t>
            </w:r>
          </w:p>
        </w:tc>
        <w:tc>
          <w:tcPr>
            <w:tcBorders/>
            <w:shd w:val="clear" w:color="auto" w:fill="A6A6A6"/>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1,943,155.18</w:t>
            </w:r>
          </w:p>
        </w:tc>
        <w:tc>
          <w:tcPr>
            <w:tcBorders>
              <w:bottom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终止经营现金流量净额</w:t>
      </w:r>
    </w:p>
    <w:p>
      <w:pPr>
        <w:widowControl w:val="0"/>
        <w:spacing w:after="25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人民币元</w:t>
      </w:r>
    </w:p>
    <w:tbl>
      <w:tblPr>
        <w:tblOverlap w:val="never"/>
        <w:jc w:val="center"/>
        <w:tblLayout w:type="fixed"/>
      </w:tblPr>
      <w:tblGrid>
        <w:gridCol w:w="3269"/>
        <w:gridCol w:w="3672"/>
        <w:gridCol w:w="2525"/>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20" w:right="0" w:firstLine="0"/>
              <w:jc w:val="center"/>
            </w:pPr>
            <w:r>
              <w:rPr>
                <w:b/>
                <w:bCs/>
                <w:color w:val="FFFFFF"/>
                <w:spacing w:val="0"/>
                <w:w w:val="100"/>
                <w:position w:val="0"/>
              </w:rPr>
              <w:t>年末余额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年初余额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经营活动现金流量净额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-23,438,144.63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-1,601,321.52</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投资活动现金流量净额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-2,957,572.72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-853,963.62</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筹资活动现金流量净额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27,802,367.67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3,033,180.32</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现金流量净额</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1,406,650.32</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577,895.18</w:t>
            </w:r>
          </w:p>
        </w:tc>
      </w:tr>
    </w:tbl>
    <w:p>
      <w:pPr>
        <w:pStyle w:val="Style45"/>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归属于母公司所有者的持续经营损益和终止经营损益</w:t>
      </w:r>
    </w:p>
    <w:p>
      <w:pPr>
        <w:widowControl w:val="0"/>
        <w:spacing w:after="25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人民币元</w:t>
      </w:r>
    </w:p>
    <w:tbl>
      <w:tblPr>
        <w:tblOverlap w:val="never"/>
        <w:jc w:val="center"/>
        <w:tblLayout w:type="fixed"/>
      </w:tblPr>
      <w:tblGrid>
        <w:gridCol w:w="5750"/>
        <w:gridCol w:w="2088"/>
        <w:gridCol w:w="1627"/>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60"/>
              <w:jc w:val="left"/>
            </w:pPr>
            <w:r>
              <w:rPr>
                <w:b/>
                <w:bCs/>
                <w:color w:val="FFFFFF"/>
                <w:spacing w:val="0"/>
                <w:w w:val="100"/>
                <w:position w:val="0"/>
              </w:rPr>
              <w:t>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年初余额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归属于母公司所有者的持续经营亏损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-60,426,993.34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-89,922,245.38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归属于母公司所有者的终止经营亏损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-27,070,130.87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-3,027,789.60</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归属于母公司所有者的净亏损</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-92,950,034.98</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r>
        <w:rPr>
          <w:color w:val="000000"/>
          <w:spacing w:val="0"/>
          <w:w w:val="100"/>
          <w:position w:val="0"/>
        </w:rPr>
        <w:t>、分部信息</w:t>
      </w:r>
      <w:bookmarkEnd w:id="1299"/>
      <w:bookmarkEnd w:id="1300"/>
      <w:bookmarkEnd w:id="1301"/>
    </w:p>
    <w:p>
      <w:pPr>
        <w:pStyle w:val="Style69"/>
        <w:keepNext/>
        <w:keepLines/>
        <w:widowControl w:val="0"/>
        <w:numPr>
          <w:ilvl w:val="0"/>
          <w:numId w:val="49"/>
        </w:numPr>
        <w:shd w:val="clear" w:color="auto" w:fill="auto"/>
        <w:tabs>
          <w:tab w:pos="493" w:val="left"/>
        </w:tabs>
        <w:bidi w:val="0"/>
        <w:spacing w:before="0" w:after="16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报告分部的确定依据与会计政策</w:t>
      </w:r>
      <w:bookmarkEnd w:id="1302"/>
      <w:bookmarkEnd w:id="1303"/>
      <w:bookmarkEnd w:id="1305"/>
    </w:p>
    <w:p>
      <w:pPr>
        <w:pStyle w:val="Style31"/>
        <w:keepNext w:val="0"/>
        <w:keepLines w:val="0"/>
        <w:widowControl w:val="0"/>
        <w:shd w:val="clear" w:color="auto" w:fill="auto"/>
        <w:bidi w:val="0"/>
        <w:spacing w:before="0" w:after="40" w:line="350" w:lineRule="exact"/>
        <w:ind w:left="0" w:right="0" w:firstLine="460"/>
        <w:jc w:val="both"/>
      </w:pPr>
      <w:r>
        <w:rPr>
          <w:color w:val="000000"/>
          <w:spacing w:val="0"/>
          <w:w w:val="100"/>
          <w:position w:val="0"/>
        </w:rPr>
        <w:t>根据本集团的内部组织结构、管理要求及内部报告制度，本集团的经营业务划分为两个经营分部，本集团的管理层定期 评价这些分部的经营成果，以决定向其分配资源及评价其业绩。在经营分部的基础上本集团确定了两个报告分部，分别为手 机维修业务分部和电子商务业务分部。本集团分别独立管理各个报告分部的生产经营活动，分别评价其经营成果，以决定向 其配置资源并评价其业绩。这些报告分部是以此为基础确定的。本集团各个报告分部提供的主要产品及劳务分别为：</w:t>
      </w:r>
    </w:p>
    <w:p>
      <w:pPr>
        <w:pStyle w:val="Style31"/>
        <w:keepNext w:val="0"/>
        <w:keepLines w:val="0"/>
        <w:widowControl w:val="0"/>
        <w:shd w:val="clear" w:color="auto" w:fill="auto"/>
        <w:bidi w:val="0"/>
        <w:spacing w:before="0" w:after="40" w:line="350"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手机维修业务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苹果及其他，负责在全国地区实体店提供苹果手机维修、全新苹果手机销售、手机配件销售及增值服务</w:t>
      </w:r>
    </w:p>
    <w:p>
      <w:pPr>
        <w:pStyle w:val="Style31"/>
        <w:keepNext w:val="0"/>
        <w:keepLines w:val="0"/>
        <w:widowControl w:val="0"/>
        <w:shd w:val="clear" w:color="auto" w:fill="auto"/>
        <w:bidi w:val="0"/>
        <w:spacing w:before="0" w:after="40" w:line="350"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手机维修业务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某品牌，负责在全国地区实体店提供某品牌手机维修、手机配件销售</w:t>
      </w:r>
    </w:p>
    <w:p>
      <w:pPr>
        <w:pStyle w:val="Style31"/>
        <w:keepNext w:val="0"/>
        <w:keepLines w:val="0"/>
        <w:widowControl w:val="0"/>
        <w:shd w:val="clear" w:color="auto" w:fill="auto"/>
        <w:bidi w:val="0"/>
        <w:spacing w:before="0" w:after="40" w:line="350"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电子商务业务分部，负责在全国地区通过电子商务平台和线下实体店以及手机运营商营业厅、合作零售商门店等体系 回收及销售二手机，以及通过电子商务平台提供商品销售及增值服务</w:t>
      </w:r>
    </w:p>
    <w:p>
      <w:pPr>
        <w:pStyle w:val="Style31"/>
        <w:keepNext w:val="0"/>
        <w:keepLines w:val="0"/>
        <w:widowControl w:val="0"/>
        <w:shd w:val="clear" w:color="auto" w:fill="auto"/>
        <w:bidi w:val="0"/>
        <w:spacing w:before="0" w:after="480" w:line="346" w:lineRule="exact"/>
        <w:ind w:left="0" w:right="0" w:firstLine="46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69"/>
        <w:keepNext/>
        <w:keepLines/>
        <w:widowControl w:val="0"/>
        <w:numPr>
          <w:ilvl w:val="0"/>
          <w:numId w:val="49"/>
        </w:numPr>
        <w:shd w:val="clear" w:color="auto" w:fill="auto"/>
        <w:tabs>
          <w:tab w:pos="493" w:val="left"/>
        </w:tabs>
        <w:bidi w:val="0"/>
        <w:spacing w:before="0" w:after="26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报告分部的财务信息</w:t>
      </w:r>
      <w:bookmarkEnd w:id="1306"/>
      <w:bookmarkEnd w:id="1307"/>
      <w:bookmarkEnd w:id="1309"/>
      <w:r>
        <w:br w:type="page"/>
      </w:r>
    </w:p>
    <w:tbl>
      <w:tblPr>
        <w:tblOverlap w:val="never"/>
        <w:jc w:val="center"/>
        <w:tblLayout w:type="fixed"/>
      </w:tblPr>
      <w:tblGrid>
        <w:gridCol w:w="1522"/>
        <w:gridCol w:w="1560"/>
        <w:gridCol w:w="1517"/>
        <w:gridCol w:w="1546"/>
        <w:gridCol w:w="782"/>
        <w:gridCol w:w="1555"/>
        <w:gridCol w:w="1402"/>
      </w:tblGrid>
      <w:tr>
        <w:trPr>
          <w:trHeight w:val="8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exact"/>
              <w:ind w:left="0" w:right="0" w:firstLine="0"/>
              <w:jc w:val="center"/>
            </w:pPr>
            <w:r>
              <w:rPr>
                <w:b/>
                <w:bCs/>
                <w:color w:val="FFFFFF"/>
                <w:spacing w:val="0"/>
                <w:w w:val="100"/>
                <w:position w:val="0"/>
              </w:rPr>
              <w:t>手机维修业务</w:t>
            </w:r>
            <w:r>
              <w:rPr>
                <w:rFonts w:ascii="Times New Roman" w:eastAsia="Times New Roman" w:hAnsi="Times New Roman" w:cs="Times New Roman"/>
                <w:b/>
                <w:bCs/>
                <w:color w:val="FFFFFF"/>
                <w:spacing w:val="0"/>
                <w:w w:val="100"/>
                <w:position w:val="0"/>
                <w:sz w:val="18"/>
                <w:szCs w:val="18"/>
              </w:rPr>
              <w:t xml:space="preserve">- </w:t>
            </w:r>
            <w:r>
              <w:rPr>
                <w:b/>
                <w:bCs/>
                <w:color w:val="FFFFFF"/>
                <w:spacing w:val="0"/>
                <w:w w:val="100"/>
                <w:position w:val="0"/>
              </w:rPr>
              <w:t>苹果及其他</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exact"/>
              <w:ind w:left="0" w:right="0" w:firstLine="0"/>
              <w:jc w:val="center"/>
            </w:pPr>
            <w:r>
              <w:rPr>
                <w:b/>
                <w:bCs/>
                <w:color w:val="FFFFFF"/>
                <w:spacing w:val="0"/>
                <w:w w:val="100"/>
                <w:position w:val="0"/>
              </w:rPr>
              <w:t>手机维修业务</w:t>
            </w:r>
            <w:r>
              <w:rPr>
                <w:rFonts w:ascii="Times New Roman" w:eastAsia="Times New Roman" w:hAnsi="Times New Roman" w:cs="Times New Roman"/>
                <w:b/>
                <w:bCs/>
                <w:color w:val="FFFFFF"/>
                <w:spacing w:val="0"/>
                <w:w w:val="100"/>
                <w:position w:val="0"/>
                <w:sz w:val="18"/>
                <w:szCs w:val="18"/>
              </w:rPr>
              <w:t xml:space="preserve">- </w:t>
            </w:r>
            <w:r>
              <w:rPr>
                <w:b/>
                <w:bCs/>
                <w:color w:val="FFFFFF"/>
                <w:spacing w:val="0"/>
                <w:w w:val="100"/>
                <w:position w:val="0"/>
              </w:rPr>
              <w:t>某品牌</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pPr>
            <w:r>
              <w:rPr>
                <w:b/>
                <w:bCs/>
                <w:color w:val="FFFFFF"/>
                <w:spacing w:val="0"/>
                <w:w w:val="100"/>
                <w:position w:val="0"/>
              </w:rPr>
              <w:t>电子商务业务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未分 配的 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分部间抵销</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合计</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对外交易收入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375,320,349.34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76,245,979.63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37,352,174.89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488,918,503.86</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分部间交易收入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2,621,360.22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2,911,005.95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-5,532,366.17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333,546,548.11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86,886,033.23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28,644,202.02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-5,532,366.17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443,544,417.19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利息收入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255,313.94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377,140.17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632,454.11</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利息费用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资产减值损失</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5,228,485.49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1,943,155.18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1,698,882.60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8,870,523.27</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折旧费和摊销费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15,199,393.31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425,419.24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1,862,827.29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17,487,639.84</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损失总额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-58,481,865.88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-32,332,767.44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-3,199,933.47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9,218,393.23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-84,796,173.56</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-914,976.80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-1,785,973.85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-2,700,950.65</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净亏损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-59,396,842.68</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-32,332,767.44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-4,985,907.32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9,218,393.23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-87,497,124.21</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资产总额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313,291,465.90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121,339,938.42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-162,924,245.79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271,707,158.53</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负债总额</w:t>
            </w:r>
          </w:p>
        </w:tc>
        <w:tc>
          <w:tcPr>
            <w:gridSpan w:val="2"/>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126,528,005.47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35,131,154.97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-73,703,252.90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87,955,907.54</w:t>
            </w:r>
          </w:p>
        </w:tc>
      </w:tr>
      <w:tr>
        <w:trPr>
          <w:trHeight w:val="79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3" w:lineRule="exact"/>
              <w:ind w:left="0" w:right="0" w:firstLine="0"/>
              <w:jc w:val="left"/>
            </w:pPr>
            <w:r>
              <w:rPr>
                <w:b/>
                <w:bCs/>
                <w:color w:val="FFFFFF"/>
                <w:spacing w:val="0"/>
                <w:w w:val="100"/>
                <w:position w:val="0"/>
              </w:rPr>
              <w:t>折旧费用和摊销 费用以外的其他 非现金费用</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17,637,938.73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843,085.46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18,481,024.19</w:t>
            </w:r>
          </w:p>
        </w:tc>
      </w:tr>
      <w:tr>
        <w:trPr>
          <w:trHeight w:val="58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非流动资产减少</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额</w:t>
            </w:r>
          </w:p>
        </w:tc>
        <w:tc>
          <w:tcPr>
            <w:gridSpan w:val="2"/>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-8,437,997.41</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-1,979,325.03</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-10,417,322.44</w:t>
            </w:r>
          </w:p>
        </w:tc>
      </w:tr>
    </w:tbl>
    <w:p>
      <w:pPr>
        <w:widowControl w:val="0"/>
        <w:spacing w:after="339" w:line="1" w:lineRule="exact"/>
      </w:pPr>
    </w:p>
    <w:p>
      <w:pPr>
        <w:pStyle w:val="Style69"/>
        <w:keepNext/>
        <w:keepLines/>
        <w:widowControl w:val="0"/>
        <w:shd w:val="clear" w:color="auto" w:fill="auto"/>
        <w:bidi w:val="0"/>
        <w:spacing w:before="0" w:after="340" w:line="240" w:lineRule="auto"/>
        <w:ind w:left="0" w:right="0" w:firstLine="24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310"/>
      <w:bookmarkEnd w:id="1311"/>
      <w:bookmarkEnd w:id="1313"/>
    </w:p>
    <w:p>
      <w:pPr>
        <w:pStyle w:val="Style3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注：非流动资产不包括金融资产、长期股权投资和递延所得税资产。</w:t>
      </w:r>
    </w:p>
    <w:p>
      <w:pPr>
        <w:pStyle w:val="Style3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按收入来源地划分的对外交易收入和资产所在地划分的非流动资产</w:t>
      </w:r>
    </w:p>
    <w:p>
      <w:pPr>
        <w:pStyle w:val="Style31"/>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人民币元</w:t>
      </w:r>
    </w:p>
    <w:tbl>
      <w:tblPr>
        <w:tblOverlap w:val="never"/>
        <w:jc w:val="center"/>
        <w:tblLayout w:type="fixed"/>
      </w:tblPr>
      <w:tblGrid>
        <w:gridCol w:w="2750"/>
        <w:gridCol w:w="4085"/>
        <w:gridCol w:w="2659"/>
      </w:tblGrid>
      <w:tr>
        <w:trPr>
          <w:trHeight w:val="274" w:hRule="exact"/>
        </w:trPr>
        <w:tc>
          <w:tcPr>
            <w:tcBorders/>
            <w:shd w:val="clear" w:color="auto" w:fill="A6A6A6"/>
            <w:vAlign w:val="top"/>
          </w:tcPr>
          <w:p>
            <w:pPr>
              <w:widowControl w:val="0"/>
              <w:rPr>
                <w:sz w:val="10"/>
                <w:szCs w:val="10"/>
              </w:rPr>
            </w:pP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本年发生额</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上年发生额</w:t>
            </w:r>
          </w:p>
        </w:tc>
      </w:tr>
      <w:tr>
        <w:trPr>
          <w:trHeight w:val="240"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对外交易收入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中国</w:t>
            </w:r>
          </w:p>
        </w:tc>
        <w:tc>
          <w:tcPr>
            <w:tcBorders>
              <w:top w:val="single" w:sz="4"/>
              <w:bottom w:val="single" w:sz="4"/>
            </w:tcBorders>
            <w:shd w:val="clear" w:color="auto" w:fill="F9ECF3"/>
            <w:vAlign w:val="top"/>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top w:val="single" w:sz="4"/>
              <w:bottom w:val="single" w:sz="4"/>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353,384,194.29</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人民币元</w:t>
      </w:r>
    </w:p>
    <w:tbl>
      <w:tblPr>
        <w:tblOverlap w:val="never"/>
        <w:jc w:val="center"/>
        <w:tblLayout w:type="fixed"/>
      </w:tblPr>
      <w:tblGrid>
        <w:gridCol w:w="3470"/>
        <w:gridCol w:w="4152"/>
        <w:gridCol w:w="1829"/>
      </w:tblGrid>
      <w:tr>
        <w:trPr>
          <w:trHeight w:val="274" w:hRule="exact"/>
        </w:trPr>
        <w:tc>
          <w:tcPr>
            <w:tcBorders/>
            <w:shd w:val="clear" w:color="auto" w:fill="A6A6A6"/>
            <w:vAlign w:val="top"/>
          </w:tcPr>
          <w:p>
            <w:pPr>
              <w:widowControl w:val="0"/>
              <w:rPr>
                <w:sz w:val="10"/>
                <w:szCs w:val="10"/>
              </w:rPr>
            </w:pP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leader="underscore" w:pos="1302" w:val="left"/>
              </w:tabs>
              <w:bidi w:val="0"/>
              <w:spacing w:before="0" w:after="0" w:line="240" w:lineRule="auto"/>
              <w:ind w:left="260" w:right="0" w:firstLine="0"/>
              <w:jc w:val="center"/>
            </w:pPr>
            <w:r>
              <w:rPr>
                <w:b/>
                <w:bCs/>
                <w:color w:val="FFFFFF"/>
                <w:spacing w:val="0"/>
                <w:w w:val="100"/>
                <w:position w:val="0"/>
              </w:rPr>
              <w:tab/>
            </w:r>
            <w:r>
              <w:rPr>
                <w:b/>
                <w:bCs/>
                <w:color w:val="FFFFFF"/>
                <w:spacing w:val="0"/>
                <w:w w:val="100"/>
                <w:position w:val="0"/>
                <w:u w:val="single"/>
              </w:rPr>
              <w:t>年末余额</w:t>
            </w:r>
          </w:p>
        </w:tc>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378" w:val="left"/>
              </w:tabs>
              <w:bidi w:val="0"/>
              <w:spacing w:before="0" w:after="0" w:line="240" w:lineRule="auto"/>
              <w:ind w:left="0" w:right="0" w:firstLine="0"/>
              <w:jc w:val="right"/>
              <w:rPr>
                <w:sz w:val="32"/>
                <w:szCs w:val="32"/>
              </w:rPr>
            </w:pPr>
            <w:r>
              <w:rPr>
                <w:b/>
                <w:bCs/>
                <w:color w:val="FFFFFF"/>
                <w:spacing w:val="0"/>
                <w:w w:val="100"/>
                <w:position w:val="0"/>
                <w:sz w:val="15"/>
                <w:szCs w:val="15"/>
              </w:rPr>
              <w:t>年初余额</w:t>
              <w:tab/>
            </w:r>
            <w:r>
              <w:rPr>
                <w:rFonts w:ascii="Arial" w:eastAsia="Arial" w:hAnsi="Arial" w:cs="Arial"/>
                <w:color w:val="FFFFFF"/>
                <w:spacing w:val="0"/>
                <w:w w:val="100"/>
                <w:position w:val="0"/>
                <w:sz w:val="32"/>
                <w:szCs w:val="32"/>
              </w:rPr>
              <w:t>1</w:t>
            </w:r>
          </w:p>
        </w:tc>
      </w:tr>
      <w:tr>
        <w:trPr>
          <w:trHeight w:val="240"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非流动资产总额</w:t>
            </w:r>
          </w:p>
        </w:tc>
        <w:tc>
          <w:tcPr>
            <w:tcBorders/>
            <w:shd w:val="clear" w:color="auto" w:fill="A6A6A6"/>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中国</w:t>
            </w:r>
          </w:p>
        </w:tc>
        <w:tc>
          <w:tcPr>
            <w:tcBorders>
              <w:top w:val="single" w:sz="4"/>
              <w:bottom w:val="single" w:sz="4"/>
            </w:tcBorders>
            <w:shd w:val="clear" w:color="auto" w:fill="F9ECF3"/>
            <w:vAlign w:val="top"/>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41,786,894.23</w:t>
            </w:r>
          </w:p>
        </w:tc>
        <w:tc>
          <w:tcPr>
            <w:tcBorders>
              <w:top w:val="single" w:sz="4"/>
              <w:bottom w:val="single" w:sz="4"/>
            </w:tcBorders>
            <w:shd w:val="clear" w:color="auto" w:fill="F9ECF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52,204,216.67</w:t>
            </w:r>
          </w:p>
        </w:tc>
      </w:tr>
    </w:tbl>
    <w:p>
      <w:pPr>
        <w:pStyle w:val="Style45"/>
        <w:keepNext w:val="0"/>
        <w:keepLines w:val="0"/>
        <w:widowControl w:val="0"/>
        <w:shd w:val="clear" w:color="auto" w:fill="auto"/>
        <w:bidi w:val="0"/>
        <w:spacing w:before="0" w:after="0" w:line="240" w:lineRule="auto"/>
        <w:ind w:left="442" w:right="0" w:firstLine="0"/>
        <w:jc w:val="left"/>
      </w:pPr>
      <w:r>
        <w:rPr>
          <w:color w:val="000000"/>
          <w:spacing w:val="0"/>
          <w:w w:val="100"/>
          <w:position w:val="0"/>
        </w:rPr>
        <w:t>对主要客户的依赖程度</w:t>
      </w:r>
    </w:p>
    <w:p>
      <w:pPr>
        <w:widowControl w:val="0"/>
        <w:spacing w:after="199" w:line="1" w:lineRule="exact"/>
      </w:pPr>
    </w:p>
    <w:p>
      <w:pPr>
        <w:pStyle w:val="Style3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本集团自被划分至手机维修业务的一个客户取得的营业收入为</w:t>
      </w:r>
      <w:r>
        <w:rPr>
          <w:rFonts w:ascii="Times New Roman" w:eastAsia="Times New Roman" w:hAnsi="Times New Roman" w:cs="Times New Roman"/>
          <w:color w:val="000000"/>
          <w:spacing w:val="0"/>
          <w:w w:val="100"/>
          <w:position w:val="0"/>
          <w:sz w:val="18"/>
          <w:szCs w:val="18"/>
        </w:rPr>
        <w:t>70,693,814.72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58,763,739.59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，占本集团 </w:t>
      </w:r>
      <w:r>
        <w:rPr>
          <w:rStyle w:val="CharStyle35"/>
          <w:rFonts w:ascii="SimSun" w:eastAsia="SimSun" w:hAnsi="SimSun" w:cs="SimSun"/>
          <w:sz w:val="15"/>
          <w:szCs w:val="15"/>
        </w:rPr>
        <w:t>营业收入的</w:t>
      </w:r>
      <w:r>
        <w:rPr>
          <w:rStyle w:val="CharStyle35"/>
        </w:rPr>
        <w:t>14.46%（2019</w:t>
      </w:r>
      <w:r>
        <w:rPr>
          <w:rStyle w:val="CharStyle35"/>
          <w:rFonts w:ascii="SimSun" w:eastAsia="SimSun" w:hAnsi="SimSun" w:cs="SimSun"/>
          <w:sz w:val="15"/>
          <w:szCs w:val="15"/>
        </w:rPr>
        <w:t>年度：</w:t>
      </w:r>
      <w:r>
        <w:rPr>
          <w:rStyle w:val="CharStyle35"/>
        </w:rPr>
        <w:t>16.63%）</w:t>
      </w:r>
      <w:r>
        <w:rPr>
          <w:rStyle w:val="CharStyle35"/>
          <w:rFonts w:ascii="SimSun" w:eastAsia="SimSun" w:hAnsi="SimSun" w:cs="SimSun"/>
          <w:sz w:val="15"/>
          <w:szCs w:val="15"/>
        </w:rPr>
        <w:t>。</w:t>
      </w:r>
    </w:p>
    <w:p>
      <w:pPr>
        <w:pStyle w:val="Style39"/>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r>
        <w:rPr>
          <w:color w:val="000000"/>
          <w:spacing w:val="0"/>
          <w:w w:val="100"/>
          <w:position w:val="0"/>
          <w:sz w:val="24"/>
          <w:szCs w:val="24"/>
        </w:rPr>
        <w:t>十六、母公司财务报表主要项目注释</w:t>
      </w:r>
      <w:bookmarkEnd w:id="1314"/>
      <w:bookmarkEnd w:id="1315"/>
      <w:bookmarkEnd w:id="1316"/>
    </w:p>
    <w:p>
      <w:pPr>
        <w:pStyle w:val="Style49"/>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17"/>
      <w:bookmarkEnd w:id="1318"/>
      <w:bookmarkEnd w:id="1319"/>
    </w:p>
    <w:p>
      <w:pPr>
        <w:pStyle w:val="Style69"/>
        <w:keepNext/>
        <w:keepLines/>
        <w:widowControl w:val="0"/>
        <w:shd w:val="clear" w:color="auto" w:fill="auto"/>
        <w:bidi w:val="0"/>
        <w:spacing w:before="0" w:after="200" w:line="240" w:lineRule="auto"/>
        <w:ind w:left="0" w:right="0" w:firstLine="0"/>
        <w:jc w:val="left"/>
        <w:sectPr>
          <w:headerReference w:type="default" r:id="rId109"/>
          <w:footerReference w:type="default" r:id="rId110"/>
          <w:headerReference w:type="even" r:id="rId111"/>
          <w:footerReference w:type="even" r:id="rId112"/>
          <w:footnotePr>
            <w:pos w:val="pageBottom"/>
            <w:numFmt w:val="decimal"/>
            <w:numRestart w:val="continuous"/>
          </w:footnotePr>
          <w:pgSz w:w="11966" w:h="17375"/>
          <w:pgMar w:top="1643" w:right="1051" w:bottom="1764" w:left="955" w:header="0" w:footer="3" w:gutter="0"/>
          <w:cols w:space="720"/>
          <w:noEndnote/>
          <w:rtlGutter w:val="0"/>
          <w:docGrid w:linePitch="360"/>
        </w:sectPr>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20"/>
      <w:bookmarkEnd w:id="1321"/>
      <w:bookmarkEnd w:id="1322"/>
    </w:p>
    <w:tbl>
      <w:tblPr>
        <w:tblOverlap w:val="never"/>
        <w:jc w:val="center"/>
        <w:tblLayout w:type="fixed"/>
      </w:tblPr>
      <w:tblGrid>
        <w:gridCol w:w="1632"/>
        <w:gridCol w:w="864"/>
        <w:gridCol w:w="2208"/>
        <w:gridCol w:w="840"/>
        <w:gridCol w:w="811"/>
        <w:gridCol w:w="739"/>
        <w:gridCol w:w="1584"/>
        <w:gridCol w:w="878"/>
      </w:tblGrid>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类别</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gridSpan w:val="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vMerge w:val="restart"/>
            <w:tcBorders/>
            <w:shd w:val="clear" w:color="auto" w:fill="A6A6A6"/>
            <w:vAlign w:val="top"/>
          </w:tcPr>
          <w:p>
            <w:pPr>
              <w:widowControl w:val="0"/>
              <w:rPr>
                <w:sz w:val="10"/>
                <w:szCs w:val="10"/>
              </w:rPr>
            </w:pP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498" w:val="left"/>
              </w:tabs>
              <w:bidi w:val="0"/>
              <w:spacing w:before="0" w:after="0" w:line="240" w:lineRule="auto"/>
              <w:ind w:left="0" w:right="0" w:firstLine="0"/>
              <w:jc w:val="center"/>
            </w:pPr>
            <w:r>
              <w:rPr>
                <w:b/>
                <w:bCs/>
                <w:color w:val="FFFFFF"/>
                <w:spacing w:val="0"/>
                <w:w w:val="100"/>
                <w:position w:val="0"/>
              </w:rPr>
              <w:t>账面余额</w:t>
              <w:tab/>
              <w:t>坏账准备</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账面价值</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坏账准备</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账面价值</w:t>
            </w:r>
          </w:p>
        </w:tc>
      </w:tr>
      <w:tr>
        <w:trPr>
          <w:trHeight w:val="322" w:hRule="exact"/>
        </w:trPr>
        <w:tc>
          <w:tcPr>
            <w:vMerge/>
            <w:tcBorders/>
            <w:shd w:val="clear" w:color="auto" w:fill="A6A6A6"/>
            <w:vAlign w:val="top"/>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734" w:val="left"/>
              </w:tabs>
              <w:bidi w:val="0"/>
              <w:spacing w:before="0" w:after="0" w:line="240" w:lineRule="auto"/>
              <w:ind w:left="0" w:right="0" w:firstLine="0"/>
              <w:jc w:val="right"/>
            </w:pPr>
            <w:r>
              <w:rPr>
                <w:b/>
                <w:bCs/>
                <w:color w:val="FFFFFF"/>
                <w:spacing w:val="0"/>
                <w:w w:val="100"/>
                <w:position w:val="0"/>
              </w:rPr>
              <w:t>比例</w:t>
              <w:tab/>
              <w:t>金额计提比例</w:t>
            </w: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280" w:firstLine="0"/>
              <w:jc w:val="right"/>
            </w:pPr>
            <w:r>
              <w:rPr>
                <w:b/>
                <w:bCs/>
                <w:color w:val="FFFFFF"/>
                <w:spacing w:val="0"/>
                <w:w w:val="100"/>
                <w:position w:val="0"/>
              </w:rPr>
              <w:t>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金额计提比例</w:t>
            </w:r>
          </w:p>
        </w:tc>
        <w:tc>
          <w:tcPr>
            <w:vMerge/>
            <w:tcBorders/>
            <w:shd w:val="clear" w:color="auto" w:fill="A6A6A6"/>
            <w:vAlign w:val="center"/>
          </w:tcPr>
          <w:p>
            <w:pPr/>
          </w:p>
        </w:tc>
      </w:tr>
      <w:tr>
        <w:trPr>
          <w:trHeight w:val="55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64" w:lineRule="exact"/>
              <w:ind w:left="0" w:right="0" w:firstLine="0"/>
              <w:jc w:val="left"/>
            </w:pPr>
            <w:r>
              <w:rPr>
                <w:b/>
                <w:bCs/>
                <w:color w:val="FFFFFF"/>
                <w:spacing w:val="0"/>
                <w:w w:val="100"/>
                <w:position w:val="0"/>
              </w:rPr>
              <w:t>按单项计提坏账准 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2503,130.00</w:t>
            </w:r>
          </w:p>
        </w:tc>
        <w:tc>
          <w:tcPr>
            <w:tcBorders/>
            <w:shd w:val="clear" w:color="auto" w:fill="FFFFFF"/>
            <w:vAlign w:val="center"/>
          </w:tcPr>
          <w:p>
            <w:pPr>
              <w:pStyle w:val="Style2"/>
              <w:keepNext w:val="0"/>
              <w:keepLines w:val="0"/>
              <w:widowControl w:val="0"/>
              <w:shd w:val="clear" w:color="auto" w:fill="auto"/>
              <w:tabs>
                <w:tab w:pos="1498"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100.00% </w:t>
            </w:r>
            <w:r>
              <w:rPr>
                <w:rFonts w:ascii="Times New Roman" w:eastAsia="Times New Roman" w:hAnsi="Times New Roman" w:cs="Times New Roman"/>
                <w:color w:val="000000"/>
                <w:spacing w:val="0"/>
                <w:w w:val="100"/>
                <w:position w:val="0"/>
                <w:sz w:val="16"/>
                <w:szCs w:val="16"/>
              </w:rPr>
              <w:t>2,503,130.00</w:t>
              <w:tab/>
            </w: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gridSpan w:val="7"/>
            <w:tcBorders>
              <w:top w:val="single" w:sz="4"/>
            </w:tcBorders>
            <w:shd w:val="clear" w:color="auto" w:fill="F9ECF3"/>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0" w:lineRule="exact"/>
              <w:ind w:left="0" w:right="0" w:firstLine="0"/>
              <w:jc w:val="left"/>
            </w:pPr>
            <w:r>
              <w:rPr>
                <w:b/>
                <w:bCs/>
                <w:color w:val="FFFFFF"/>
                <w:spacing w:val="0"/>
                <w:w w:val="100"/>
                <w:position w:val="0"/>
              </w:rPr>
              <w:t>按组合计提坏账准 备的应收账款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843,558.15</w:t>
            </w:r>
          </w:p>
        </w:tc>
        <w:tc>
          <w:tcPr>
            <w:tcBorders>
              <w:top w:val="single" w:sz="4"/>
            </w:tcBorders>
            <w:shd w:val="clear" w:color="auto" w:fill="FFFFFF"/>
            <w:vAlign w:val="center"/>
          </w:tcPr>
          <w:p>
            <w:pPr>
              <w:pStyle w:val="Style2"/>
              <w:keepNext w:val="0"/>
              <w:keepLines w:val="0"/>
              <w:widowControl w:val="0"/>
              <w:shd w:val="clear" w:color="auto" w:fill="auto"/>
              <w:tabs>
                <w:tab w:pos="710" w:val="left"/>
                <w:tab w:pos="1651"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tab/>
            </w:r>
            <w:r>
              <w:rPr>
                <w:rFonts w:ascii="Times New Roman" w:eastAsia="Times New Roman" w:hAnsi="Times New Roman" w:cs="Times New Roman"/>
                <w:color w:val="000000"/>
                <w:spacing w:val="0"/>
                <w:w w:val="100"/>
                <w:position w:val="0"/>
                <w:sz w:val="16"/>
                <w:szCs w:val="16"/>
              </w:rPr>
              <w:t>14,256.13</w:t>
              <w:tab/>
            </w:r>
            <w:r>
              <w:rPr>
                <w:rFonts w:ascii="Times New Roman" w:eastAsia="Times New Roman" w:hAnsi="Times New Roman" w:cs="Times New Roman"/>
                <w:color w:val="000000"/>
                <w:spacing w:val="0"/>
                <w:w w:val="100"/>
                <w:position w:val="0"/>
                <w:sz w:val="16"/>
                <w:szCs w:val="16"/>
              </w:rPr>
              <w:t>1.69%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829,302.02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250,633.46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tcBorders>
            <w:shd w:val="clear" w:color="auto" w:fill="FFFFFF"/>
            <w:vAlign w:val="center"/>
          </w:tcPr>
          <w:p>
            <w:pPr>
              <w:pStyle w:val="Style2"/>
              <w:keepNext w:val="0"/>
              <w:keepLines w:val="0"/>
              <w:widowControl w:val="0"/>
              <w:shd w:val="clear" w:color="auto" w:fill="auto"/>
              <w:tabs>
                <w:tab w:pos="1155" w:val="left"/>
              </w:tabs>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23,300.31</w:t>
              <w:tab/>
              <w:t>9.30%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227,333.15</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其中：</w:t>
            </w:r>
          </w:p>
        </w:tc>
        <w:tc>
          <w:tcPr>
            <w:gridSpan w:val="7"/>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中小零散客户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843,558.15</w:t>
            </w:r>
          </w:p>
        </w:tc>
        <w:tc>
          <w:tcPr>
            <w:tcBorders>
              <w:top w:val="single" w:sz="4"/>
            </w:tcBorders>
            <w:shd w:val="clear" w:color="auto" w:fill="FFFFFF"/>
            <w:vAlign w:val="center"/>
          </w:tcPr>
          <w:p>
            <w:pPr>
              <w:pStyle w:val="Style2"/>
              <w:keepNext w:val="0"/>
              <w:keepLines w:val="0"/>
              <w:widowControl w:val="0"/>
              <w:shd w:val="clear" w:color="auto" w:fill="auto"/>
              <w:tabs>
                <w:tab w:pos="720" w:val="left"/>
                <w:tab w:pos="1651"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tab/>
              <w:t>14,256.13</w:t>
              <w:tab/>
              <w:t>1.69%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829,302.02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250633.46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tabs>
                <w:tab w:pos="1146"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23,30031</w:t>
              <w:tab/>
              <w:t>9.30%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227,333.15</w:t>
            </w:r>
          </w:p>
        </w:tc>
      </w:tr>
      <w:tr>
        <w:trPr>
          <w:trHeight w:val="34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6"/>
                <w:szCs w:val="16"/>
              </w:rPr>
            </w:pPr>
            <w:r>
              <w:rPr>
                <w:rFonts w:ascii="Times New Roman" w:eastAsia="Times New Roman" w:hAnsi="Times New Roman" w:cs="Times New Roman"/>
                <w:b/>
                <w:bCs/>
                <w:color w:val="FFFFFF"/>
                <w:spacing w:val="0"/>
                <w:w w:val="100"/>
                <w:position w:val="0"/>
                <w:sz w:val="16"/>
                <w:szCs w:val="16"/>
              </w:rPr>
              <w:t>3,346,688115</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565" w:val="left"/>
              </w:tabs>
              <w:bidi w:val="0"/>
              <w:spacing w:before="0" w:after="0" w:line="240" w:lineRule="auto"/>
              <w:ind w:left="0" w:right="0" w:firstLine="0"/>
              <w:jc w:val="left"/>
              <w:rPr>
                <w:sz w:val="16"/>
                <w:szCs w:val="16"/>
              </w:rPr>
            </w:pPr>
            <w:r>
              <w:rPr>
                <w:rFonts w:ascii="Times New Roman" w:eastAsia="Times New Roman" w:hAnsi="Times New Roman" w:cs="Times New Roman"/>
                <w:b/>
                <w:bCs/>
                <w:color w:val="FFFFFF"/>
                <w:spacing w:val="0"/>
                <w:w w:val="100"/>
                <w:position w:val="0"/>
                <w:sz w:val="16"/>
                <w:szCs w:val="16"/>
              </w:rPr>
              <w:t xml:space="preserve">100.00% </w:t>
            </w:r>
            <w:r>
              <w:rPr>
                <w:rFonts w:ascii="Times New Roman" w:eastAsia="Times New Roman" w:hAnsi="Times New Roman" w:cs="Times New Roman"/>
                <w:b/>
                <w:bCs/>
                <w:color w:val="FFFFFF"/>
                <w:spacing w:val="0"/>
                <w:w w:val="100"/>
                <w:position w:val="0"/>
                <w:sz w:val="16"/>
                <w:szCs w:val="16"/>
              </w:rPr>
              <w:t>2517386.13</w:t>
              <w:tab/>
            </w:r>
            <w:r>
              <w:rPr>
                <w:rFonts w:ascii="Times New Roman" w:eastAsia="Times New Roman" w:hAnsi="Times New Roman" w:cs="Times New Roman"/>
                <w:b/>
                <w:bCs/>
                <w:color w:val="FFFFFF"/>
                <w:spacing w:val="0"/>
                <w:w w:val="100"/>
                <w:position w:val="0"/>
                <w:sz w:val="16"/>
                <w:szCs w:val="16"/>
              </w:rPr>
              <w:t>7522%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6"/>
                <w:szCs w:val="16"/>
              </w:rPr>
            </w:pPr>
            <w:r>
              <w:rPr>
                <w:rFonts w:ascii="Times New Roman" w:eastAsia="Times New Roman" w:hAnsi="Times New Roman" w:cs="Times New Roman"/>
                <w:b/>
                <w:bCs/>
                <w:color w:val="FFFFFF"/>
                <w:spacing w:val="0"/>
                <w:w w:val="100"/>
                <w:position w:val="0"/>
                <w:sz w:val="16"/>
                <w:szCs w:val="16"/>
              </w:rPr>
              <w:t>829,302.02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6"/>
                <w:szCs w:val="16"/>
              </w:rPr>
            </w:pPr>
            <w:r>
              <w:rPr>
                <w:rFonts w:ascii="Times New Roman" w:eastAsia="Times New Roman" w:hAnsi="Times New Roman" w:cs="Times New Roman"/>
                <w:b/>
                <w:bCs/>
                <w:color w:val="FFFFFF"/>
                <w:spacing w:val="0"/>
                <w:w w:val="100"/>
                <w:position w:val="0"/>
                <w:sz w:val="16"/>
                <w:szCs w:val="16"/>
              </w:rPr>
              <w:t>250,633.46</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6"/>
                <w:szCs w:val="16"/>
              </w:rPr>
            </w:pPr>
            <w:r>
              <w:rPr>
                <w:rFonts w:ascii="Times New Roman" w:eastAsia="Times New Roman" w:hAnsi="Times New Roman" w:cs="Times New Roman"/>
                <w:b/>
                <w:bCs/>
                <w:color w:val="FFFFFF"/>
                <w:spacing w:val="0"/>
                <w:w w:val="100"/>
                <w:position w:val="0"/>
                <w:sz w:val="16"/>
                <w:szCs w:val="16"/>
              </w:rPr>
              <w:t>100.00%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122" w:val="left"/>
              </w:tabs>
              <w:bidi w:val="0"/>
              <w:spacing w:before="0" w:after="0" w:line="240" w:lineRule="auto"/>
              <w:ind w:left="0" w:right="0" w:firstLine="200"/>
              <w:jc w:val="left"/>
              <w:rPr>
                <w:sz w:val="16"/>
                <w:szCs w:val="16"/>
              </w:rPr>
            </w:pPr>
            <w:r>
              <w:rPr>
                <w:rFonts w:ascii="Times New Roman" w:eastAsia="Times New Roman" w:hAnsi="Times New Roman" w:cs="Times New Roman"/>
                <w:b/>
                <w:bCs/>
                <w:color w:val="FFFFFF"/>
                <w:spacing w:val="0"/>
                <w:w w:val="100"/>
                <w:position w:val="0"/>
                <w:sz w:val="16"/>
                <w:szCs w:val="16"/>
              </w:rPr>
              <w:t>23,30031</w:t>
              <w:tab/>
            </w:r>
            <w:r>
              <w:rPr>
                <w:rFonts w:ascii="Times New Roman" w:eastAsia="Times New Roman" w:hAnsi="Times New Roman" w:cs="Times New Roman"/>
                <w:b/>
                <w:bCs/>
                <w:color w:val="FFFFFF"/>
                <w:spacing w:val="0"/>
                <w:w w:val="100"/>
                <w:position w:val="0"/>
                <w:sz w:val="16"/>
                <w:szCs w:val="16"/>
              </w:rPr>
              <w:t>930%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rPr>
                <w:sz w:val="16"/>
                <w:szCs w:val="16"/>
              </w:rPr>
            </w:pPr>
            <w:r>
              <w:rPr>
                <w:rFonts w:ascii="Times New Roman" w:eastAsia="Times New Roman" w:hAnsi="Times New Roman" w:cs="Times New Roman"/>
                <w:b/>
                <w:bCs/>
                <w:color w:val="FFFFFF"/>
                <w:spacing w:val="0"/>
                <w:w w:val="100"/>
                <w:position w:val="0"/>
                <w:sz w:val="16"/>
                <w:szCs w:val="16"/>
              </w:rPr>
              <w:t>227,333.15</w:t>
            </w:r>
          </w:p>
        </w:tc>
      </w:tr>
    </w:tbl>
    <w:p>
      <w:pPr>
        <w:pStyle w:val="Style4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按单项计提坏账准备：</w:t>
      </w:r>
      <w:r>
        <w:rPr>
          <w:rFonts w:ascii="Times New Roman" w:eastAsia="Times New Roman" w:hAnsi="Times New Roman" w:cs="Times New Roman"/>
          <w:color w:val="000000"/>
          <w:spacing w:val="0"/>
          <w:w w:val="100"/>
          <w:position w:val="0"/>
          <w:sz w:val="18"/>
          <w:szCs w:val="18"/>
        </w:rPr>
        <w:t>2,503,130.00</w:t>
      </w:r>
    </w:p>
    <w:p>
      <w:pPr>
        <w:widowControl w:val="0"/>
        <w:spacing w:after="99" w:line="1" w:lineRule="exact"/>
      </w:pP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859"/>
        <w:gridCol w:w="1330"/>
        <w:gridCol w:w="1234"/>
        <w:gridCol w:w="974"/>
        <w:gridCol w:w="5261"/>
      </w:tblGrid>
      <w:tr>
        <w:trPr>
          <w:trHeight w:val="437"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名称</w:t>
            </w:r>
          </w:p>
        </w:tc>
        <w:tc>
          <w:tcPr>
            <w:gridSpan w:val="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r>
      <w:tr>
        <w:trPr>
          <w:trHeight w:val="403"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坏账准备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计提比例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计提理由</w:t>
            </w:r>
          </w:p>
        </w:tc>
      </w:tr>
      <w:tr>
        <w:trPr>
          <w:trHeight w:val="104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单位一</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2,503,130.00</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bottom w:val="single" w:sz="4"/>
            </w:tcBorders>
            <w:shd w:val="clear" w:color="auto" w:fill="F9ECF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日，应收单位一之款项为人民币</w:t>
            </w:r>
            <w:r>
              <w:rPr>
                <w:rFonts w:ascii="Times New Roman" w:eastAsia="Times New Roman" w:hAnsi="Times New Roman" w:cs="Times New Roman"/>
                <w:color w:val="000000"/>
                <w:spacing w:val="0"/>
                <w:w w:val="100"/>
                <w:position w:val="0"/>
                <w:sz w:val="18"/>
                <w:szCs w:val="18"/>
              </w:rPr>
              <w:t xml:space="preserve">2,503,130.00 </w:t>
            </w:r>
            <w:r>
              <w:rPr>
                <w:color w:val="000000"/>
                <w:spacing w:val="0"/>
                <w:w w:val="100"/>
                <w:position w:val="0"/>
              </w:rPr>
              <w:t>元，单位一自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年下半年起未履行上述应收款项的支付义务， 其履行偿债义务的能力发生了显著变化。本集团认为该应收款项 难以收回，已发生信用减值，因此全额计提坏账准备。</w:t>
            </w:r>
          </w:p>
        </w:tc>
      </w:tr>
    </w:tbl>
    <w:p>
      <w:pPr>
        <w:pStyle w:val="Style45"/>
        <w:keepNext w:val="0"/>
        <w:keepLines w:val="0"/>
        <w:widowControl w:val="0"/>
        <w:shd w:val="clear" w:color="auto" w:fill="auto"/>
        <w:bidi w:val="0"/>
        <w:spacing w:before="0" w:after="0" w:line="240" w:lineRule="auto"/>
        <w:ind w:left="101" w:right="0" w:firstLine="0"/>
        <w:jc w:val="left"/>
        <w:rPr>
          <w:sz w:val="18"/>
          <w:szCs w:val="18"/>
        </w:rPr>
      </w:pPr>
      <w:r>
        <w:rPr>
          <w:color w:val="000000"/>
          <w:spacing w:val="0"/>
          <w:w w:val="100"/>
          <w:position w:val="0"/>
          <w:sz w:val="15"/>
          <w:szCs w:val="15"/>
        </w:rPr>
        <w:t>按组合计提坏账准备：</w:t>
      </w:r>
      <w:r>
        <w:rPr>
          <w:rFonts w:ascii="Times New Roman" w:eastAsia="Times New Roman" w:hAnsi="Times New Roman" w:cs="Times New Roman"/>
          <w:color w:val="000000"/>
          <w:spacing w:val="0"/>
          <w:w w:val="100"/>
          <w:position w:val="0"/>
          <w:sz w:val="18"/>
          <w:szCs w:val="18"/>
        </w:rPr>
        <w:t>14,256.13</w:t>
      </w:r>
    </w:p>
    <w:p>
      <w:pPr>
        <w:widowControl w:val="0"/>
        <w:spacing w:after="99" w:line="1" w:lineRule="exact"/>
      </w:pP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434"/>
        <w:gridCol w:w="2347"/>
        <w:gridCol w:w="2381"/>
        <w:gridCol w:w="2376"/>
      </w:tblGrid>
      <w:tr>
        <w:trPr>
          <w:trHeight w:val="413" w:hRule="exact"/>
        </w:trPr>
        <w:tc>
          <w:tcPr>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名称</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tcBorders/>
            <w:shd w:val="clear" w:color="auto" w:fill="A6A6A6"/>
            <w:vAlign w:val="top"/>
          </w:tcPr>
          <w:p>
            <w:pPr>
              <w:widowControl w:val="0"/>
              <w:rPr>
                <w:sz w:val="10"/>
                <w:szCs w:val="10"/>
              </w:rPr>
            </w:pPr>
          </w:p>
        </w:tc>
      </w:tr>
      <w:tr>
        <w:trPr>
          <w:trHeight w:val="403"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坏账准备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计提比例</w:t>
            </w:r>
          </w:p>
        </w:tc>
      </w:tr>
      <w:tr>
        <w:trPr>
          <w:trHeight w:val="394"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256" w:val="left"/>
              </w:tabs>
              <w:bidi w:val="0"/>
              <w:spacing w:before="0" w:after="0" w:line="240" w:lineRule="auto"/>
              <w:ind w:left="0" w:right="0" w:firstLine="0"/>
              <w:jc w:val="left"/>
              <w:rPr>
                <w:sz w:val="54"/>
                <w:szCs w:val="54"/>
              </w:rPr>
            </w:pPr>
            <w:r>
              <w:rPr>
                <w:b/>
                <w:bCs/>
                <w:color w:val="FFFFFF"/>
                <w:spacing w:val="0"/>
                <w:w w:val="100"/>
                <w:position w:val="0"/>
                <w:sz w:val="15"/>
                <w:szCs w:val="15"/>
              </w:rPr>
              <w:t>按组合计提坏账准备</w:t>
              <w:tab/>
            </w:r>
            <w:r>
              <w:rPr>
                <w:rFonts w:ascii="Arial" w:eastAsia="Arial" w:hAnsi="Arial" w:cs="Arial"/>
                <w:color w:val="FFFFFF"/>
                <w:spacing w:val="0"/>
                <w:w w:val="100"/>
                <w:position w:val="0"/>
                <w:sz w:val="54"/>
                <w:szCs w:val="54"/>
              </w:rPr>
              <w:t>1</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843,558.15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14,256.13</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8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843,558.15</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14,256.13</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1.69%</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作为本集团信用风险管理的一部分，本集团利用应收账款账龄来评估中小零散客户组合形成的应收账款的预期信用损失。</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4694"/>
        <w:gridCol w:w="4906"/>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账龄</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年以内(含</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w:t>
            </w:r>
          </w:p>
        </w:tc>
        <w:tc>
          <w:tcPr>
            <w:tcBorders/>
            <w:shd w:val="clear" w:color="auto" w:fill="A6A6A6"/>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3,346,688.15</w:t>
            </w:r>
          </w:p>
        </w:tc>
      </w:tr>
    </w:tbl>
    <w:p>
      <w:pPr>
        <w:widowControl w:val="0"/>
        <w:spacing w:after="319" w:line="1" w:lineRule="exact"/>
      </w:pPr>
    </w:p>
    <w:p>
      <w:pPr>
        <w:pStyle w:val="Style69"/>
        <w:keepNext/>
        <w:keepLines/>
        <w:widowControl w:val="0"/>
        <w:shd w:val="clear" w:color="auto" w:fill="auto"/>
        <w:bidi w:val="0"/>
        <w:spacing w:before="0" w:after="400" w:line="240" w:lineRule="auto"/>
        <w:ind w:left="0" w:right="0" w:firstLine="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23"/>
      <w:bookmarkEnd w:id="1324"/>
      <w:bookmarkEnd w:id="132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440"/>
        <w:gridCol w:w="1483"/>
        <w:gridCol w:w="1243"/>
        <w:gridCol w:w="1435"/>
        <w:gridCol w:w="1430"/>
        <w:gridCol w:w="1085"/>
        <w:gridCol w:w="1459"/>
      </w:tblGrid>
      <w:tr>
        <w:trPr>
          <w:trHeight w:val="355"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类别</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期初余额</w:t>
            </w:r>
          </w:p>
        </w:tc>
        <w:tc>
          <w:tcPr>
            <w:gridSpan w:val="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本期变动金额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期末余额</w:t>
            </w:r>
          </w:p>
        </w:tc>
      </w:tr>
      <w:tr>
        <w:trPr>
          <w:trHeight w:val="322" w:hRule="exact"/>
        </w:trPr>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计提</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收回或转回</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pPr>
            <w:r>
              <w:rPr>
                <w:b/>
                <w:bCs/>
                <w:color w:val="FFFFFF"/>
                <w:spacing w:val="0"/>
                <w:w w:val="100"/>
                <w:position w:val="0"/>
              </w:rPr>
              <w:t>核销</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400" w:firstLine="0"/>
              <w:jc w:val="right"/>
            </w:pPr>
            <w:r>
              <w:rPr>
                <w:b/>
                <w:bCs/>
                <w:color w:val="FFFFFF"/>
                <w:spacing w:val="0"/>
                <w:w w:val="100"/>
                <w:position w:val="0"/>
              </w:rPr>
              <w:t>其他</w:t>
            </w:r>
          </w:p>
        </w:tc>
        <w:tc>
          <w:tcPr>
            <w:tcBorders/>
            <w:shd w:val="clear" w:color="auto" w:fill="A6A6A6"/>
            <w:vAlign w:val="top"/>
          </w:tcPr>
          <w:p>
            <w:pPr>
              <w:widowControl w:val="0"/>
              <w:rPr>
                <w:sz w:val="10"/>
                <w:szCs w:val="10"/>
              </w:rPr>
            </w:pPr>
          </w:p>
        </w:tc>
      </w:tr>
      <w:tr>
        <w:trPr>
          <w:trHeight w:val="2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54"/>
                <w:szCs w:val="54"/>
              </w:rPr>
            </w:pPr>
            <w:r>
              <w:rPr>
                <w:b/>
                <w:bCs/>
                <w:color w:val="FFFFFF"/>
                <w:spacing w:val="0"/>
                <w:w w:val="100"/>
                <w:position w:val="0"/>
                <w:sz w:val="15"/>
                <w:szCs w:val="15"/>
              </w:rPr>
              <w:t>按组合计提坏</w:t>
            </w:r>
            <w:r>
              <w:rPr>
                <w:rFonts w:ascii="Arial" w:eastAsia="Arial" w:hAnsi="Arial" w:cs="Arial"/>
                <w:color w:val="FFFFFF"/>
                <w:spacing w:val="0"/>
                <w:w w:val="100"/>
                <w:position w:val="0"/>
                <w:sz w:val="54"/>
                <w:szCs w:val="54"/>
              </w:rPr>
              <w:t>1</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23,300.31</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9,500.14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18,544.32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14,256.13</w:t>
            </w:r>
          </w:p>
        </w:tc>
      </w:tr>
    </w:tbl>
    <w:p>
      <w:pPr>
        <w:widowControl w:val="0"/>
        <w:spacing w:line="1" w:lineRule="exact"/>
      </w:pPr>
      <w:r>
        <w:br w:type="page"/>
      </w:r>
    </w:p>
    <w:tbl>
      <w:tblPr>
        <w:tblOverlap w:val="never"/>
        <w:jc w:val="center"/>
        <w:tblLayout w:type="fixed"/>
      </w:tblPr>
      <w:tblGrid>
        <w:gridCol w:w="1349"/>
        <w:gridCol w:w="1459"/>
        <w:gridCol w:w="1632"/>
        <w:gridCol w:w="2938"/>
        <w:gridCol w:w="888"/>
        <w:gridCol w:w="1291"/>
      </w:tblGrid>
      <w:tr>
        <w:trPr>
          <w:trHeight w:val="31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类别</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期初余额</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本期变动金额</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pPr>
            <w:r>
              <w:rPr>
                <w:b/>
                <w:bCs/>
                <w:color w:val="FFFFFF"/>
                <w:spacing w:val="0"/>
                <w:w w:val="100"/>
                <w:position w:val="0"/>
              </w:rPr>
              <w:t>期末余额</w:t>
            </w:r>
          </w:p>
        </w:tc>
      </w:tr>
      <w:tr>
        <w:trPr>
          <w:trHeight w:val="30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账准备</w:t>
            </w: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c>
          <w:tcPr>
            <w:tcBorders/>
            <w:shd w:val="clear" w:color="auto" w:fill="F9ECF3"/>
            <w:vAlign w:val="top"/>
          </w:tcPr>
          <w:p>
            <w:pPr>
              <w:widowControl w:val="0"/>
              <w:rPr>
                <w:sz w:val="10"/>
                <w:szCs w:val="10"/>
              </w:rPr>
            </w:pPr>
          </w:p>
        </w:tc>
      </w:tr>
      <w:tr>
        <w:trPr>
          <w:trHeight w:val="55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69" w:lineRule="exact"/>
              <w:ind w:left="0" w:right="0" w:firstLine="0"/>
              <w:jc w:val="left"/>
            </w:pPr>
            <w:r>
              <w:rPr>
                <w:b/>
                <w:bCs/>
                <w:color w:val="FFFFFF"/>
                <w:spacing w:val="0"/>
                <w:w w:val="100"/>
                <w:position w:val="0"/>
              </w:rPr>
              <w:t>按单项计提坏 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tcBorders>
            <w:shd w:val="clear" w:color="auto" w:fill="FFFFFF"/>
            <w:vAlign w:val="center"/>
          </w:tcPr>
          <w:p>
            <w:pPr>
              <w:pStyle w:val="Style2"/>
              <w:keepNext w:val="0"/>
              <w:keepLines w:val="0"/>
              <w:widowControl w:val="0"/>
              <w:shd w:val="clear" w:color="auto" w:fill="auto"/>
              <w:tabs>
                <w:tab w:pos="1949" w:val="left"/>
              </w:tabs>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tab/>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2,503,130.00</w:t>
            </w:r>
          </w:p>
        </w:tc>
      </w:tr>
      <w:tr>
        <w:trPr>
          <w:trHeight w:val="30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rPr>
                <w:sz w:val="18"/>
                <w:szCs w:val="18"/>
              </w:rPr>
            </w:pPr>
            <w:r>
              <w:rPr>
                <w:rFonts w:ascii="Times New Roman" w:eastAsia="Times New Roman" w:hAnsi="Times New Roman" w:cs="Times New Roman"/>
                <w:b/>
                <w:bCs/>
                <w:color w:val="FFFFFF"/>
                <w:spacing w:val="0"/>
                <w:w w:val="100"/>
                <w:position w:val="0"/>
                <w:sz w:val="18"/>
                <w:szCs w:val="18"/>
              </w:rPr>
              <w:t>23,300.31</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rPr>
                <w:sz w:val="18"/>
                <w:szCs w:val="18"/>
              </w:rPr>
            </w:pPr>
            <w:r>
              <w:rPr>
                <w:rFonts w:ascii="Times New Roman" w:eastAsia="Times New Roman" w:hAnsi="Times New Roman" w:cs="Times New Roman"/>
                <w:b/>
                <w:bCs/>
                <w:color w:val="FFFFFF"/>
                <w:spacing w:val="0"/>
                <w:w w:val="100"/>
                <w:position w:val="0"/>
                <w:sz w:val="18"/>
                <w:szCs w:val="18"/>
              </w:rPr>
              <w:t>2,512,630.14</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550" w:val="left"/>
              </w:tabs>
              <w:bidi w:val="0"/>
              <w:spacing w:before="0" w:after="0" w:line="240" w:lineRule="auto"/>
              <w:ind w:left="0" w:right="0" w:firstLine="840"/>
              <w:jc w:val="left"/>
              <w:rPr>
                <w:sz w:val="18"/>
                <w:szCs w:val="18"/>
              </w:rPr>
            </w:pPr>
            <w:r>
              <w:rPr>
                <w:rFonts w:ascii="Times New Roman" w:eastAsia="Times New Roman" w:hAnsi="Times New Roman" w:cs="Times New Roman"/>
                <w:b/>
                <w:bCs/>
                <w:color w:val="FFFFFF"/>
                <w:spacing w:val="0"/>
                <w:w w:val="100"/>
                <w:position w:val="0"/>
                <w:sz w:val="18"/>
                <w:szCs w:val="18"/>
              </w:rPr>
              <w:t>-</w:t>
              <w:tab/>
            </w:r>
            <w:r>
              <w:rPr>
                <w:rFonts w:ascii="Times New Roman" w:eastAsia="Times New Roman" w:hAnsi="Times New Roman" w:cs="Times New Roman"/>
                <w:b/>
                <w:bCs/>
                <w:color w:val="FFFFFF"/>
                <w:spacing w:val="0"/>
                <w:w w:val="100"/>
                <w:position w:val="0"/>
                <w:sz w:val="18"/>
                <w:szCs w:val="18"/>
              </w:rPr>
              <w:t>18,544.32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rPr>
                <w:sz w:val="18"/>
                <w:szCs w:val="18"/>
              </w:rPr>
            </w:pPr>
            <w:r>
              <w:rPr>
                <w:rFonts w:ascii="Times New Roman" w:eastAsia="Times New Roman" w:hAnsi="Times New Roman" w:cs="Times New Roman"/>
                <w:b/>
                <w:bCs/>
                <w:color w:val="FFFFFF"/>
                <w:spacing w:val="0"/>
                <w:w w:val="100"/>
                <w:position w:val="0"/>
                <w:sz w:val="18"/>
                <w:szCs w:val="18"/>
              </w:rPr>
              <w:t>2,517,386.13</w:t>
            </w:r>
          </w:p>
        </w:tc>
      </w:tr>
    </w:tbl>
    <w:p>
      <w:pPr>
        <w:widowControl w:val="0"/>
        <w:spacing w:after="359" w:line="1" w:lineRule="exact"/>
      </w:pPr>
    </w:p>
    <w:p>
      <w:pPr>
        <w:pStyle w:val="Style69"/>
        <w:keepNext/>
        <w:keepLines/>
        <w:widowControl w:val="0"/>
        <w:shd w:val="clear" w:color="auto" w:fill="auto"/>
        <w:tabs>
          <w:tab w:pos="493" w:val="left"/>
        </w:tabs>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326"/>
      <w:bookmarkEnd w:id="1327"/>
      <w:bookmarkEnd w:id="132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年度，本公司核销的应收账款为人民币</w:t>
      </w:r>
      <w:r>
        <w:rPr>
          <w:rFonts w:ascii="Times New Roman" w:eastAsia="Times New Roman" w:hAnsi="Times New Roman" w:cs="Times New Roman"/>
          <w:color w:val="000000"/>
          <w:spacing w:val="0"/>
          <w:w w:val="100"/>
          <w:position w:val="0"/>
          <w:sz w:val="18"/>
          <w:szCs w:val="18"/>
        </w:rPr>
        <w:t>18,544.32</w:t>
      </w:r>
      <w:r>
        <w:rPr>
          <w:color w:val="000000"/>
          <w:spacing w:val="0"/>
          <w:w w:val="100"/>
          <w:position w:val="0"/>
        </w:rPr>
        <w:t>元。</w:t>
      </w:r>
    </w:p>
    <w:p>
      <w:pPr>
        <w:pStyle w:val="Style69"/>
        <w:keepNext/>
        <w:keepLines/>
        <w:widowControl w:val="0"/>
        <w:shd w:val="clear" w:color="auto" w:fill="auto"/>
        <w:tabs>
          <w:tab w:pos="493" w:val="left"/>
        </w:tabs>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330"/>
      <w:bookmarkEnd w:id="1331"/>
      <w:bookmarkEnd w:id="1333"/>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222"/>
        <w:gridCol w:w="2597"/>
        <w:gridCol w:w="2563"/>
        <w:gridCol w:w="2208"/>
      </w:tblGrid>
      <w:tr>
        <w:trPr>
          <w:trHeight w:val="74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40"/>
              <w:jc w:val="left"/>
            </w:pPr>
            <w:r>
              <w:rPr>
                <w:b/>
                <w:bCs/>
                <w:color w:val="FFFFFF"/>
                <w:spacing w:val="0"/>
                <w:w w:val="100"/>
                <w:position w:val="0"/>
              </w:rPr>
              <w:t>单位名称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40"/>
              <w:jc w:val="left"/>
            </w:pPr>
            <w:r>
              <w:rPr>
                <w:b/>
                <w:bCs/>
                <w:color w:val="FFFFFF"/>
                <w:spacing w:val="0"/>
                <w:w w:val="100"/>
                <w:position w:val="0"/>
              </w:rPr>
              <w:t>应收账款期末余额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280" w:firstLine="0"/>
              <w:jc w:val="right"/>
            </w:pPr>
            <w:r>
              <w:rPr>
                <w:b/>
                <w:bCs/>
                <w:color w:val="FFFFFF"/>
                <w:spacing w:val="0"/>
                <w:w w:val="100"/>
                <w:position w:val="0"/>
              </w:rPr>
              <w:t>占应收账款期末余额合计数</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00"/>
              <w:jc w:val="left"/>
            </w:pPr>
            <w:r>
              <w:rPr>
                <w:b/>
                <w:bCs/>
                <w:color w:val="FFFFFF"/>
                <w:spacing w:val="0"/>
                <w:w w:val="100"/>
                <w:position w:val="0"/>
              </w:rPr>
              <w:t>的比例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坏账准备期末余额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74.79%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2,503,130.00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单位二</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667,291.49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11,277.21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94,586.83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1,598.52</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78,639.83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20" w:right="0" w:firstLine="0"/>
              <w:jc w:val="left"/>
              <w:rPr>
                <w:sz w:val="18"/>
                <w:szCs w:val="18"/>
              </w:rPr>
            </w:pPr>
            <w:r>
              <w:rPr>
                <w:rFonts w:ascii="Times New Roman" w:eastAsia="Times New Roman" w:hAnsi="Times New Roman" w:cs="Times New Roman"/>
                <w:b/>
                <w:bCs/>
                <w:color w:val="FFFFFF"/>
                <w:spacing w:val="0"/>
                <w:w w:val="100"/>
                <w:position w:val="0"/>
                <w:sz w:val="18"/>
                <w:szCs w:val="18"/>
              </w:rPr>
              <w:t>3,346,688.15</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280" w:firstLine="0"/>
              <w:jc w:val="right"/>
              <w:rPr>
                <w:sz w:val="18"/>
                <w:szCs w:val="18"/>
              </w:rPr>
            </w:pPr>
            <w:r>
              <w:rPr>
                <w:rFonts w:ascii="Times New Roman" w:eastAsia="Times New Roman" w:hAnsi="Times New Roman" w:cs="Times New Roman"/>
                <w:b/>
                <w:bCs/>
                <w:color w:val="FFFFFF"/>
                <w:spacing w:val="0"/>
                <w:w w:val="100"/>
                <w:position w:val="0"/>
                <w:sz w:val="18"/>
                <w:szCs w:val="18"/>
              </w:rPr>
              <w:t>100.00%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40" w:right="0" w:firstLine="0"/>
              <w:jc w:val="left"/>
              <w:rPr>
                <w:sz w:val="18"/>
                <w:szCs w:val="18"/>
              </w:rPr>
            </w:pPr>
            <w:r>
              <w:rPr>
                <w:rFonts w:ascii="Times New Roman" w:eastAsia="Times New Roman" w:hAnsi="Times New Roman" w:cs="Times New Roman"/>
                <w:b/>
                <w:bCs/>
                <w:color w:val="FFFFFF"/>
                <w:spacing w:val="0"/>
                <w:w w:val="100"/>
                <w:position w:val="0"/>
                <w:sz w:val="18"/>
                <w:szCs w:val="18"/>
              </w:rPr>
              <w:t>2,517,386.13</w:t>
            </w:r>
          </w:p>
        </w:tc>
      </w:tr>
    </w:tbl>
    <w:p>
      <w:pPr>
        <w:widowControl w:val="0"/>
        <w:spacing w:after="359" w:line="1" w:lineRule="exact"/>
      </w:pPr>
    </w:p>
    <w:p>
      <w:pPr>
        <w:pStyle w:val="Style49"/>
        <w:keepNext/>
        <w:keepLines/>
        <w:widowControl w:val="0"/>
        <w:shd w:val="clear" w:color="auto" w:fill="auto"/>
        <w:bidi w:val="0"/>
        <w:spacing w:before="0" w:after="42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34"/>
      <w:bookmarkEnd w:id="1335"/>
      <w:bookmarkEnd w:id="1336"/>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086"/>
        <w:gridCol w:w="3859"/>
        <w:gridCol w:w="2630"/>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00" w:right="0" w:firstLine="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460" w:right="0" w:firstLine="0"/>
              <w:jc w:val="center"/>
            </w:pPr>
            <w:r>
              <w:rPr>
                <w:b/>
                <w:bCs/>
                <w:color w:val="FFFFFF"/>
                <w:spacing w:val="0"/>
                <w:w w:val="100"/>
                <w:position w:val="0"/>
              </w:rPr>
              <w:t>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60"/>
              <w:jc w:val="left"/>
            </w:pPr>
            <w:r>
              <w:rPr>
                <w:b/>
                <w:bCs/>
                <w:color w:val="FFFFFF"/>
                <w:spacing w:val="0"/>
                <w:w w:val="100"/>
                <w:position w:val="0"/>
              </w:rPr>
              <w:t>期初余额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应收利息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应收股利</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44,869,828.78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79,103,352.39</w:t>
            </w:r>
          </w:p>
        </w:tc>
      </w:tr>
      <w:tr>
        <w:trPr>
          <w:trHeight w:val="40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40" w:right="0" w:firstLine="0"/>
              <w:jc w:val="left"/>
              <w:rPr>
                <w:sz w:val="18"/>
                <w:szCs w:val="18"/>
              </w:rPr>
            </w:pPr>
            <w:r>
              <w:rPr>
                <w:rFonts w:ascii="Times New Roman" w:eastAsia="Times New Roman" w:hAnsi="Times New Roman" w:cs="Times New Roman"/>
                <w:b/>
                <w:bCs/>
                <w:color w:val="FFFFFF"/>
                <w:spacing w:val="0"/>
                <w:w w:val="100"/>
                <w:position w:val="0"/>
                <w:sz w:val="18"/>
                <w:szCs w:val="18"/>
              </w:rPr>
              <w:t>44,869,828.78</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60" w:right="0" w:firstLine="0"/>
              <w:jc w:val="left"/>
              <w:rPr>
                <w:sz w:val="18"/>
                <w:szCs w:val="18"/>
              </w:rPr>
            </w:pPr>
            <w:r>
              <w:rPr>
                <w:rFonts w:ascii="Times New Roman" w:eastAsia="Times New Roman" w:hAnsi="Times New Roman" w:cs="Times New Roman"/>
                <w:b/>
                <w:bCs/>
                <w:color w:val="FFFFFF"/>
                <w:spacing w:val="0"/>
                <w:w w:val="100"/>
                <w:position w:val="0"/>
                <w:sz w:val="18"/>
                <w:szCs w:val="18"/>
              </w:rPr>
              <w:t>79,103,352.39</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37"/>
      <w:bookmarkEnd w:id="1338"/>
      <w:bookmarkEnd w:id="1339"/>
    </w:p>
    <w:p>
      <w:pPr>
        <w:pStyle w:val="Style121"/>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40"/>
      <w:bookmarkEnd w:id="1341"/>
      <w:bookmarkEnd w:id="1342"/>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102"/>
        <w:gridCol w:w="2525"/>
        <w:gridCol w:w="3202"/>
        <w:gridCol w:w="1642"/>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年初余额</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应收子公司往来款</w:t>
            </w:r>
          </w:p>
        </w:tc>
        <w:tc>
          <w:tcPr>
            <w:tcBorders/>
            <w:shd w:val="clear" w:color="auto" w:fill="A6A6A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129,330,686.33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78,649,869.84</w:t>
            </w:r>
          </w:p>
        </w:tc>
      </w:tr>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押金</w:t>
            </w:r>
          </w:p>
        </w:tc>
        <w:tc>
          <w:tcPr>
            <w:tcBorders/>
            <w:shd w:val="clear" w:color="auto" w:fill="A6A6A6"/>
            <w:vAlign w:val="top"/>
          </w:tcPr>
          <w:p>
            <w:pPr>
              <w:widowControl w:val="0"/>
              <w:rPr>
                <w:sz w:val="10"/>
                <w:szCs w:val="10"/>
              </w:rPr>
            </w:pP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655,500.00</w:t>
            </w:r>
          </w:p>
        </w:tc>
        <w:tc>
          <w:tcPr>
            <w:tcBorders>
              <w:top w:val="single" w:sz="4"/>
              <w:bottom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399,000.00</w:t>
            </w:r>
          </w:p>
        </w:tc>
      </w:tr>
    </w:tbl>
    <w:p>
      <w:pPr>
        <w:widowControl w:val="0"/>
        <w:spacing w:line="1" w:lineRule="exact"/>
      </w:pPr>
      <w:r>
        <w:br w:type="page"/>
      </w:r>
    </w:p>
    <w:tbl>
      <w:tblPr>
        <w:tblOverlap w:val="never"/>
        <w:jc w:val="center"/>
        <w:tblLayout w:type="fixed"/>
      </w:tblPr>
      <w:tblGrid>
        <w:gridCol w:w="1920"/>
        <w:gridCol w:w="2707"/>
        <w:gridCol w:w="3206"/>
        <w:gridCol w:w="1637"/>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640" w:right="0" w:firstLine="0"/>
              <w:jc w:val="left"/>
            </w:pPr>
            <w:r>
              <w:rPr>
                <w:b/>
                <w:bCs/>
                <w:color w:val="FFFFFF"/>
                <w:spacing w:val="0"/>
                <w:w w:val="100"/>
                <w:position w:val="0"/>
              </w:rPr>
              <w:t>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年初余额</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代垫款项</w:t>
            </w:r>
          </w:p>
        </w:tc>
        <w:tc>
          <w:tcPr>
            <w:tcBorders/>
            <w:shd w:val="clear" w:color="auto" w:fill="A6A6A6"/>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48,071.77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56,761.36</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小计</w:t>
            </w:r>
          </w:p>
        </w:tc>
        <w:tc>
          <w:tcPr>
            <w:tcBorders/>
            <w:shd w:val="clear" w:color="auto" w:fill="A6A6A6"/>
            <w:vAlign w:val="top"/>
          </w:tcPr>
          <w:p>
            <w:pPr>
              <w:widowControl w:val="0"/>
              <w:rPr>
                <w:sz w:val="10"/>
                <w:szCs w:val="10"/>
              </w:rPr>
            </w:pP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130,034,258.10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79,105,631.20</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减：坏账准备</w:t>
            </w:r>
          </w:p>
        </w:tc>
        <w:tc>
          <w:tcPr>
            <w:tcBorders/>
            <w:shd w:val="clear" w:color="auto" w:fill="A6A6A6"/>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85,164,429.32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2,278.81</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820" w:right="0" w:firstLine="0"/>
              <w:jc w:val="left"/>
              <w:rPr>
                <w:sz w:val="18"/>
                <w:szCs w:val="18"/>
              </w:rPr>
            </w:pPr>
            <w:r>
              <w:rPr>
                <w:rFonts w:ascii="Times New Roman" w:eastAsia="Times New Roman" w:hAnsi="Times New Roman" w:cs="Times New Roman"/>
                <w:b/>
                <w:bCs/>
                <w:color w:val="FFFFFF"/>
                <w:spacing w:val="0"/>
                <w:w w:val="100"/>
                <w:position w:val="0"/>
                <w:sz w:val="18"/>
                <w:szCs w:val="18"/>
              </w:rPr>
              <w:t>44,869,828.78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rPr>
                <w:sz w:val="18"/>
                <w:szCs w:val="18"/>
              </w:rPr>
            </w:pPr>
            <w:r>
              <w:rPr>
                <w:rFonts w:ascii="Times New Roman" w:eastAsia="Times New Roman" w:hAnsi="Times New Roman" w:cs="Times New Roman"/>
                <w:b/>
                <w:bCs/>
                <w:color w:val="FFFFFF"/>
                <w:spacing w:val="0"/>
                <w:w w:val="100"/>
                <w:position w:val="0"/>
                <w:sz w:val="18"/>
                <w:szCs w:val="18"/>
              </w:rPr>
              <w:t>79,103,352.39</w:t>
            </w:r>
          </w:p>
        </w:tc>
      </w:tr>
    </w:tbl>
    <w:p>
      <w:pPr>
        <w:widowControl w:val="0"/>
        <w:spacing w:after="339" w:line="1" w:lineRule="exact"/>
      </w:pPr>
    </w:p>
    <w:p>
      <w:pPr>
        <w:pStyle w:val="Style121"/>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color w:val="000000"/>
          <w:spacing w:val="0"/>
          <w:w w:val="100"/>
          <w:position w:val="0"/>
        </w:rPr>
        <w:t>）坏账准备计提情况</w:t>
      </w:r>
      <w:bookmarkEnd w:id="1343"/>
      <w:bookmarkEnd w:id="1344"/>
      <w:bookmarkEnd w:id="1346"/>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568"/>
        <w:gridCol w:w="1445"/>
        <w:gridCol w:w="1982"/>
        <w:gridCol w:w="2203"/>
        <w:gridCol w:w="1478"/>
      </w:tblGrid>
      <w:tr>
        <w:trPr>
          <w:trHeight w:val="437"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坏账准备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第一阶段</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第二阶段</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00"/>
              <w:jc w:val="left"/>
            </w:pPr>
            <w:r>
              <w:rPr>
                <w:b/>
                <w:bCs/>
                <w:color w:val="FFFFFF"/>
                <w:spacing w:val="0"/>
                <w:w w:val="100"/>
                <w:position w:val="0"/>
              </w:rPr>
              <w:t>第三阶段</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660" w:firstLine="0"/>
              <w:jc w:val="right"/>
            </w:pPr>
            <w:r>
              <w:rPr>
                <w:b/>
                <w:bCs/>
                <w:color w:val="FFFFFF"/>
                <w:spacing w:val="0"/>
                <w:w w:val="100"/>
                <w:position w:val="0"/>
              </w:rPr>
              <w:t>合计</w:t>
            </w:r>
          </w:p>
        </w:tc>
      </w:tr>
      <w:tr>
        <w:trPr>
          <w:trHeight w:val="710"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140"/>
              <w:jc w:val="left"/>
            </w:pPr>
            <w:r>
              <w:rPr>
                <w:b/>
                <w:bCs/>
                <w:color w:val="FFFFFF"/>
                <w:spacing w:val="0"/>
                <w:w w:val="100"/>
                <w:position w:val="0"/>
              </w:rPr>
              <w:t>未来</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个月预</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期信用损失</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0" w:firstLine="0"/>
              <w:jc w:val="right"/>
              <w:rPr>
                <w:sz w:val="19"/>
                <w:szCs w:val="19"/>
              </w:rPr>
            </w:pPr>
            <w:r>
              <w:rPr>
                <w:b/>
                <w:bCs/>
                <w:color w:val="FFFFFF"/>
                <w:spacing w:val="0"/>
                <w:w w:val="100"/>
                <w:position w:val="0"/>
                <w:sz w:val="15"/>
                <w:szCs w:val="15"/>
              </w:rPr>
              <w:t>整个存续期预期信用 损失</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未发生信用减值</w:t>
            </w:r>
            <w:r>
              <w:rPr>
                <w:b/>
                <w:bCs/>
                <w:color w:val="FFFFFF"/>
                <w:spacing w:val="0"/>
                <w:w w:val="100"/>
                <w:position w:val="0"/>
                <w:sz w:val="19"/>
                <w:szCs w:val="19"/>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07" w:lineRule="exact"/>
              <w:ind w:left="0" w:right="320" w:firstLine="0"/>
              <w:jc w:val="right"/>
              <w:rPr>
                <w:sz w:val="19"/>
                <w:szCs w:val="19"/>
              </w:rPr>
            </w:pPr>
            <w:r>
              <w:rPr>
                <w:b/>
                <w:bCs/>
                <w:color w:val="FFFFFF"/>
                <w:spacing w:val="0"/>
                <w:w w:val="100"/>
                <w:position w:val="0"/>
                <w:sz w:val="15"/>
                <w:szCs w:val="15"/>
              </w:rPr>
              <w:t>整个存续期预期信用 损失</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已发生信用减值</w:t>
            </w:r>
            <w:r>
              <w:rPr>
                <w:b/>
                <w:bCs/>
                <w:color w:val="FFFFFF"/>
                <w:spacing w:val="0"/>
                <w:w w:val="100"/>
                <w:position w:val="0"/>
                <w:sz w:val="19"/>
                <w:szCs w:val="19"/>
              </w:rPr>
              <w:t>）</w:t>
            </w:r>
          </w:p>
        </w:tc>
        <w:tc>
          <w:tcPr>
            <w:vMerge/>
            <w:tcBorders/>
            <w:shd w:val="clear" w:color="auto" w:fill="A6A6A6"/>
            <w:vAlign w:val="center"/>
          </w:tcPr>
          <w:p>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日余额</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2,278.81</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2,278.81</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本期计提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85,163,097.75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85,163,097.75</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本期转回</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947.24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947.24</w:t>
            </w:r>
          </w:p>
        </w:tc>
      </w:tr>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2020</w:t>
            </w:r>
            <w:r>
              <w:rPr>
                <w:b/>
                <w:bCs/>
                <w:color w:val="FFFFFF"/>
                <w:spacing w:val="0"/>
                <w:w w:val="100"/>
                <w:position w:val="0"/>
              </w:rPr>
              <w:t>年</w:t>
            </w:r>
            <w:r>
              <w:rPr>
                <w:rFonts w:ascii="Times New Roman" w:eastAsia="Times New Roman" w:hAnsi="Times New Roman" w:cs="Times New Roman"/>
                <w:b/>
                <w:bCs/>
                <w:color w:val="FFFFFF"/>
                <w:spacing w:val="0"/>
                <w:w w:val="100"/>
                <w:position w:val="0"/>
                <w:sz w:val="18"/>
                <w:szCs w:val="18"/>
              </w:rPr>
              <w:t>12</w:t>
            </w:r>
            <w:r>
              <w:rPr>
                <w:b/>
                <w:bCs/>
                <w:color w:val="FFFFFF"/>
                <w:spacing w:val="0"/>
                <w:w w:val="100"/>
                <w:position w:val="0"/>
              </w:rPr>
              <w:t>月</w:t>
            </w:r>
            <w:r>
              <w:rPr>
                <w:rFonts w:ascii="Times New Roman" w:eastAsia="Times New Roman" w:hAnsi="Times New Roman" w:cs="Times New Roman"/>
                <w:b/>
                <w:bCs/>
                <w:color w:val="FFFFFF"/>
                <w:spacing w:val="0"/>
                <w:w w:val="100"/>
                <w:position w:val="0"/>
                <w:sz w:val="18"/>
                <w:szCs w:val="18"/>
              </w:rPr>
              <w:t>31</w:t>
            </w:r>
            <w:r>
              <w:rPr>
                <w:b/>
                <w:bCs/>
                <w:color w:val="FFFFFF"/>
                <w:spacing w:val="0"/>
                <w:w w:val="100"/>
                <w:position w:val="0"/>
              </w:rPr>
              <w:t>日余额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1,331.57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85,163,097.75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85,164,429.32</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3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账龄</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账面余额</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年以内（含</w:t>
            </w: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年）</w:t>
            </w:r>
          </w:p>
        </w:tc>
        <w:tc>
          <w:tcPr>
            <w:tcBorders/>
            <w:shd w:val="clear" w:color="auto" w:fill="000000"/>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至</w:t>
            </w:r>
            <w:r>
              <w:rPr>
                <w:rFonts w:ascii="Times New Roman" w:eastAsia="Times New Roman" w:hAnsi="Times New Roman" w:cs="Times New Roman"/>
                <w:b/>
                <w:bCs/>
                <w:color w:val="FFFFFF"/>
                <w:spacing w:val="0"/>
                <w:w w:val="100"/>
                <w:position w:val="0"/>
                <w:sz w:val="18"/>
                <w:szCs w:val="18"/>
              </w:rPr>
              <w:t>2</w:t>
            </w:r>
            <w:r>
              <w:rPr>
                <w:b/>
                <w:bCs/>
                <w:color w:val="FFFFFF"/>
                <w:spacing w:val="0"/>
                <w:w w:val="100"/>
                <w:position w:val="0"/>
              </w:rPr>
              <w:t>年</w:t>
            </w:r>
          </w:p>
        </w:tc>
        <w:tc>
          <w:tcPr>
            <w:tcBorders>
              <w:top w:val="single" w:sz="4"/>
            </w:tcBorders>
            <w:shd w:val="clear" w:color="auto" w:fill="A22B6F"/>
            <w:vAlign w:val="top"/>
          </w:tcPr>
          <w:p>
            <w:pPr>
              <w:widowControl w:val="0"/>
              <w:rPr>
                <w:sz w:val="10"/>
                <w:szCs w:val="10"/>
              </w:rPr>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年以上</w:t>
            </w:r>
          </w:p>
        </w:tc>
        <w:tc>
          <w:tcPr>
            <w:tcBorders>
              <w:top w:val="single" w:sz="4"/>
            </w:tcBorders>
            <w:shd w:val="clear" w:color="auto" w:fill="7E3F63"/>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3</w:t>
            </w:r>
            <w:r>
              <w:rPr>
                <w:b/>
                <w:bCs/>
                <w:color w:val="FFFFFF"/>
                <w:spacing w:val="0"/>
                <w:w w:val="100"/>
                <w:position w:val="0"/>
              </w:rPr>
              <w:t>至</w:t>
            </w:r>
            <w:r>
              <w:rPr>
                <w:rFonts w:ascii="Times New Roman" w:eastAsia="Times New Roman" w:hAnsi="Times New Roman" w:cs="Times New Roman"/>
                <w:b/>
                <w:bCs/>
                <w:color w:val="FFFFFF"/>
                <w:spacing w:val="0"/>
                <w:w w:val="100"/>
                <w:position w:val="0"/>
                <w:sz w:val="18"/>
                <w:szCs w:val="18"/>
              </w:rPr>
              <w:t>4</w:t>
            </w:r>
            <w:r>
              <w:rPr>
                <w:b/>
                <w:bCs/>
                <w:color w:val="FFFFFF"/>
                <w:spacing w:val="0"/>
                <w:w w:val="100"/>
                <w:position w:val="0"/>
              </w:rPr>
              <w:t>年</w:t>
            </w:r>
          </w:p>
        </w:tc>
        <w:tc>
          <w:tcPr>
            <w:tcBorders>
              <w:top w:val="single" w:sz="4"/>
            </w:tcBorders>
            <w:shd w:val="clear" w:color="auto" w:fill="A22B6F"/>
            <w:vAlign w:val="top"/>
          </w:tcPr>
          <w:p>
            <w:pPr>
              <w:widowControl w:val="0"/>
              <w:rPr>
                <w:sz w:val="10"/>
                <w:szCs w:val="10"/>
              </w:rPr>
            </w:pP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 xml:space="preserve">44,869,828.78 </w:t>
            </w:r>
            <w:r>
              <w:rPr>
                <w:rFonts w:ascii="Times New Roman" w:eastAsia="Times New Roman" w:hAnsi="Times New Roman" w:cs="Times New Roman"/>
                <w:b/>
                <w:bCs/>
                <w:color w:val="FFFFFF"/>
                <w:spacing w:val="0"/>
                <w:w w:val="100"/>
                <w:position w:val="0"/>
                <w:sz w:val="18"/>
                <w:szCs w:val="18"/>
              </w:rPr>
              <w:t>1</w:t>
            </w:r>
          </w:p>
        </w:tc>
      </w:tr>
    </w:tbl>
    <w:p>
      <w:pPr>
        <w:widowControl w:val="0"/>
        <w:spacing w:after="339" w:line="1" w:lineRule="exact"/>
      </w:pPr>
    </w:p>
    <w:p>
      <w:pPr>
        <w:pStyle w:val="Style121"/>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color w:val="000000"/>
          <w:spacing w:val="0"/>
          <w:w w:val="100"/>
          <w:position w:val="0"/>
        </w:rPr>
        <w:t>）按欠款方归集的期末余额前五名的其他应收款情况</w:t>
      </w:r>
      <w:bookmarkEnd w:id="1347"/>
      <w:bookmarkEnd w:id="1348"/>
      <w:bookmarkEnd w:id="1350"/>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694"/>
        <w:gridCol w:w="1550"/>
        <w:gridCol w:w="1555"/>
        <w:gridCol w:w="1344"/>
        <w:gridCol w:w="1867"/>
        <w:gridCol w:w="1579"/>
      </w:tblGrid>
      <w:tr>
        <w:trPr>
          <w:trHeight w:val="8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单位名称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款项的性质</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期末余额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账龄</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28" w:lineRule="exact"/>
              <w:ind w:left="0" w:right="0" w:firstLine="0"/>
              <w:jc w:val="center"/>
            </w:pPr>
            <w:r>
              <w:rPr>
                <w:b/>
                <w:bCs/>
                <w:color w:val="FFFFFF"/>
                <w:spacing w:val="0"/>
                <w:w w:val="100"/>
                <w:position w:val="0"/>
              </w:rPr>
              <w:t>占其他应收款期 末余额合计数的 比例</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5" w:lineRule="exact"/>
              <w:ind w:left="0" w:right="0" w:firstLine="0"/>
              <w:jc w:val="center"/>
            </w:pPr>
            <w:r>
              <w:rPr>
                <w:b/>
                <w:bCs/>
                <w:color w:val="FFFFFF"/>
                <w:spacing w:val="0"/>
                <w:w w:val="100"/>
                <w:position w:val="0"/>
              </w:rPr>
              <w:t>坏账准备期末余 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124,985,118.18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96.12%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85,163,097.75</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单位二</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2,289,541.14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1,243,200.49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单位四</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厂家押金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33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单位五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295,368.91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rPr>
                <w:sz w:val="18"/>
                <w:szCs w:val="18"/>
              </w:rPr>
            </w:pPr>
            <w:r>
              <w:rPr>
                <w:rFonts w:ascii="Times New Roman" w:eastAsia="Times New Roman" w:hAnsi="Times New Roman" w:cs="Times New Roman"/>
                <w:b/>
                <w:bCs/>
                <w:color w:val="FFFFFF"/>
                <w:spacing w:val="0"/>
                <w:w w:val="100"/>
                <w:position w:val="0"/>
                <w:sz w:val="18"/>
                <w:szCs w:val="18"/>
              </w:rPr>
              <w:t>129,113,228.72</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00"/>
              <w:jc w:val="left"/>
              <w:rPr>
                <w:sz w:val="18"/>
                <w:szCs w:val="18"/>
              </w:rPr>
            </w:pPr>
            <w:r>
              <w:rPr>
                <w:rFonts w:ascii="Times New Roman" w:eastAsia="Times New Roman" w:hAnsi="Times New Roman" w:cs="Times New Roman"/>
                <w:b/>
                <w:bCs/>
                <w:color w:val="FFFFFF"/>
                <w:spacing w:val="0"/>
                <w:w w:val="100"/>
                <w:position w:val="0"/>
                <w:sz w:val="18"/>
                <w:szCs w:val="18"/>
              </w:rPr>
              <w:t>--</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140" w:firstLine="0"/>
              <w:jc w:val="right"/>
              <w:rPr>
                <w:sz w:val="18"/>
                <w:szCs w:val="18"/>
              </w:rPr>
            </w:pPr>
            <w:r>
              <w:rPr>
                <w:rFonts w:ascii="Times New Roman" w:eastAsia="Times New Roman" w:hAnsi="Times New Roman" w:cs="Times New Roman"/>
                <w:b/>
                <w:bCs/>
                <w:color w:val="FFFFFF"/>
                <w:spacing w:val="0"/>
                <w:w w:val="100"/>
                <w:position w:val="0"/>
                <w:sz w:val="18"/>
                <w:szCs w:val="18"/>
              </w:rPr>
              <w:t>99.30%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20"/>
              <w:jc w:val="left"/>
              <w:rPr>
                <w:sz w:val="18"/>
                <w:szCs w:val="18"/>
              </w:rPr>
            </w:pPr>
            <w:r>
              <w:rPr>
                <w:rFonts w:ascii="Times New Roman" w:eastAsia="Times New Roman" w:hAnsi="Times New Roman" w:cs="Times New Roman"/>
                <w:b/>
                <w:bCs/>
                <w:color w:val="FFFFFF"/>
                <w:spacing w:val="0"/>
                <w:w w:val="100"/>
                <w:position w:val="0"/>
                <w:sz w:val="18"/>
                <w:szCs w:val="18"/>
              </w:rPr>
              <w:t>85,163,997.75</w:t>
            </w:r>
          </w:p>
        </w:tc>
      </w:tr>
    </w:tbl>
    <w:p>
      <w:pPr>
        <w:spacing w:lineRule="exact" w:line="1"/>
        <w:rPr>
          <w:sz w:val="2"/>
          <w:szCs w:val="2"/>
        </w:rPr>
      </w:pPr>
      <w:r>
        <w:br w:type="page"/>
      </w:r>
    </w:p>
    <w:p>
      <w:pPr>
        <w:pStyle w:val="Style49"/>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color w:val="000000"/>
          <w:spacing w:val="0"/>
          <w:w w:val="100"/>
          <w:position w:val="0"/>
        </w:rPr>
        <w:t>、长期股权投资</w:t>
      </w:r>
      <w:bookmarkEnd w:id="1351"/>
      <w:bookmarkEnd w:id="1352"/>
      <w:bookmarkEnd w:id="1354"/>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330"/>
        <w:gridCol w:w="1445"/>
        <w:gridCol w:w="1325"/>
        <w:gridCol w:w="1368"/>
        <w:gridCol w:w="1411"/>
        <w:gridCol w:w="1320"/>
        <w:gridCol w:w="1368"/>
      </w:tblGrid>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期末余额</w:t>
            </w:r>
          </w:p>
        </w:tc>
        <w:tc>
          <w:tcPr>
            <w:gridSpan w:val="3"/>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减值准备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账面价值</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账面余额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60" w:right="0" w:firstLine="0"/>
              <w:jc w:val="center"/>
            </w:pPr>
            <w:r>
              <w:rPr>
                <w:b/>
                <w:bCs/>
                <w:color w:val="FFFFFF"/>
                <w:spacing w:val="0"/>
                <w:w w:val="100"/>
                <w:position w:val="0"/>
              </w:rPr>
              <w:t>减值准备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20" w:firstLine="0"/>
              <w:jc w:val="right"/>
            </w:pPr>
            <w:r>
              <w:rPr>
                <w:b/>
                <w:bCs/>
                <w:color w:val="FFFFFF"/>
                <w:spacing w:val="0"/>
                <w:w w:val="100"/>
                <w:position w:val="0"/>
              </w:rPr>
              <w:t>账面价值</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对子公司投资</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179,404,938.05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18,654,645.58</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160,750,292.47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184,404,938.05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18,654,645.58</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165,750,292.47</w:t>
            </w:r>
          </w:p>
        </w:tc>
      </w:tr>
      <w:tr>
        <w:trPr>
          <w:trHeight w:val="56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40" w:line="240" w:lineRule="auto"/>
              <w:ind w:left="0" w:right="0" w:firstLine="0"/>
              <w:jc w:val="left"/>
            </w:pPr>
            <w:r>
              <w:rPr>
                <w:b/>
                <w:bCs/>
                <w:color w:val="FFFFFF"/>
                <w:spacing w:val="0"/>
                <w:w w:val="100"/>
                <w:position w:val="0"/>
              </w:rPr>
              <w:t>对联营、合营</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企业投资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40"/>
              <w:jc w:val="left"/>
              <w:rPr>
                <w:sz w:val="18"/>
                <w:szCs w:val="18"/>
              </w:rPr>
            </w:pPr>
            <w:r>
              <w:rPr>
                <w:rFonts w:ascii="Times New Roman" w:eastAsia="Times New Roman" w:hAnsi="Times New Roman" w:cs="Times New Roman"/>
                <w:b/>
                <w:bCs/>
                <w:color w:val="FFFFFF"/>
                <w:spacing w:val="0"/>
                <w:w w:val="100"/>
                <w:position w:val="0"/>
                <w:sz w:val="18"/>
                <w:szCs w:val="18"/>
              </w:rPr>
              <w:t>179,404,938.05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rPr>
                <w:sz w:val="18"/>
                <w:szCs w:val="18"/>
              </w:rPr>
            </w:pPr>
            <w:r>
              <w:rPr>
                <w:rFonts w:ascii="Times New Roman" w:eastAsia="Times New Roman" w:hAnsi="Times New Roman" w:cs="Times New Roman"/>
                <w:b/>
                <w:bCs/>
                <w:color w:val="FFFFFF"/>
                <w:spacing w:val="0"/>
                <w:w w:val="100"/>
                <w:position w:val="0"/>
                <w:sz w:val="18"/>
                <w:szCs w:val="18"/>
              </w:rPr>
              <w:t>18,654,645.58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160,750,292.47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184,404,938.05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60"/>
              <w:jc w:val="left"/>
              <w:rPr>
                <w:sz w:val="18"/>
                <w:szCs w:val="18"/>
              </w:rPr>
            </w:pPr>
            <w:r>
              <w:rPr>
                <w:rFonts w:ascii="Times New Roman" w:eastAsia="Times New Roman" w:hAnsi="Times New Roman" w:cs="Times New Roman"/>
                <w:b/>
                <w:bCs/>
                <w:color w:val="FFFFFF"/>
                <w:spacing w:val="0"/>
                <w:w w:val="100"/>
                <w:position w:val="0"/>
                <w:sz w:val="18"/>
                <w:szCs w:val="18"/>
              </w:rPr>
              <w:t>18,654,645.58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165,750,292.47</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22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55"/>
      <w:bookmarkEnd w:id="1356"/>
      <w:bookmarkEnd w:id="1357"/>
    </w:p>
    <w:p>
      <w:pPr>
        <w:pStyle w:val="Style31"/>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406"/>
        <w:gridCol w:w="1622"/>
        <w:gridCol w:w="773"/>
        <w:gridCol w:w="1181"/>
        <w:gridCol w:w="1046"/>
        <w:gridCol w:w="782"/>
        <w:gridCol w:w="1440"/>
        <w:gridCol w:w="1411"/>
      </w:tblGrid>
      <w:tr>
        <w:trPr>
          <w:trHeight w:val="432"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40"/>
              <w:jc w:val="left"/>
            </w:pPr>
            <w:r>
              <w:rPr>
                <w:b/>
                <w:bCs/>
                <w:color w:val="FFFFFF"/>
                <w:spacing w:val="0"/>
                <w:w w:val="100"/>
                <w:position w:val="0"/>
              </w:rPr>
              <w:t>被投资单位</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center"/>
              <w:rPr>
                <w:sz w:val="19"/>
                <w:szCs w:val="19"/>
              </w:rPr>
            </w:pPr>
            <w:r>
              <w:rPr>
                <w:b/>
                <w:bCs/>
                <w:color w:val="FFFFFF"/>
                <w:spacing w:val="0"/>
                <w:w w:val="100"/>
                <w:position w:val="0"/>
                <w:sz w:val="15"/>
                <w:szCs w:val="15"/>
              </w:rPr>
              <w:t>期初余额</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账面价 值</w:t>
            </w:r>
            <w:r>
              <w:rPr>
                <w:b/>
                <w:bCs/>
                <w:color w:val="FFFFFF"/>
                <w:spacing w:val="0"/>
                <w:w w:val="100"/>
                <w:position w:val="0"/>
                <w:sz w:val="19"/>
                <w:szCs w:val="19"/>
              </w:rPr>
              <w:t>)</w:t>
            </w:r>
          </w:p>
        </w:tc>
        <w:tc>
          <w:tcPr>
            <w:gridSpan w:val="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本期增减变动</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2" w:lineRule="exact"/>
              <w:ind w:left="0" w:right="0" w:firstLine="0"/>
              <w:jc w:val="center"/>
              <w:rPr>
                <w:sz w:val="19"/>
                <w:szCs w:val="19"/>
              </w:rPr>
            </w:pPr>
            <w:r>
              <w:rPr>
                <w:b/>
                <w:bCs/>
                <w:color w:val="FFFFFF"/>
                <w:spacing w:val="0"/>
                <w:w w:val="100"/>
                <w:position w:val="0"/>
                <w:sz w:val="15"/>
                <w:szCs w:val="15"/>
              </w:rPr>
              <w:t>期末余额</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账面 价值</w:t>
            </w:r>
            <w:r>
              <w:rPr>
                <w:b/>
                <w:bCs/>
                <w:color w:val="FFFFFF"/>
                <w:spacing w:val="0"/>
                <w:w w:val="100"/>
                <w:position w:val="0"/>
                <w:sz w:val="19"/>
                <w:szCs w:val="19"/>
              </w:rPr>
              <w:t>)</w:t>
            </w:r>
          </w:p>
        </w:tc>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22" w:lineRule="exact"/>
              <w:ind w:left="0" w:right="0" w:firstLine="0"/>
              <w:jc w:val="center"/>
            </w:pPr>
            <w:r>
              <w:rPr>
                <w:b/>
                <w:bCs/>
                <w:color w:val="FFFFFF"/>
                <w:spacing w:val="0"/>
                <w:w w:val="100"/>
                <w:position w:val="0"/>
              </w:rPr>
              <w:t>减值准备期末 余额</w:t>
            </w:r>
          </w:p>
        </w:tc>
      </w:tr>
      <w:tr>
        <w:trPr>
          <w:trHeight w:val="715" w:hRule="exact"/>
        </w:trPr>
        <w:tc>
          <w:tcPr>
            <w:vMerge/>
            <w:tcBorders/>
            <w:shd w:val="clear" w:color="auto" w:fill="A6A6A6"/>
            <w:vAlign w:val="center"/>
          </w:tcPr>
          <w:p>
            <w:pPr/>
          </w:p>
        </w:tc>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20" w:line="240" w:lineRule="auto"/>
              <w:ind w:left="0" w:right="0" w:firstLine="0"/>
              <w:jc w:val="left"/>
            </w:pPr>
            <w:r>
              <w:rPr>
                <w:b/>
                <w:bCs/>
                <w:color w:val="FFFFFF"/>
                <w:spacing w:val="0"/>
                <w:w w:val="100"/>
                <w:position w:val="0"/>
              </w:rPr>
              <w:t>追加投</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资</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减少投资</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center"/>
            </w:pPr>
            <w:r>
              <w:rPr>
                <w:b/>
                <w:bCs/>
                <w:color w:val="FFFFFF"/>
                <w:spacing w:val="0"/>
                <w:w w:val="100"/>
                <w:position w:val="0"/>
              </w:rPr>
              <w:t>计提减值 准备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240" w:firstLine="0"/>
              <w:jc w:val="right"/>
            </w:pPr>
            <w:r>
              <w:rPr>
                <w:b/>
                <w:bCs/>
                <w:color w:val="FFFFFF"/>
                <w:spacing w:val="0"/>
                <w:w w:val="100"/>
                <w:position w:val="0"/>
              </w:rPr>
              <w:t>其他</w:t>
            </w:r>
          </w:p>
        </w:tc>
        <w:tc>
          <w:tcPr>
            <w:vMerge/>
            <w:tcBorders/>
            <w:shd w:val="clear" w:color="auto" w:fill="A6A6A6"/>
            <w:vAlign w:val="center"/>
          </w:tcPr>
          <w:p>
            <w:pPr/>
          </w:p>
        </w:tc>
        <w:tc>
          <w:tcPr>
            <w:vMerge/>
            <w:tcBorders/>
            <w:shd w:val="clear" w:color="auto" w:fill="A6A6A6"/>
            <w:vAlign w:val="center"/>
          </w:tcPr>
          <w:p>
            <w:pP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石家庄百邦</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山东百邦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75,145,354.42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75,145,354.42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18,654,645.58</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上海闪电蜂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84,298,053.05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84,298,053.05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10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Bybon</w:t>
            </w:r>
          </w:p>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Investment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306,885.00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306,885.00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百邦日新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雄安悦睿</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雄安悦星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百隆嘉讯</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rPr>
                <w:sz w:val="18"/>
                <w:szCs w:val="18"/>
              </w:rPr>
            </w:pPr>
            <w:r>
              <w:rPr>
                <w:rFonts w:ascii="Times New Roman" w:eastAsia="Times New Roman" w:hAnsi="Times New Roman" w:cs="Times New Roman"/>
                <w:b/>
                <w:bCs/>
                <w:color w:val="FFFFFF"/>
                <w:spacing w:val="0"/>
                <w:w w:val="100"/>
                <w:position w:val="0"/>
                <w:sz w:val="18"/>
                <w:szCs w:val="18"/>
              </w:rPr>
              <w:t>165,750,292.47</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both"/>
              <w:rPr>
                <w:sz w:val="18"/>
                <w:szCs w:val="18"/>
              </w:rPr>
            </w:pPr>
            <w:r>
              <w:rPr>
                <w:rFonts w:ascii="Times New Roman" w:eastAsia="Times New Roman" w:hAnsi="Times New Roman" w:cs="Times New Roman"/>
                <w:b/>
                <w:bCs/>
                <w:color w:val="FFFFFF"/>
                <w:spacing w:val="0"/>
                <w:w w:val="100"/>
                <w:position w:val="0"/>
                <w:sz w:val="18"/>
                <w:szCs w:val="18"/>
              </w:rPr>
              <w:t>5,000,000.00</w:t>
            </w: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160,750,292.47</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20"/>
              <w:jc w:val="left"/>
              <w:rPr>
                <w:sz w:val="18"/>
                <w:szCs w:val="18"/>
              </w:rPr>
            </w:pPr>
            <w:r>
              <w:rPr>
                <w:rFonts w:ascii="Times New Roman" w:eastAsia="Times New Roman" w:hAnsi="Times New Roman" w:cs="Times New Roman"/>
                <w:b/>
                <w:bCs/>
                <w:color w:val="FFFFFF"/>
                <w:spacing w:val="0"/>
                <w:w w:val="100"/>
                <w:position w:val="0"/>
                <w:sz w:val="18"/>
                <w:szCs w:val="18"/>
              </w:rPr>
              <w:t>18,654,645.58</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22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358"/>
      <w:bookmarkEnd w:id="1359"/>
      <w:bookmarkEnd w:id="1360"/>
    </w:p>
    <w:p>
      <w:pPr>
        <w:pStyle w:val="Style31"/>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：本年本公司新设子公司百邦日新、雄安悦睿、雄安悦星、百隆嘉讯，以上新设子公司均未实缴出资。</w:t>
      </w:r>
    </w:p>
    <w:p>
      <w:pPr>
        <w:pStyle w:val="Style31"/>
        <w:keepNext w:val="0"/>
        <w:keepLines w:val="0"/>
        <w:widowControl w:val="0"/>
        <w:shd w:val="clear" w:color="auto" w:fill="auto"/>
        <w:bidi w:val="0"/>
        <w:spacing w:before="0" w:after="46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：本年本公司出售山东百邦，本公司减少投资人民币</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w:t>
      </w:r>
    </w:p>
    <w:p>
      <w:pPr>
        <w:pStyle w:val="Style49"/>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color w:val="000000"/>
          <w:spacing w:val="0"/>
          <w:w w:val="100"/>
          <w:position w:val="0"/>
        </w:rPr>
        <w:t>、营业收入和营业成本</w:t>
      </w:r>
      <w:bookmarkEnd w:id="1361"/>
      <w:bookmarkEnd w:id="1362"/>
      <w:bookmarkEnd w:id="136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2429"/>
        <w:gridCol w:w="1618"/>
        <w:gridCol w:w="2194"/>
        <w:gridCol w:w="1325"/>
      </w:tblGrid>
      <w:tr>
        <w:trPr>
          <w:trHeight w:val="413" w:hRule="exact"/>
        </w:trPr>
        <w:tc>
          <w:tcPr>
            <w:vMerge w:val="restart"/>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80"/>
              <w:jc w:val="left"/>
            </w:pPr>
            <w:r>
              <w:rPr>
                <w:b/>
                <w:bCs/>
                <w:color w:val="FFFFFF"/>
                <w:spacing w:val="0"/>
                <w:w w:val="100"/>
                <w:position w:val="0"/>
              </w:rPr>
              <w:t>项目</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本期发生额</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上期发生额</w:t>
            </w:r>
          </w:p>
        </w:tc>
      </w:tr>
      <w:tr>
        <w:trPr>
          <w:trHeight w:val="398" w:hRule="exact"/>
        </w:trPr>
        <w:tc>
          <w:tcPr>
            <w:vMerge/>
            <w:tcBorders/>
            <w:shd w:val="clear" w:color="auto" w:fill="A6A6A6"/>
            <w:vAlign w:val="center"/>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pPr>
            <w:r>
              <w:rPr>
                <w:b/>
                <w:bCs/>
                <w:color w:val="FFFFFF"/>
                <w:spacing w:val="0"/>
                <w:w w:val="100"/>
                <w:position w:val="0"/>
              </w:rPr>
              <w:t>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180"/>
              <w:jc w:val="left"/>
            </w:pPr>
            <w:r>
              <w:rPr>
                <w:b/>
                <w:bCs/>
                <w:color w:val="FFFFFF"/>
                <w:spacing w:val="0"/>
                <w:w w:val="100"/>
                <w:position w:val="0"/>
              </w:rPr>
              <w:t>成本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成本</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主营业务</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192,970,114.98</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191,482,458.57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115,643,389.46</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106,114,014.15</w:t>
            </w:r>
          </w:p>
        </w:tc>
      </w:tr>
    </w:tbl>
    <w:p>
      <w:pPr>
        <w:widowControl w:val="0"/>
        <w:spacing w:line="1" w:lineRule="exact"/>
      </w:pPr>
      <w:r>
        <w:br w:type="page"/>
      </w:r>
    </w:p>
    <w:tbl>
      <w:tblPr>
        <w:tblOverlap w:val="never"/>
        <w:jc w:val="center"/>
        <w:tblLayout w:type="fixed"/>
      </w:tblPr>
      <w:tblGrid>
        <w:gridCol w:w="2285"/>
        <w:gridCol w:w="3778"/>
        <w:gridCol w:w="2198"/>
        <w:gridCol w:w="145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4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540" w:right="0" w:firstLine="0"/>
              <w:jc w:val="center"/>
            </w:pPr>
            <w:r>
              <w:rPr>
                <w:b/>
                <w:bCs/>
                <w:color w:val="FFFFFF"/>
                <w:spacing w:val="0"/>
                <w:w w:val="100"/>
                <w:position w:val="0"/>
              </w:rPr>
              <w:t>本期发生额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60" w:right="0" w:firstLine="0"/>
              <w:jc w:val="left"/>
            </w:pPr>
            <w:r>
              <w:rPr>
                <w:b/>
                <w:bCs/>
                <w:color w:val="FFFFFF"/>
                <w:spacing w:val="0"/>
                <w:w w:val="100"/>
                <w:position w:val="0"/>
              </w:rPr>
              <w:t>上期发生额</w:t>
            </w:r>
          </w:p>
        </w:tc>
        <w:tc>
          <w:tcPr>
            <w:tcBorders/>
            <w:shd w:val="clear" w:color="auto" w:fill="A6A6A6"/>
            <w:vAlign w:val="top"/>
          </w:tcPr>
          <w:p>
            <w:pPr>
              <w:widowControl w:val="0"/>
              <w:rPr>
                <w:sz w:val="10"/>
                <w:szCs w:val="10"/>
              </w:rPr>
            </w:pPr>
          </w:p>
        </w:tc>
      </w:tr>
      <w:tr>
        <w:trPr>
          <w:trHeight w:val="3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867" w:val="left"/>
              </w:tabs>
              <w:bidi w:val="0"/>
              <w:spacing w:before="0" w:after="0" w:line="240" w:lineRule="auto"/>
              <w:ind w:left="0" w:right="0" w:firstLine="0"/>
              <w:jc w:val="left"/>
            </w:pPr>
            <w:r>
              <w:rPr>
                <w:b/>
                <w:bCs/>
                <w:color w:val="FFFFFF"/>
                <w:spacing w:val="0"/>
                <w:w w:val="100"/>
                <w:position w:val="0"/>
              </w:rPr>
              <w:t>其他业务</w:t>
              <w:tab/>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tabs>
                <w:tab w:pos="1910"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8,791,051.82</w:t>
            </w:r>
          </w:p>
        </w:tc>
      </w:tr>
      <w:tr>
        <w:trPr>
          <w:trHeight w:val="38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2241" w:val="left"/>
              </w:tabs>
              <w:bidi w:val="0"/>
              <w:spacing w:before="0" w:after="0" w:line="240" w:lineRule="auto"/>
              <w:ind w:left="0" w:right="0" w:firstLine="340"/>
              <w:jc w:val="both"/>
              <w:rPr>
                <w:sz w:val="18"/>
                <w:szCs w:val="18"/>
              </w:rPr>
            </w:pPr>
            <w:r>
              <w:rPr>
                <w:rFonts w:ascii="Times New Roman" w:eastAsia="Times New Roman" w:hAnsi="Times New Roman" w:cs="Times New Roman"/>
                <w:b/>
                <w:bCs/>
                <w:color w:val="FFFFFF"/>
                <w:spacing w:val="0"/>
                <w:w w:val="100"/>
                <w:position w:val="0"/>
                <w:sz w:val="18"/>
                <w:szCs w:val="18"/>
              </w:rPr>
              <w:t>192,970,114.98</w:t>
              <w:tab/>
              <w:t>191,482,458.57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124,943,389.46</w:t>
            </w:r>
          </w:p>
        </w:tc>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267"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114,905,065.97</w:t>
              <w:tab/>
            </w:r>
            <w:r>
              <w:rPr>
                <w:rFonts w:ascii="Times New Roman" w:eastAsia="Times New Roman" w:hAnsi="Times New Roman" w:cs="Times New Roman"/>
                <w:b/>
                <w:bCs/>
                <w:color w:val="FFFFFF"/>
                <w:spacing w:val="0"/>
                <w:w w:val="100"/>
                <w:position w:val="0"/>
                <w:sz w:val="18"/>
                <w:szCs w:val="18"/>
              </w:rPr>
              <w:t>1</w:t>
            </w:r>
          </w:p>
        </w:tc>
      </w:tr>
      <w:tr>
        <w:trPr>
          <w:trHeight w:val="1013" w:hRule="exact"/>
        </w:trPr>
        <w:tc>
          <w:tcPr>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收入相关信息：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bl>
    <w:p>
      <w:pPr>
        <w:widowControl w:val="0"/>
        <w:spacing w:line="1" w:lineRule="exact"/>
      </w:pPr>
    </w:p>
    <w:tbl>
      <w:tblPr>
        <w:tblOverlap w:val="never"/>
        <w:jc w:val="center"/>
        <w:tblLayout w:type="fixed"/>
      </w:tblPr>
      <w:tblGrid>
        <w:gridCol w:w="2674"/>
        <w:gridCol w:w="1786"/>
        <w:gridCol w:w="1694"/>
        <w:gridCol w:w="1690"/>
        <w:gridCol w:w="1574"/>
      </w:tblGrid>
      <w:tr>
        <w:trPr>
          <w:trHeight w:val="341" w:hRule="exact"/>
        </w:trPr>
        <w:tc>
          <w:tcPr>
            <w:vMerge w:val="restart"/>
            <w:tcBorders/>
            <w:shd w:val="clear" w:color="auto" w:fill="A6A6A6"/>
            <w:vAlign w:val="top"/>
          </w:tcPr>
          <w:p>
            <w:pPr>
              <w:widowControl w:val="0"/>
              <w:rPr>
                <w:sz w:val="10"/>
                <w:szCs w:val="10"/>
              </w:rPr>
            </w:pP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本年发生额</w:t>
            </w:r>
          </w:p>
        </w:tc>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上年发生额</w:t>
            </w:r>
          </w:p>
        </w:tc>
      </w:tr>
      <w:tr>
        <w:trPr>
          <w:trHeight w:val="322" w:hRule="exact"/>
        </w:trPr>
        <w:tc>
          <w:tcPr>
            <w:vMerge/>
            <w:tcBorders/>
            <w:shd w:val="clear" w:color="auto" w:fill="A6A6A6"/>
            <w:vAlign w:val="top"/>
          </w:tcPr>
          <w:p>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00"/>
              <w:jc w:val="left"/>
            </w:pPr>
            <w:r>
              <w:rPr>
                <w:b/>
                <w:bCs/>
                <w:color w:val="FFFFFF"/>
                <w:spacing w:val="0"/>
                <w:w w:val="100"/>
                <w:position w:val="0"/>
              </w:rPr>
              <w:t>主营业务收入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主营业务成本</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主营业务收入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00"/>
              <w:jc w:val="left"/>
            </w:pPr>
            <w:r>
              <w:rPr>
                <w:b/>
                <w:bCs/>
                <w:color w:val="FFFFFF"/>
                <w:spacing w:val="0"/>
                <w:w w:val="100"/>
                <w:position w:val="0"/>
              </w:rPr>
              <w:t>主营业务成本</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新机销售</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183,312,626.25</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180,994,938.64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103,349,157.52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102,575,584.35</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其他商品销售及增值服务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9,657,488.73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10,487,519.93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12,294,231.94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3,538,429.80</w:t>
            </w:r>
          </w:p>
        </w:tc>
      </w:tr>
      <w:tr>
        <w:trPr>
          <w:trHeight w:val="298"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rPr>
                <w:sz w:val="18"/>
                <w:szCs w:val="18"/>
              </w:rPr>
            </w:pPr>
            <w:r>
              <w:rPr>
                <w:rFonts w:ascii="Times New Roman" w:eastAsia="Times New Roman" w:hAnsi="Times New Roman" w:cs="Times New Roman"/>
                <w:b/>
                <w:bCs/>
                <w:color w:val="FFFFFF"/>
                <w:spacing w:val="0"/>
                <w:w w:val="100"/>
                <w:position w:val="0"/>
                <w:sz w:val="18"/>
                <w:szCs w:val="18"/>
              </w:rPr>
              <w:t>192,970,114.98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60"/>
              <w:jc w:val="left"/>
              <w:rPr>
                <w:sz w:val="18"/>
                <w:szCs w:val="18"/>
              </w:rPr>
            </w:pPr>
            <w:r>
              <w:rPr>
                <w:rFonts w:ascii="Times New Roman" w:eastAsia="Times New Roman" w:hAnsi="Times New Roman" w:cs="Times New Roman"/>
                <w:b/>
                <w:bCs/>
                <w:color w:val="FFFFFF"/>
                <w:spacing w:val="0"/>
                <w:w w:val="100"/>
                <w:position w:val="0"/>
                <w:sz w:val="18"/>
                <w:szCs w:val="18"/>
              </w:rPr>
              <w:t>191,482,458.57</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rPr>
                <w:sz w:val="18"/>
                <w:szCs w:val="18"/>
              </w:rPr>
            </w:pPr>
            <w:r>
              <w:rPr>
                <w:rFonts w:ascii="Times New Roman" w:eastAsia="Times New Roman" w:hAnsi="Times New Roman" w:cs="Times New Roman"/>
                <w:b/>
                <w:bCs/>
                <w:color w:val="FFFFFF"/>
                <w:spacing w:val="0"/>
                <w:w w:val="100"/>
                <w:position w:val="0"/>
                <w:sz w:val="18"/>
                <w:szCs w:val="18"/>
              </w:rPr>
              <w:t>115,643,389.46</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40"/>
              <w:jc w:val="left"/>
              <w:rPr>
                <w:sz w:val="18"/>
                <w:szCs w:val="18"/>
              </w:rPr>
            </w:pPr>
            <w:r>
              <w:rPr>
                <w:rFonts w:ascii="Times New Roman" w:eastAsia="Times New Roman" w:hAnsi="Times New Roman" w:cs="Times New Roman"/>
                <w:b/>
                <w:bCs/>
                <w:color w:val="FFFFFF"/>
                <w:spacing w:val="0"/>
                <w:w w:val="100"/>
                <w:position w:val="0"/>
                <w:sz w:val="18"/>
                <w:szCs w:val="18"/>
              </w:rPr>
              <w:t>106,114,014.15</w:t>
            </w:r>
          </w:p>
        </w:tc>
      </w:tr>
    </w:tbl>
    <w:p>
      <w:pPr>
        <w:widowControl w:val="0"/>
        <w:spacing w:after="179" w:line="1" w:lineRule="exact"/>
      </w:pPr>
    </w:p>
    <w:p>
      <w:pPr>
        <w:pStyle w:val="Style31"/>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480" w:line="240" w:lineRule="auto"/>
        <w:ind w:left="0" w:right="0" w:firstLine="4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9"/>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5</w:t>
      </w:r>
      <w:bookmarkEnd w:id="1367"/>
      <w:r>
        <w:rPr>
          <w:color w:val="000000"/>
          <w:spacing w:val="0"/>
          <w:w w:val="100"/>
          <w:position w:val="0"/>
        </w:rPr>
        <w:t>、投资收益</w:t>
      </w:r>
      <w:bookmarkEnd w:id="1365"/>
      <w:bookmarkEnd w:id="1366"/>
      <w:bookmarkEnd w:id="1368"/>
    </w:p>
    <w:p>
      <w:pPr>
        <w:pStyle w:val="Style31"/>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696"/>
        <w:gridCol w:w="3206"/>
        <w:gridCol w:w="2674"/>
      </w:tblGrid>
      <w:tr>
        <w:trPr>
          <w:trHeight w:val="43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00"/>
              <w:jc w:val="left"/>
            </w:pPr>
            <w:r>
              <w:rPr>
                <w:b/>
                <w:bCs/>
                <w:color w:val="FFFFFF"/>
                <w:spacing w:val="0"/>
                <w:w w:val="100"/>
                <w:position w:val="0"/>
              </w:rPr>
              <w:t>本期发生额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620"/>
              <w:jc w:val="left"/>
            </w:pPr>
            <w:r>
              <w:rPr>
                <w:b/>
                <w:bCs/>
                <w:color w:val="FFFFFF"/>
                <w:spacing w:val="0"/>
                <w:w w:val="100"/>
                <w:position w:val="0"/>
              </w:rPr>
              <w:t>上期发生额</w:t>
            </w:r>
          </w:p>
        </w:tc>
      </w:tr>
      <w:tr>
        <w:trPr>
          <w:trHeight w:val="398"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3187" w:val="left"/>
              </w:tabs>
              <w:bidi w:val="0"/>
              <w:spacing w:before="0" w:after="0" w:line="240" w:lineRule="auto"/>
              <w:ind w:left="0" w:right="0" w:firstLine="0"/>
              <w:jc w:val="left"/>
            </w:pPr>
            <w:r>
              <w:rPr>
                <w:b/>
                <w:bCs/>
                <w:color w:val="FFFFFF"/>
                <w:spacing w:val="0"/>
                <w:w w:val="100"/>
                <w:position w:val="0"/>
              </w:rPr>
              <w:t>成本法核算的长期股权投资收益</w:t>
              <w:tab/>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18,678,801.06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34,417,404.82</w:t>
            </w:r>
          </w:p>
        </w:tc>
      </w:tr>
      <w:tr>
        <w:trPr>
          <w:trHeight w:val="403"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处置交易性金融资产取得的投资收益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656,741.34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3,161,854.23</w:t>
            </w:r>
          </w:p>
        </w:tc>
      </w:tr>
      <w:tr>
        <w:trPr>
          <w:trHeight w:val="403"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40" w:right="0" w:firstLine="0"/>
              <w:jc w:val="left"/>
              <w:rPr>
                <w:sz w:val="18"/>
                <w:szCs w:val="18"/>
              </w:rPr>
            </w:pPr>
            <w:r>
              <w:rPr>
                <w:rFonts w:ascii="Times New Roman" w:eastAsia="Times New Roman" w:hAnsi="Times New Roman" w:cs="Times New Roman"/>
                <w:b/>
                <w:bCs/>
                <w:color w:val="FFFFFF"/>
                <w:spacing w:val="0"/>
                <w:w w:val="100"/>
                <w:position w:val="0"/>
                <w:sz w:val="18"/>
                <w:szCs w:val="18"/>
              </w:rPr>
              <w:t>19,335,542.40</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20" w:right="0" w:firstLine="0"/>
              <w:jc w:val="left"/>
              <w:rPr>
                <w:sz w:val="18"/>
                <w:szCs w:val="18"/>
              </w:rPr>
            </w:pPr>
            <w:r>
              <w:rPr>
                <w:rFonts w:ascii="Times New Roman" w:eastAsia="Times New Roman" w:hAnsi="Times New Roman" w:cs="Times New Roman"/>
                <w:b/>
                <w:bCs/>
                <w:color w:val="FFFFFF"/>
                <w:spacing w:val="0"/>
                <w:w w:val="100"/>
                <w:position w:val="0"/>
                <w:sz w:val="18"/>
                <w:szCs w:val="18"/>
              </w:rPr>
              <w:t>37,579,259.05</w:t>
            </w:r>
          </w:p>
        </w:tc>
      </w:tr>
    </w:tbl>
    <w:p>
      <w:pPr>
        <w:widowControl w:val="0"/>
        <w:spacing w:after="339" w:line="1" w:lineRule="exact"/>
      </w:pPr>
    </w:p>
    <w:p>
      <w:pPr>
        <w:pStyle w:val="Style49"/>
        <w:keepNext/>
        <w:keepLines/>
        <w:widowControl w:val="0"/>
        <w:shd w:val="clear" w:color="auto" w:fill="auto"/>
        <w:bidi w:val="0"/>
        <w:spacing w:before="0" w:after="34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6</w:t>
      </w:r>
      <w:bookmarkEnd w:id="1371"/>
      <w:r>
        <w:rPr>
          <w:color w:val="000000"/>
          <w:spacing w:val="0"/>
          <w:w w:val="100"/>
          <w:position w:val="0"/>
        </w:rPr>
        <w:t>、其他</w:t>
      </w:r>
      <w:bookmarkEnd w:id="1369"/>
      <w:bookmarkEnd w:id="1370"/>
      <w:bookmarkEnd w:id="1372"/>
    </w:p>
    <w:p>
      <w:pPr>
        <w:pStyle w:val="Style31"/>
        <w:keepNext w:val="0"/>
        <w:keepLines w:val="0"/>
        <w:widowControl w:val="0"/>
        <w:shd w:val="clear" w:color="auto" w:fill="auto"/>
        <w:bidi w:val="0"/>
        <w:spacing w:before="0" w:after="180" w:line="240" w:lineRule="auto"/>
        <w:ind w:left="0" w:right="0" w:firstLine="480"/>
        <w:jc w:val="left"/>
      </w:pPr>
      <w:r>
        <w:rPr>
          <w:rFonts w:ascii="Times New Roman" w:eastAsia="Times New Roman" w:hAnsi="Times New Roman" w:cs="Times New Roman"/>
          <w:color w:val="000000"/>
          <w:spacing w:val="0"/>
          <w:w w:val="100"/>
          <w:position w:val="0"/>
          <w:sz w:val="17"/>
          <w:szCs w:val="17"/>
        </w:rPr>
        <w:t>L</w:t>
      </w:r>
      <w:r>
        <w:rPr>
          <w:color w:val="000000"/>
          <w:spacing w:val="0"/>
          <w:w w:val="100"/>
          <w:position w:val="0"/>
        </w:rPr>
        <w:t>信用减值损失</w:t>
      </w:r>
    </w:p>
    <w:p>
      <w:pPr>
        <w:pStyle w:val="Style31"/>
        <w:keepNext w:val="0"/>
        <w:keepLines w:val="0"/>
        <w:widowControl w:val="0"/>
        <w:shd w:val="clear" w:color="auto" w:fill="auto"/>
        <w:bidi w:val="0"/>
        <w:spacing w:before="0" w:after="180" w:line="240" w:lineRule="auto"/>
        <w:ind w:left="9040" w:right="0" w:firstLine="0"/>
        <w:jc w:val="left"/>
      </w:pPr>
      <w:r>
        <w:rPr>
          <w:color w:val="000000"/>
          <w:spacing w:val="0"/>
          <w:w w:val="100"/>
          <w:position w:val="0"/>
        </w:rPr>
        <w:t>人民币元</w:t>
      </w:r>
    </w:p>
    <w:tbl>
      <w:tblPr>
        <w:tblOverlap w:val="never"/>
        <w:jc w:val="center"/>
        <w:tblLayout w:type="fixed"/>
      </w:tblPr>
      <w:tblGrid>
        <w:gridCol w:w="3648"/>
        <w:gridCol w:w="3638"/>
        <w:gridCol w:w="2179"/>
      </w:tblGrid>
      <w:tr>
        <w:trPr>
          <w:trHeight w:val="350"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上年发生额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9"/>
                <w:szCs w:val="19"/>
              </w:rPr>
            </w:pPr>
            <w:r>
              <w:rPr>
                <w:b/>
                <w:bCs/>
                <w:color w:val="FFFFFF"/>
                <w:spacing w:val="0"/>
                <w:w w:val="100"/>
                <w:position w:val="0"/>
                <w:sz w:val="15"/>
                <w:szCs w:val="15"/>
              </w:rPr>
              <w:t>应收账款坏账损失</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转回</w:t>
            </w:r>
            <w:r>
              <w:rPr>
                <w:b/>
                <w:bCs/>
                <w:color w:val="FFFFFF"/>
                <w:spacing w:val="0"/>
                <w:w w:val="100"/>
                <w:position w:val="0"/>
                <w:sz w:val="19"/>
                <w:szCs w:val="19"/>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2,512,630.14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-28,852.68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其他应收款坏账损失</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85,162,150.51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2,278.81</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140" w:right="0" w:firstLine="0"/>
              <w:jc w:val="left"/>
              <w:rPr>
                <w:sz w:val="18"/>
                <w:szCs w:val="18"/>
              </w:rPr>
            </w:pPr>
            <w:r>
              <w:rPr>
                <w:rFonts w:ascii="Times New Roman" w:eastAsia="Times New Roman" w:hAnsi="Times New Roman" w:cs="Times New Roman"/>
                <w:b/>
                <w:bCs/>
                <w:color w:val="FFFFFF"/>
                <w:spacing w:val="0"/>
                <w:w w:val="100"/>
                <w:position w:val="0"/>
                <w:sz w:val="18"/>
                <w:szCs w:val="18"/>
              </w:rPr>
              <w:t>87,674,780.65</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-26,573.87</w:t>
            </w:r>
          </w:p>
        </w:tc>
      </w:tr>
    </w:tbl>
    <w:p>
      <w:pPr>
        <w:pStyle w:val="Style45"/>
        <w:keepNext w:val="0"/>
        <w:keepLines w:val="0"/>
        <w:widowControl w:val="0"/>
        <w:shd w:val="clear" w:color="auto" w:fill="auto"/>
        <w:bidi w:val="0"/>
        <w:spacing w:before="0" w:after="0" w:line="240" w:lineRule="auto"/>
        <w:ind w:left="446" w:right="0" w:firstLine="0"/>
        <w:jc w:val="left"/>
      </w:pPr>
      <w:r>
        <w:rPr>
          <w:color w:val="000000"/>
          <w:spacing w:val="0"/>
          <w:w w:val="100"/>
          <w:position w:val="0"/>
        </w:rPr>
        <w:t>其他应收款坏账损失为公司对上海百邦内部核算的某品牌门店无法收回款项的坏账准备。</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48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营业外收入</w:t>
      </w:r>
    </w:p>
    <w:p>
      <w:pPr>
        <w:pStyle w:val="Style31"/>
        <w:keepNext w:val="0"/>
        <w:keepLines w:val="0"/>
        <w:widowControl w:val="0"/>
        <w:shd w:val="clear" w:color="auto" w:fill="auto"/>
        <w:bidi w:val="0"/>
        <w:spacing w:before="0" w:after="180" w:line="240" w:lineRule="auto"/>
        <w:ind w:left="9040" w:right="0" w:firstLine="0"/>
        <w:jc w:val="left"/>
      </w:pPr>
      <w:r>
        <w:rPr>
          <w:color w:val="000000"/>
          <w:spacing w:val="0"/>
          <w:w w:val="100"/>
          <w:position w:val="0"/>
        </w:rPr>
        <w:t>人民币元</w:t>
      </w:r>
    </w:p>
    <w:tbl>
      <w:tblPr>
        <w:tblOverlap w:val="never"/>
        <w:jc w:val="center"/>
        <w:tblLayout w:type="fixed"/>
      </w:tblPr>
      <w:tblGrid>
        <w:gridCol w:w="1296"/>
        <w:gridCol w:w="2549"/>
        <w:gridCol w:w="3403"/>
        <w:gridCol w:w="2270"/>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0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u w:val="single"/>
              </w:rPr>
              <w:t>本年发生额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u w:val="single"/>
              </w:rPr>
              <w:t>上年发生额</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其他</w:t>
            </w: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7E3F6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2520" w:right="0" w:firstLine="0"/>
              <w:jc w:val="left"/>
              <w:rPr>
                <w:sz w:val="18"/>
                <w:szCs w:val="18"/>
              </w:rPr>
            </w:pPr>
            <w:r>
              <w:rPr>
                <w:rFonts w:ascii="Times New Roman" w:eastAsia="Times New Roman" w:hAnsi="Times New Roman" w:cs="Times New Roman"/>
                <w:b/>
                <w:bCs/>
                <w:color w:val="FFFFFF"/>
                <w:spacing w:val="0"/>
                <w:w w:val="100"/>
                <w:position w:val="0"/>
                <w:sz w:val="18"/>
                <w:szCs w:val="18"/>
              </w:rPr>
              <w:t>45.66</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140" w:firstLine="0"/>
              <w:jc w:val="right"/>
              <w:rPr>
                <w:sz w:val="18"/>
                <w:szCs w:val="18"/>
              </w:rPr>
            </w:pPr>
            <w:r>
              <w:rPr>
                <w:rFonts w:ascii="Times New Roman" w:eastAsia="Times New Roman" w:hAnsi="Times New Roman" w:cs="Times New Roman"/>
                <w:b/>
                <w:bCs/>
                <w:color w:val="FFFFFF"/>
                <w:spacing w:val="0"/>
                <w:w w:val="100"/>
                <w:position w:val="0"/>
                <w:sz w:val="18"/>
                <w:szCs w:val="18"/>
              </w:rPr>
              <w:t>3,394.28</w:t>
            </w:r>
          </w:p>
        </w:tc>
      </w:tr>
    </w:tbl>
    <w:p>
      <w:pPr>
        <w:pStyle w:val="Style45"/>
        <w:keepNext w:val="0"/>
        <w:keepLines w:val="0"/>
        <w:widowControl w:val="0"/>
        <w:numPr>
          <w:ilvl w:val="0"/>
          <w:numId w:val="51"/>
        </w:numPr>
        <w:shd w:val="clear" w:color="auto" w:fill="auto"/>
        <w:tabs>
          <w:tab w:pos="763" w:val="left"/>
        </w:tabs>
        <w:bidi w:val="0"/>
        <w:spacing w:before="0" w:after="0" w:line="240" w:lineRule="auto"/>
        <w:ind w:left="456" w:right="0" w:firstLine="0"/>
        <w:jc w:val="left"/>
      </w:pPr>
      <w:r>
        <w:rPr>
          <w:color w:val="000000"/>
          <w:spacing w:val="0"/>
          <w:w w:val="100"/>
          <w:position w:val="0"/>
        </w:rPr>
        <w:t>关联担保情况</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本公司作为被担保方</w:t>
      </w:r>
      <w:r>
        <w:rPr>
          <w:color w:val="000000"/>
          <w:spacing w:val="0"/>
          <w:w w:val="100"/>
          <w:position w:val="0"/>
          <w:sz w:val="18"/>
          <w:szCs w:val="18"/>
        </w:rPr>
        <w:t>，</w:t>
      </w: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)4 (2)</w:t>
      </w:r>
      <w:r>
        <w:rPr>
          <w:color w:val="000000"/>
          <w:spacing w:val="0"/>
          <w:w w:val="100"/>
          <w:position w:val="0"/>
        </w:rPr>
        <w:t>。</w:t>
      </w:r>
    </w:p>
    <w:p>
      <w:pPr>
        <w:pStyle w:val="Style31"/>
        <w:keepNext w:val="0"/>
        <w:keepLines w:val="0"/>
        <w:widowControl w:val="0"/>
        <w:numPr>
          <w:ilvl w:val="0"/>
          <w:numId w:val="53"/>
        </w:numPr>
        <w:shd w:val="clear" w:color="auto" w:fill="auto"/>
        <w:tabs>
          <w:tab w:pos="886" w:val="left"/>
        </w:tabs>
        <w:bidi w:val="0"/>
        <w:spacing w:before="0" w:after="180" w:line="240" w:lineRule="auto"/>
        <w:ind w:left="0" w:right="0" w:firstLine="480"/>
        <w:jc w:val="left"/>
      </w:pPr>
      <w:bookmarkStart w:id="1373" w:name="bookmark1373"/>
      <w:bookmarkEnd w:id="1373"/>
      <w:r>
        <w:rPr>
          <w:color w:val="000000"/>
          <w:spacing w:val="0"/>
          <w:w w:val="100"/>
          <w:position w:val="0"/>
        </w:rPr>
        <w:t>关联交易情况</w:t>
      </w:r>
      <w:r>
        <w:br w:type="page"/>
      </w:r>
    </w:p>
    <w:p>
      <w:pPr>
        <w:pStyle w:val="Style31"/>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销售商品、提供劳务情况</w:t>
      </w:r>
    </w:p>
    <w:p>
      <w:pPr>
        <w:pStyle w:val="Style31"/>
        <w:keepNext w:val="0"/>
        <w:keepLines w:val="0"/>
        <w:widowControl w:val="0"/>
        <w:shd w:val="clear" w:color="auto" w:fill="auto"/>
        <w:bidi w:val="0"/>
        <w:spacing w:before="0" w:after="180" w:line="240" w:lineRule="auto"/>
        <w:ind w:left="9020" w:right="0" w:firstLine="0"/>
        <w:jc w:val="left"/>
      </w:pPr>
      <w:r>
        <w:rPr>
          <w:color w:val="000000"/>
          <w:spacing w:val="0"/>
          <w:w w:val="100"/>
          <w:position w:val="0"/>
        </w:rPr>
        <w:t>人民币元</w:t>
      </w:r>
    </w:p>
    <w:tbl>
      <w:tblPr>
        <w:tblOverlap w:val="never"/>
        <w:jc w:val="center"/>
        <w:tblLayout w:type="fixed"/>
      </w:tblPr>
      <w:tblGrid>
        <w:gridCol w:w="2918"/>
        <w:gridCol w:w="2904"/>
        <w:gridCol w:w="1805"/>
        <w:gridCol w:w="1824"/>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关联方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关联交易内容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上年发生额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上海百邦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提供劳务、商品销售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14,074,759.96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21,058,666.28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山西凯特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商品销售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101,175.39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上海闪电蜂</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商品销售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381,853.77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34,855.46</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百邦信息</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商品销售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99.12</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孝昌百邦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商品销售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25,592.76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百邦日新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商品销售</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281,216.83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百隆嘉讯</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260" w:right="0" w:firstLine="0"/>
              <w:jc w:val="left"/>
            </w:pPr>
            <w:r>
              <w:rPr>
                <w:b/>
                <w:bCs/>
                <w:color w:val="FFFFFF"/>
                <w:spacing w:val="0"/>
                <w:w w:val="100"/>
                <w:position w:val="0"/>
              </w:rPr>
              <w:t>商品销售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343,978.97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0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15,107,501.41</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21,194,697.13</w:t>
            </w:r>
          </w:p>
        </w:tc>
      </w:tr>
    </w:tbl>
    <w:p>
      <w:pPr>
        <w:pStyle w:val="Style45"/>
        <w:keepNext w:val="0"/>
        <w:keepLines w:val="0"/>
        <w:widowControl w:val="0"/>
        <w:shd w:val="clear" w:color="auto" w:fill="auto"/>
        <w:bidi w:val="0"/>
        <w:spacing w:before="0" w:after="0" w:line="240" w:lineRule="auto"/>
        <w:ind w:left="446" w:right="0" w:firstLine="0"/>
        <w:jc w:val="left"/>
      </w:pPr>
      <w:r>
        <w:rPr>
          <w:color w:val="000000"/>
          <w:spacing w:val="0"/>
          <w:w w:val="100"/>
          <w:position w:val="0"/>
        </w:rPr>
        <w:t>采购商品、接收劳务情况</w:t>
      </w:r>
    </w:p>
    <w:p>
      <w:pPr>
        <w:widowControl w:val="0"/>
        <w:spacing w:after="179" w:line="1" w:lineRule="exact"/>
      </w:pPr>
    </w:p>
    <w:p>
      <w:pPr>
        <w:pStyle w:val="Style31"/>
        <w:keepNext w:val="0"/>
        <w:keepLines w:val="0"/>
        <w:widowControl w:val="0"/>
        <w:shd w:val="clear" w:color="auto" w:fill="auto"/>
        <w:bidi w:val="0"/>
        <w:spacing w:before="0" w:after="180" w:line="240" w:lineRule="auto"/>
        <w:ind w:left="9020" w:right="0" w:firstLine="0"/>
        <w:jc w:val="left"/>
      </w:pPr>
      <w:r>
        <w:rPr>
          <w:color w:val="000000"/>
          <w:spacing w:val="0"/>
          <w:w w:val="100"/>
          <w:position w:val="0"/>
        </w:rPr>
        <w:t>人民币元</w:t>
      </w:r>
    </w:p>
    <w:tbl>
      <w:tblPr>
        <w:tblOverlap w:val="never"/>
        <w:jc w:val="center"/>
        <w:tblLayout w:type="fixed"/>
      </w:tblPr>
      <w:tblGrid>
        <w:gridCol w:w="2822"/>
        <w:gridCol w:w="2990"/>
        <w:gridCol w:w="1997"/>
        <w:gridCol w:w="1642"/>
      </w:tblGrid>
      <w:tr>
        <w:trPr>
          <w:trHeight w:val="33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关联方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关联交易内容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本年发生额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60"/>
              <w:jc w:val="left"/>
            </w:pPr>
            <w:r>
              <w:rPr>
                <w:b/>
                <w:bCs/>
                <w:color w:val="FFFFFF"/>
                <w:spacing w:val="0"/>
                <w:w w:val="100"/>
                <w:position w:val="0"/>
              </w:rPr>
              <w:t>上年发生额</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上海百邦</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接受劳务、商品采购</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2,036,902.53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432,414.12</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上海闪电蜂</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360" w:right="0" w:firstLine="0"/>
              <w:jc w:val="left"/>
            </w:pPr>
            <w:r>
              <w:rPr>
                <w:b/>
                <w:bCs/>
                <w:color w:val="FFFFFF"/>
                <w:spacing w:val="0"/>
                <w:w w:val="100"/>
                <w:position w:val="0"/>
              </w:rPr>
              <w:t>商品采购</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120,770.74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32,704.89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山西凯特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360" w:right="0" w:firstLine="0"/>
              <w:jc w:val="left"/>
            </w:pPr>
            <w:r>
              <w:rPr>
                <w:b/>
                <w:bCs/>
                <w:color w:val="FFFFFF"/>
                <w:spacing w:val="0"/>
                <w:w w:val="100"/>
                <w:position w:val="0"/>
              </w:rPr>
              <w:t>商品采购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百邦日新</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360" w:right="0" w:firstLine="0"/>
              <w:jc w:val="left"/>
            </w:pPr>
            <w:r>
              <w:rPr>
                <w:b/>
                <w:bCs/>
                <w:color w:val="FFFFFF"/>
                <w:spacing w:val="0"/>
                <w:w w:val="100"/>
                <w:position w:val="0"/>
              </w:rPr>
              <w:t>商品采购</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295,748.19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百悦乐语</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360" w:right="0" w:firstLine="0"/>
              <w:jc w:val="left"/>
            </w:pPr>
            <w:r>
              <w:rPr>
                <w:b/>
                <w:bCs/>
                <w:color w:val="FFFFFF"/>
                <w:spacing w:val="0"/>
                <w:w w:val="100"/>
                <w:position w:val="0"/>
              </w:rPr>
              <w:t>商品采购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160,438.94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7" w:hRule="exact"/>
        </w:trPr>
        <w:tc>
          <w:tcPr>
            <w:gridSpan w:val="2"/>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440" w:right="0" w:firstLine="0"/>
              <w:jc w:val="left"/>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60"/>
              <w:jc w:val="left"/>
              <w:rPr>
                <w:sz w:val="18"/>
                <w:szCs w:val="18"/>
              </w:rPr>
            </w:pPr>
            <w:r>
              <w:rPr>
                <w:rFonts w:ascii="Times New Roman" w:eastAsia="Times New Roman" w:hAnsi="Times New Roman" w:cs="Times New Roman"/>
                <w:b/>
                <w:bCs/>
                <w:color w:val="FFFFFF"/>
                <w:spacing w:val="0"/>
                <w:w w:val="100"/>
                <w:position w:val="0"/>
                <w:sz w:val="18"/>
                <w:szCs w:val="18"/>
              </w:rPr>
              <w:t>2,613,860.40</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00"/>
              <w:jc w:val="both"/>
              <w:rPr>
                <w:sz w:val="18"/>
                <w:szCs w:val="18"/>
              </w:rPr>
            </w:pPr>
            <w:r>
              <w:rPr>
                <w:rFonts w:ascii="Times New Roman" w:eastAsia="Times New Roman" w:hAnsi="Times New Roman" w:cs="Times New Roman"/>
                <w:b/>
                <w:bCs/>
                <w:color w:val="FFFFFF"/>
                <w:spacing w:val="0"/>
                <w:w w:val="100"/>
                <w:position w:val="0"/>
                <w:sz w:val="18"/>
                <w:szCs w:val="18"/>
              </w:rPr>
              <w:t>465,364.01</w:t>
            </w:r>
          </w:p>
        </w:tc>
      </w:tr>
    </w:tbl>
    <w:p>
      <w:pPr>
        <w:widowControl w:val="0"/>
        <w:spacing w:after="35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关联方资金拆借</w:t>
      </w:r>
    </w:p>
    <w:tbl>
      <w:tblPr>
        <w:tblOverlap w:val="never"/>
        <w:jc w:val="center"/>
        <w:tblLayout w:type="fixed"/>
      </w:tblPr>
      <w:tblGrid>
        <w:gridCol w:w="5477"/>
        <w:gridCol w:w="2530"/>
        <w:gridCol w:w="1848"/>
      </w:tblGrid>
      <w:tr>
        <w:trPr>
          <w:trHeight w:val="408"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c>
      </w:tr>
      <w:tr>
        <w:trPr>
          <w:trHeight w:val="331"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关联方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40"/>
              <w:jc w:val="left"/>
            </w:pPr>
            <w:r>
              <w:rPr>
                <w:b/>
                <w:bCs/>
                <w:color w:val="FFFFFF"/>
                <w:spacing w:val="0"/>
                <w:w w:val="100"/>
                <w:position w:val="0"/>
              </w:rPr>
              <w:t>本年拆出</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pPr>
            <w:r>
              <w:rPr>
                <w:b/>
                <w:bCs/>
                <w:color w:val="FFFFFF"/>
                <w:spacing w:val="0"/>
                <w:w w:val="100"/>
                <w:position w:val="0"/>
              </w:rPr>
              <w:t>本年收回</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上海百邦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50,035,564.19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百隆嘉讯</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2,289,541.14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百邦日新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1,243,200.49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雄安悦星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295,368.91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孝昌百邦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196,831.39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雄安悦睿</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202,633.91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临沂百邦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-3,580,006.34</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rFonts w:ascii="Times New Roman" w:eastAsia="Times New Roman" w:hAnsi="Times New Roman" w:cs="Times New Roman"/>
                <w:b/>
                <w:bCs/>
                <w:color w:val="FFFFFF"/>
                <w:spacing w:val="0"/>
                <w:w w:val="100"/>
                <w:position w:val="0"/>
                <w:sz w:val="18"/>
                <w:szCs w:val="18"/>
              </w:rPr>
              <w:t>BYBON INVESTMENT COMPANY</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百邦信息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112.00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扬州百邦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-1,571.10</w:t>
            </w:r>
          </w:p>
        </w:tc>
      </w:tr>
      <w:tr>
        <w:trPr>
          <w:trHeight w:val="30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60" w:right="0" w:firstLine="0"/>
              <w:jc w:val="left"/>
              <w:rPr>
                <w:sz w:val="18"/>
                <w:szCs w:val="18"/>
              </w:rPr>
            </w:pPr>
            <w:r>
              <w:rPr>
                <w:rFonts w:ascii="Times New Roman" w:eastAsia="Times New Roman" w:hAnsi="Times New Roman" w:cs="Times New Roman"/>
                <w:b/>
                <w:bCs/>
                <w:color w:val="FFFFFF"/>
                <w:spacing w:val="0"/>
                <w:w w:val="100"/>
                <w:position w:val="0"/>
                <w:sz w:val="18"/>
                <w:szCs w:val="18"/>
              </w:rPr>
              <w:t>54,263,252.03</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-3,582,435.54</w:t>
            </w:r>
          </w:p>
        </w:tc>
      </w:tr>
    </w:tbl>
    <w:p>
      <w:pPr>
        <w:pStyle w:val="Style45"/>
        <w:keepNext w:val="0"/>
        <w:keepLines w:val="0"/>
        <w:widowControl w:val="0"/>
        <w:shd w:val="clear" w:color="auto" w:fill="auto"/>
        <w:bidi w:val="0"/>
        <w:spacing w:before="0" w:after="0" w:line="240" w:lineRule="auto"/>
        <w:ind w:left="446" w:right="0" w:firstLine="0"/>
        <w:jc w:val="left"/>
      </w:pPr>
      <w:r>
        <w:rPr>
          <w:color w:val="000000"/>
          <w:spacing w:val="0"/>
          <w:w w:val="100"/>
          <w:position w:val="0"/>
        </w:rPr>
        <w:t>注： 由于资金上划及下拨具有周转快、期限短的特征，本公司披露关联方资金拆借时，按净变动额列示。</w:t>
      </w:r>
    </w:p>
    <w:p>
      <w:pPr>
        <w:widowControl w:val="0"/>
        <w:spacing w:after="179" w:line="1" w:lineRule="exact"/>
      </w:pPr>
    </w:p>
    <w:p>
      <w:pPr>
        <w:pStyle w:val="Style31"/>
        <w:keepNext w:val="0"/>
        <w:keepLines w:val="0"/>
        <w:widowControl w:val="0"/>
        <w:shd w:val="clear" w:color="auto" w:fill="auto"/>
        <w:bidi w:val="0"/>
        <w:spacing w:before="0" w:after="180" w:line="240" w:lineRule="auto"/>
        <w:ind w:left="9020" w:right="0" w:firstLine="0"/>
        <w:jc w:val="left"/>
      </w:pPr>
      <w:r>
        <w:rPr>
          <w:color w:val="000000"/>
          <w:spacing w:val="0"/>
          <w:w w:val="100"/>
          <w:position w:val="0"/>
        </w:rPr>
        <w:t>人民币元</w:t>
      </w:r>
    </w:p>
    <w:tbl>
      <w:tblPr>
        <w:tblOverlap w:val="never"/>
        <w:jc w:val="center"/>
        <w:tblLayout w:type="fixed"/>
      </w:tblPr>
      <w:tblGrid>
        <w:gridCol w:w="5846"/>
        <w:gridCol w:w="3610"/>
      </w:tblGrid>
      <w:tr>
        <w:trPr>
          <w:trHeight w:val="336"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关联方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1790" w:val="left"/>
              </w:tabs>
              <w:bidi w:val="0"/>
              <w:spacing w:before="0" w:after="0" w:line="240" w:lineRule="auto"/>
              <w:ind w:left="0" w:right="0" w:firstLine="0"/>
              <w:jc w:val="center"/>
            </w:pPr>
            <w:r>
              <w:rPr>
                <w:b/>
                <w:bCs/>
                <w:color w:val="FFFFFF"/>
                <w:spacing w:val="0"/>
                <w:w w:val="100"/>
                <w:position w:val="0"/>
              </w:rPr>
              <w:t>本年拆入</w:t>
              <w:tab/>
              <w:t>本年偿还</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上海闪电蜂</w:t>
            </w:r>
          </w:p>
        </w:tc>
        <w:tc>
          <w:tcPr>
            <w:tcBorders/>
            <w:shd w:val="clear" w:color="auto" w:fill="FFFFFF"/>
            <w:vAlign w:val="center"/>
          </w:tcPr>
          <w:p>
            <w:pPr>
              <w:pStyle w:val="Style2"/>
              <w:keepNext w:val="0"/>
              <w:keepLines w:val="0"/>
              <w:widowControl w:val="0"/>
              <w:shd w:val="clear" w:color="auto" w:fill="auto"/>
              <w:tabs>
                <w:tab w:pos="277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20,742,340.45</w:t>
              <w:tab/>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百悦乐语</w:t>
            </w:r>
          </w:p>
        </w:tc>
        <w:tc>
          <w:tcPr>
            <w:tcBorders>
              <w:top w:val="single" w:sz="4"/>
            </w:tcBorders>
            <w:shd w:val="clear" w:color="auto" w:fill="F9ECF3"/>
            <w:vAlign w:val="center"/>
          </w:tcPr>
          <w:p>
            <w:pPr>
              <w:pStyle w:val="Style2"/>
              <w:keepNext w:val="0"/>
              <w:keepLines w:val="0"/>
              <w:widowControl w:val="0"/>
              <w:shd w:val="clear" w:color="auto" w:fill="auto"/>
              <w:tabs>
                <w:tab w:pos="255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230,699.93</w:t>
              <w:tab/>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829"/>
        <w:gridCol w:w="2962"/>
        <w:gridCol w:w="3072"/>
        <w:gridCol w:w="1594"/>
      </w:tblGrid>
      <w:tr>
        <w:trPr>
          <w:trHeight w:val="350"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820"/>
              <w:jc w:val="left"/>
            </w:pPr>
            <w:r>
              <w:rPr>
                <w:b/>
                <w:bCs/>
                <w:color w:val="FFFFFF"/>
                <w:spacing w:val="0"/>
                <w:w w:val="100"/>
                <w:position w:val="0"/>
              </w:rPr>
              <w:t>关联方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本年拆入</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20"/>
              <w:jc w:val="left"/>
            </w:pPr>
            <w:r>
              <w:rPr>
                <w:b/>
                <w:bCs/>
                <w:color w:val="FFFFFF"/>
                <w:spacing w:val="0"/>
                <w:w w:val="100"/>
                <w:position w:val="0"/>
              </w:rPr>
              <w:t>本年偿还</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石家庄百邦</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山东百邦</w:t>
            </w:r>
          </w:p>
        </w:tc>
        <w:tc>
          <w:tcPr>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-22,834,671.37</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320" w:firstLine="0"/>
              <w:jc w:val="right"/>
              <w:rPr>
                <w:sz w:val="18"/>
                <w:szCs w:val="18"/>
              </w:rPr>
            </w:pPr>
            <w:r>
              <w:rPr>
                <w:rFonts w:ascii="Times New Roman" w:eastAsia="Times New Roman" w:hAnsi="Times New Roman" w:cs="Times New Roman"/>
                <w:b/>
                <w:bCs/>
                <w:color w:val="FFFFFF"/>
                <w:spacing w:val="0"/>
                <w:w w:val="100"/>
                <w:position w:val="0"/>
                <w:sz w:val="18"/>
                <w:szCs w:val="18"/>
              </w:rPr>
              <w:t>20,973,040.38</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380"/>
              <w:jc w:val="left"/>
              <w:rPr>
                <w:sz w:val="18"/>
                <w:szCs w:val="18"/>
              </w:rPr>
            </w:pPr>
            <w:r>
              <w:rPr>
                <w:rFonts w:ascii="Times New Roman" w:eastAsia="Times New Roman" w:hAnsi="Times New Roman" w:cs="Times New Roman"/>
                <w:b/>
                <w:bCs/>
                <w:color w:val="FFFFFF"/>
                <w:spacing w:val="0"/>
                <w:w w:val="100"/>
                <w:position w:val="0"/>
                <w:sz w:val="18"/>
                <w:szCs w:val="18"/>
              </w:rPr>
              <w:t>-23,244,671.37</w:t>
            </w:r>
          </w:p>
        </w:tc>
      </w:tr>
    </w:tbl>
    <w:p>
      <w:pPr>
        <w:pStyle w:val="Style45"/>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关联方应收应付款项</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480"/>
        <w:jc w:val="left"/>
      </w:pPr>
      <w:r>
        <w:rPr>
          <w:color w:val="000000"/>
          <w:spacing w:val="0"/>
          <w:w w:val="100"/>
          <w:position w:val="0"/>
          <w:u w:val="single"/>
        </w:rPr>
        <w:t>其他应收款</w:t>
      </w:r>
    </w:p>
    <w:p>
      <w:pPr>
        <w:pStyle w:val="Style31"/>
        <w:keepNext w:val="0"/>
        <w:keepLines w:val="0"/>
        <w:widowControl w:val="0"/>
        <w:shd w:val="clear" w:color="auto" w:fill="auto"/>
        <w:bidi w:val="0"/>
        <w:spacing w:before="0" w:after="180" w:line="240" w:lineRule="auto"/>
        <w:ind w:left="9020" w:right="0" w:firstLine="0"/>
        <w:jc w:val="left"/>
      </w:pPr>
      <w:r>
        <w:rPr>
          <w:color w:val="000000"/>
          <w:spacing w:val="0"/>
          <w:w w:val="100"/>
          <w:position w:val="0"/>
        </w:rPr>
        <w:t>人民币元</w:t>
      </w:r>
    </w:p>
    <w:tbl>
      <w:tblPr>
        <w:tblOverlap w:val="never"/>
        <w:jc w:val="center"/>
        <w:tblLayout w:type="fixed"/>
      </w:tblPr>
      <w:tblGrid>
        <w:gridCol w:w="1858"/>
        <w:gridCol w:w="3806"/>
        <w:gridCol w:w="2035"/>
        <w:gridCol w:w="1766"/>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关联方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年初余额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上海百邦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124,985,118.18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74,949,553.99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百隆嘉讯</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2,289,541.14</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百邦日新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1,243,200.49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雄安悦星</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295,368.91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孝昌百邦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245,231.67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48,400.28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雄安悦睿</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202,633.91</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临沂百邦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51,067.46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3,631,073.80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rPr>
                <w:sz w:val="18"/>
                <w:szCs w:val="18"/>
              </w:rPr>
            </w:pPr>
            <w:r>
              <w:rPr>
                <w:rFonts w:ascii="Times New Roman" w:eastAsia="Times New Roman" w:hAnsi="Times New Roman" w:cs="Times New Roman"/>
                <w:b/>
                <w:bCs/>
                <w:color w:val="FFFFFF"/>
                <w:spacing w:val="0"/>
                <w:w w:val="100"/>
                <w:position w:val="0"/>
                <w:sz w:val="18"/>
                <w:szCs w:val="18"/>
              </w:rPr>
              <w:t>BYBON INVESTMENT COMPANY</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18,412.57</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19,270.67</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百邦信息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其他应收款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扬州百邦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1,571.10</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rPr>
                <w:sz w:val="18"/>
                <w:szCs w:val="18"/>
              </w:rPr>
            </w:pPr>
            <w:r>
              <w:rPr>
                <w:rFonts w:ascii="Times New Roman" w:eastAsia="Times New Roman" w:hAnsi="Times New Roman" w:cs="Times New Roman"/>
                <w:b/>
                <w:bCs/>
                <w:color w:val="FFFFFF"/>
                <w:spacing w:val="0"/>
                <w:w w:val="100"/>
                <w:position w:val="0"/>
                <w:sz w:val="18"/>
                <w:szCs w:val="18"/>
              </w:rPr>
              <w:t>129,330,686.33</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00"/>
              <w:jc w:val="left"/>
              <w:rPr>
                <w:sz w:val="18"/>
                <w:szCs w:val="18"/>
              </w:rPr>
            </w:pPr>
            <w:r>
              <w:rPr>
                <w:rFonts w:ascii="Times New Roman" w:eastAsia="Times New Roman" w:hAnsi="Times New Roman" w:cs="Times New Roman"/>
                <w:b/>
                <w:bCs/>
                <w:color w:val="FFFFFF"/>
                <w:spacing w:val="0"/>
                <w:w w:val="100"/>
                <w:position w:val="0"/>
                <w:sz w:val="18"/>
                <w:szCs w:val="18"/>
              </w:rPr>
              <w:t>78,649,869.84</w:t>
            </w:r>
          </w:p>
        </w:tc>
      </w:tr>
    </w:tbl>
    <w:p>
      <w:pPr>
        <w:pStyle w:val="Style45"/>
        <w:keepNext w:val="0"/>
        <w:keepLines w:val="0"/>
        <w:widowControl w:val="0"/>
        <w:shd w:val="clear" w:color="auto" w:fill="auto"/>
        <w:bidi w:val="0"/>
        <w:spacing w:before="0" w:after="0" w:line="240" w:lineRule="auto"/>
        <w:ind w:left="451" w:right="0" w:firstLine="0"/>
        <w:jc w:val="left"/>
      </w:pPr>
      <w:r>
        <w:rPr>
          <w:color w:val="000000"/>
          <w:spacing w:val="0"/>
          <w:w w:val="100"/>
          <w:position w:val="0"/>
          <w:u w:val="single"/>
        </w:rPr>
        <w:t>其他应付款</w:t>
      </w:r>
    </w:p>
    <w:p>
      <w:pPr>
        <w:widowControl w:val="0"/>
        <w:spacing w:after="179" w:line="1" w:lineRule="exact"/>
      </w:pPr>
    </w:p>
    <w:p>
      <w:pPr>
        <w:pStyle w:val="Style31"/>
        <w:keepNext w:val="0"/>
        <w:keepLines w:val="0"/>
        <w:widowControl w:val="0"/>
        <w:shd w:val="clear" w:color="auto" w:fill="auto"/>
        <w:bidi w:val="0"/>
        <w:spacing w:before="0" w:after="180" w:line="240" w:lineRule="auto"/>
        <w:ind w:left="9020" w:right="0" w:firstLine="0"/>
        <w:jc w:val="left"/>
      </w:pPr>
      <w:r>
        <w:rPr>
          <w:color w:val="000000"/>
          <w:spacing w:val="0"/>
          <w:w w:val="100"/>
          <w:position w:val="0"/>
        </w:rPr>
        <w:t>人民币元</w:t>
      </w:r>
    </w:p>
    <w:tbl>
      <w:tblPr>
        <w:tblOverlap w:val="never"/>
        <w:jc w:val="center"/>
        <w:tblLayout w:type="fixed"/>
      </w:tblPr>
      <w:tblGrid>
        <w:gridCol w:w="2328"/>
        <w:gridCol w:w="3322"/>
        <w:gridCol w:w="2030"/>
        <w:gridCol w:w="1776"/>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140" w:right="0" w:firstLine="0"/>
              <w:jc w:val="left"/>
            </w:pPr>
            <w:r>
              <w:rPr>
                <w:b/>
                <w:bCs/>
                <w:color w:val="FFFFFF"/>
                <w:spacing w:val="0"/>
                <w:w w:val="100"/>
                <w:position w:val="0"/>
              </w:rPr>
              <w:t>关联方</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00"/>
              <w:jc w:val="left"/>
            </w:pPr>
            <w:r>
              <w:rPr>
                <w:b/>
                <w:bCs/>
                <w:color w:val="FFFFFF"/>
                <w:spacing w:val="0"/>
                <w:w w:val="100"/>
                <w:position w:val="0"/>
              </w:rPr>
              <w:t>年末余额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年初余额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其他应付款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60"/>
              <w:jc w:val="left"/>
            </w:pPr>
            <w:r>
              <w:rPr>
                <w:b/>
                <w:bCs/>
                <w:color w:val="FFFFFF"/>
                <w:spacing w:val="0"/>
                <w:w w:val="100"/>
                <w:position w:val="0"/>
              </w:rPr>
              <w:t>上海闪电蜂</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41,969,244.47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20,362,420.99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其他应付款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960"/>
              <w:jc w:val="left"/>
            </w:pPr>
            <w:r>
              <w:rPr>
                <w:b/>
                <w:bCs/>
                <w:color w:val="FFFFFF"/>
                <w:spacing w:val="0"/>
                <w:w w:val="100"/>
                <w:position w:val="0"/>
              </w:rPr>
              <w:t>石家庄百邦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1,955,137.03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2,365,137.03</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其他应付款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40" w:right="0" w:firstLine="0"/>
              <w:jc w:val="left"/>
            </w:pPr>
            <w:r>
              <w:rPr>
                <w:b/>
                <w:bCs/>
                <w:color w:val="FFFFFF"/>
                <w:spacing w:val="0"/>
                <w:w w:val="100"/>
                <w:position w:val="0"/>
              </w:rPr>
              <w:t>百悦乐语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230,699.93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pPr>
            <w:r>
              <w:rPr>
                <w:b/>
                <w:bCs/>
                <w:color w:val="FFFFFF"/>
                <w:spacing w:val="0"/>
                <w:w w:val="100"/>
                <w:position w:val="0"/>
              </w:rPr>
              <w:t>其他应付款</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040" w:right="0" w:firstLine="0"/>
              <w:jc w:val="left"/>
            </w:pPr>
            <w:r>
              <w:rPr>
                <w:b/>
                <w:bCs/>
                <w:color w:val="FFFFFF"/>
                <w:spacing w:val="0"/>
                <w:w w:val="100"/>
                <w:position w:val="0"/>
              </w:rPr>
              <w:t>山东百邦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22,834,671.37</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720"/>
              <w:jc w:val="left"/>
            </w:pPr>
            <w:r>
              <w:rPr>
                <w:b/>
                <w:bCs/>
                <w:color w:val="FFFFFF"/>
                <w:spacing w:val="0"/>
                <w:w w:val="100"/>
                <w:position w:val="0"/>
              </w:rPr>
              <w:t>合计</w:t>
            </w:r>
          </w:p>
        </w:tc>
        <w:tc>
          <w:tcPr>
            <w:tcBorders/>
            <w:shd w:val="clear" w:color="auto" w:fill="A6A6A6"/>
            <w:vAlign w:val="top"/>
          </w:tcPr>
          <w:p>
            <w:pPr>
              <w:widowControl w:val="0"/>
              <w:rPr>
                <w:sz w:val="10"/>
                <w:szCs w:val="10"/>
              </w:rPr>
            </w:pP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40"/>
              <w:jc w:val="left"/>
              <w:rPr>
                <w:sz w:val="18"/>
                <w:szCs w:val="18"/>
              </w:rPr>
            </w:pPr>
            <w:r>
              <w:rPr>
                <w:rFonts w:ascii="Times New Roman" w:eastAsia="Times New Roman" w:hAnsi="Times New Roman" w:cs="Times New Roman"/>
                <w:b/>
                <w:bCs/>
                <w:color w:val="FFFFFF"/>
                <w:spacing w:val="0"/>
                <w:w w:val="100"/>
                <w:position w:val="0"/>
                <w:sz w:val="18"/>
                <w:szCs w:val="18"/>
              </w:rPr>
              <w:t>44,155,081.43</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60"/>
              <w:jc w:val="left"/>
              <w:rPr>
                <w:sz w:val="18"/>
                <w:szCs w:val="18"/>
              </w:rPr>
            </w:pPr>
            <w:r>
              <w:rPr>
                <w:rFonts w:ascii="Times New Roman" w:eastAsia="Times New Roman" w:hAnsi="Times New Roman" w:cs="Times New Roman"/>
                <w:b/>
                <w:bCs/>
                <w:color w:val="FFFFFF"/>
                <w:spacing w:val="0"/>
                <w:w w:val="100"/>
                <w:position w:val="0"/>
                <w:sz w:val="18"/>
                <w:szCs w:val="18"/>
              </w:rPr>
              <w:t>45,562,229.39</w:t>
            </w:r>
          </w:p>
        </w:tc>
      </w:tr>
    </w:tbl>
    <w:p>
      <w:pPr>
        <w:pStyle w:val="Style45"/>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现金流量表补充资料</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人民币元</w:t>
      </w:r>
    </w:p>
    <w:tbl>
      <w:tblPr>
        <w:tblOverlap w:val="never"/>
        <w:jc w:val="center"/>
        <w:tblLayout w:type="fixed"/>
      </w:tblPr>
      <w:tblGrid>
        <w:gridCol w:w="5664"/>
        <w:gridCol w:w="2102"/>
        <w:gridCol w:w="1699"/>
      </w:tblGrid>
      <w:tr>
        <w:trPr>
          <w:trHeight w:val="355"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本年发生额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上年发生额</w:t>
            </w:r>
          </w:p>
        </w:tc>
      </w:tr>
      <w:tr>
        <w:trPr>
          <w:trHeight w:val="317"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1</w:t>
            </w:r>
            <w:r>
              <w:rPr>
                <w:b/>
                <w:bCs/>
                <w:color w:val="FFFFFF"/>
                <w:spacing w:val="0"/>
                <w:w w:val="100"/>
                <w:position w:val="0"/>
              </w:rPr>
              <w:t>.将净亏损调节为经营活动现金流量：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净</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亏损</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利润</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-100,139,825.69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157,591.61</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加：资产减值准备的计提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1,908,689.98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19,182,939.08</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rPr>
                <w:sz w:val="19"/>
                <w:szCs w:val="19"/>
              </w:rPr>
            </w:pPr>
            <w:r>
              <w:rPr>
                <w:b/>
                <w:bCs/>
                <w:color w:val="FFFFFF"/>
                <w:spacing w:val="0"/>
                <w:w w:val="100"/>
                <w:position w:val="0"/>
                <w:sz w:val="15"/>
                <w:szCs w:val="15"/>
              </w:rPr>
              <w:t>信用减值损失</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利得</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87,674,780.65</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-26,573.87</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固定资产折旧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424,780.70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820,685.86</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无形资产摊销</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1,827,395.00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2,624,645.01</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长期待摊费用摊销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73,599.92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11,202.83</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处置固定资产、无形资产和其他长期资产的收益</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-1,179.79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2,151.69</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股份支付费用</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229,328.10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777,539.76</w:t>
            </w:r>
          </w:p>
        </w:tc>
      </w:tr>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投资收益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-19,335,542.40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-37,579,259.05</w:t>
            </w:r>
          </w:p>
        </w:tc>
      </w:tr>
    </w:tbl>
    <w:p>
      <w:pPr>
        <w:widowControl w:val="0"/>
        <w:spacing w:line="1" w:lineRule="exact"/>
      </w:pPr>
      <w:r>
        <w:br w:type="page"/>
      </w:r>
    </w:p>
    <w:tbl>
      <w:tblPr>
        <w:tblOverlap w:val="never"/>
        <w:jc w:val="center"/>
        <w:tblLayout w:type="fixed"/>
      </w:tblPr>
      <w:tblGrid>
        <w:gridCol w:w="5664"/>
        <w:gridCol w:w="2102"/>
        <w:gridCol w:w="1699"/>
      </w:tblGrid>
      <w:tr>
        <w:trPr>
          <w:trHeight w:val="350"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80"/>
              <w:jc w:val="left"/>
            </w:pPr>
            <w:r>
              <w:rPr>
                <w:b/>
                <w:bCs/>
                <w:color w:val="FFFFFF"/>
                <w:spacing w:val="0"/>
                <w:w w:val="100"/>
                <w:position w:val="0"/>
              </w:rPr>
              <w:t>本年发生额</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280"/>
              <w:jc w:val="left"/>
            </w:pPr>
            <w:r>
              <w:rPr>
                <w:b/>
                <w:bCs/>
                <w:color w:val="FFFFFF"/>
                <w:spacing w:val="0"/>
                <w:w w:val="100"/>
                <w:position w:val="0"/>
              </w:rPr>
              <w:t>上年发生额</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递延所得税资产减少</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466,257.14</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3,043,042.41</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计提的预计负债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505,800.00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存货的</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增加</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减少</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-1,124,293.69</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537,705.60</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经营性应收项目的增加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-36,310,616.52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-71,662,268.24</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rPr>
                <w:sz w:val="19"/>
                <w:szCs w:val="19"/>
              </w:rPr>
            </w:pPr>
            <w:r>
              <w:rPr>
                <w:b/>
                <w:bCs/>
                <w:color w:val="FFFFFF"/>
                <w:spacing w:val="0"/>
                <w:w w:val="100"/>
                <w:position w:val="0"/>
                <w:sz w:val="15"/>
                <w:szCs w:val="15"/>
              </w:rPr>
              <w:t>经营性应付项目的增加</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sz w:val="15"/>
                <w:szCs w:val="15"/>
              </w:rPr>
              <w:t>减少</w:t>
            </w:r>
            <w:r>
              <w:rPr>
                <w:b/>
                <w:bCs/>
                <w:color w:val="FFFFFF"/>
                <w:spacing w:val="0"/>
                <w:w w:val="100"/>
                <w:position w:val="0"/>
                <w:sz w:val="19"/>
                <w:szCs w:val="19"/>
              </w:rPr>
              <w:t>）</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4,583,353.90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-44,051,674.62</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80"/>
              <w:jc w:val="left"/>
            </w:pPr>
            <w:r>
              <w:rPr>
                <w:b/>
                <w:bCs/>
                <w:color w:val="FFFFFF"/>
                <w:spacing w:val="0"/>
                <w:w w:val="100"/>
                <w:position w:val="0"/>
              </w:rPr>
              <w:t>经营活动使用的现金流量净额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-59,196,792.91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-126,163,451.72</w:t>
            </w: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2 </w:t>
            </w:r>
            <w:r>
              <w:rPr>
                <w:b/>
                <w:bCs/>
                <w:color w:val="FFFFFF"/>
                <w:spacing w:val="0"/>
                <w:w w:val="100"/>
                <w:position w:val="0"/>
              </w:rPr>
              <w:t>.不涉及现金收支的重大投资和筹资活动：</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b/>
                <w:bCs/>
                <w:color w:val="FFFFFF"/>
                <w:spacing w:val="0"/>
                <w:w w:val="100"/>
                <w:position w:val="0"/>
              </w:rPr>
              <w:t>将子公司分配股利与应付子公司往来款相抵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22,050,000.00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33,765,451.77</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8"/>
                <w:szCs w:val="18"/>
              </w:rPr>
              <w:t xml:space="preserve">3 </w:t>
            </w:r>
            <w:r>
              <w:rPr>
                <w:b/>
                <w:bCs/>
                <w:color w:val="FFFFFF"/>
                <w:spacing w:val="0"/>
                <w:w w:val="100"/>
                <w:position w:val="0"/>
              </w:rPr>
              <w:t>.现金及现金等价物净变动情况：</w:t>
            </w:r>
          </w:p>
        </w:tc>
        <w:tc>
          <w:tcPr>
            <w:tcBorders>
              <w:top w:val="single" w:sz="4"/>
            </w:tcBorders>
            <w:shd w:val="clear" w:color="auto" w:fill="F9ECF3"/>
            <w:vAlign w:val="top"/>
          </w:tcPr>
          <w:p>
            <w:pPr>
              <w:widowControl w:val="0"/>
              <w:rPr>
                <w:sz w:val="10"/>
                <w:szCs w:val="10"/>
              </w:rPr>
            </w:pPr>
          </w:p>
        </w:tc>
        <w:tc>
          <w:tcPr>
            <w:tcBorders>
              <w:top w:val="single" w:sz="4"/>
            </w:tcBorders>
            <w:shd w:val="clear" w:color="auto" w:fill="F9ECF3"/>
            <w:vAlign w:val="top"/>
          </w:tcPr>
          <w:p>
            <w:pPr>
              <w:widowControl w:val="0"/>
              <w:rPr>
                <w:sz w:val="10"/>
                <w:szCs w:val="10"/>
              </w:rPr>
            </w:pP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b/>
                <w:bCs/>
                <w:color w:val="FFFFFF"/>
                <w:spacing w:val="0"/>
                <w:w w:val="100"/>
                <w:position w:val="0"/>
              </w:rPr>
              <w:t>现金的年末余额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56,932,439.01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97,593,821.33</w:t>
            </w:r>
          </w:p>
        </w:tc>
      </w:tr>
      <w:tr>
        <w:trPr>
          <w:trHeight w:val="322"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b/>
                <w:bCs/>
                <w:color w:val="FFFFFF"/>
                <w:spacing w:val="0"/>
                <w:w w:val="100"/>
                <w:position w:val="0"/>
              </w:rPr>
              <w:t>减：现金的年初余额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97,593,821.33</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261,373,795.00</w:t>
            </w:r>
          </w:p>
        </w:tc>
      </w:tr>
      <w:tr>
        <w:trPr>
          <w:trHeight w:val="350"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500"/>
              <w:jc w:val="left"/>
            </w:pPr>
            <w:r>
              <w:rPr>
                <w:b/>
                <w:bCs/>
                <w:color w:val="FFFFFF"/>
                <w:spacing w:val="0"/>
                <w:w w:val="100"/>
                <w:position w:val="0"/>
              </w:rPr>
              <w:t>现金及现金等价物净减少额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-40,661,382.32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-163,779,973.67</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r>
        <w:rPr>
          <w:color w:val="000000"/>
          <w:spacing w:val="0"/>
          <w:w w:val="100"/>
          <w:position w:val="0"/>
          <w:sz w:val="24"/>
          <w:szCs w:val="24"/>
        </w:rPr>
        <w:t>十七、补充资料</w:t>
      </w:r>
      <w:bookmarkEnd w:id="1374"/>
      <w:bookmarkEnd w:id="1375"/>
      <w:bookmarkEnd w:id="1376"/>
    </w:p>
    <w:p>
      <w:pPr>
        <w:pStyle w:val="Style49"/>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77"/>
      <w:bookmarkEnd w:id="1378"/>
      <w:bookmarkEnd w:id="137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33"/>
        <w:gridCol w:w="1656"/>
        <w:gridCol w:w="3187"/>
      </w:tblGrid>
      <w:tr>
        <w:trPr>
          <w:trHeight w:val="355"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项目</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pPr>
            <w:r>
              <w:rPr>
                <w:b/>
                <w:bCs/>
                <w:color w:val="FFFFFF"/>
                <w:spacing w:val="0"/>
                <w:w w:val="100"/>
                <w:position w:val="0"/>
              </w:rPr>
              <w:t>金额</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说明</w:t>
            </w:r>
          </w:p>
        </w:tc>
      </w:tr>
      <w:tr>
        <w:trPr>
          <w:trHeight w:val="322" w:hRule="exact"/>
        </w:trPr>
        <w:tc>
          <w:tcPr>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272" w:val="left"/>
              </w:tabs>
              <w:bidi w:val="0"/>
              <w:spacing w:before="0" w:after="0" w:line="240" w:lineRule="auto"/>
              <w:ind w:left="0" w:right="0" w:firstLine="0"/>
              <w:jc w:val="both"/>
            </w:pPr>
            <w:r>
              <w:rPr>
                <w:b/>
                <w:bCs/>
                <w:color w:val="FFFFFF"/>
                <w:spacing w:val="0"/>
                <w:w w:val="100"/>
                <w:position w:val="0"/>
              </w:rPr>
              <w:t>非流动资产处置损益</w:t>
              <w:tab/>
            </w:r>
            <w:r>
              <w:rPr>
                <w:b/>
                <w:bCs/>
                <w:color w:val="FFFFFF"/>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-6505741.09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主要为非流动资产处置损益</w:t>
            </w:r>
          </w:p>
        </w:tc>
      </w:tr>
      <w:tr>
        <w:trPr>
          <w:trHeight w:val="557" w:hRule="exact"/>
        </w:trPr>
        <w:tc>
          <w:tcPr>
            <w:tcBorders>
              <w:top w:val="single" w:sz="4"/>
            </w:tcBorders>
            <w:shd w:val="clear" w:color="auto" w:fill="A6A6A6"/>
            <w:vAlign w:val="top"/>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5" w:lineRule="exact"/>
              <w:ind w:left="0" w:right="0" w:firstLine="0"/>
              <w:jc w:val="left"/>
            </w:pPr>
            <w:r>
              <w:rPr>
                <w:b/>
                <w:bCs/>
                <w:color w:val="FFFFFF"/>
                <w:spacing w:val="0"/>
                <w:w w:val="100"/>
                <w:position w:val="0"/>
              </w:rPr>
              <w:t>计入当期损益的政府补助（与企业业务密切相关，按</w:t>
            </w:r>
            <w:r>
              <w:rPr>
                <w:rFonts w:ascii="Arial" w:eastAsia="Arial" w:hAnsi="Arial" w:cs="Arial"/>
                <w:color w:val="FFFFFF"/>
                <w:spacing w:val="0"/>
                <w:w w:val="100"/>
                <w:position w:val="0"/>
                <w:sz w:val="54"/>
                <w:szCs w:val="54"/>
              </w:rPr>
              <w:t xml:space="preserve">1 </w:t>
            </w:r>
            <w:r>
              <w:rPr>
                <w:b/>
                <w:bCs/>
                <w:color w:val="FFFFFF"/>
                <w:spacing w:val="0"/>
                <w:w w:val="100"/>
                <w:position w:val="0"/>
              </w:rPr>
              <w:t>照国家统一标准定额或定量享受的政府补助除外）</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2,382,000.00</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政府扶持资金</w:t>
            </w:r>
          </w:p>
        </w:tc>
      </w:tr>
      <w:tr>
        <w:trPr>
          <w:trHeight w:val="1258"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34" w:lineRule="exact"/>
              <w:ind w:left="0" w:right="0" w:firstLine="0"/>
              <w:jc w:val="both"/>
            </w:pPr>
            <w:r>
              <w:rPr>
                <w:b/>
                <w:bCs/>
                <w:color w:val="FFFFFF"/>
                <w:spacing w:val="0"/>
                <w:w w:val="100"/>
                <w:position w:val="0"/>
              </w:rPr>
              <w:t>除同公司正常经营业务相关的有效套期保值业务外，</w:t>
            </w:r>
            <w:r>
              <w:rPr>
                <w:b/>
                <w:bCs/>
                <w:color w:val="FFFFFF"/>
                <w:spacing w:val="0"/>
                <w:w w:val="100"/>
                <w:position w:val="0"/>
              </w:rPr>
              <w:t xml:space="preserve">■ </w:t>
            </w:r>
            <w:r>
              <w:rPr>
                <w:b/>
                <w:bCs/>
                <w:color w:val="FFFFFF"/>
                <w:spacing w:val="0"/>
                <w:w w:val="100"/>
                <w:position w:val="0"/>
              </w:rPr>
              <w:t xml:space="preserve">持有交易性金融资产、衍生金融资产、交易性金融负 </w:t>
            </w:r>
            <w:r>
              <w:rPr>
                <w:b/>
                <w:bCs/>
                <w:color w:val="FFFFFF"/>
                <w:spacing w:val="0"/>
                <w:w w:val="100"/>
                <w:position w:val="0"/>
              </w:rPr>
              <w:t xml:space="preserve">■ </w:t>
            </w:r>
            <w:r>
              <w:rPr>
                <w:b/>
                <w:bCs/>
                <w:color w:val="FFFFFF"/>
                <w:spacing w:val="0"/>
                <w:w w:val="100"/>
                <w:position w:val="0"/>
              </w:rPr>
              <w:t xml:space="preserve">债、衍生金融负债产生的公允价值变动损益，以及处 </w:t>
            </w:r>
            <w:r>
              <w:rPr>
                <w:b/>
                <w:bCs/>
                <w:color w:val="FFFFFF"/>
                <w:spacing w:val="0"/>
                <w:w w:val="100"/>
                <w:position w:val="0"/>
              </w:rPr>
              <w:t xml:space="preserve">■ </w:t>
            </w:r>
            <w:r>
              <w:rPr>
                <w:b/>
                <w:bCs/>
                <w:color w:val="FFFFFF"/>
                <w:spacing w:val="0"/>
                <w:w w:val="100"/>
                <w:position w:val="0"/>
              </w:rPr>
              <w:t>置交易性金融资产、衍生金融资产、交易性金融负债、</w:t>
            </w:r>
            <w:r>
              <w:rPr>
                <w:b/>
                <w:bCs/>
                <w:color w:val="FFFFFF"/>
                <w:spacing w:val="0"/>
                <w:w w:val="100"/>
                <w:position w:val="0"/>
              </w:rPr>
              <w:t xml:space="preserve">■ </w:t>
            </w:r>
            <w:r>
              <w:rPr>
                <w:b/>
                <w:bCs/>
                <w:color w:val="FFFFFF"/>
                <w:spacing w:val="0"/>
                <w:w w:val="100"/>
                <w:position w:val="0"/>
              </w:rPr>
              <w:t xml:space="preserve">衍生金融负债和其他债权投资取得的投资收益 </w:t>
            </w:r>
            <w:r>
              <w:rPr>
                <w:b/>
                <w:bCs/>
                <w:color w:val="FFFFFF"/>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处置交易性金融资产的投资收益</w:t>
            </w:r>
          </w:p>
        </w:tc>
      </w:tr>
      <w:tr>
        <w:trPr>
          <w:trHeight w:val="322" w:hRule="exact"/>
        </w:trPr>
        <w:tc>
          <w:tcPr>
            <w:gridSpan w:val="3"/>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除上述各项之外的其他营业外收入和支出</w:t>
            </w:r>
          </w:p>
        </w:tc>
      </w:tr>
      <w:tr>
        <w:trPr>
          <w:trHeight w:val="326"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258" w:val="left"/>
              </w:tabs>
              <w:bidi w:val="0"/>
              <w:spacing w:before="0" w:after="0" w:line="240" w:lineRule="auto"/>
              <w:ind w:left="0" w:right="0" w:firstLine="0"/>
              <w:jc w:val="both"/>
            </w:pPr>
            <w:r>
              <w:rPr>
                <w:b/>
                <w:bCs/>
                <w:color w:val="FFFFFF"/>
                <w:spacing w:val="0"/>
                <w:w w:val="100"/>
                <w:position w:val="0"/>
              </w:rPr>
              <w:t>处置子公司的投资收益</w:t>
              <w:tab/>
            </w:r>
            <w:r>
              <w:rPr>
                <w:b/>
                <w:bCs/>
                <w:color w:val="FFFFFF"/>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预计诉讼费赔偿金额</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tcBorders>
            <w:shd w:val="clear" w:color="auto" w:fill="F9ECF3"/>
            <w:vAlign w:val="top"/>
          </w:tcPr>
          <w:p>
            <w:pPr>
              <w:widowControl w:val="0"/>
              <w:rPr>
                <w:sz w:val="10"/>
                <w:szCs w:val="10"/>
              </w:rPr>
            </w:pPr>
          </w:p>
        </w:tc>
      </w:tr>
      <w:tr>
        <w:trPr>
          <w:trHeight w:val="322"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258" w:val="left"/>
              </w:tabs>
              <w:bidi w:val="0"/>
              <w:spacing w:before="0" w:after="0" w:line="240" w:lineRule="auto"/>
              <w:ind w:left="0" w:right="0" w:firstLine="0"/>
              <w:jc w:val="both"/>
            </w:pPr>
            <w:r>
              <w:rPr>
                <w:b/>
                <w:bCs/>
                <w:color w:val="FFFFFF"/>
                <w:spacing w:val="0"/>
                <w:w w:val="100"/>
                <w:position w:val="0"/>
              </w:rPr>
              <w:t>某品牌门店关闭及转让赔偿金</w:t>
              <w:tab/>
            </w:r>
            <w:r>
              <w:rPr>
                <w:b/>
                <w:bCs/>
                <w:color w:val="FFFFFF"/>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-10,501,545.38</w:t>
            </w: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除上述各项之外的其他营业外收入和支出</w:t>
            </w:r>
          </w:p>
        </w:tc>
        <w:tc>
          <w:tcPr>
            <w:tcBorders>
              <w:top w:val="single" w:sz="4"/>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-906,167.19</w:t>
            </w:r>
          </w:p>
        </w:tc>
        <w:tc>
          <w:tcPr>
            <w:tcBorders>
              <w:top w:val="single" w:sz="4"/>
            </w:tcBorders>
            <w:shd w:val="clear" w:color="auto" w:fill="F9ECF3"/>
            <w:vAlign w:val="top"/>
          </w:tcPr>
          <w:p>
            <w:pPr>
              <w:widowControl w:val="0"/>
              <w:rPr>
                <w:sz w:val="10"/>
                <w:szCs w:val="10"/>
              </w:rPr>
            </w:pPr>
          </w:p>
        </w:tc>
      </w:tr>
      <w:tr>
        <w:trPr>
          <w:trHeight w:val="322" w:hRule="exact"/>
        </w:trPr>
        <w:tc>
          <w:tcPr>
            <w:tcBorders>
              <w:top w:val="single" w:sz="4"/>
            </w:tcBorders>
            <w:shd w:val="clear" w:color="auto" w:fill="A6A6A6"/>
            <w:vAlign w:val="bottom"/>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tabs>
                <w:tab w:pos="4277" w:val="left"/>
              </w:tabs>
              <w:bidi w:val="0"/>
              <w:spacing w:before="0" w:after="0" w:line="240" w:lineRule="auto"/>
              <w:ind w:left="0" w:right="0" w:firstLine="0"/>
              <w:jc w:val="both"/>
            </w:pPr>
            <w:r>
              <w:rPr>
                <w:b/>
                <w:bCs/>
                <w:color w:val="FFFFFF"/>
                <w:spacing w:val="0"/>
                <w:w w:val="100"/>
                <w:position w:val="0"/>
              </w:rPr>
              <w:t>违约无法收回的应收款项</w:t>
              <w:tab/>
            </w:r>
            <w:r>
              <w:rPr>
                <w:b/>
                <w:bCs/>
                <w:color w:val="FFFFFF"/>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-1,799,121.68</w:t>
            </w: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合计</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440"/>
              <w:jc w:val="left"/>
              <w:rPr>
                <w:sz w:val="18"/>
                <w:szCs w:val="18"/>
              </w:rPr>
            </w:pPr>
            <w:r>
              <w:rPr>
                <w:rFonts w:ascii="Times New Roman" w:eastAsia="Times New Roman" w:hAnsi="Times New Roman" w:cs="Times New Roman"/>
                <w:b/>
                <w:bCs/>
                <w:color w:val="FFFFFF"/>
                <w:spacing w:val="0"/>
                <w:w w:val="100"/>
                <w:position w:val="0"/>
                <w:sz w:val="18"/>
                <w:szCs w:val="18"/>
              </w:rPr>
              <w:t>-18,354,398.22</w:t>
            </w:r>
          </w:p>
        </w:tc>
        <w:tc>
          <w:tcPr>
            <w:tcBorders>
              <w:top w:val="single" w:sz="4"/>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rPr>
                <w:sz w:val="18"/>
                <w:szCs w:val="18"/>
              </w:rPr>
            </w:pPr>
            <w:r>
              <w:rPr>
                <w:rFonts w:ascii="Times New Roman" w:eastAsia="Times New Roman" w:hAnsi="Times New Roman" w:cs="Times New Roman"/>
                <w:b/>
                <w:bCs/>
                <w:color w:val="FFFFFF"/>
                <w:spacing w:val="0"/>
                <w:w w:val="100"/>
                <w:position w:val="0"/>
                <w:sz w:val="18"/>
                <w:szCs w:val="18"/>
              </w:rPr>
              <w:t>--</w:t>
            </w:r>
          </w:p>
        </w:tc>
      </w:tr>
    </w:tbl>
    <w:p>
      <w:pPr>
        <w:pStyle w:val="Style31"/>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9"/>
        <w:keepNext/>
        <w:keepLines/>
        <w:widowControl w:val="0"/>
        <w:shd w:val="clear" w:color="auto" w:fill="auto"/>
        <w:bidi w:val="0"/>
        <w:spacing w:before="0" w:after="300" w:line="240" w:lineRule="auto"/>
        <w:ind w:left="0" w:right="0" w:firstLine="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80"/>
      <w:bookmarkEnd w:id="1381"/>
      <w:bookmarkEnd w:id="1382"/>
    </w:p>
    <w:p>
      <w:pPr>
        <w:widowControl w:val="0"/>
        <w:spacing w:line="1" w:lineRule="exact"/>
      </w:pPr>
      <w:r>
        <mc:AlternateContent>
          <mc:Choice Requires="wps">
            <w:drawing>
              <wp:anchor distT="190500" distB="12065" distL="0" distR="0" simplePos="0" relativeHeight="125829714" behindDoc="0" locked="0" layoutInCell="1" allowOverlap="1">
                <wp:simplePos x="0" y="0"/>
                <wp:positionH relativeFrom="page">
                  <wp:posOffset>1615440</wp:posOffset>
                </wp:positionH>
                <wp:positionV relativeFrom="paragraph">
                  <wp:posOffset>190500</wp:posOffset>
                </wp:positionV>
                <wp:extent cx="603250" cy="149225"/>
                <wp:wrapTopAndBottom/>
                <wp:docPr id="624" name="Shape 624"/>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报告期利润</w:t>
                            </w:r>
                          </w:p>
                        </w:txbxContent>
                      </wps:txbx>
                      <wps:bodyPr wrap="none" lIns="0" tIns="0" rIns="0" bIns="0">
                        <a:noAutoFit/>
                      </wps:bodyPr>
                    </wps:wsp>
                  </a:graphicData>
                </a:graphic>
              </wp:anchor>
            </w:drawing>
          </mc:Choice>
          <mc:Fallback>
            <w:pict>
              <v:shape id="_x0000_s1650" type="#_x0000_t202" style="position:absolute;margin-left:127.2pt;margin-top:15.pt;width:47.5pt;height:11.75pt;z-index:-125829039;mso-wrap-distance-left:0;mso-wrap-distance-top:15.pt;mso-wrap-distance-right:0;mso-wrap-distance-bottom:0.95000000000000007pt;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报告期利润</w:t>
                      </w:r>
                    </w:p>
                  </w:txbxContent>
                </v:textbox>
                <w10:wrap type="topAndBottom" anchorx="page"/>
              </v:shape>
            </w:pict>
          </mc:Fallback>
        </mc:AlternateContent>
      </w:r>
      <w:r>
        <mc:AlternateContent>
          <mc:Choice Requires="wps">
            <w:drawing>
              <wp:anchor distT="202565" distB="0" distL="0" distR="0" simplePos="0" relativeHeight="125829716" behindDoc="0" locked="0" layoutInCell="1" allowOverlap="1">
                <wp:simplePos x="0" y="0"/>
                <wp:positionH relativeFrom="page">
                  <wp:posOffset>3237230</wp:posOffset>
                </wp:positionH>
                <wp:positionV relativeFrom="paragraph">
                  <wp:posOffset>202565</wp:posOffset>
                </wp:positionV>
                <wp:extent cx="1063625" cy="149225"/>
                <wp:wrapTopAndBottom/>
                <wp:docPr id="626" name="Shape 626"/>
                <a:graphic xmlns:a="http://schemas.openxmlformats.org/drawingml/2006/main">
                  <a:graphicData uri="http://schemas.microsoft.com/office/word/2010/wordprocessingShape">
                    <wps:wsp>
                      <wps:cNvSpPr txBox="1"/>
                      <wps:spPr>
                        <a:xfrm>
                          <a:ext cx="1063625"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center"/>
                            </w:pPr>
                            <w:r>
                              <w:rPr>
                                <w:b/>
                                <w:bCs/>
                                <w:color w:val="FFFFFF"/>
                                <w:spacing w:val="0"/>
                                <w:w w:val="100"/>
                                <w:position w:val="0"/>
                              </w:rPr>
                              <w:t>加权平均净资产收益</w:t>
                            </w:r>
                          </w:p>
                        </w:txbxContent>
                      </wps:txbx>
                      <wps:bodyPr wrap="none" lIns="0" tIns="0" rIns="0" bIns="0">
                        <a:noAutoFit/>
                      </wps:bodyPr>
                    </wps:wsp>
                  </a:graphicData>
                </a:graphic>
              </wp:anchor>
            </w:drawing>
          </mc:Choice>
          <mc:Fallback>
            <w:pict>
              <v:shape id="_x0000_s1652" type="#_x0000_t202" style="position:absolute;margin-left:254.90000000000001pt;margin-top:15.950000000000001pt;width:83.75pt;height:11.75pt;z-index:-125829037;mso-wrap-distance-left:0;mso-wrap-distance-top:15.950000000000001pt;mso-wrap-distance-right:0;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center"/>
                      </w:pPr>
                      <w:r>
                        <w:rPr>
                          <w:b/>
                          <w:bCs/>
                          <w:color w:val="FFFFFF"/>
                          <w:spacing w:val="0"/>
                          <w:w w:val="100"/>
                          <w:position w:val="0"/>
                        </w:rPr>
                        <w:t>加权平均净资产收益</w:t>
                      </w:r>
                    </w:p>
                  </w:txbxContent>
                </v:textbox>
                <w10:wrap type="topAndBottom" anchorx="page"/>
              </v:shape>
            </w:pict>
          </mc:Fallback>
        </mc:AlternateContent>
      </w:r>
      <w:r>
        <mc:AlternateContent>
          <mc:Choice Requires="wps">
            <w:drawing>
              <wp:anchor distT="190500" distB="12065" distL="0" distR="0" simplePos="0" relativeHeight="125829718" behindDoc="0" locked="0" layoutInCell="1" allowOverlap="1">
                <wp:simplePos x="0" y="0"/>
                <wp:positionH relativeFrom="page">
                  <wp:posOffset>5330825</wp:posOffset>
                </wp:positionH>
                <wp:positionV relativeFrom="paragraph">
                  <wp:posOffset>190500</wp:posOffset>
                </wp:positionV>
                <wp:extent cx="490855" cy="149225"/>
                <wp:wrapTopAndBottom/>
                <wp:docPr id="628" name="Shape 628"/>
                <a:graphic xmlns:a="http://schemas.openxmlformats.org/drawingml/2006/main">
                  <a:graphicData uri="http://schemas.microsoft.com/office/word/2010/wordprocessingShape">
                    <wps:wsp>
                      <wps:cNvSpPr txBox="1"/>
                      <wps:spPr>
                        <a:xfrm>
                          <a:ext cx="490855" cy="149225"/>
                        </a:xfrm>
                        <a:prstGeom prst="rect"/>
                        <a:noFill/>
                      </wps:spPr>
                      <wps:txbx>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每股收益</w:t>
                            </w:r>
                          </w:p>
                        </w:txbxContent>
                      </wps:txbx>
                      <wps:bodyPr wrap="none" lIns="0" tIns="0" rIns="0" bIns="0">
                        <a:noAutoFit/>
                      </wps:bodyPr>
                    </wps:wsp>
                  </a:graphicData>
                </a:graphic>
              </wp:anchor>
            </w:drawing>
          </mc:Choice>
          <mc:Fallback>
            <w:pict>
              <v:shape id="_x0000_s1654" type="#_x0000_t202" style="position:absolute;margin-left:419.75pt;margin-top:15.pt;width:38.649999999999999pt;height:11.75pt;z-index:-125829035;mso-wrap-distance-left:0;mso-wrap-distance-top:15.pt;mso-wrap-distance-right:0;mso-wrap-distance-bottom:0.95000000000000007pt;mso-position-horizontal-relative:page" filled="f" stroked="f">
                <v:textbox inset="0,0,0,0">
                  <w:txbxContent>
                    <w:p>
                      <w:pPr>
                        <w:pStyle w:val="Style31"/>
                        <w:keepNext w:val="0"/>
                        <w:keepLines w:val="0"/>
                        <w:widowControl w:val="0"/>
                        <w:pBdr>
                          <w:top w:val="single" w:sz="0" w:space="0" w:color="A6A6A6"/>
                          <w:left w:val="single" w:sz="0" w:space="31" w:color="A6A6A6"/>
                          <w:bottom w:val="single" w:sz="0" w:space="0" w:color="A6A6A6"/>
                          <w:right w:val="single" w:sz="0" w:space="31" w:color="A6A6A6"/>
                        </w:pBdr>
                        <w:shd w:val="clear" w:color="auto" w:fill="A6A6A6"/>
                        <w:bidi w:val="0"/>
                        <w:spacing w:before="0" w:after="0" w:line="240" w:lineRule="auto"/>
                        <w:ind w:left="0" w:right="0" w:firstLine="0"/>
                        <w:jc w:val="left"/>
                      </w:pPr>
                      <w:r>
                        <w:rPr>
                          <w:b/>
                          <w:bCs/>
                          <w:color w:val="FFFFFF"/>
                          <w:spacing w:val="0"/>
                          <w:w w:val="100"/>
                          <w:position w:val="0"/>
                        </w:rPr>
                        <w:t>每股收益</w:t>
                      </w:r>
                    </w:p>
                  </w:txbxContent>
                </v:textbox>
                <w10:wrap type="topAndBottom" anchorx="page"/>
              </v:shape>
            </w:pict>
          </mc:Fallback>
        </mc:AlternateContent>
      </w:r>
      <w:r>
        <w:br w:type="page"/>
      </w:r>
    </w:p>
    <w:tbl>
      <w:tblPr>
        <w:tblOverlap w:val="never"/>
        <w:jc w:val="center"/>
        <w:tblLayout w:type="fixed"/>
      </w:tblPr>
      <w:tblGrid>
        <w:gridCol w:w="3941"/>
        <w:gridCol w:w="1886"/>
        <w:gridCol w:w="1910"/>
        <w:gridCol w:w="1906"/>
      </w:tblGrid>
      <w:tr>
        <w:trPr>
          <w:trHeight w:val="437" w:hRule="exact"/>
        </w:trPr>
        <w:tc>
          <w:tcPr>
            <w:tcBorders/>
            <w:shd w:val="clear" w:color="auto" w:fill="A6A6A6"/>
            <w:vAlign w:val="top"/>
          </w:tcPr>
          <w:p>
            <w:pPr>
              <w:widowControl w:val="0"/>
              <w:rPr>
                <w:sz w:val="10"/>
                <w:szCs w:val="10"/>
              </w:rPr>
            </w:pP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center"/>
            </w:pPr>
            <w:r>
              <w:rPr>
                <w:b/>
                <w:bCs/>
                <w:color w:val="FFFFFF"/>
                <w:spacing w:val="0"/>
                <w:w w:val="100"/>
                <w:position w:val="0"/>
              </w:rPr>
              <w:t>率</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基本每股收益（元</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股）</w:t>
            </w:r>
          </w:p>
        </w:tc>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right"/>
            </w:pPr>
            <w:r>
              <w:rPr>
                <w:b/>
                <w:bCs/>
                <w:color w:val="FFFFFF"/>
                <w:spacing w:val="0"/>
                <w:w w:val="100"/>
                <w:position w:val="0"/>
              </w:rPr>
              <w:t>稀释每股收益（元</w:t>
            </w:r>
            <w:r>
              <w:rPr>
                <w:rFonts w:ascii="Times New Roman" w:eastAsia="Times New Roman" w:hAnsi="Times New Roman" w:cs="Times New Roman"/>
                <w:b/>
                <w:bCs/>
                <w:color w:val="FFFFFF"/>
                <w:spacing w:val="0"/>
                <w:w w:val="100"/>
                <w:position w:val="0"/>
                <w:sz w:val="18"/>
                <w:szCs w:val="18"/>
              </w:rPr>
              <w:t>/</w:t>
            </w:r>
            <w:r>
              <w:rPr>
                <w:b/>
                <w:bCs/>
                <w:color w:val="FFFFFF"/>
                <w:spacing w:val="0"/>
                <w:w w:val="100"/>
                <w:position w:val="0"/>
              </w:rPr>
              <w:t>股）</w:t>
            </w:r>
          </w:p>
        </w:tc>
      </w:tr>
      <w:tr>
        <w:trPr>
          <w:trHeight w:val="39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pPr>
            <w:r>
              <w:rPr>
                <w:b/>
                <w:bCs/>
                <w:color w:val="FFFFFF"/>
                <w:spacing w:val="0"/>
                <w:w w:val="100"/>
                <w:position w:val="0"/>
              </w:rPr>
              <w:t>归属于公司普通股股东的净利润</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-38.52%</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shd w:val="clear" w:color="auto" w:fill="F9ECF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744" w:hRule="exact"/>
        </w:trPr>
        <w:tc>
          <w:tcPr>
            <w:tcBorders/>
            <w:shd w:val="clear" w:color="auto" w:fill="A6A6A6"/>
            <w:vAlign w:val="center"/>
          </w:tcPr>
          <w:p>
            <w:pPr>
              <w:pStyle w:val="Style2"/>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317" w:lineRule="exact"/>
              <w:ind w:left="0" w:right="0" w:firstLine="0"/>
              <w:jc w:val="left"/>
            </w:pPr>
            <w:r>
              <w:rPr>
                <w:b/>
                <w:bCs/>
                <w:color w:val="FFFFFF"/>
                <w:spacing w:val="0"/>
                <w:w w:val="100"/>
                <w:position w:val="0"/>
              </w:rPr>
              <w:t>扣除非经常性损益后归属于公司普通股股东的 净利润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bl>
    <w:p>
      <w:pPr>
        <w:widowControl w:val="0"/>
        <w:spacing w:after="319" w:line="1" w:lineRule="exact"/>
      </w:pPr>
    </w:p>
    <w:p>
      <w:pPr>
        <w:pStyle w:val="Style49"/>
        <w:keepNext/>
        <w:keepLines/>
        <w:widowControl w:val="0"/>
        <w:shd w:val="clear" w:color="auto" w:fill="auto"/>
        <w:bidi w:val="0"/>
        <w:spacing w:before="0" w:after="0" w:line="240" w:lineRule="auto"/>
        <w:ind w:left="0"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pgSz w:w="11966" w:h="17375"/>
          <w:pgMar w:top="1643" w:right="1051" w:bottom="1764" w:left="955" w:header="0" w:footer="3" w:gutter="0"/>
          <w:cols w:space="720"/>
          <w:noEndnote/>
          <w:rtlGutter w:val="0"/>
          <w:docGrid w:linePitch="360"/>
        </w:sectPr>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color w:val="000000"/>
          <w:spacing w:val="0"/>
          <w:w w:val="100"/>
          <w:position w:val="0"/>
        </w:rPr>
        <w:t>、其他</w:t>
      </w:r>
      <w:bookmarkEnd w:id="1383"/>
      <w:bookmarkEnd w:id="1384"/>
      <w:bookmarkEnd w:id="1386"/>
    </w:p>
    <w:p>
      <w:pPr>
        <w:pStyle w:val="Style22"/>
        <w:keepNext/>
        <w:keepLines/>
        <w:widowControl w:val="0"/>
        <w:shd w:val="clear" w:color="auto" w:fill="auto"/>
        <w:bidi w:val="0"/>
        <w:spacing w:before="0" w:after="560" w:line="240" w:lineRule="auto"/>
        <w:ind w:left="0" w:right="0" w:firstLine="0"/>
        <w:jc w:val="center"/>
      </w:pPr>
      <w:bookmarkStart w:id="1387" w:name="bookmark1387"/>
      <w:bookmarkStart w:id="1388" w:name="bookmark1388"/>
      <w:bookmarkStart w:id="1389" w:name="bookmark1389"/>
      <w:r>
        <w:rPr>
          <w:color w:val="000000"/>
          <w:spacing w:val="0"/>
          <w:w w:val="100"/>
          <w:position w:val="0"/>
        </w:rPr>
        <w:t>第十三节备查文件目录</w:t>
      </w:r>
      <w:bookmarkEnd w:id="1387"/>
      <w:bookmarkEnd w:id="1388"/>
      <w:bookmarkEnd w:id="138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公司在办公地点备置下列文件：</w:t>
      </w:r>
    </w:p>
    <w:p>
      <w:pPr>
        <w:pStyle w:val="Style31"/>
        <w:keepNext w:val="0"/>
        <w:keepLines w:val="0"/>
        <w:widowControl w:val="0"/>
        <w:shd w:val="clear" w:color="auto" w:fill="auto"/>
        <w:tabs>
          <w:tab w:pos="341" w:val="left"/>
        </w:tabs>
        <w:bidi w:val="0"/>
        <w:spacing w:before="0" w:after="160" w:line="240" w:lineRule="auto"/>
        <w:ind w:left="0" w:right="0" w:firstLine="0"/>
        <w:jc w:val="left"/>
      </w:pPr>
      <w:bookmarkStart w:id="1390" w:name="bookmark1390"/>
      <w:r>
        <w:rPr>
          <w:rFonts w:ascii="Times New Roman" w:eastAsia="Times New Roman" w:hAnsi="Times New Roman" w:cs="Times New Roman"/>
          <w:color w:val="000000"/>
          <w:spacing w:val="0"/>
          <w:w w:val="100"/>
          <w:position w:val="0"/>
          <w:sz w:val="18"/>
          <w:szCs w:val="18"/>
        </w:rPr>
        <w:t>1</w:t>
      </w:r>
      <w:bookmarkEnd w:id="1390"/>
      <w:r>
        <w:rPr>
          <w:color w:val="000000"/>
          <w:spacing w:val="0"/>
          <w:w w:val="100"/>
          <w:position w:val="0"/>
        </w:rPr>
        <w:t>、</w:t>
        <w:tab/>
        <w:t>载有公司法定代表人、主管会计工作负责人、会计机构负责人签名并盖章的财务报表。</w:t>
      </w:r>
    </w:p>
    <w:p>
      <w:pPr>
        <w:pStyle w:val="Style31"/>
        <w:keepNext w:val="0"/>
        <w:keepLines w:val="0"/>
        <w:widowControl w:val="0"/>
        <w:shd w:val="clear" w:color="auto" w:fill="auto"/>
        <w:tabs>
          <w:tab w:pos="354" w:val="left"/>
        </w:tabs>
        <w:bidi w:val="0"/>
        <w:spacing w:before="0" w:after="160" w:line="240" w:lineRule="auto"/>
        <w:ind w:left="0" w:right="0" w:firstLine="0"/>
        <w:jc w:val="left"/>
      </w:pPr>
      <w:bookmarkStart w:id="1391" w:name="bookmark1391"/>
      <w:r>
        <w:rPr>
          <w:rFonts w:ascii="Times New Roman" w:eastAsia="Times New Roman" w:hAnsi="Times New Roman" w:cs="Times New Roman"/>
          <w:color w:val="000000"/>
          <w:spacing w:val="0"/>
          <w:w w:val="100"/>
          <w:position w:val="0"/>
          <w:sz w:val="18"/>
          <w:szCs w:val="18"/>
        </w:rPr>
        <w:t>2</w:t>
      </w:r>
      <w:bookmarkEnd w:id="1391"/>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354" w:val="left"/>
        </w:tabs>
        <w:bidi w:val="0"/>
        <w:spacing w:before="0" w:after="160" w:line="240" w:lineRule="auto"/>
        <w:ind w:left="0" w:right="0" w:firstLine="0"/>
        <w:jc w:val="left"/>
      </w:pPr>
      <w:bookmarkStart w:id="1392" w:name="bookmark1392"/>
      <w:r>
        <w:rPr>
          <w:rFonts w:ascii="Times New Roman" w:eastAsia="Times New Roman" w:hAnsi="Times New Roman" w:cs="Times New Roman"/>
          <w:color w:val="000000"/>
          <w:spacing w:val="0"/>
          <w:w w:val="100"/>
          <w:position w:val="0"/>
          <w:sz w:val="18"/>
          <w:szCs w:val="18"/>
        </w:rPr>
        <w:t>3</w:t>
      </w:r>
      <w:bookmarkEnd w:id="1392"/>
      <w:r>
        <w:rPr>
          <w:color w:val="000000"/>
          <w:spacing w:val="0"/>
          <w:w w:val="100"/>
          <w:position w:val="0"/>
        </w:rPr>
        <w:t>、</w:t>
        <w:tab/>
        <w:t>报告期内在中国证监会指定网站上公开披露过的所有公司文件的正本及公告的原稿。</w:t>
      </w:r>
    </w:p>
    <w:p>
      <w:pPr>
        <w:pStyle w:val="Style31"/>
        <w:keepNext w:val="0"/>
        <w:keepLines w:val="0"/>
        <w:widowControl w:val="0"/>
        <w:shd w:val="clear" w:color="auto" w:fill="auto"/>
        <w:tabs>
          <w:tab w:pos="354" w:val="left"/>
        </w:tabs>
        <w:bidi w:val="0"/>
        <w:spacing w:before="0" w:after="1400" w:line="240" w:lineRule="auto"/>
        <w:ind w:left="0" w:right="0" w:firstLine="0"/>
        <w:jc w:val="left"/>
      </w:pPr>
      <w:bookmarkStart w:id="1393" w:name="bookmark1393"/>
      <w:r>
        <w:rPr>
          <w:rFonts w:ascii="Times New Roman" w:eastAsia="Times New Roman" w:hAnsi="Times New Roman" w:cs="Times New Roman"/>
          <w:color w:val="000000"/>
          <w:spacing w:val="0"/>
          <w:w w:val="100"/>
          <w:position w:val="0"/>
          <w:sz w:val="18"/>
          <w:szCs w:val="18"/>
        </w:rPr>
        <w:t>4</w:t>
      </w:r>
      <w:bookmarkEnd w:id="1393"/>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31"/>
        <w:keepNext w:val="0"/>
        <w:keepLines w:val="0"/>
        <w:widowControl w:val="0"/>
        <w:shd w:val="clear" w:color="auto" w:fill="auto"/>
        <w:bidi w:val="0"/>
        <w:spacing w:before="0" w:after="160" w:line="240" w:lineRule="auto"/>
        <w:ind w:left="0" w:right="640" w:firstLine="0"/>
        <w:jc w:val="right"/>
      </w:pPr>
      <w:r>
        <w:rPr>
          <w:color w:val="000000"/>
          <w:spacing w:val="0"/>
          <w:w w:val="100"/>
          <w:position w:val="0"/>
        </w:rPr>
        <w:t>北京百华悦邦科技股份有限公司</w:t>
      </w:r>
    </w:p>
    <w:p>
      <w:pPr>
        <w:pStyle w:val="Style31"/>
        <w:keepNext w:val="0"/>
        <w:keepLines w:val="0"/>
        <w:widowControl w:val="0"/>
        <w:shd w:val="clear" w:color="auto" w:fill="auto"/>
        <w:bidi w:val="0"/>
        <w:spacing w:before="0" w:after="160" w:line="240" w:lineRule="auto"/>
        <w:ind w:left="0" w:right="640" w:firstLine="0"/>
        <w:jc w:val="right"/>
      </w:pPr>
      <w:r>
        <w:rPr>
          <w:color w:val="000000"/>
          <w:spacing w:val="0"/>
          <w:w w:val="100"/>
          <w:position w:val="0"/>
        </w:rPr>
        <w:t>董事会</w:t>
      </w:r>
    </w:p>
    <w:p>
      <w:pPr>
        <w:pStyle w:val="Style31"/>
        <w:keepNext w:val="0"/>
        <w:keepLines w:val="0"/>
        <w:widowControl w:val="0"/>
        <w:shd w:val="clear" w:color="auto" w:fill="auto"/>
        <w:bidi w:val="0"/>
        <w:spacing w:before="0" w:after="160" w:line="240" w:lineRule="auto"/>
        <w:ind w:left="0" w:right="0" w:firstLine="0"/>
        <w:jc w:val="right"/>
        <w:sectPr>
          <w:footnotePr>
            <w:pos w:val="pageBottom"/>
            <w:numFmt w:val="decimal"/>
            <w:numRestart w:val="continuous"/>
          </w:footnotePr>
          <w:pgSz w:w="11966" w:h="17375"/>
          <w:pgMar w:top="1924" w:right="1147" w:bottom="1924" w:left="1493" w:header="0" w:footer="3" w:gutter="0"/>
          <w:cols w:space="720"/>
          <w:noEndnote/>
          <w:rtlGutter w:val="0"/>
          <w:docGrid w:linePitch="360"/>
        </w:sectP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二一年四月二十六日</w:t>
      </w:r>
    </w:p>
    <w:p>
      <w:pPr>
        <w:widowControl w:val="0"/>
        <w:jc w:val="center"/>
        <w:rPr>
          <w:sz w:val="2"/>
          <w:szCs w:val="2"/>
        </w:rPr>
      </w:pPr>
      <w:r>
        <w:drawing>
          <wp:inline>
            <wp:extent cx="1877695" cy="2237105"/>
            <wp:docPr id="640" name="Picutre 640"/>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117"/>
                    <a:stretch/>
                  </pic:blipFill>
                  <pic:spPr>
                    <a:xfrm>
                      <a:ext cx="1877695" cy="2237105"/>
                    </a:xfrm>
                    <a:prstGeom prst="rect"/>
                  </pic:spPr>
                </pic:pic>
              </a:graphicData>
            </a:graphic>
          </wp:inline>
        </w:drawing>
      </w:r>
    </w:p>
    <w:p>
      <w:pPr>
        <w:widowControl w:val="0"/>
        <w:spacing w:after="4939" w:line="1" w:lineRule="exact"/>
      </w:pPr>
    </w:p>
    <w:p>
      <w:pPr>
        <w:pStyle w:val="Style2"/>
        <w:keepNext w:val="0"/>
        <w:keepLines w:val="0"/>
        <w:widowControl w:val="0"/>
        <w:shd w:val="clear" w:color="auto" w:fill="auto"/>
        <w:bidi w:val="0"/>
        <w:spacing w:before="0" w:after="120" w:line="240" w:lineRule="auto"/>
        <w:ind w:left="0" w:right="0" w:firstLine="0"/>
        <w:jc w:val="center"/>
        <w:rPr>
          <w:sz w:val="36"/>
          <w:szCs w:val="36"/>
        </w:rPr>
      </w:pPr>
      <w:r>
        <w:rPr>
          <w:rFonts w:ascii="SimHei" w:eastAsia="SimHei" w:hAnsi="SimHei" w:cs="SimHei"/>
          <w:color w:val="000000"/>
          <w:spacing w:val="0"/>
          <w:w w:val="100"/>
          <w:position w:val="0"/>
          <w:sz w:val="36"/>
          <w:szCs w:val="36"/>
        </w:rPr>
        <w:t>北京百华悦邦科技股份有限公司</w:t>
      </w:r>
    </w:p>
    <w:p>
      <w:pPr>
        <w:pStyle w:val="Style2"/>
        <w:keepNext w:val="0"/>
        <w:keepLines w:val="0"/>
        <w:widowControl w:val="0"/>
        <w:shd w:val="clear" w:color="auto" w:fill="auto"/>
        <w:bidi w:val="0"/>
        <w:spacing w:before="0" w:after="540" w:line="240" w:lineRule="auto"/>
        <w:ind w:left="0" w:right="0" w:firstLine="0"/>
        <w:jc w:val="center"/>
        <w:rPr>
          <w:sz w:val="36"/>
          <w:szCs w:val="36"/>
        </w:rPr>
      </w:pPr>
      <w:r>
        <w:rPr>
          <w:rFonts w:ascii="Tahoma" w:eastAsia="Tahoma" w:hAnsi="Tahoma" w:cs="Tahoma"/>
          <w:color w:val="000000"/>
          <w:spacing w:val="0"/>
          <w:w w:val="100"/>
          <w:position w:val="0"/>
          <w:sz w:val="36"/>
          <w:szCs w:val="36"/>
        </w:rPr>
        <w:t>BYBON Group Company Limited</w:t>
      </w:r>
    </w:p>
    <w:p>
      <w:pPr>
        <w:pStyle w:val="Style24"/>
        <w:keepNext w:val="0"/>
        <w:keepLines w:val="0"/>
        <w:widowControl w:val="0"/>
        <w:shd w:val="clear" w:color="auto" w:fill="auto"/>
        <w:tabs>
          <w:tab w:pos="3278" w:val="left"/>
        </w:tabs>
        <w:bidi w:val="0"/>
        <w:spacing w:before="0" w:after="2940" w:line="240" w:lineRule="auto"/>
        <w:ind w:left="0" w:right="0" w:firstLine="0"/>
        <w:jc w:val="center"/>
        <w:rPr>
          <w:sz w:val="32"/>
          <w:szCs w:val="32"/>
        </w:rPr>
      </w:pPr>
      <w:r>
        <w:rPr>
          <w:color w:val="3E3E3E"/>
          <w:spacing w:val="0"/>
          <w:w w:val="100"/>
          <w:position w:val="0"/>
          <w:sz w:val="28"/>
          <w:szCs w:val="28"/>
        </w:rPr>
        <w:t>证券简称：百邦科技</w:t>
        <w:tab/>
        <w:t>证券代码：</w:t>
      </w:r>
      <w:r>
        <w:rPr>
          <w:rFonts w:ascii="Times New Roman" w:eastAsia="Times New Roman" w:hAnsi="Times New Roman" w:cs="Times New Roman"/>
          <w:b w:val="0"/>
          <w:bCs w:val="0"/>
          <w:color w:val="3E3E3E"/>
          <w:spacing w:val="0"/>
          <w:w w:val="100"/>
          <w:position w:val="0"/>
          <w:sz w:val="32"/>
          <w:szCs w:val="32"/>
        </w:rPr>
        <w:t>300736</w:t>
      </w:r>
    </w:p>
    <w:p>
      <w:pPr>
        <w:widowControl w:val="0"/>
        <w:jc w:val="center"/>
        <w:rPr>
          <w:sz w:val="2"/>
          <w:szCs w:val="2"/>
        </w:rPr>
      </w:pPr>
      <w:r>
        <w:drawing>
          <wp:inline>
            <wp:extent cx="1889760" cy="2243455"/>
            <wp:docPr id="641" name="Picutre 641"/>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119"/>
                    <a:stretch/>
                  </pic:blipFill>
                  <pic:spPr>
                    <a:xfrm>
                      <a:ext cx="1889760" cy="2243455"/>
                    </a:xfrm>
                    <a:prstGeom prst="rect"/>
                  </pic:spPr>
                </pic:pic>
              </a:graphicData>
            </a:graphic>
          </wp:inline>
        </w:drawing>
      </w:r>
    </w:p>
    <w:sectPr>
      <w:headerReference w:type="default" r:id="rId121"/>
      <w:footerReference w:type="default" r:id="rId122"/>
      <w:headerReference w:type="even" r:id="rId123"/>
      <w:footerReference w:type="even" r:id="rId124"/>
      <w:footnotePr>
        <w:pos w:val="pageBottom"/>
        <w:numFmt w:val="decimal"/>
        <w:numRestart w:val="continuous"/>
      </w:footnotePr>
      <w:pgSz w:w="11966" w:h="17375"/>
      <w:pgMar w:top="168" w:right="1147" w:bottom="168" w:left="1493" w:header="0" w:footer="3" w:gutter="0"/>
      <w:pgNumType w:start="14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1950720</wp:posOffset>
              </wp:positionH>
              <wp:positionV relativeFrom="page">
                <wp:posOffset>10316845</wp:posOffset>
              </wp:positionV>
              <wp:extent cx="3740150" cy="176530"/>
              <wp:wrapNone/>
              <wp:docPr id="5" name="Shape 5"/>
              <a:graphic xmlns:a="http://schemas.openxmlformats.org/drawingml/2006/main">
                <a:graphicData uri="http://schemas.microsoft.com/office/word/2010/wordprocessingShape">
                  <wps:wsp>
                    <wps:cNvSpPr txBox="1"/>
                    <wps:spPr>
                      <a:xfrm>
                        <a:ext cx="3740150" cy="176530"/>
                      </a:xfrm>
                      <a:prstGeom prst="rect"/>
                      <a:noFill/>
                    </wps:spPr>
                    <wps:txbx>
                      <w:txbxContent>
                        <w:p>
                          <w:pPr>
                            <w:pStyle w:val="Style5"/>
                            <w:keepNext w:val="0"/>
                            <w:keepLines w:val="0"/>
                            <w:widowControl w:val="0"/>
                            <w:shd w:val="clear" w:color="auto" w:fill="auto"/>
                            <w:tabs>
                              <w:tab w:pos="5750" w:val="right"/>
                            </w:tabs>
                            <w:bidi w:val="0"/>
                            <w:spacing w:before="0" w:after="0" w:line="240" w:lineRule="auto"/>
                            <w:ind w:left="0" w:right="0" w:firstLine="0"/>
                            <w:jc w:val="left"/>
                            <w:rPr>
                              <w:sz w:val="32"/>
                              <w:szCs w:val="32"/>
                            </w:rPr>
                          </w:pPr>
                          <w:r>
                            <w:rPr>
                              <w:rFonts w:ascii="SimSun" w:eastAsia="SimSun" w:hAnsi="SimSun" w:cs="SimSun"/>
                              <w:b/>
                              <w:bCs/>
                              <w:color w:val="3E3E3E"/>
                              <w:spacing w:val="0"/>
                              <w:w w:val="100"/>
                              <w:position w:val="0"/>
                              <w:sz w:val="28"/>
                              <w:szCs w:val="28"/>
                            </w:rPr>
                            <w:t>证券简称：百邦科技</w:t>
                            <w:tab/>
                            <w:t>证券代码：</w:t>
                          </w:r>
                          <w:r>
                            <w:rPr>
                              <w:color w:val="3E3E3E"/>
                              <w:spacing w:val="0"/>
                              <w:w w:val="100"/>
                              <w:position w:val="0"/>
                              <w:sz w:val="32"/>
                              <w:szCs w:val="32"/>
                            </w:rPr>
                            <w:t>300736</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53.59999999999999pt;margin-top:812.35000000000002pt;width:294.5pt;height:13.9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50" w:val="right"/>
                      </w:tabs>
                      <w:bidi w:val="0"/>
                      <w:spacing w:before="0" w:after="0" w:line="240" w:lineRule="auto"/>
                      <w:ind w:left="0" w:right="0" w:firstLine="0"/>
                      <w:jc w:val="left"/>
                      <w:rPr>
                        <w:sz w:val="32"/>
                        <w:szCs w:val="32"/>
                      </w:rPr>
                    </w:pPr>
                    <w:r>
                      <w:rPr>
                        <w:rFonts w:ascii="SimSun" w:eastAsia="SimSun" w:hAnsi="SimSun" w:cs="SimSun"/>
                        <w:b/>
                        <w:bCs/>
                        <w:color w:val="3E3E3E"/>
                        <w:spacing w:val="0"/>
                        <w:w w:val="100"/>
                        <w:position w:val="0"/>
                        <w:sz w:val="28"/>
                        <w:szCs w:val="28"/>
                      </w:rPr>
                      <w:t>证券简称：百邦科技</w:t>
                      <w:tab/>
                      <w:t>证券代码：</w:t>
                    </w:r>
                    <w:r>
                      <w:rPr>
                        <w:color w:val="3E3E3E"/>
                        <w:spacing w:val="0"/>
                        <w:w w:val="100"/>
                        <w:position w:val="0"/>
                        <w:sz w:val="32"/>
                        <w:szCs w:val="32"/>
                      </w:rPr>
                      <w:t>300736</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6474460</wp:posOffset>
              </wp:positionH>
              <wp:positionV relativeFrom="page">
                <wp:posOffset>10125710</wp:posOffset>
              </wp:positionV>
              <wp:extent cx="359410" cy="82550"/>
              <wp:wrapNone/>
              <wp:docPr id="228" name="Shape 228"/>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254" type="#_x0000_t202" style="position:absolute;margin-left:509.80000000000001pt;margin-top:797.30000000000007pt;width:28.300000000000001pt;height:6.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6474460</wp:posOffset>
              </wp:positionH>
              <wp:positionV relativeFrom="page">
                <wp:posOffset>10125710</wp:posOffset>
              </wp:positionV>
              <wp:extent cx="359410" cy="82550"/>
              <wp:wrapNone/>
              <wp:docPr id="233" name="Shape 233"/>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259" type="#_x0000_t202" style="position:absolute;margin-left:509.80000000000001pt;margin-top:797.30000000000007pt;width:28.300000000000001pt;height:6.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6474460</wp:posOffset>
              </wp:positionH>
              <wp:positionV relativeFrom="page">
                <wp:posOffset>10125710</wp:posOffset>
              </wp:positionV>
              <wp:extent cx="359410" cy="82550"/>
              <wp:wrapNone/>
              <wp:docPr id="238" name="Shape 238"/>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264" type="#_x0000_t202" style="position:absolute;margin-left:509.80000000000001pt;margin-top:797.30000000000007pt;width:28.300000000000001pt;height:6.5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6474460</wp:posOffset>
              </wp:positionH>
              <wp:positionV relativeFrom="page">
                <wp:posOffset>10125710</wp:posOffset>
              </wp:positionV>
              <wp:extent cx="359410" cy="82550"/>
              <wp:wrapNone/>
              <wp:docPr id="312" name="Shape 312"/>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338" type="#_x0000_t202" style="position:absolute;margin-left:509.80000000000001pt;margin-top:797.30000000000007pt;width:28.300000000000001pt;height:6.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6474460</wp:posOffset>
              </wp:positionH>
              <wp:positionV relativeFrom="page">
                <wp:posOffset>10125710</wp:posOffset>
              </wp:positionV>
              <wp:extent cx="359410" cy="82550"/>
              <wp:wrapNone/>
              <wp:docPr id="317" name="Shape 317"/>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343" type="#_x0000_t202" style="position:absolute;margin-left:509.80000000000001pt;margin-top:797.30000000000007pt;width:28.300000000000001pt;height:6.5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6465570</wp:posOffset>
              </wp:positionH>
              <wp:positionV relativeFrom="page">
                <wp:posOffset>10120630</wp:posOffset>
              </wp:positionV>
              <wp:extent cx="365760" cy="82550"/>
              <wp:wrapNone/>
              <wp:docPr id="325" name="Shape 325"/>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351" type="#_x0000_t202" style="position:absolute;margin-left:509.10000000000002pt;margin-top:796.89999999999998pt;width:28.800000000000001pt;height:6.5pt;z-index:-18874400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6465570</wp:posOffset>
              </wp:positionH>
              <wp:positionV relativeFrom="page">
                <wp:posOffset>10120630</wp:posOffset>
              </wp:positionV>
              <wp:extent cx="365760" cy="82550"/>
              <wp:wrapNone/>
              <wp:docPr id="349" name="Shape 34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375" type="#_x0000_t202" style="position:absolute;margin-left:509.10000000000002pt;margin-top:796.89999999999998pt;width:28.800000000000001pt;height:6.5pt;z-index:-18874399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6474460</wp:posOffset>
              </wp:positionH>
              <wp:positionV relativeFrom="page">
                <wp:posOffset>10125710</wp:posOffset>
              </wp:positionV>
              <wp:extent cx="359410" cy="82550"/>
              <wp:wrapNone/>
              <wp:docPr id="354" name="Shape 35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380" type="#_x0000_t202" style="position:absolute;margin-left:509.80000000000001pt;margin-top:797.30000000000007pt;width:28.300000000000001pt;height:6.5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6474460</wp:posOffset>
              </wp:positionH>
              <wp:positionV relativeFrom="page">
                <wp:posOffset>10125710</wp:posOffset>
              </wp:positionV>
              <wp:extent cx="359410" cy="82550"/>
              <wp:wrapNone/>
              <wp:docPr id="359" name="Shape 359"/>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385" type="#_x0000_t202" style="position:absolute;margin-left:509.80000000000001pt;margin-top:797.30000000000007pt;width:28.300000000000001pt;height:6.5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6474460</wp:posOffset>
              </wp:positionH>
              <wp:positionV relativeFrom="page">
                <wp:posOffset>10125710</wp:posOffset>
              </wp:positionV>
              <wp:extent cx="359410" cy="82550"/>
              <wp:wrapNone/>
              <wp:docPr id="364" name="Shape 36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390" type="#_x0000_t202" style="position:absolute;margin-left:509.80000000000001pt;margin-top:797.30000000000007pt;width:28.300000000000001pt;height:6.5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1950720</wp:posOffset>
              </wp:positionH>
              <wp:positionV relativeFrom="page">
                <wp:posOffset>10316845</wp:posOffset>
              </wp:positionV>
              <wp:extent cx="3740150" cy="176530"/>
              <wp:wrapNone/>
              <wp:docPr id="7" name="Shape 7"/>
              <a:graphic xmlns:a="http://schemas.openxmlformats.org/drawingml/2006/main">
                <a:graphicData uri="http://schemas.microsoft.com/office/word/2010/wordprocessingShape">
                  <wps:wsp>
                    <wps:cNvSpPr txBox="1"/>
                    <wps:spPr>
                      <a:xfrm>
                        <a:ext cx="3740150" cy="176530"/>
                      </a:xfrm>
                      <a:prstGeom prst="rect"/>
                      <a:noFill/>
                    </wps:spPr>
                    <wps:txbx>
                      <w:txbxContent>
                        <w:p>
                          <w:pPr>
                            <w:pStyle w:val="Style5"/>
                            <w:keepNext w:val="0"/>
                            <w:keepLines w:val="0"/>
                            <w:widowControl w:val="0"/>
                            <w:shd w:val="clear" w:color="auto" w:fill="auto"/>
                            <w:tabs>
                              <w:tab w:pos="5750" w:val="right"/>
                            </w:tabs>
                            <w:bidi w:val="0"/>
                            <w:spacing w:before="0" w:after="0" w:line="240" w:lineRule="auto"/>
                            <w:ind w:left="0" w:right="0" w:firstLine="0"/>
                            <w:jc w:val="left"/>
                            <w:rPr>
                              <w:sz w:val="32"/>
                              <w:szCs w:val="32"/>
                            </w:rPr>
                          </w:pPr>
                          <w:r>
                            <w:rPr>
                              <w:rFonts w:ascii="SimSun" w:eastAsia="SimSun" w:hAnsi="SimSun" w:cs="SimSun"/>
                              <w:b/>
                              <w:bCs/>
                              <w:color w:val="3E3E3E"/>
                              <w:spacing w:val="0"/>
                              <w:w w:val="100"/>
                              <w:position w:val="0"/>
                              <w:sz w:val="28"/>
                              <w:szCs w:val="28"/>
                            </w:rPr>
                            <w:t>证券简称：百邦科技</w:t>
                            <w:tab/>
                            <w:t>证券代码：</w:t>
                          </w:r>
                          <w:r>
                            <w:rPr>
                              <w:color w:val="3E3E3E"/>
                              <w:spacing w:val="0"/>
                              <w:w w:val="100"/>
                              <w:position w:val="0"/>
                              <w:sz w:val="32"/>
                              <w:szCs w:val="32"/>
                            </w:rPr>
                            <w:t>300736</w:t>
                          </w:r>
                        </w:p>
                      </w:txbxContent>
                    </wps:txbx>
                    <wps:bodyPr lIns="0" tIns="0" rIns="0" bIns="0">
                      <a:spAutoFit/>
                    </wps:bodyPr>
                  </wps:wsp>
                </a:graphicData>
              </a:graphic>
            </wp:anchor>
          </w:drawing>
        </mc:Choice>
        <mc:Fallback>
          <w:pict>
            <v:shape id="_x0000_s1033" type="#_x0000_t202" style="position:absolute;margin-left:153.59999999999999pt;margin-top:812.35000000000002pt;width:294.5pt;height:13.9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50" w:val="right"/>
                      </w:tabs>
                      <w:bidi w:val="0"/>
                      <w:spacing w:before="0" w:after="0" w:line="240" w:lineRule="auto"/>
                      <w:ind w:left="0" w:right="0" w:firstLine="0"/>
                      <w:jc w:val="left"/>
                      <w:rPr>
                        <w:sz w:val="32"/>
                        <w:szCs w:val="32"/>
                      </w:rPr>
                    </w:pPr>
                    <w:r>
                      <w:rPr>
                        <w:rFonts w:ascii="SimSun" w:eastAsia="SimSun" w:hAnsi="SimSun" w:cs="SimSun"/>
                        <w:b/>
                        <w:bCs/>
                        <w:color w:val="3E3E3E"/>
                        <w:spacing w:val="0"/>
                        <w:w w:val="100"/>
                        <w:position w:val="0"/>
                        <w:sz w:val="28"/>
                        <w:szCs w:val="28"/>
                      </w:rPr>
                      <w:t>证券简称：百邦科技</w:t>
                      <w:tab/>
                      <w:t>证券代码：</w:t>
                    </w:r>
                    <w:r>
                      <w:rPr>
                        <w:color w:val="3E3E3E"/>
                        <w:spacing w:val="0"/>
                        <w:w w:val="100"/>
                        <w:position w:val="0"/>
                        <w:sz w:val="32"/>
                        <w:szCs w:val="32"/>
                      </w:rPr>
                      <w:t>300736</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9400540</wp:posOffset>
              </wp:positionH>
              <wp:positionV relativeFrom="page">
                <wp:posOffset>6818630</wp:posOffset>
              </wp:positionV>
              <wp:extent cx="365760" cy="82550"/>
              <wp:wrapNone/>
              <wp:docPr id="381" name="Shape 381"/>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407" type="#_x0000_t202" style="position:absolute;margin-left:740.20000000000005pt;margin-top:536.89999999999998pt;width:28.800000000000001pt;height:6.5pt;z-index:-18874398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9400540</wp:posOffset>
              </wp:positionH>
              <wp:positionV relativeFrom="page">
                <wp:posOffset>6818630</wp:posOffset>
              </wp:positionV>
              <wp:extent cx="365760" cy="82550"/>
              <wp:wrapNone/>
              <wp:docPr id="386" name="Shape 38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412" type="#_x0000_t202" style="position:absolute;margin-left:740.20000000000005pt;margin-top:536.89999999999998pt;width:28.800000000000001pt;height:6.5pt;z-index:-18874397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6472555</wp:posOffset>
              </wp:positionH>
              <wp:positionV relativeFrom="page">
                <wp:posOffset>10136505</wp:posOffset>
              </wp:positionV>
              <wp:extent cx="365760" cy="82550"/>
              <wp:wrapNone/>
              <wp:docPr id="427" name="Shape 427"/>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453" type="#_x0000_t202" style="position:absolute;margin-left:509.65000000000003pt;margin-top:798.14999999999998pt;width:28.800000000000001pt;height:6.5pt;z-index:-18874397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6472555</wp:posOffset>
              </wp:positionH>
              <wp:positionV relativeFrom="page">
                <wp:posOffset>10136505</wp:posOffset>
              </wp:positionV>
              <wp:extent cx="365760" cy="82550"/>
              <wp:wrapNone/>
              <wp:docPr id="432" name="Shape 432"/>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458" type="#_x0000_t202" style="position:absolute;margin-left:509.65000000000003pt;margin-top:798.14999999999998pt;width:28.800000000000001pt;height:6.5pt;z-index:-188743971;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6463665</wp:posOffset>
              </wp:positionH>
              <wp:positionV relativeFrom="page">
                <wp:posOffset>10119995</wp:posOffset>
              </wp:positionV>
              <wp:extent cx="417830" cy="82550"/>
              <wp:wrapNone/>
              <wp:docPr id="458" name="Shape 45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484" type="#_x0000_t202" style="position:absolute;margin-left:508.94999999999999pt;margin-top:796.85000000000002pt;width:32.899999999999999pt;height:6.5pt;z-index:-18874396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6463665</wp:posOffset>
              </wp:positionH>
              <wp:positionV relativeFrom="page">
                <wp:posOffset>10119995</wp:posOffset>
              </wp:positionV>
              <wp:extent cx="417830" cy="82550"/>
              <wp:wrapNone/>
              <wp:docPr id="466" name="Shape 46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492" type="#_x0000_t202" style="position:absolute;margin-left:508.94999999999999pt;margin-top:796.85000000000002pt;width:32.899999999999999pt;height:6.5pt;z-index:-18874395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6472555</wp:posOffset>
              </wp:positionH>
              <wp:positionV relativeFrom="page">
                <wp:posOffset>10136505</wp:posOffset>
              </wp:positionV>
              <wp:extent cx="365760" cy="82550"/>
              <wp:wrapNone/>
              <wp:docPr id="471" name="Shape 471"/>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497" type="#_x0000_t202" style="position:absolute;margin-left:509.65000000000003pt;margin-top:798.14999999999998pt;width:28.800000000000001pt;height:6.5pt;z-index:-18874395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6472555</wp:posOffset>
              </wp:positionH>
              <wp:positionV relativeFrom="page">
                <wp:posOffset>10136505</wp:posOffset>
              </wp:positionV>
              <wp:extent cx="365760" cy="82550"/>
              <wp:wrapNone/>
              <wp:docPr id="476" name="Shape 47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02" type="#_x0000_t202" style="position:absolute;margin-left:509.65000000000003pt;margin-top:798.14999999999998pt;width:28.800000000000001pt;height:6.5pt;z-index:-188743951;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6463665</wp:posOffset>
              </wp:positionH>
              <wp:positionV relativeFrom="page">
                <wp:posOffset>10119995</wp:posOffset>
              </wp:positionV>
              <wp:extent cx="417830" cy="82550"/>
              <wp:wrapNone/>
              <wp:docPr id="484" name="Shape 48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10" type="#_x0000_t202" style="position:absolute;margin-left:508.94999999999999pt;margin-top:796.85000000000002pt;width:32.899999999999999pt;height:6.5pt;z-index:-18874394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6463665</wp:posOffset>
              </wp:positionH>
              <wp:positionV relativeFrom="page">
                <wp:posOffset>10119995</wp:posOffset>
              </wp:positionV>
              <wp:extent cx="417830" cy="82550"/>
              <wp:wrapNone/>
              <wp:docPr id="492" name="Shape 49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18" type="#_x0000_t202" style="position:absolute;margin-left:508.94999999999999pt;margin-top:796.85000000000002pt;width:32.899999999999999pt;height:6.5pt;z-index:-18874393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6474460</wp:posOffset>
              </wp:positionH>
              <wp:positionV relativeFrom="page">
                <wp:posOffset>10125710</wp:posOffset>
              </wp:positionV>
              <wp:extent cx="359410" cy="82550"/>
              <wp:wrapNone/>
              <wp:docPr id="12" name="Shape 12"/>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038" type="#_x0000_t202" style="position:absolute;margin-left:509.80000000000001pt;margin-top:797.30000000000007pt;width:28.300000000000001pt;height:6.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6378575</wp:posOffset>
              </wp:positionH>
              <wp:positionV relativeFrom="page">
                <wp:posOffset>9768840</wp:posOffset>
              </wp:positionV>
              <wp:extent cx="445135" cy="106680"/>
              <wp:wrapNone/>
              <wp:docPr id="497" name="Shape 49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23" type="#_x0000_t202" style="position:absolute;margin-left:502.25pt;margin-top:769.20000000000005pt;width:35.050000000000004pt;height:8.4000000000000004pt;z-index:-18874393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6417945</wp:posOffset>
              </wp:positionH>
              <wp:positionV relativeFrom="page">
                <wp:posOffset>10295890</wp:posOffset>
              </wp:positionV>
              <wp:extent cx="405130" cy="82550"/>
              <wp:wrapNone/>
              <wp:docPr id="499" name="Shape 499"/>
              <a:graphic xmlns:a="http://schemas.openxmlformats.org/drawingml/2006/main">
                <a:graphicData uri="http://schemas.microsoft.com/office/word/2010/wordprocessingShape">
                  <wps:wsp>
                    <wps:cNvSpPr txBox="1"/>
                    <wps:spPr>
                      <a:xfrm>
                        <a:ext cx="4051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25" type="#_x0000_t202" style="position:absolute;margin-left:505.35000000000002pt;margin-top:810.70000000000005pt;width:31.900000000000002pt;height:6.5pt;z-index:-18874393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6472555</wp:posOffset>
              </wp:positionH>
              <wp:positionV relativeFrom="page">
                <wp:posOffset>10136505</wp:posOffset>
              </wp:positionV>
              <wp:extent cx="365760" cy="82550"/>
              <wp:wrapNone/>
              <wp:docPr id="504" name="Shape 504"/>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30" type="#_x0000_t202" style="position:absolute;margin-left:509.65000000000003pt;margin-top:798.14999999999998pt;width:28.800000000000001pt;height:6.5pt;z-index:-18874392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6472555</wp:posOffset>
              </wp:positionH>
              <wp:positionV relativeFrom="page">
                <wp:posOffset>10136505</wp:posOffset>
              </wp:positionV>
              <wp:extent cx="365760" cy="82550"/>
              <wp:wrapNone/>
              <wp:docPr id="509" name="Shape 50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35" type="#_x0000_t202" style="position:absolute;margin-left:509.65000000000003pt;margin-top:798.14999999999998pt;width:28.800000000000001pt;height:6.5pt;z-index:-18874392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6378575</wp:posOffset>
              </wp:positionH>
              <wp:positionV relativeFrom="page">
                <wp:posOffset>9768840</wp:posOffset>
              </wp:positionV>
              <wp:extent cx="445135" cy="106680"/>
              <wp:wrapNone/>
              <wp:docPr id="514" name="Shape 51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40" type="#_x0000_t202" style="position:absolute;margin-left:502.25pt;margin-top:769.20000000000005pt;width:35.050000000000004pt;height:8.4000000000000004pt;z-index:-188743921;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6417945</wp:posOffset>
              </wp:positionH>
              <wp:positionV relativeFrom="page">
                <wp:posOffset>10295890</wp:posOffset>
              </wp:positionV>
              <wp:extent cx="405130" cy="82550"/>
              <wp:wrapNone/>
              <wp:docPr id="516" name="Shape 516"/>
              <a:graphic xmlns:a="http://schemas.openxmlformats.org/drawingml/2006/main">
                <a:graphicData uri="http://schemas.microsoft.com/office/word/2010/wordprocessingShape">
                  <wps:wsp>
                    <wps:cNvSpPr txBox="1"/>
                    <wps:spPr>
                      <a:xfrm>
                        <a:ext cx="4051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42" type="#_x0000_t202" style="position:absolute;margin-left:505.35000000000002pt;margin-top:810.70000000000005pt;width:31.900000000000002pt;height:6.5pt;z-index:-18874391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6378575</wp:posOffset>
              </wp:positionH>
              <wp:positionV relativeFrom="page">
                <wp:posOffset>9768840</wp:posOffset>
              </wp:positionV>
              <wp:extent cx="445135" cy="106680"/>
              <wp:wrapNone/>
              <wp:docPr id="521" name="Shape 52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47" type="#_x0000_t202" style="position:absolute;margin-left:502.25pt;margin-top:769.20000000000005pt;width:35.050000000000004pt;height:8.4000000000000004pt;z-index:-18874391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6417945</wp:posOffset>
              </wp:positionH>
              <wp:positionV relativeFrom="page">
                <wp:posOffset>10295890</wp:posOffset>
              </wp:positionV>
              <wp:extent cx="405130" cy="82550"/>
              <wp:wrapNone/>
              <wp:docPr id="523" name="Shape 523"/>
              <a:graphic xmlns:a="http://schemas.openxmlformats.org/drawingml/2006/main">
                <a:graphicData uri="http://schemas.microsoft.com/office/word/2010/wordprocessingShape">
                  <wps:wsp>
                    <wps:cNvSpPr txBox="1"/>
                    <wps:spPr>
                      <a:xfrm>
                        <a:ext cx="4051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49" type="#_x0000_t202" style="position:absolute;margin-left:505.35000000000002pt;margin-top:810.70000000000005pt;width:31.900000000000002pt;height:6.5pt;z-index:-18874391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6472555</wp:posOffset>
              </wp:positionH>
              <wp:positionV relativeFrom="page">
                <wp:posOffset>10136505</wp:posOffset>
              </wp:positionV>
              <wp:extent cx="365760" cy="82550"/>
              <wp:wrapNone/>
              <wp:docPr id="534" name="Shape 534"/>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60" type="#_x0000_t202" style="position:absolute;margin-left:509.65000000000003pt;margin-top:798.14999999999998pt;width:28.800000000000001pt;height:6.5pt;z-index:-18874390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6472555</wp:posOffset>
              </wp:positionH>
              <wp:positionV relativeFrom="page">
                <wp:posOffset>10136505</wp:posOffset>
              </wp:positionV>
              <wp:extent cx="365760" cy="82550"/>
              <wp:wrapNone/>
              <wp:docPr id="539" name="Shape 53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65" type="#_x0000_t202" style="position:absolute;margin-left:509.65000000000003pt;margin-top:798.14999999999998pt;width:28.800000000000001pt;height:6.5pt;z-index:-18874389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6409690</wp:posOffset>
              </wp:positionH>
              <wp:positionV relativeFrom="page">
                <wp:posOffset>9509125</wp:posOffset>
              </wp:positionV>
              <wp:extent cx="445135" cy="106680"/>
              <wp:wrapNone/>
              <wp:docPr id="545" name="Shape 54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71" type="#_x0000_t202" style="position:absolute;margin-left:504.69999999999999pt;margin-top:748.75pt;width:35.050000000000004pt;height:8.4000000000000004pt;z-index:-18874389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6443345</wp:posOffset>
              </wp:positionH>
              <wp:positionV relativeFrom="page">
                <wp:posOffset>10121900</wp:posOffset>
              </wp:positionV>
              <wp:extent cx="411480" cy="82550"/>
              <wp:wrapNone/>
              <wp:docPr id="547" name="Shape 547"/>
              <a:graphic xmlns:a="http://schemas.openxmlformats.org/drawingml/2006/main">
                <a:graphicData uri="http://schemas.microsoft.com/office/word/2010/wordprocessingShape">
                  <wps:wsp>
                    <wps:cNvSpPr txBox="1"/>
                    <wps:spPr>
                      <a:xfrm>
                        <a:ext cx="41148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73" type="#_x0000_t202" style="position:absolute;margin-left:507.35000000000002pt;margin-top:797.pt;width:32.399999999999999pt;height:6.5pt;z-index:-18874389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6409690</wp:posOffset>
              </wp:positionH>
              <wp:positionV relativeFrom="page">
                <wp:posOffset>9509125</wp:posOffset>
              </wp:positionV>
              <wp:extent cx="445135" cy="106680"/>
              <wp:wrapNone/>
              <wp:docPr id="552" name="Shape 55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578" type="#_x0000_t202" style="position:absolute;margin-left:504.69999999999999pt;margin-top:748.75pt;width:35.050000000000004pt;height:8.4000000000000004pt;z-index:-18874388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6443345</wp:posOffset>
              </wp:positionH>
              <wp:positionV relativeFrom="page">
                <wp:posOffset>10121900</wp:posOffset>
              </wp:positionV>
              <wp:extent cx="411480" cy="82550"/>
              <wp:wrapNone/>
              <wp:docPr id="554" name="Shape 554"/>
              <a:graphic xmlns:a="http://schemas.openxmlformats.org/drawingml/2006/main">
                <a:graphicData uri="http://schemas.microsoft.com/office/word/2010/wordprocessingShape">
                  <wps:wsp>
                    <wps:cNvSpPr txBox="1"/>
                    <wps:spPr>
                      <a:xfrm>
                        <a:ext cx="41148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80" type="#_x0000_t202" style="position:absolute;margin-left:507.35000000000002pt;margin-top:797.pt;width:32.399999999999999pt;height:6.5pt;z-index:-188743887;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6472555</wp:posOffset>
              </wp:positionH>
              <wp:positionV relativeFrom="page">
                <wp:posOffset>10136505</wp:posOffset>
              </wp:positionV>
              <wp:extent cx="365760" cy="82550"/>
              <wp:wrapNone/>
              <wp:docPr id="559" name="Shape 55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85" type="#_x0000_t202" style="position:absolute;margin-left:509.65000000000003pt;margin-top:798.14999999999998pt;width:28.800000000000001pt;height:6.5pt;z-index:-18874388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6474460</wp:posOffset>
              </wp:positionH>
              <wp:positionV relativeFrom="page">
                <wp:posOffset>10125710</wp:posOffset>
              </wp:positionV>
              <wp:extent cx="359410" cy="82550"/>
              <wp:wrapNone/>
              <wp:docPr id="17" name="Shape 17"/>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043" type="#_x0000_t202" style="position:absolute;margin-left:509.80000000000001pt;margin-top:797.30000000000007pt;width:28.300000000000001pt;height:6.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6472555</wp:posOffset>
              </wp:positionH>
              <wp:positionV relativeFrom="page">
                <wp:posOffset>10136505</wp:posOffset>
              </wp:positionV>
              <wp:extent cx="365760" cy="82550"/>
              <wp:wrapNone/>
              <wp:docPr id="564" name="Shape 564"/>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590" type="#_x0000_t202" style="position:absolute;margin-left:509.65000000000003pt;margin-top:798.14999999999998pt;width:28.800000000000001pt;height:6.5pt;z-index:-18874387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6409690</wp:posOffset>
              </wp:positionH>
              <wp:positionV relativeFrom="page">
                <wp:posOffset>9521825</wp:posOffset>
              </wp:positionV>
              <wp:extent cx="445135" cy="106680"/>
              <wp:wrapNone/>
              <wp:docPr id="581" name="Shape 58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07" type="#_x0000_t202" style="position:absolute;margin-left:504.69999999999999pt;margin-top:749.75pt;width:35.050000000000004pt;height:8.4000000000000004pt;z-index:-18874387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6437630</wp:posOffset>
              </wp:positionH>
              <wp:positionV relativeFrom="page">
                <wp:posOffset>10121900</wp:posOffset>
              </wp:positionV>
              <wp:extent cx="417830" cy="82550"/>
              <wp:wrapNone/>
              <wp:docPr id="583" name="Shape 58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09" type="#_x0000_t202" style="position:absolute;margin-left:506.90000000000003pt;margin-top:797.pt;width:32.899999999999999pt;height:6.5pt;z-index:-18874387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6409690</wp:posOffset>
              </wp:positionH>
              <wp:positionV relativeFrom="page">
                <wp:posOffset>9521825</wp:posOffset>
              </wp:positionV>
              <wp:extent cx="445135" cy="106680"/>
              <wp:wrapNone/>
              <wp:docPr id="588" name="Shape 58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14" type="#_x0000_t202" style="position:absolute;margin-left:504.69999999999999pt;margin-top:749.75pt;width:35.050000000000004pt;height:8.4000000000000004pt;z-index:-18874386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6437630</wp:posOffset>
              </wp:positionH>
              <wp:positionV relativeFrom="page">
                <wp:posOffset>10121900</wp:posOffset>
              </wp:positionV>
              <wp:extent cx="417830" cy="82550"/>
              <wp:wrapNone/>
              <wp:docPr id="590" name="Shape 59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16" type="#_x0000_t202" style="position:absolute;margin-left:506.90000000000003pt;margin-top:797.pt;width:32.899999999999999pt;height:6.5pt;z-index:-188743867;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6472555</wp:posOffset>
              </wp:positionH>
              <wp:positionV relativeFrom="page">
                <wp:posOffset>10136505</wp:posOffset>
              </wp:positionV>
              <wp:extent cx="365760" cy="82550"/>
              <wp:wrapNone/>
              <wp:docPr id="595" name="Shape 595"/>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21" type="#_x0000_t202" style="position:absolute;margin-left:509.65000000000003pt;margin-top:798.14999999999998pt;width:28.800000000000001pt;height:6.5pt;z-index:-18874386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6472555</wp:posOffset>
              </wp:positionH>
              <wp:positionV relativeFrom="page">
                <wp:posOffset>10136505</wp:posOffset>
              </wp:positionV>
              <wp:extent cx="365760" cy="82550"/>
              <wp:wrapNone/>
              <wp:docPr id="600" name="Shape 600"/>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26" type="#_x0000_t202" style="position:absolute;margin-left:509.65000000000003pt;margin-top:798.14999999999998pt;width:28.800000000000001pt;height:6.5pt;z-index:-18874385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6410960</wp:posOffset>
              </wp:positionH>
              <wp:positionV relativeFrom="page">
                <wp:posOffset>10093325</wp:posOffset>
              </wp:positionV>
              <wp:extent cx="417830" cy="82550"/>
              <wp:wrapNone/>
              <wp:docPr id="608" name="Shape 60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34" type="#_x0000_t202" style="position:absolute;margin-left:504.80000000000001pt;margin-top:794.75pt;width:32.899999999999999pt;height:6.5pt;z-index:-18874385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6379210</wp:posOffset>
              </wp:positionH>
              <wp:positionV relativeFrom="page">
                <wp:posOffset>9885680</wp:posOffset>
              </wp:positionV>
              <wp:extent cx="445135" cy="106680"/>
              <wp:wrapNone/>
              <wp:docPr id="613" name="Shape 61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39" type="#_x0000_t202" style="position:absolute;margin-left:502.30000000000001pt;margin-top:778.39999999999998pt;width:35.050000000000004pt;height:8.4000000000000004pt;z-index:-18874384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6407150</wp:posOffset>
              </wp:positionH>
              <wp:positionV relativeFrom="page">
                <wp:posOffset>10309225</wp:posOffset>
              </wp:positionV>
              <wp:extent cx="417830" cy="82550"/>
              <wp:wrapNone/>
              <wp:docPr id="615" name="Shape 61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41" type="#_x0000_t202" style="position:absolute;margin-left:504.5pt;margin-top:811.75pt;width:32.899999999999999pt;height:6.5pt;z-index:-188743847;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6379210</wp:posOffset>
              </wp:positionH>
              <wp:positionV relativeFrom="page">
                <wp:posOffset>9885680</wp:posOffset>
              </wp:positionV>
              <wp:extent cx="445135" cy="106680"/>
              <wp:wrapNone/>
              <wp:docPr id="620" name="Shape 62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46" type="#_x0000_t202" style="position:absolute;margin-left:502.30000000000001pt;margin-top:778.39999999999998pt;width:35.050000000000004pt;height:8.4000000000000004pt;z-index:-18874384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6407150</wp:posOffset>
              </wp:positionH>
              <wp:positionV relativeFrom="page">
                <wp:posOffset>10309225</wp:posOffset>
              </wp:positionV>
              <wp:extent cx="417830" cy="82550"/>
              <wp:wrapNone/>
              <wp:docPr id="622" name="Shape 62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48" type="#_x0000_t202" style="position:absolute;margin-left:504.5pt;margin-top:811.75pt;width:32.899999999999999pt;height:6.5pt;z-index:-188743841;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6472555</wp:posOffset>
              </wp:positionH>
              <wp:positionV relativeFrom="page">
                <wp:posOffset>10136505</wp:posOffset>
              </wp:positionV>
              <wp:extent cx="365760" cy="82550"/>
              <wp:wrapNone/>
              <wp:docPr id="633" name="Shape 633"/>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59" type="#_x0000_t202" style="position:absolute;margin-left:509.65000000000003pt;margin-top:798.14999999999998pt;width:28.800000000000001pt;height:6.5pt;z-index:-188743837;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6472555</wp:posOffset>
              </wp:positionH>
              <wp:positionV relativeFrom="page">
                <wp:posOffset>10136505</wp:posOffset>
              </wp:positionV>
              <wp:extent cx="365760" cy="82550"/>
              <wp:wrapNone/>
              <wp:docPr id="638" name="Shape 638"/>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664" type="#_x0000_t202" style="position:absolute;margin-left:509.65000000000003pt;margin-top:798.14999999999998pt;width:28.800000000000001pt;height:6.5pt;z-index:-18874383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144</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6548120</wp:posOffset>
              </wp:positionH>
              <wp:positionV relativeFrom="page">
                <wp:posOffset>10353675</wp:posOffset>
              </wp:positionV>
              <wp:extent cx="304800" cy="82550"/>
              <wp:wrapNone/>
              <wp:docPr id="22" name="Shape 22"/>
              <a:graphic xmlns:a="http://schemas.openxmlformats.org/drawingml/2006/main">
                <a:graphicData uri="http://schemas.microsoft.com/office/word/2010/wordprocessingShape">
                  <wps:wsp>
                    <wps:cNvSpPr txBox="1"/>
                    <wps:spPr>
                      <a:xfrm>
                        <a:ext cx="30480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048" type="#_x0000_t202" style="position:absolute;margin-left:515.60000000000002pt;margin-top:815.25pt;width:24.pt;height:6.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6474460</wp:posOffset>
              </wp:positionH>
              <wp:positionV relativeFrom="page">
                <wp:posOffset>10125710</wp:posOffset>
              </wp:positionV>
              <wp:extent cx="359410" cy="82550"/>
              <wp:wrapNone/>
              <wp:docPr id="157" name="Shape 157"/>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183" type="#_x0000_t202" style="position:absolute;margin-left:509.80000000000001pt;margin-top:797.30000000000007pt;width:28.300000000000001pt;height:6.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6474460</wp:posOffset>
              </wp:positionH>
              <wp:positionV relativeFrom="page">
                <wp:posOffset>10125710</wp:posOffset>
              </wp:positionV>
              <wp:extent cx="359410" cy="82550"/>
              <wp:wrapNone/>
              <wp:docPr id="162" name="Shape 162"/>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188" type="#_x0000_t202" style="position:absolute;margin-left:509.80000000000001pt;margin-top:797.30000000000007pt;width:28.300000000000001pt;height:6.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6410960</wp:posOffset>
              </wp:positionH>
              <wp:positionV relativeFrom="page">
                <wp:posOffset>10089515</wp:posOffset>
              </wp:positionV>
              <wp:extent cx="368935" cy="82550"/>
              <wp:wrapNone/>
              <wp:docPr id="170" name="Shape 17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196" type="#_x0000_t202" style="position:absolute;margin-left:504.80000000000001pt;margin-top:794.45000000000005pt;width:29.050000000000001pt;height:6.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144</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6517640</wp:posOffset>
              </wp:positionH>
              <wp:positionV relativeFrom="page">
                <wp:posOffset>10121900</wp:posOffset>
              </wp:positionV>
              <wp:extent cx="368935" cy="82550"/>
              <wp:wrapNone/>
              <wp:docPr id="223" name="Shape 223"/>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144</w:t>
                          </w:r>
                        </w:p>
                      </w:txbxContent>
                    </wps:txbx>
                    <wps:bodyPr wrap="none" lIns="0" tIns="0" rIns="0" bIns="0">
                      <a:spAutoFit/>
                    </wps:bodyPr>
                  </wps:wsp>
                </a:graphicData>
              </a:graphic>
            </wp:anchor>
          </w:drawing>
        </mc:Choice>
        <mc:Fallback>
          <w:pict>
            <v:shape id="_x0000_s1249" type="#_x0000_t202" style="position:absolute;margin-left:513.20000000000005pt;margin-top:797.pt;width:29.050000000000001pt;height:6.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144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1058545</wp:posOffset>
              </wp:positionH>
              <wp:positionV relativeFrom="page">
                <wp:posOffset>703580</wp:posOffset>
              </wp:positionV>
              <wp:extent cx="5794375" cy="152400"/>
              <wp:wrapNone/>
              <wp:docPr id="9" name="Shape 9"/>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035" type="#_x0000_t202" style="position:absolute;margin-left:83.350000000000009pt;margin-top:55.399999999999999pt;width:456.25pt;height:12.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1058545</wp:posOffset>
              </wp:positionH>
              <wp:positionV relativeFrom="page">
                <wp:posOffset>703580</wp:posOffset>
              </wp:positionV>
              <wp:extent cx="5794375" cy="152400"/>
              <wp:wrapNone/>
              <wp:docPr id="235" name="Shape 235"/>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261" type="#_x0000_t202" style="position:absolute;margin-left:83.350000000000009pt;margin-top:55.399999999999999pt;width:456.25pt;height:12.pt;z-index:-18874402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1058545</wp:posOffset>
              </wp:positionH>
              <wp:positionV relativeFrom="page">
                <wp:posOffset>703580</wp:posOffset>
              </wp:positionV>
              <wp:extent cx="5794375" cy="152400"/>
              <wp:wrapNone/>
              <wp:docPr id="309" name="Shape 309"/>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335" type="#_x0000_t202" style="position:absolute;margin-left:83.350000000000009pt;margin-top:55.399999999999999pt;width:456.25pt;height:12.pt;z-index:-18874401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1058545</wp:posOffset>
              </wp:positionH>
              <wp:positionV relativeFrom="page">
                <wp:posOffset>703580</wp:posOffset>
              </wp:positionV>
              <wp:extent cx="5794375" cy="152400"/>
              <wp:wrapNone/>
              <wp:docPr id="314" name="Shape 314"/>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340" type="#_x0000_t202" style="position:absolute;margin-left:83.350000000000009pt;margin-top:55.399999999999999pt;width:456.25pt;height:12.pt;z-index:-18874401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316" name="Shape 3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732790</wp:posOffset>
              </wp:positionH>
              <wp:positionV relativeFrom="page">
                <wp:posOffset>686435</wp:posOffset>
              </wp:positionV>
              <wp:extent cx="679450" cy="247015"/>
              <wp:wrapNone/>
              <wp:docPr id="319" name="Shape 319"/>
              <a:graphic xmlns:a="http://schemas.openxmlformats.org/drawingml/2006/main">
                <a:graphicData uri="http://schemas.microsoft.com/office/word/2010/wordprocessingShape">
                  <wps:wsp>
                    <wps:cNvSpPr txBox="1"/>
                    <wps:spPr>
                      <a:xfrm>
                        <a:ext cx="679450" cy="247015"/>
                      </a:xfrm>
                      <a:prstGeom prst="rect"/>
                      <a:noFill/>
                    </wps:spPr>
                    <wps:txbx>
                      <w:txbxContent>
                        <w:p>
                          <w:pPr>
                            <w:widowControl w:val="0"/>
                            <w:rPr>
                              <w:sz w:val="2"/>
                              <w:szCs w:val="2"/>
                            </w:rPr>
                          </w:pPr>
                          <w:r>
                            <w:drawing>
                              <wp:inline>
                                <wp:extent cx="682625" cy="250190"/>
                                <wp:docPr id="320" name="Picutre 320"/>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
                                        <a:stretch/>
                                      </pic:blipFill>
                                      <pic:spPr>
                                        <a:xfrm>
                                          <a:ext cx="682625" cy="250190"/>
                                        </a:xfrm>
                                        <a:prstGeom prst="rect"/>
                                      </pic:spPr>
                                    </pic:pic>
                                  </a:graphicData>
                                </a:graphic>
                              </wp:inline>
                            </w:drawing>
                          </w:r>
                        </w:p>
                      </w:txbxContent>
                    </wps:txbx>
                    <wps:bodyPr lIns="0" tIns="0" rIns="0" bIns="0">
                      <a:noAutoFit/>
                    </wps:bodyPr>
                  </wps:wsp>
                </a:graphicData>
              </a:graphic>
            </wp:anchor>
          </w:drawing>
        </mc:Choice>
        <mc:Fallback>
          <w:pict>
            <v:shape id="_x0000_s1346" type="#_x0000_t202" style="position:absolute;margin-left:57.700000000000003pt;margin-top:54.050000000000004pt;width:53.5pt;height:19.449999999999999pt;z-index:-188744009;mso-wrap-distance-left:0;mso-wrap-distance-right:0;mso-position-horizontal-relative:page;mso-position-vertical-relative:page" wrapcoords="0 0" filled="f" stroked="f">
              <v:textbox inset="0,0,0,0">
                <w:txbxContent>
                  <w:p>
                    <w:pPr>
                      <w:widowControl w:val="0"/>
                      <w:rPr>
                        <w:sz w:val="2"/>
                        <w:szCs w:val="2"/>
                      </w:rPr>
                    </w:pPr>
                    <w:r>
                      <w:drawing>
                        <wp:inline>
                          <wp:extent cx="682625" cy="250190"/>
                          <wp:docPr id="322" name="Picutre 322"/>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
                                  <a:stretch/>
                                </pic:blipFill>
                                <pic:spPr>
                                  <a:xfrm>
                                    <a:ext cx="682625"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1613535</wp:posOffset>
              </wp:positionH>
              <wp:positionV relativeFrom="page">
                <wp:posOffset>728980</wp:posOffset>
              </wp:positionV>
              <wp:extent cx="5218430" cy="106680"/>
              <wp:wrapNone/>
              <wp:docPr id="323" name="Shape 323"/>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49" type="#_x0000_t202" style="position:absolute;margin-left:127.05pt;margin-top:57.399999999999999pt;width:410.90000000000003pt;height:8.4000000000000004pt;z-index:-18874400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732790</wp:posOffset>
              </wp:positionH>
              <wp:positionV relativeFrom="page">
                <wp:posOffset>686435</wp:posOffset>
              </wp:positionV>
              <wp:extent cx="679450" cy="247015"/>
              <wp:wrapNone/>
              <wp:docPr id="343" name="Shape 343"/>
              <a:graphic xmlns:a="http://schemas.openxmlformats.org/drawingml/2006/main">
                <a:graphicData uri="http://schemas.microsoft.com/office/word/2010/wordprocessingShape">
                  <wps:wsp>
                    <wps:cNvSpPr txBox="1"/>
                    <wps:spPr>
                      <a:xfrm>
                        <a:ext cx="679450" cy="247015"/>
                      </a:xfrm>
                      <a:prstGeom prst="rect"/>
                      <a:noFill/>
                    </wps:spPr>
                    <wps:txbx>
                      <w:txbxContent>
                        <w:p>
                          <w:pPr>
                            <w:widowControl w:val="0"/>
                            <w:rPr>
                              <w:sz w:val="2"/>
                              <w:szCs w:val="2"/>
                            </w:rPr>
                          </w:pPr>
                          <w:r>
                            <w:drawing>
                              <wp:inline>
                                <wp:extent cx="682625" cy="250190"/>
                                <wp:docPr id="344" name="Picutre 344"/>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
                                        <a:stretch/>
                                      </pic:blipFill>
                                      <pic:spPr>
                                        <a:xfrm>
                                          <a:ext cx="682625" cy="250190"/>
                                        </a:xfrm>
                                        <a:prstGeom prst="rect"/>
                                      </pic:spPr>
                                    </pic:pic>
                                  </a:graphicData>
                                </a:graphic>
                              </wp:inline>
                            </w:drawing>
                          </w:r>
                        </w:p>
                      </w:txbxContent>
                    </wps:txbx>
                    <wps:bodyPr lIns="0" tIns="0" rIns="0" bIns="0">
                      <a:noAutoFit/>
                    </wps:bodyPr>
                  </wps:wsp>
                </a:graphicData>
              </a:graphic>
            </wp:anchor>
          </w:drawing>
        </mc:Choice>
        <mc:Fallback>
          <w:pict>
            <v:shape id="_x0000_s1370" type="#_x0000_t202" style="position:absolute;margin-left:57.700000000000003pt;margin-top:54.050000000000004pt;width:53.5pt;height:19.449999999999999pt;z-index:-188744003;mso-wrap-distance-left:0;mso-wrap-distance-right:0;mso-position-horizontal-relative:page;mso-position-vertical-relative:page" wrapcoords="0 0" filled="f" stroked="f">
              <v:textbox inset="0,0,0,0">
                <w:txbxContent>
                  <w:p>
                    <w:pPr>
                      <w:widowControl w:val="0"/>
                      <w:rPr>
                        <w:sz w:val="2"/>
                        <w:szCs w:val="2"/>
                      </w:rPr>
                    </w:pPr>
                    <w:r>
                      <w:drawing>
                        <wp:inline>
                          <wp:extent cx="682625" cy="250190"/>
                          <wp:docPr id="346" name="Picutre 346"/>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
                                  <a:stretch/>
                                </pic:blipFill>
                                <pic:spPr>
                                  <a:xfrm>
                                    <a:ext cx="682625"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1613535</wp:posOffset>
              </wp:positionH>
              <wp:positionV relativeFrom="page">
                <wp:posOffset>728980</wp:posOffset>
              </wp:positionV>
              <wp:extent cx="5218430" cy="106680"/>
              <wp:wrapNone/>
              <wp:docPr id="347" name="Shape 347"/>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3" type="#_x0000_t202" style="position:absolute;margin-left:127.05pt;margin-top:57.399999999999999pt;width:410.90000000000003pt;height:8.4000000000000004pt;z-index:-18874400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1058545</wp:posOffset>
              </wp:positionH>
              <wp:positionV relativeFrom="page">
                <wp:posOffset>703580</wp:posOffset>
              </wp:positionV>
              <wp:extent cx="5794375" cy="152400"/>
              <wp:wrapNone/>
              <wp:docPr id="351" name="Shape 351"/>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377" type="#_x0000_t202" style="position:absolute;margin-left:83.350000000000009pt;margin-top:55.399999999999999pt;width:456.25pt;height:12.pt;z-index:-18874399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353" name="Shape 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1058545</wp:posOffset>
              </wp:positionH>
              <wp:positionV relativeFrom="page">
                <wp:posOffset>703580</wp:posOffset>
              </wp:positionV>
              <wp:extent cx="5794375" cy="152400"/>
              <wp:wrapNone/>
              <wp:docPr id="356" name="Shape 356"/>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382" type="#_x0000_t202" style="position:absolute;margin-left:83.350000000000009pt;margin-top:55.399999999999999pt;width:456.25pt;height:12.pt;z-index:-18874399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358" name="Shape 3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1058545</wp:posOffset>
              </wp:positionH>
              <wp:positionV relativeFrom="page">
                <wp:posOffset>703580</wp:posOffset>
              </wp:positionV>
              <wp:extent cx="5794375" cy="152400"/>
              <wp:wrapNone/>
              <wp:docPr id="361" name="Shape 361"/>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387" type="#_x0000_t202" style="position:absolute;margin-left:83.350000000000009pt;margin-top:55.399999999999999pt;width:456.25pt;height:12.pt;z-index:-18874398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363" name="Shape 3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4548505</wp:posOffset>
              </wp:positionH>
              <wp:positionV relativeFrom="page">
                <wp:posOffset>558165</wp:posOffset>
              </wp:positionV>
              <wp:extent cx="5218430" cy="106680"/>
              <wp:wrapNone/>
              <wp:docPr id="378" name="Shape 378"/>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4" type="#_x0000_t202" style="position:absolute;margin-left:358.15000000000003pt;margin-top:43.950000000000003pt;width:410.90000000000003pt;height:8.4000000000000004pt;z-index:-18874398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704850</wp:posOffset>
              </wp:positionV>
              <wp:extent cx="8906510" cy="0"/>
              <wp:wrapNone/>
              <wp:docPr id="380" name="Shape 38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650000000000006pt;margin-top:55.5pt;width:701.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4548505</wp:posOffset>
              </wp:positionH>
              <wp:positionV relativeFrom="page">
                <wp:posOffset>558165</wp:posOffset>
              </wp:positionV>
              <wp:extent cx="5218430" cy="106680"/>
              <wp:wrapNone/>
              <wp:docPr id="383" name="Shape 383"/>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9" type="#_x0000_t202" style="position:absolute;margin-left:358.15000000000003pt;margin-top:43.950000000000003pt;width:410.90000000000003pt;height:8.4000000000000004pt;z-index:-18874398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704850</wp:posOffset>
              </wp:positionV>
              <wp:extent cx="8906510" cy="0"/>
              <wp:wrapNone/>
              <wp:docPr id="385" name="Shape 38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650000000000006pt;margin-top:55.5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1058545</wp:posOffset>
              </wp:positionH>
              <wp:positionV relativeFrom="page">
                <wp:posOffset>703580</wp:posOffset>
              </wp:positionV>
              <wp:extent cx="5794375" cy="152400"/>
              <wp:wrapNone/>
              <wp:docPr id="14" name="Shape 14"/>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040" type="#_x0000_t202" style="position:absolute;margin-left:83.350000000000009pt;margin-top:55.399999999999999pt;width:456.25pt;height:12.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1043940</wp:posOffset>
              </wp:positionH>
              <wp:positionV relativeFrom="page">
                <wp:posOffset>692785</wp:posOffset>
              </wp:positionV>
              <wp:extent cx="5794375" cy="152400"/>
              <wp:wrapNone/>
              <wp:docPr id="424" name="Shape 424"/>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0" type="#_x0000_t202" style="position:absolute;margin-left:82.200000000000003pt;margin-top:54.550000000000004pt;width:456.25pt;height:12.pt;z-index:-18874397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426" name="Shape 4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1043940</wp:posOffset>
              </wp:positionH>
              <wp:positionV relativeFrom="page">
                <wp:posOffset>692785</wp:posOffset>
              </wp:positionV>
              <wp:extent cx="5794375" cy="152400"/>
              <wp:wrapNone/>
              <wp:docPr id="429" name="Shape 429"/>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5" type="#_x0000_t202" style="position:absolute;margin-left:82.200000000000003pt;margin-top:54.550000000000004pt;width:456.25pt;height:12.pt;z-index:-188743973;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431" name="Shape 4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782320</wp:posOffset>
              </wp:positionH>
              <wp:positionV relativeFrom="page">
                <wp:posOffset>653415</wp:posOffset>
              </wp:positionV>
              <wp:extent cx="679450" cy="247015"/>
              <wp:wrapNone/>
              <wp:docPr id="452" name="Shape 452"/>
              <a:graphic xmlns:a="http://schemas.openxmlformats.org/drawingml/2006/main">
                <a:graphicData uri="http://schemas.microsoft.com/office/word/2010/wordprocessingShape">
                  <wps:wsp>
                    <wps:cNvSpPr txBox="1"/>
                    <wps:spPr>
                      <a:xfrm>
                        <a:ext cx="679450" cy="247015"/>
                      </a:xfrm>
                      <a:prstGeom prst="rect"/>
                      <a:noFill/>
                    </wps:spPr>
                    <wps:txbx>
                      <w:txbxContent>
                        <w:p>
                          <w:pPr>
                            <w:widowControl w:val="0"/>
                            <w:rPr>
                              <w:sz w:val="2"/>
                              <w:szCs w:val="2"/>
                            </w:rPr>
                          </w:pPr>
                          <w:r>
                            <w:drawing>
                              <wp:inline>
                                <wp:extent cx="682625" cy="250190"/>
                                <wp:docPr id="453" name="Picutre 453"/>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
                                        <a:stretch/>
                                      </pic:blipFill>
                                      <pic:spPr>
                                        <a:xfrm>
                                          <a:ext cx="682625" cy="250190"/>
                                        </a:xfrm>
                                        <a:prstGeom prst="rect"/>
                                      </pic:spPr>
                                    </pic:pic>
                                  </a:graphicData>
                                </a:graphic>
                              </wp:inline>
                            </w:drawing>
                          </w:r>
                        </w:p>
                      </w:txbxContent>
                    </wps:txbx>
                    <wps:bodyPr lIns="0" tIns="0" rIns="0" bIns="0">
                      <a:noAutoFit/>
                    </wps:bodyPr>
                  </wps:wsp>
                </a:graphicData>
              </a:graphic>
            </wp:anchor>
          </w:drawing>
        </mc:Choice>
        <mc:Fallback>
          <w:pict>
            <v:shape id="_x0000_s1479" type="#_x0000_t202" style="position:absolute;margin-left:61.600000000000001pt;margin-top:51.450000000000003pt;width:53.5pt;height:19.449999999999999pt;z-index:-188743969;mso-wrap-distance-left:0;mso-wrap-distance-right:0;mso-position-horizontal-relative:page;mso-position-vertical-relative:page" wrapcoords="0 0" filled="f" stroked="f">
              <v:textbox inset="0,0,0,0">
                <w:txbxContent>
                  <w:p>
                    <w:pPr>
                      <w:widowControl w:val="0"/>
                      <w:rPr>
                        <w:sz w:val="2"/>
                        <w:szCs w:val="2"/>
                      </w:rPr>
                    </w:pPr>
                    <w:r>
                      <w:drawing>
                        <wp:inline>
                          <wp:extent cx="682625" cy="250190"/>
                          <wp:docPr id="455" name="Picutre 455"/>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
                                  <a:stretch/>
                                </pic:blipFill>
                                <pic:spPr>
                                  <a:xfrm>
                                    <a:ext cx="682625"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1663065</wp:posOffset>
              </wp:positionH>
              <wp:positionV relativeFrom="page">
                <wp:posOffset>696595</wp:posOffset>
              </wp:positionV>
              <wp:extent cx="5218430" cy="106680"/>
              <wp:wrapNone/>
              <wp:docPr id="456" name="Shape 456"/>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2" type="#_x0000_t202" style="position:absolute;margin-left:130.94999999999999pt;margin-top:54.850000000000001pt;width:410.90000000000003pt;height:8.4000000000000004pt;z-index:-18874396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782320</wp:posOffset>
              </wp:positionH>
              <wp:positionV relativeFrom="page">
                <wp:posOffset>653415</wp:posOffset>
              </wp:positionV>
              <wp:extent cx="679450" cy="247015"/>
              <wp:wrapNone/>
              <wp:docPr id="460" name="Shape 460"/>
              <a:graphic xmlns:a="http://schemas.openxmlformats.org/drawingml/2006/main">
                <a:graphicData uri="http://schemas.microsoft.com/office/word/2010/wordprocessingShape">
                  <wps:wsp>
                    <wps:cNvSpPr txBox="1"/>
                    <wps:spPr>
                      <a:xfrm>
                        <a:ext cx="679450" cy="247015"/>
                      </a:xfrm>
                      <a:prstGeom prst="rect"/>
                      <a:noFill/>
                    </wps:spPr>
                    <wps:txbx>
                      <w:txbxContent>
                        <w:p>
                          <w:pPr>
                            <w:widowControl w:val="0"/>
                            <w:rPr>
                              <w:sz w:val="2"/>
                              <w:szCs w:val="2"/>
                            </w:rPr>
                          </w:pPr>
                          <w:r>
                            <w:drawing>
                              <wp:inline>
                                <wp:extent cx="682625" cy="250190"/>
                                <wp:docPr id="461" name="Picutre 461"/>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
                                        <a:stretch/>
                                      </pic:blipFill>
                                      <pic:spPr>
                                        <a:xfrm>
                                          <a:ext cx="682625" cy="250190"/>
                                        </a:xfrm>
                                        <a:prstGeom prst="rect"/>
                                      </pic:spPr>
                                    </pic:pic>
                                  </a:graphicData>
                                </a:graphic>
                              </wp:inline>
                            </w:drawing>
                          </w:r>
                        </w:p>
                      </w:txbxContent>
                    </wps:txbx>
                    <wps:bodyPr lIns="0" tIns="0" rIns="0" bIns="0">
                      <a:noAutoFit/>
                    </wps:bodyPr>
                  </wps:wsp>
                </a:graphicData>
              </a:graphic>
            </wp:anchor>
          </w:drawing>
        </mc:Choice>
        <mc:Fallback>
          <w:pict>
            <v:shape id="_x0000_s1487" type="#_x0000_t202" style="position:absolute;margin-left:61.600000000000001pt;margin-top:51.450000000000003pt;width:53.5pt;height:19.449999999999999pt;z-index:-188743963;mso-wrap-distance-left:0;mso-wrap-distance-right:0;mso-position-horizontal-relative:page;mso-position-vertical-relative:page" wrapcoords="0 0" filled="f" stroked="f">
              <v:textbox inset="0,0,0,0">
                <w:txbxContent>
                  <w:p>
                    <w:pPr>
                      <w:widowControl w:val="0"/>
                      <w:rPr>
                        <w:sz w:val="2"/>
                        <w:szCs w:val="2"/>
                      </w:rPr>
                    </w:pPr>
                    <w:r>
                      <w:drawing>
                        <wp:inline>
                          <wp:extent cx="682625" cy="250190"/>
                          <wp:docPr id="463" name="Picutre 463"/>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
                                  <a:stretch/>
                                </pic:blipFill>
                                <pic:spPr>
                                  <a:xfrm>
                                    <a:ext cx="682625"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1663065</wp:posOffset>
              </wp:positionH>
              <wp:positionV relativeFrom="page">
                <wp:posOffset>696595</wp:posOffset>
              </wp:positionV>
              <wp:extent cx="5218430" cy="106680"/>
              <wp:wrapNone/>
              <wp:docPr id="464" name="Shape 464"/>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0" type="#_x0000_t202" style="position:absolute;margin-left:130.94999999999999pt;margin-top:54.850000000000001pt;width:410.90000000000003pt;height:8.4000000000000004pt;z-index:-18874396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1043940</wp:posOffset>
              </wp:positionH>
              <wp:positionV relativeFrom="page">
                <wp:posOffset>692785</wp:posOffset>
              </wp:positionV>
              <wp:extent cx="5794375" cy="152400"/>
              <wp:wrapNone/>
              <wp:docPr id="468" name="Shape 468"/>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4" type="#_x0000_t202" style="position:absolute;margin-left:82.200000000000003pt;margin-top:54.550000000000004pt;width:456.25pt;height:12.pt;z-index:-18874395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470" name="Shape 4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1043940</wp:posOffset>
              </wp:positionH>
              <wp:positionV relativeFrom="page">
                <wp:posOffset>692785</wp:posOffset>
              </wp:positionV>
              <wp:extent cx="5794375" cy="152400"/>
              <wp:wrapNone/>
              <wp:docPr id="473" name="Shape 473"/>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9" type="#_x0000_t202" style="position:absolute;margin-left:82.200000000000003pt;margin-top:54.550000000000004pt;width:456.25pt;height:12.pt;z-index:-188743953;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475" name="Shape 4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782320</wp:posOffset>
              </wp:positionH>
              <wp:positionV relativeFrom="page">
                <wp:posOffset>653415</wp:posOffset>
              </wp:positionV>
              <wp:extent cx="679450" cy="247015"/>
              <wp:wrapNone/>
              <wp:docPr id="478" name="Shape 478"/>
              <a:graphic xmlns:a="http://schemas.openxmlformats.org/drawingml/2006/main">
                <a:graphicData uri="http://schemas.microsoft.com/office/word/2010/wordprocessingShape">
                  <wps:wsp>
                    <wps:cNvSpPr txBox="1"/>
                    <wps:spPr>
                      <a:xfrm>
                        <a:ext cx="679450" cy="247015"/>
                      </a:xfrm>
                      <a:prstGeom prst="rect"/>
                      <a:noFill/>
                    </wps:spPr>
                    <wps:txbx>
                      <w:txbxContent>
                        <w:p>
                          <w:pPr>
                            <w:widowControl w:val="0"/>
                            <w:rPr>
                              <w:sz w:val="2"/>
                              <w:szCs w:val="2"/>
                            </w:rPr>
                          </w:pPr>
                          <w:r>
                            <w:drawing>
                              <wp:inline>
                                <wp:extent cx="682625" cy="250190"/>
                                <wp:docPr id="479" name="Picutre 479"/>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
                                        <a:stretch/>
                                      </pic:blipFill>
                                      <pic:spPr>
                                        <a:xfrm>
                                          <a:ext cx="682625" cy="250190"/>
                                        </a:xfrm>
                                        <a:prstGeom prst="rect"/>
                                      </pic:spPr>
                                    </pic:pic>
                                  </a:graphicData>
                                </a:graphic>
                              </wp:inline>
                            </w:drawing>
                          </w:r>
                        </w:p>
                      </w:txbxContent>
                    </wps:txbx>
                    <wps:bodyPr lIns="0" tIns="0" rIns="0" bIns="0">
                      <a:noAutoFit/>
                    </wps:bodyPr>
                  </wps:wsp>
                </a:graphicData>
              </a:graphic>
            </wp:anchor>
          </w:drawing>
        </mc:Choice>
        <mc:Fallback>
          <w:pict>
            <v:shape id="_x0000_s1505" type="#_x0000_t202" style="position:absolute;margin-left:61.600000000000001pt;margin-top:51.450000000000003pt;width:53.5pt;height:19.449999999999999pt;z-index:-188743949;mso-wrap-distance-left:0;mso-wrap-distance-right:0;mso-position-horizontal-relative:page;mso-position-vertical-relative:page" wrapcoords="0 0" filled="f" stroked="f">
              <v:textbox inset="0,0,0,0">
                <w:txbxContent>
                  <w:p>
                    <w:pPr>
                      <w:widowControl w:val="0"/>
                      <w:rPr>
                        <w:sz w:val="2"/>
                        <w:szCs w:val="2"/>
                      </w:rPr>
                    </w:pPr>
                    <w:r>
                      <w:drawing>
                        <wp:inline>
                          <wp:extent cx="682625" cy="250190"/>
                          <wp:docPr id="481" name="Picutre 481"/>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pic:blipFill>
                                <pic:spPr>
                                  <a:xfrm>
                                    <a:ext cx="682625"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1663065</wp:posOffset>
              </wp:positionH>
              <wp:positionV relativeFrom="page">
                <wp:posOffset>696595</wp:posOffset>
              </wp:positionV>
              <wp:extent cx="5218430" cy="106680"/>
              <wp:wrapNone/>
              <wp:docPr id="482" name="Shape 482"/>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08" type="#_x0000_t202" style="position:absolute;margin-left:130.94999999999999pt;margin-top:54.850000000000001pt;width:410.90000000000003pt;height:8.4000000000000004pt;z-index:-18874394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782320</wp:posOffset>
              </wp:positionH>
              <wp:positionV relativeFrom="page">
                <wp:posOffset>653415</wp:posOffset>
              </wp:positionV>
              <wp:extent cx="679450" cy="247015"/>
              <wp:wrapNone/>
              <wp:docPr id="486" name="Shape 486"/>
              <a:graphic xmlns:a="http://schemas.openxmlformats.org/drawingml/2006/main">
                <a:graphicData uri="http://schemas.microsoft.com/office/word/2010/wordprocessingShape">
                  <wps:wsp>
                    <wps:cNvSpPr txBox="1"/>
                    <wps:spPr>
                      <a:xfrm>
                        <a:ext cx="679450" cy="247015"/>
                      </a:xfrm>
                      <a:prstGeom prst="rect"/>
                      <a:noFill/>
                    </wps:spPr>
                    <wps:txbx>
                      <w:txbxContent>
                        <w:p>
                          <w:pPr>
                            <w:widowControl w:val="0"/>
                            <w:rPr>
                              <w:sz w:val="2"/>
                              <w:szCs w:val="2"/>
                            </w:rPr>
                          </w:pPr>
                          <w:r>
                            <w:drawing>
                              <wp:inline>
                                <wp:extent cx="682625" cy="250190"/>
                                <wp:docPr id="487" name="Picutre 487"/>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
                                        <a:stretch/>
                                      </pic:blipFill>
                                      <pic:spPr>
                                        <a:xfrm>
                                          <a:ext cx="682625" cy="250190"/>
                                        </a:xfrm>
                                        <a:prstGeom prst="rect"/>
                                      </pic:spPr>
                                    </pic:pic>
                                  </a:graphicData>
                                </a:graphic>
                              </wp:inline>
                            </w:drawing>
                          </w:r>
                        </w:p>
                      </w:txbxContent>
                    </wps:txbx>
                    <wps:bodyPr lIns="0" tIns="0" rIns="0" bIns="0">
                      <a:noAutoFit/>
                    </wps:bodyPr>
                  </wps:wsp>
                </a:graphicData>
              </a:graphic>
            </wp:anchor>
          </w:drawing>
        </mc:Choice>
        <mc:Fallback>
          <w:pict>
            <v:shape id="_x0000_s1513" type="#_x0000_t202" style="position:absolute;margin-left:61.600000000000001pt;margin-top:51.450000000000003pt;width:53.5pt;height:19.449999999999999pt;z-index:-188743943;mso-wrap-distance-left:0;mso-wrap-distance-right:0;mso-position-horizontal-relative:page;mso-position-vertical-relative:page" wrapcoords="0 0" filled="f" stroked="f">
              <v:textbox inset="0,0,0,0">
                <w:txbxContent>
                  <w:p>
                    <w:pPr>
                      <w:widowControl w:val="0"/>
                      <w:rPr>
                        <w:sz w:val="2"/>
                        <w:szCs w:val="2"/>
                      </w:rPr>
                    </w:pPr>
                    <w:r>
                      <w:drawing>
                        <wp:inline>
                          <wp:extent cx="682625" cy="250190"/>
                          <wp:docPr id="489" name="Picutre 489"/>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
                                  <a:stretch/>
                                </pic:blipFill>
                                <pic:spPr>
                                  <a:xfrm>
                                    <a:ext cx="682625"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1663065</wp:posOffset>
              </wp:positionH>
              <wp:positionV relativeFrom="page">
                <wp:posOffset>696595</wp:posOffset>
              </wp:positionV>
              <wp:extent cx="5218430" cy="106680"/>
              <wp:wrapNone/>
              <wp:docPr id="490" name="Shape 490"/>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6" type="#_x0000_t202" style="position:absolute;margin-left:130.94999999999999pt;margin-top:54.850000000000001pt;width:410.90000000000003pt;height:8.4000000000000004pt;z-index:-18874394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1029335</wp:posOffset>
              </wp:positionH>
              <wp:positionV relativeFrom="page">
                <wp:posOffset>730885</wp:posOffset>
              </wp:positionV>
              <wp:extent cx="5794375" cy="152400"/>
              <wp:wrapNone/>
              <wp:docPr id="494" name="Shape 494"/>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0" type="#_x0000_t202" style="position:absolute;margin-left:81.049999999999997pt;margin-top:57.550000000000004pt;width:456.25pt;height:12.pt;z-index:-18874393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1051560</wp:posOffset>
              </wp:positionV>
              <wp:extent cx="6163310" cy="0"/>
              <wp:wrapNone/>
              <wp:docPr id="496" name="Shape 4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82.799999999999997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1043940</wp:posOffset>
              </wp:positionH>
              <wp:positionV relativeFrom="page">
                <wp:posOffset>692785</wp:posOffset>
              </wp:positionV>
              <wp:extent cx="5794375" cy="152400"/>
              <wp:wrapNone/>
              <wp:docPr id="501" name="Shape 501"/>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7" type="#_x0000_t202" style="position:absolute;margin-left:82.200000000000003pt;margin-top:54.550000000000004pt;width:456.25pt;height:12.pt;z-index:-18874393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1058545</wp:posOffset>
              </wp:positionH>
              <wp:positionV relativeFrom="page">
                <wp:posOffset>703580</wp:posOffset>
              </wp:positionV>
              <wp:extent cx="5794375" cy="152400"/>
              <wp:wrapNone/>
              <wp:docPr id="19" name="Shape 19"/>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百知</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045" type="#_x0000_t202" style="position:absolute;margin-left:83.350000000000009pt;margin-top:55.399999999999999pt;width:456.25pt;height:12.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百知</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848360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799999999999997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1043940</wp:posOffset>
              </wp:positionH>
              <wp:positionV relativeFrom="page">
                <wp:posOffset>692785</wp:posOffset>
              </wp:positionV>
              <wp:extent cx="5794375" cy="152400"/>
              <wp:wrapNone/>
              <wp:docPr id="506" name="Shape 506"/>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2" type="#_x0000_t202" style="position:absolute;margin-left:82.200000000000003pt;margin-top:54.550000000000004pt;width:456.25pt;height:12.pt;z-index:-18874392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08" name="Shape 5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1029335</wp:posOffset>
              </wp:positionH>
              <wp:positionV relativeFrom="page">
                <wp:posOffset>730885</wp:posOffset>
              </wp:positionV>
              <wp:extent cx="5794375" cy="152400"/>
              <wp:wrapNone/>
              <wp:docPr id="511" name="Shape 511"/>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7" type="#_x0000_t202" style="position:absolute;margin-left:81.049999999999997pt;margin-top:57.550000000000004pt;width:456.25pt;height:12.pt;z-index:-188743923;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1051560</wp:posOffset>
              </wp:positionV>
              <wp:extent cx="6163310" cy="0"/>
              <wp:wrapNone/>
              <wp:docPr id="513" name="Shape 5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82.799999999999997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1029335</wp:posOffset>
              </wp:positionH>
              <wp:positionV relativeFrom="page">
                <wp:posOffset>730885</wp:posOffset>
              </wp:positionV>
              <wp:extent cx="5794375" cy="152400"/>
              <wp:wrapNone/>
              <wp:docPr id="518" name="Shape 518"/>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4" type="#_x0000_t202" style="position:absolute;margin-left:81.049999999999997pt;margin-top:57.550000000000004pt;width:456.25pt;height:12.pt;z-index:-18874391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1051560</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82.799999999999997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1043940</wp:posOffset>
              </wp:positionH>
              <wp:positionV relativeFrom="page">
                <wp:posOffset>692785</wp:posOffset>
              </wp:positionV>
              <wp:extent cx="5794375" cy="152400"/>
              <wp:wrapNone/>
              <wp:docPr id="531" name="Shape 531"/>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7" type="#_x0000_t202" style="position:absolute;margin-left:82.200000000000003pt;margin-top:54.550000000000004pt;width:456.25pt;height:12.pt;z-index:-18874390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33" name="Shape 5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1043940</wp:posOffset>
              </wp:positionH>
              <wp:positionV relativeFrom="page">
                <wp:posOffset>692785</wp:posOffset>
              </wp:positionV>
              <wp:extent cx="5794375" cy="152400"/>
              <wp:wrapNone/>
              <wp:docPr id="536" name="Shape 536"/>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2" type="#_x0000_t202" style="position:absolute;margin-left:82.200000000000003pt;margin-top:54.550000000000004pt;width:456.25pt;height:12.pt;z-index:-18874390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38" name="Shape 5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1637030</wp:posOffset>
              </wp:positionH>
              <wp:positionV relativeFrom="page">
                <wp:posOffset>730885</wp:posOffset>
              </wp:positionV>
              <wp:extent cx="5218430" cy="106680"/>
              <wp:wrapNone/>
              <wp:docPr id="542" name="Shape 542"/>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8" type="#_x0000_t202" style="position:absolute;margin-left:128.90000000000001pt;margin-top:57.550000000000004pt;width:410.90000000000003pt;height:8.4000000000000004pt;z-index:-18874389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877570</wp:posOffset>
              </wp:positionV>
              <wp:extent cx="6163310" cy="0"/>
              <wp:wrapNone/>
              <wp:docPr id="544" name="Shape 5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69.100000000000009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1637030</wp:posOffset>
              </wp:positionH>
              <wp:positionV relativeFrom="page">
                <wp:posOffset>730885</wp:posOffset>
              </wp:positionV>
              <wp:extent cx="5218430" cy="106680"/>
              <wp:wrapNone/>
              <wp:docPr id="549" name="Shape 549"/>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5" type="#_x0000_t202" style="position:absolute;margin-left:128.90000000000001pt;margin-top:57.550000000000004pt;width:410.90000000000003pt;height:8.4000000000000004pt;z-index:-18874389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877570</wp:posOffset>
              </wp:positionV>
              <wp:extent cx="6163310" cy="0"/>
              <wp:wrapNone/>
              <wp:docPr id="551" name="Shape 5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69.100000000000009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1043940</wp:posOffset>
              </wp:positionH>
              <wp:positionV relativeFrom="page">
                <wp:posOffset>692785</wp:posOffset>
              </wp:positionV>
              <wp:extent cx="5794375" cy="152400"/>
              <wp:wrapNone/>
              <wp:docPr id="556" name="Shape 556"/>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2" type="#_x0000_t202" style="position:absolute;margin-left:82.200000000000003pt;margin-top:54.550000000000004pt;width:456.25pt;height:12.pt;z-index:-18874388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58" name="Shape 5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1043940</wp:posOffset>
              </wp:positionH>
              <wp:positionV relativeFrom="page">
                <wp:posOffset>692785</wp:posOffset>
              </wp:positionV>
              <wp:extent cx="5794375" cy="152400"/>
              <wp:wrapNone/>
              <wp:docPr id="561" name="Shape 561"/>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7" type="#_x0000_t202" style="position:absolute;margin-left:82.200000000000003pt;margin-top:54.550000000000004pt;width:456.25pt;height:12.pt;z-index:-18874388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63" name="Shape 5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1060450</wp:posOffset>
              </wp:positionH>
              <wp:positionV relativeFrom="page">
                <wp:posOffset>730885</wp:posOffset>
              </wp:positionV>
              <wp:extent cx="5794375" cy="152400"/>
              <wp:wrapNone/>
              <wp:docPr id="578" name="Shape 578"/>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04" type="#_x0000_t202" style="position:absolute;margin-left:83.5pt;margin-top:57.550000000000004pt;width:456.25pt;height:12.pt;z-index:-18874387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877570</wp:posOffset>
              </wp:positionV>
              <wp:extent cx="6163310" cy="0"/>
              <wp:wrapNone/>
              <wp:docPr id="580" name="Shape 5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69.100000000000009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1058545</wp:posOffset>
              </wp:positionH>
              <wp:positionV relativeFrom="page">
                <wp:posOffset>703580</wp:posOffset>
              </wp:positionV>
              <wp:extent cx="5794375" cy="152400"/>
              <wp:wrapNone/>
              <wp:docPr id="154" name="Shape 154"/>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180" type="#_x0000_t202" style="position:absolute;margin-left:83.350000000000009pt;margin-top:55.399999999999999pt;width:456.25pt;height:12.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1060450</wp:posOffset>
              </wp:positionH>
              <wp:positionV relativeFrom="page">
                <wp:posOffset>730885</wp:posOffset>
              </wp:positionV>
              <wp:extent cx="5794375" cy="152400"/>
              <wp:wrapNone/>
              <wp:docPr id="585" name="Shape 585"/>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11" type="#_x0000_t202" style="position:absolute;margin-left:83.5pt;margin-top:57.550000000000004pt;width:456.25pt;height:12.pt;z-index:-18874387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877570</wp:posOffset>
              </wp:positionV>
              <wp:extent cx="6163310" cy="0"/>
              <wp:wrapNone/>
              <wp:docPr id="587" name="Shape 5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69.100000000000009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1043940</wp:posOffset>
              </wp:positionH>
              <wp:positionV relativeFrom="page">
                <wp:posOffset>692785</wp:posOffset>
              </wp:positionV>
              <wp:extent cx="5794375" cy="152400"/>
              <wp:wrapNone/>
              <wp:docPr id="592" name="Shape 592"/>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18" type="#_x0000_t202" style="position:absolute;margin-left:82.200000000000003pt;margin-top:54.550000000000004pt;width:456.25pt;height:12.pt;z-index:-18874386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94" name="Shape 5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1043940</wp:posOffset>
              </wp:positionH>
              <wp:positionV relativeFrom="page">
                <wp:posOffset>692785</wp:posOffset>
              </wp:positionV>
              <wp:extent cx="5794375" cy="152400"/>
              <wp:wrapNone/>
              <wp:docPr id="597" name="Shape 597"/>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3" type="#_x0000_t202" style="position:absolute;margin-left:82.200000000000003pt;margin-top:54.550000000000004pt;width:456.25pt;height:12.pt;z-index:-18874386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599" name="Shape 5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729615</wp:posOffset>
              </wp:positionH>
              <wp:positionV relativeFrom="page">
                <wp:posOffset>659765</wp:posOffset>
              </wp:positionV>
              <wp:extent cx="679450" cy="247015"/>
              <wp:wrapNone/>
              <wp:docPr id="602" name="Shape 602"/>
              <a:graphic xmlns:a="http://schemas.openxmlformats.org/drawingml/2006/main">
                <a:graphicData uri="http://schemas.microsoft.com/office/word/2010/wordprocessingShape">
                  <wps:wsp>
                    <wps:cNvSpPr txBox="1"/>
                    <wps:spPr>
                      <a:xfrm>
                        <a:ext cx="679450" cy="247015"/>
                      </a:xfrm>
                      <a:prstGeom prst="rect"/>
                      <a:noFill/>
                    </wps:spPr>
                    <wps:txbx>
                      <w:txbxContent>
                        <w:p>
                          <w:pPr>
                            <w:widowControl w:val="0"/>
                            <w:rPr>
                              <w:sz w:val="2"/>
                              <w:szCs w:val="2"/>
                            </w:rPr>
                          </w:pPr>
                          <w:r>
                            <w:drawing>
                              <wp:inline>
                                <wp:extent cx="682625" cy="250190"/>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
                                        <a:stretch/>
                                      </pic:blipFill>
                                      <pic:spPr>
                                        <a:xfrm>
                                          <a:ext cx="682625" cy="250190"/>
                                        </a:xfrm>
                                        <a:prstGeom prst="rect"/>
                                      </pic:spPr>
                                    </pic:pic>
                                  </a:graphicData>
                                </a:graphic>
                              </wp:inline>
                            </w:drawing>
                          </w:r>
                        </w:p>
                      </w:txbxContent>
                    </wps:txbx>
                    <wps:bodyPr lIns="0" tIns="0" rIns="0" bIns="0">
                      <a:noAutoFit/>
                    </wps:bodyPr>
                  </wps:wsp>
                </a:graphicData>
              </a:graphic>
            </wp:anchor>
          </w:drawing>
        </mc:Choice>
        <mc:Fallback>
          <w:pict>
            <v:shape id="_x0000_s1629" type="#_x0000_t202" style="position:absolute;margin-left:57.450000000000003pt;margin-top:51.950000000000003pt;width:53.5pt;height:19.449999999999999pt;z-index:-188743857;mso-wrap-distance-left:0;mso-wrap-distance-right:0;mso-position-horizontal-relative:page;mso-position-vertical-relative:page" wrapcoords="0 0" filled="f" stroked="f">
              <v:textbox inset="0,0,0,0">
                <w:txbxContent>
                  <w:p>
                    <w:pPr>
                      <w:widowControl w:val="0"/>
                      <w:rPr>
                        <w:sz w:val="2"/>
                        <w:szCs w:val="2"/>
                      </w:rPr>
                    </w:pPr>
                    <w:r>
                      <w:drawing>
                        <wp:inline>
                          <wp:extent cx="682625" cy="250190"/>
                          <wp:docPr id="605" name="Picutre 605"/>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
                                  <a:stretch/>
                                </pic:blipFill>
                                <pic:spPr>
                                  <a:xfrm>
                                    <a:ext cx="682625"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1610360</wp:posOffset>
              </wp:positionH>
              <wp:positionV relativeFrom="page">
                <wp:posOffset>702310</wp:posOffset>
              </wp:positionV>
              <wp:extent cx="5218430" cy="106680"/>
              <wp:wrapNone/>
              <wp:docPr id="606" name="Shape 606"/>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2" type="#_x0000_t202" style="position:absolute;margin-left:126.8pt;margin-top:55.300000000000004pt;width:410.90000000000003pt;height:8.4000000000000004pt;z-index:-18874385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8218" w:val="right"/>
                      </w:tabs>
                      <w:bidi w:val="0"/>
                      <w:spacing w:before="0" w:after="0" w:line="240" w:lineRule="auto"/>
                      <w:ind w:left="0" w:right="0" w:firstLine="0"/>
                      <w:jc w:val="left"/>
                    </w:pP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1029970</wp:posOffset>
              </wp:positionH>
              <wp:positionV relativeFrom="page">
                <wp:posOffset>889635</wp:posOffset>
              </wp:positionV>
              <wp:extent cx="5794375" cy="152400"/>
              <wp:wrapNone/>
              <wp:docPr id="610" name="Shape 610"/>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6" type="#_x0000_t202" style="position:absolute;margin-left:81.100000000000009pt;margin-top:70.049999999999997pt;width:456.25pt;height:12.pt;z-index:-18874385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1064895</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83.850000000000009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1029970</wp:posOffset>
              </wp:positionH>
              <wp:positionV relativeFrom="page">
                <wp:posOffset>889635</wp:posOffset>
              </wp:positionV>
              <wp:extent cx="5794375" cy="152400"/>
              <wp:wrapNone/>
              <wp:docPr id="617" name="Shape 617"/>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3" type="#_x0000_t202" style="position:absolute;margin-left:81.100000000000009pt;margin-top:70.049999999999997pt;width:456.25pt;height:12.pt;z-index:-18874384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1064895</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83.850000000000009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1043940</wp:posOffset>
              </wp:positionH>
              <wp:positionV relativeFrom="page">
                <wp:posOffset>692785</wp:posOffset>
              </wp:positionV>
              <wp:extent cx="5794375" cy="152400"/>
              <wp:wrapNone/>
              <wp:docPr id="630" name="Shape 630"/>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56" type="#_x0000_t202" style="position:absolute;margin-left:82.200000000000003pt;margin-top:54.550000000000004pt;width:456.25pt;height:12.pt;z-index:-188743839;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1043940</wp:posOffset>
              </wp:positionH>
              <wp:positionV relativeFrom="page">
                <wp:posOffset>692785</wp:posOffset>
              </wp:positionV>
              <wp:extent cx="5794375" cy="152400"/>
              <wp:wrapNone/>
              <wp:docPr id="635" name="Shape 635"/>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1" type="#_x0000_t202" style="position:absolute;margin-left:82.200000000000003pt;margin-top:54.550000000000004pt;width:456.25pt;height:12.pt;z-index:-18874383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3379" w:val="right"/>
                        <w:tab w:pos="9125" w:val="right"/>
                      </w:tabs>
                      <w:bidi w:val="0"/>
                      <w:spacing w:before="0" w:after="0" w:line="240" w:lineRule="auto"/>
                      <w:ind w:left="0" w:right="0" w:firstLine="0"/>
                      <w:jc w:val="left"/>
                    </w:pPr>
                    <w:r>
                      <w:rPr>
                        <w:rFonts w:ascii="SimHei" w:eastAsia="SimHei" w:hAnsi="SimHei" w:cs="SimHei"/>
                        <w:color w:val="000000"/>
                        <w:spacing w:val="0"/>
                        <w:w w:val="100"/>
                        <w:position w:val="0"/>
                        <w:sz w:val="26"/>
                        <w:szCs w:val="26"/>
                      </w:rPr>
                      <w:t>百邦</w:t>
                      <w:tab/>
                    </w:r>
                    <w:r>
                      <w:rPr>
                        <w:color w:val="000000"/>
                        <w:spacing w:val="0"/>
                        <w:w w:val="100"/>
                        <w:position w:val="0"/>
                      </w:rPr>
                      <w:t>北京百华悦邦科技股份有限公司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877570</wp:posOffset>
              </wp:positionV>
              <wp:extent cx="6163310" cy="0"/>
              <wp:wrapNone/>
              <wp:docPr id="637" name="Shape 6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00000000000009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1058545</wp:posOffset>
              </wp:positionH>
              <wp:positionV relativeFrom="page">
                <wp:posOffset>703580</wp:posOffset>
              </wp:positionV>
              <wp:extent cx="5794375" cy="152400"/>
              <wp:wrapNone/>
              <wp:docPr id="159" name="Shape 159"/>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185" type="#_x0000_t202" style="position:absolute;margin-left:83.350000000000009pt;margin-top:55.399999999999999pt;width:456.25pt;height:12.pt;z-index:-18874404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161" name="Shape 1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662940</wp:posOffset>
              </wp:positionH>
              <wp:positionV relativeFrom="page">
                <wp:posOffset>637540</wp:posOffset>
              </wp:positionV>
              <wp:extent cx="719455" cy="283210"/>
              <wp:wrapNone/>
              <wp:docPr id="164" name="Shape 164"/>
              <a:graphic xmlns:a="http://schemas.openxmlformats.org/drawingml/2006/main">
                <a:graphicData uri="http://schemas.microsoft.com/office/word/2010/wordprocessingShape">
                  <wps:wsp>
                    <wps:cNvSpPr txBox="1"/>
                    <wps:spPr>
                      <a:xfrm>
                        <a:ext cx="719455" cy="283210"/>
                      </a:xfrm>
                      <a:prstGeom prst="rect"/>
                      <a:noFill/>
                    </wps:spPr>
                    <wps:txbx>
                      <w:txbxContent>
                        <w:p>
                          <w:pPr>
                            <w:widowControl w:val="0"/>
                            <w:rPr>
                              <w:sz w:val="2"/>
                              <w:szCs w:val="2"/>
                            </w:rPr>
                          </w:pPr>
                          <w:r>
                            <w:drawing>
                              <wp:inline>
                                <wp:extent cx="719455" cy="286385"/>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pic:blipFill>
                                      <pic:spPr>
                                        <a:xfrm>
                                          <a:ext cx="719455" cy="286385"/>
                                        </a:xfrm>
                                        <a:prstGeom prst="rect"/>
                                      </pic:spPr>
                                    </pic:pic>
                                  </a:graphicData>
                                </a:graphic>
                              </wp:inline>
                            </w:drawing>
                          </w:r>
                        </w:p>
                      </w:txbxContent>
                    </wps:txbx>
                    <wps:bodyPr lIns="0" tIns="0" rIns="0" bIns="0">
                      <a:noAutoFit/>
                    </wps:bodyPr>
                  </wps:wsp>
                </a:graphicData>
              </a:graphic>
            </wp:anchor>
          </w:drawing>
        </mc:Choice>
        <mc:Fallback>
          <w:pict>
            <v:shape id="_x0000_s1191" type="#_x0000_t202" style="position:absolute;margin-left:52.200000000000003pt;margin-top:50.200000000000003pt;width:56.649999999999999pt;height:22.300000000000001pt;z-index:-188744039;mso-wrap-distance-left:0;mso-wrap-distance-right:0;mso-position-horizontal-relative:page;mso-position-vertical-relative:page" wrapcoords="0 0" filled="f" stroked="f">
              <v:textbox inset="0,0,0,0">
                <w:txbxContent>
                  <w:p>
                    <w:pPr>
                      <w:widowControl w:val="0"/>
                      <w:rPr>
                        <w:sz w:val="2"/>
                        <w:szCs w:val="2"/>
                      </w:rPr>
                    </w:pPr>
                    <w:r>
                      <w:drawing>
                        <wp:inline>
                          <wp:extent cx="719455" cy="286385"/>
                          <wp:docPr id="167" name="Picutre 167"/>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
                                  <a:stretch/>
                                </pic:blipFill>
                                <pic:spPr>
                                  <a:xfrm>
                                    <a:ext cx="719455"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1562100</wp:posOffset>
              </wp:positionH>
              <wp:positionV relativeFrom="page">
                <wp:posOffset>698500</wp:posOffset>
              </wp:positionV>
              <wp:extent cx="5218430" cy="106680"/>
              <wp:wrapNone/>
              <wp:docPr id="168" name="Shape 168"/>
              <a:graphic xmlns:a="http://schemas.openxmlformats.org/drawingml/2006/main">
                <a:graphicData uri="http://schemas.microsoft.com/office/word/2010/wordprocessingShape">
                  <wps:wsp>
                    <wps:cNvSpPr txBox="1"/>
                    <wps:spPr>
                      <a:xfrm>
                        <a:ext cx="5218430" cy="106680"/>
                      </a:xfrm>
                      <a:prstGeom prst="rect"/>
                      <a:noFill/>
                    </wps:spPr>
                    <wps:txbx>
                      <w:txbxContent>
                        <w:p>
                          <w:pPr>
                            <w:pStyle w:val="Style5"/>
                            <w:keepNext w:val="0"/>
                            <w:keepLines w:val="0"/>
                            <w:widowControl w:val="0"/>
                            <w:shd w:val="clear" w:color="auto" w:fill="auto"/>
                            <w:tabs>
                              <w:tab w:pos="8218"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194" type="#_x0000_t202" style="position:absolute;margin-left:123.pt;margin-top:55.pt;width:410.90000000000003pt;height:8.4000000000000004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218"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1092200</wp:posOffset>
              </wp:positionH>
              <wp:positionV relativeFrom="page">
                <wp:posOffset>730885</wp:posOffset>
              </wp:positionV>
              <wp:extent cx="5794375" cy="152400"/>
              <wp:wrapNone/>
              <wp:docPr id="220" name="Shape 220"/>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246" type="#_x0000_t202" style="position:absolute;margin-left:86.pt;margin-top:57.550000000000004pt;width:456.25pt;height:12.pt;z-index:-18874403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877570</wp:posOffset>
              </wp:positionV>
              <wp:extent cx="6163310" cy="0"/>
              <wp:wrapNone/>
              <wp:docPr id="222" name="Shape 2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50000000000001pt;margin-top:69.10000000000000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1058545</wp:posOffset>
              </wp:positionH>
              <wp:positionV relativeFrom="page">
                <wp:posOffset>703580</wp:posOffset>
              </wp:positionV>
              <wp:extent cx="5794375" cy="152400"/>
              <wp:wrapNone/>
              <wp:docPr id="225" name="Shape 225"/>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251" type="#_x0000_t202" style="position:absolute;margin-left:83.350000000000009pt;margin-top:55.399999999999999pt;width:456.25pt;height:12.pt;z-index:-18874402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1058545</wp:posOffset>
              </wp:positionH>
              <wp:positionV relativeFrom="page">
                <wp:posOffset>703580</wp:posOffset>
              </wp:positionV>
              <wp:extent cx="5794375" cy="152400"/>
              <wp:wrapNone/>
              <wp:docPr id="230" name="Shape 230"/>
              <a:graphic xmlns:a="http://schemas.openxmlformats.org/drawingml/2006/main">
                <a:graphicData uri="http://schemas.microsoft.com/office/word/2010/wordprocessingShape">
                  <wps:wsp>
                    <wps:cNvSpPr txBox="1"/>
                    <wps:spPr>
                      <a:xfrm>
                        <a:ext cx="5794375" cy="152400"/>
                      </a:xfrm>
                      <a:prstGeom prst="rect"/>
                      <a:noFill/>
                    </wps:spPr>
                    <wps:txbx>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wps:txbx>
                    <wps:bodyPr lIns="0" tIns="0" rIns="0" bIns="0">
                      <a:spAutoFit/>
                    </wps:bodyPr>
                  </wps:wsp>
                </a:graphicData>
              </a:graphic>
            </wp:anchor>
          </w:drawing>
        </mc:Choice>
        <mc:Fallback>
          <w:pict>
            <v:shape id="_x0000_s1256" type="#_x0000_t202" style="position:absolute;margin-left:83.350000000000009pt;margin-top:55.399999999999999pt;width:456.25pt;height:12.pt;z-index:-18874402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379" w:val="right"/>
                        <w:tab w:pos="9125"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26"/>
                        <w:szCs w:val="26"/>
                      </w:rPr>
                      <w:t>百邦</w:t>
                      <w:tab/>
                    </w:r>
                    <w:r>
                      <w:rPr>
                        <w:rFonts w:ascii="SimSun" w:eastAsia="SimSun" w:hAnsi="SimSun" w:cs="SimSun"/>
                        <w:color w:val="000000"/>
                        <w:spacing w:val="0"/>
                        <w:w w:val="100"/>
                        <w:position w:val="0"/>
                        <w:sz w:val="15"/>
                        <w:szCs w:val="15"/>
                      </w:rPr>
                      <w:t>北京百华悦邦科技股份有限公司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5"/>
                        <w:szCs w:val="15"/>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850265</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66.9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5"/>
        <w:szCs w:val="15"/>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5"/>
      <w:szCs w:val="15"/>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标题 #1_"/>
    <w:basedOn w:val="DefaultParagraphFont"/>
    <w:link w:val="Style22"/>
    <w:rPr>
      <w:rFonts w:ascii="SimSun" w:eastAsia="SimSun" w:hAnsi="SimSun" w:cs="SimSun"/>
      <w:b/>
      <w:bCs/>
      <w:i w:val="0"/>
      <w:iCs w:val="0"/>
      <w:smallCaps w:val="0"/>
      <w:strike w:val="0"/>
      <w:color w:val="A22A6F"/>
      <w:sz w:val="32"/>
      <w:szCs w:val="32"/>
      <w:u w:val="none"/>
      <w:shd w:val="clear" w:color="auto" w:fill="auto"/>
    </w:rPr>
  </w:style>
  <w:style w:type="character" w:customStyle="1" w:styleId="CharStyle25">
    <w:name w:val="正文文本 (3)_"/>
    <w:basedOn w:val="DefaultParagraphFont"/>
    <w:link w:val="Style24"/>
    <w:rPr>
      <w:rFonts w:ascii="SimSun" w:eastAsia="SimSun" w:hAnsi="SimSun" w:cs="SimSun"/>
      <w:b/>
      <w:bCs/>
      <w:i w:val="0"/>
      <w:iCs w:val="0"/>
      <w:smallCaps w:val="0"/>
      <w:strike w:val="0"/>
      <w:sz w:val="28"/>
      <w:szCs w:val="28"/>
      <w:u w:val="none"/>
      <w:shd w:val="clear" w:color="auto" w:fill="auto"/>
    </w:rPr>
  </w:style>
  <w:style w:type="character" w:customStyle="1" w:styleId="CharStyle29">
    <w:name w:val="目录_"/>
    <w:basedOn w:val="DefaultParagraphFont"/>
    <w:link w:val="Style28"/>
    <w:rPr>
      <w:rFonts w:ascii="SimSun" w:eastAsia="SimSun" w:hAnsi="SimSun" w:cs="SimSun"/>
      <w:b/>
      <w:bCs/>
      <w:i w:val="0"/>
      <w:iCs w:val="0"/>
      <w:smallCaps w:val="0"/>
      <w:strike w:val="0"/>
      <w:color w:val="A22A6F"/>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5"/>
      <w:szCs w:val="15"/>
      <w:u w:val="none"/>
      <w:shd w:val="clear" w:color="auto" w:fill="auto"/>
    </w:rPr>
  </w:style>
  <w:style w:type="character" w:customStyle="1" w:styleId="CharStyle35">
    <w:name w:val="正文文本 (2)_"/>
    <w:basedOn w:val="DefaultParagraphFont"/>
    <w:link w:val="Style3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0">
    <w:name w:val="标题 #2_"/>
    <w:basedOn w:val="DefaultParagraphFont"/>
    <w:link w:val="Style39"/>
    <w:rPr>
      <w:rFonts w:ascii="SimSun" w:eastAsia="SimSun" w:hAnsi="SimSun" w:cs="SimSun"/>
      <w:b/>
      <w:bCs/>
      <w:i w:val="0"/>
      <w:iCs w:val="0"/>
      <w:smallCaps w:val="0"/>
      <w:strike w:val="0"/>
      <w:u w:val="none"/>
      <w:shd w:val="clear" w:color="auto" w:fill="auto"/>
    </w:rPr>
  </w:style>
  <w:style w:type="character" w:customStyle="1" w:styleId="CharStyle46">
    <w:name w:val="表格标题_"/>
    <w:basedOn w:val="DefaultParagraphFont"/>
    <w:link w:val="Style45"/>
    <w:rPr>
      <w:rFonts w:ascii="SimSun" w:eastAsia="SimSun" w:hAnsi="SimSun" w:cs="SimSun"/>
      <w:b w:val="0"/>
      <w:bCs w:val="0"/>
      <w:i w:val="0"/>
      <w:iCs w:val="0"/>
      <w:smallCaps w:val="0"/>
      <w:strike w:val="0"/>
      <w:sz w:val="15"/>
      <w:szCs w:val="15"/>
      <w:u w:val="none"/>
      <w:shd w:val="clear" w:color="auto" w:fill="auto"/>
    </w:rPr>
  </w:style>
  <w:style w:type="character" w:customStyle="1" w:styleId="CharStyle50">
    <w:name w:val="标题 #3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63">
    <w:name w:val="图片标题_"/>
    <w:basedOn w:val="DefaultParagraphFont"/>
    <w:link w:val="Style62"/>
    <w:rPr>
      <w:rFonts w:ascii="SimSun" w:eastAsia="SimSun" w:hAnsi="SimSun" w:cs="SimSun"/>
      <w:b w:val="0"/>
      <w:bCs w:val="0"/>
      <w:i w:val="0"/>
      <w:iCs w:val="0"/>
      <w:smallCaps w:val="0"/>
      <w:strike w:val="0"/>
      <w:sz w:val="15"/>
      <w:szCs w:val="15"/>
      <w:u w:val="none"/>
      <w:shd w:val="clear" w:color="auto" w:fill="auto"/>
    </w:rPr>
  </w:style>
  <w:style w:type="character" w:customStyle="1" w:styleId="CharStyle70">
    <w:name w:val="标题 #4_"/>
    <w:basedOn w:val="DefaultParagraphFont"/>
    <w:link w:val="Style69"/>
    <w:rPr>
      <w:rFonts w:ascii="SimSun" w:eastAsia="SimSun" w:hAnsi="SimSun" w:cs="SimSun"/>
      <w:b/>
      <w:bCs/>
      <w:i w:val="0"/>
      <w:iCs w:val="0"/>
      <w:smallCaps w:val="0"/>
      <w:strike w:val="0"/>
      <w:sz w:val="20"/>
      <w:szCs w:val="20"/>
      <w:u w:val="none"/>
      <w:shd w:val="clear" w:color="auto" w:fill="auto"/>
    </w:rPr>
  </w:style>
  <w:style w:type="character" w:customStyle="1" w:styleId="CharStyle91">
    <w:name w:val="正文文本 (6)_"/>
    <w:basedOn w:val="DefaultParagraphFont"/>
    <w:link w:val="Style90"/>
    <w:rPr>
      <w:rFonts w:ascii="Times New Roman" w:eastAsia="Times New Roman" w:hAnsi="Times New Roman" w:cs="Times New Roman"/>
      <w:b w:val="0"/>
      <w:bCs w:val="0"/>
      <w:i w:val="0"/>
      <w:iCs w:val="0"/>
      <w:smallCaps w:val="0"/>
      <w:strike w:val="0"/>
      <w:sz w:val="12"/>
      <w:szCs w:val="12"/>
      <w:u w:val="none"/>
      <w:shd w:val="clear" w:color="auto" w:fill="auto"/>
    </w:rPr>
  </w:style>
  <w:style w:type="character" w:customStyle="1" w:styleId="CharStyle97">
    <w:name w:val="正文文本 (7)_"/>
    <w:basedOn w:val="DefaultParagraphFont"/>
    <w:link w:val="Style96"/>
    <w:rPr>
      <w:rFonts w:ascii="SimSun" w:eastAsia="SimSun" w:hAnsi="SimSun" w:cs="SimSun"/>
      <w:b/>
      <w:bCs/>
      <w:i w:val="0"/>
      <w:iCs w:val="0"/>
      <w:smallCaps w:val="0"/>
      <w:strike w:val="0"/>
      <w:sz w:val="20"/>
      <w:szCs w:val="20"/>
      <w:u w:val="none"/>
      <w:shd w:val="clear" w:color="auto" w:fill="auto"/>
    </w:rPr>
  </w:style>
  <w:style w:type="character" w:customStyle="1" w:styleId="CharStyle102">
    <w:name w:val="页眉或页脚_"/>
    <w:basedOn w:val="DefaultParagraphFont"/>
    <w:link w:val="Style101"/>
    <w:rPr>
      <w:rFonts w:ascii="SimSun" w:eastAsia="SimSun" w:hAnsi="SimSun" w:cs="SimSun"/>
      <w:b w:val="0"/>
      <w:bCs w:val="0"/>
      <w:i w:val="0"/>
      <w:iCs w:val="0"/>
      <w:smallCaps w:val="0"/>
      <w:strike w:val="0"/>
      <w:sz w:val="15"/>
      <w:szCs w:val="15"/>
      <w:u w:val="none"/>
      <w:shd w:val="clear" w:color="auto" w:fill="auto"/>
    </w:rPr>
  </w:style>
  <w:style w:type="character" w:customStyle="1" w:styleId="CharStyle122">
    <w:name w:val="标题 #5_"/>
    <w:basedOn w:val="DefaultParagraphFont"/>
    <w:link w:val="Style121"/>
    <w:rPr>
      <w:rFonts w:ascii="SimSun" w:eastAsia="SimSun" w:hAnsi="SimSun" w:cs="SimSun"/>
      <w:b/>
      <w:bCs/>
      <w:i w:val="0"/>
      <w:iCs w:val="0"/>
      <w:smallCaps w:val="0"/>
      <w:strike w:val="0"/>
      <w:sz w:val="20"/>
      <w:szCs w:val="20"/>
      <w:u w:val="none"/>
      <w:shd w:val="clear" w:color="auto" w:fill="auto"/>
    </w:rPr>
  </w:style>
  <w:style w:type="character" w:customStyle="1" w:styleId="CharStyle126">
    <w:name w:val="正文文本 (8)_"/>
    <w:basedOn w:val="DefaultParagraphFont"/>
    <w:link w:val="Style125"/>
    <w:rPr>
      <w:rFonts w:ascii="SimSun" w:eastAsia="SimSun" w:hAnsi="SimSun" w:cs="SimSu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spacing w:line="326" w:lineRule="auto"/>
    </w:pPr>
    <w:rPr>
      <w:rFonts w:ascii="SimSun" w:eastAsia="SimSun" w:hAnsi="SimSun" w:cs="SimSun"/>
      <w:b w:val="0"/>
      <w:bCs w:val="0"/>
      <w:i w:val="0"/>
      <w:iCs w:val="0"/>
      <w:smallCaps w:val="0"/>
      <w:strike w:val="0"/>
      <w:sz w:val="15"/>
      <w:szCs w:val="15"/>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标题 #1"/>
    <w:basedOn w:val="Normal"/>
    <w:link w:val="CharStyle23"/>
    <w:pPr>
      <w:widowControl w:val="0"/>
      <w:shd w:val="clear" w:color="auto" w:fill="auto"/>
      <w:spacing w:before="300" w:after="540"/>
      <w:jc w:val="center"/>
      <w:outlineLvl w:val="0"/>
    </w:pPr>
    <w:rPr>
      <w:rFonts w:ascii="SimSun" w:eastAsia="SimSun" w:hAnsi="SimSun" w:cs="SimSun"/>
      <w:b/>
      <w:bCs/>
      <w:i w:val="0"/>
      <w:iCs w:val="0"/>
      <w:smallCaps w:val="0"/>
      <w:strike w:val="0"/>
      <w:color w:val="A22A6F"/>
      <w:sz w:val="32"/>
      <w:szCs w:val="32"/>
      <w:u w:val="none"/>
      <w:shd w:val="clear" w:color="auto" w:fill="auto"/>
    </w:rPr>
  </w:style>
  <w:style w:type="paragraph" w:customStyle="1" w:styleId="Style24">
    <w:name w:val="正文文本 (3)"/>
    <w:basedOn w:val="Normal"/>
    <w:link w:val="CharStyle25"/>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8">
    <w:name w:val="目录"/>
    <w:basedOn w:val="Normal"/>
    <w:link w:val="CharStyle29"/>
    <w:pPr>
      <w:widowControl w:val="0"/>
      <w:shd w:val="clear" w:color="auto" w:fill="auto"/>
      <w:spacing w:after="220"/>
    </w:pPr>
    <w:rPr>
      <w:rFonts w:ascii="SimSun" w:eastAsia="SimSun" w:hAnsi="SimSun" w:cs="SimSun"/>
      <w:b/>
      <w:bCs/>
      <w:i w:val="0"/>
      <w:iCs w:val="0"/>
      <w:smallCaps w:val="0"/>
      <w:strike w:val="0"/>
      <w:color w:val="A22A6F"/>
      <w:u w:val="none"/>
      <w:shd w:val="clear" w:color="auto" w:fill="auto"/>
    </w:rPr>
  </w:style>
  <w:style w:type="paragraph" w:customStyle="1" w:styleId="Style31">
    <w:name w:val="正文文本"/>
    <w:basedOn w:val="Normal"/>
    <w:link w:val="CharStyle32"/>
    <w:pPr>
      <w:widowControl w:val="0"/>
      <w:shd w:val="clear" w:color="auto" w:fill="auto"/>
      <w:spacing w:line="326" w:lineRule="auto"/>
    </w:pPr>
    <w:rPr>
      <w:rFonts w:ascii="SimSun" w:eastAsia="SimSun" w:hAnsi="SimSun" w:cs="SimSun"/>
      <w:b w:val="0"/>
      <w:bCs w:val="0"/>
      <w:i w:val="0"/>
      <w:iCs w:val="0"/>
      <w:smallCaps w:val="0"/>
      <w:strike w:val="0"/>
      <w:sz w:val="15"/>
      <w:szCs w:val="15"/>
      <w:u w:val="none"/>
      <w:shd w:val="clear" w:color="auto" w:fill="auto"/>
    </w:rPr>
  </w:style>
  <w:style w:type="paragraph" w:customStyle="1" w:styleId="Style34">
    <w:name w:val="正文文本 (2)"/>
    <w:basedOn w:val="Normal"/>
    <w:link w:val="CharStyle35"/>
    <w:pPr>
      <w:widowControl w:val="0"/>
      <w:shd w:val="clear" w:color="auto" w:fill="auto"/>
      <w:spacing w:line="230"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9">
    <w:name w:val="标题 #2"/>
    <w:basedOn w:val="Normal"/>
    <w:link w:val="CharStyle4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45">
    <w:name w:val="表格标题"/>
    <w:basedOn w:val="Normal"/>
    <w:link w:val="CharStyle46"/>
    <w:pPr>
      <w:widowControl w:val="0"/>
      <w:shd w:val="clear" w:color="auto" w:fill="auto"/>
      <w:spacing w:line="230" w:lineRule="exact"/>
    </w:pPr>
    <w:rPr>
      <w:rFonts w:ascii="SimSun" w:eastAsia="SimSun" w:hAnsi="SimSun" w:cs="SimSun"/>
      <w:b w:val="0"/>
      <w:bCs w:val="0"/>
      <w:i w:val="0"/>
      <w:iCs w:val="0"/>
      <w:smallCaps w:val="0"/>
      <w:strike w:val="0"/>
      <w:sz w:val="15"/>
      <w:szCs w:val="15"/>
      <w:u w:val="none"/>
      <w:shd w:val="clear" w:color="auto" w:fill="auto"/>
    </w:rPr>
  </w:style>
  <w:style w:type="paragraph" w:customStyle="1" w:styleId="Style49">
    <w:name w:val="标题 #3"/>
    <w:basedOn w:val="Normal"/>
    <w:link w:val="CharStyle5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62">
    <w:name w:val="图片标题"/>
    <w:basedOn w:val="Normal"/>
    <w:link w:val="CharStyle63"/>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69">
    <w:name w:val="标题 #4"/>
    <w:basedOn w:val="Normal"/>
    <w:link w:val="CharStyle7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0">
    <w:name w:val="正文文本 (6)"/>
    <w:basedOn w:val="Normal"/>
    <w:link w:val="CharStyle91"/>
    <w:pPr>
      <w:widowControl w:val="0"/>
      <w:shd w:val="clear" w:color="auto" w:fill="auto"/>
      <w:ind w:firstLine="220"/>
    </w:pPr>
    <w:rPr>
      <w:rFonts w:ascii="Times New Roman" w:eastAsia="Times New Roman" w:hAnsi="Times New Roman" w:cs="Times New Roman"/>
      <w:b w:val="0"/>
      <w:bCs w:val="0"/>
      <w:i w:val="0"/>
      <w:iCs w:val="0"/>
      <w:smallCaps w:val="0"/>
      <w:strike w:val="0"/>
      <w:sz w:val="12"/>
      <w:szCs w:val="12"/>
      <w:u w:val="none"/>
      <w:shd w:val="clear" w:color="auto" w:fill="auto"/>
    </w:rPr>
  </w:style>
  <w:style w:type="paragraph" w:customStyle="1" w:styleId="Style96">
    <w:name w:val="正文文本 (7)"/>
    <w:basedOn w:val="Normal"/>
    <w:link w:val="CharStyle97"/>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101">
    <w:name w:val="页眉或页脚"/>
    <w:basedOn w:val="Normal"/>
    <w:link w:val="CharStyle102"/>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121">
    <w:name w:val="标题 #5"/>
    <w:basedOn w:val="Normal"/>
    <w:link w:val="CharStyle122"/>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25">
    <w:name w:val="正文文本 (8)"/>
    <w:basedOn w:val="Normal"/>
    <w:link w:val="CharStyle126"/>
    <w:pPr>
      <w:widowControl w:val="0"/>
      <w:shd w:val="clear" w:color="auto" w:fill="auto"/>
      <w:spacing w:after="380" w:line="305" w:lineRule="exact"/>
      <w:ind w:left="84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png"/><Relationship Id="rId30" Type="http://schemas.openxmlformats.org/officeDocument/2006/relationships/image" Target="media/image7.png" TargetMode="External"/><Relationship Id="rId31" Type="http://schemas.openxmlformats.org/officeDocument/2006/relationships/header" Target="header7.xml"/><Relationship Id="rId32" Type="http://schemas.openxmlformats.org/officeDocument/2006/relationships/footer" Target="footer9.xml"/><Relationship Id="rId33" Type="http://schemas.openxmlformats.org/officeDocument/2006/relationships/header" Target="header8.xml"/><Relationship Id="rId34" Type="http://schemas.openxmlformats.org/officeDocument/2006/relationships/footer" Target="footer10.xml"/><Relationship Id="rId35" Type="http://schemas.openxmlformats.org/officeDocument/2006/relationships/header" Target="header9.xml"/><Relationship Id="rId36" Type="http://schemas.openxmlformats.org/officeDocument/2006/relationships/footer" Target="footer11.xml"/><Relationship Id="rId37" Type="http://schemas.openxmlformats.org/officeDocument/2006/relationships/header" Target="header10.xml"/><Relationship Id="rId38" Type="http://schemas.openxmlformats.org/officeDocument/2006/relationships/footer" Target="footer12.xml"/><Relationship Id="rId39" Type="http://schemas.openxmlformats.org/officeDocument/2006/relationships/image" Target="media/image8.jpeg"/><Relationship Id="rId40" Type="http://schemas.openxmlformats.org/officeDocument/2006/relationships/image" Target="media/image8.jpeg" TargetMode="External"/><Relationship Id="rId41" Type="http://schemas.openxmlformats.org/officeDocument/2006/relationships/header" Target="header11.xml"/><Relationship Id="rId42" Type="http://schemas.openxmlformats.org/officeDocument/2006/relationships/footer" Target="footer13.xml"/><Relationship Id="rId43" Type="http://schemas.openxmlformats.org/officeDocument/2006/relationships/header" Target="header12.xml"/><Relationship Id="rId44" Type="http://schemas.openxmlformats.org/officeDocument/2006/relationships/footer" Target="footer14.xml"/><Relationship Id="rId45" Type="http://schemas.openxmlformats.org/officeDocument/2006/relationships/header" Target="header13.xml"/><Relationship Id="rId46" Type="http://schemas.openxmlformats.org/officeDocument/2006/relationships/footer" Target="footer15.xml"/><Relationship Id="rId47" Type="http://schemas.openxmlformats.org/officeDocument/2006/relationships/header" Target="header14.xml"/><Relationship Id="rId48" Type="http://schemas.openxmlformats.org/officeDocument/2006/relationships/footer" Target="footer16.xml"/><Relationship Id="rId49" Type="http://schemas.openxmlformats.org/officeDocument/2006/relationships/header" Target="header15.xml"/><Relationship Id="rId50" Type="http://schemas.openxmlformats.org/officeDocument/2006/relationships/footer" Target="footer17.xml"/><Relationship Id="rId51" Type="http://schemas.openxmlformats.org/officeDocument/2006/relationships/header" Target="header16.xml"/><Relationship Id="rId52" Type="http://schemas.openxmlformats.org/officeDocument/2006/relationships/footer" Target="footer18.xml"/><Relationship Id="rId53" Type="http://schemas.openxmlformats.org/officeDocument/2006/relationships/header" Target="header17.xml"/><Relationship Id="rId54" Type="http://schemas.openxmlformats.org/officeDocument/2006/relationships/footer" Target="footer19.xml"/><Relationship Id="rId55" Type="http://schemas.openxmlformats.org/officeDocument/2006/relationships/header" Target="header18.xml"/><Relationship Id="rId56" Type="http://schemas.openxmlformats.org/officeDocument/2006/relationships/footer" Target="footer20.xml"/><Relationship Id="rId57" Type="http://schemas.openxmlformats.org/officeDocument/2006/relationships/header" Target="header19.xml"/><Relationship Id="rId58" Type="http://schemas.openxmlformats.org/officeDocument/2006/relationships/footer" Target="footer21.xml"/><Relationship Id="rId59" Type="http://schemas.openxmlformats.org/officeDocument/2006/relationships/header" Target="header20.xml"/><Relationship Id="rId60" Type="http://schemas.openxmlformats.org/officeDocument/2006/relationships/footer" Target="footer22.xml"/><Relationship Id="rId61" Type="http://schemas.openxmlformats.org/officeDocument/2006/relationships/header" Target="header21.xml"/><Relationship Id="rId62" Type="http://schemas.openxmlformats.org/officeDocument/2006/relationships/footer" Target="footer23.xml"/><Relationship Id="rId63" Type="http://schemas.openxmlformats.org/officeDocument/2006/relationships/header" Target="header22.xml"/><Relationship Id="rId64" Type="http://schemas.openxmlformats.org/officeDocument/2006/relationships/footer" Target="footer24.xml"/><Relationship Id="rId65" Type="http://schemas.openxmlformats.org/officeDocument/2006/relationships/header" Target="header23.xml"/><Relationship Id="rId66" Type="http://schemas.openxmlformats.org/officeDocument/2006/relationships/footer" Target="footer25.xml"/><Relationship Id="rId67" Type="http://schemas.openxmlformats.org/officeDocument/2006/relationships/header" Target="header24.xml"/><Relationship Id="rId68" Type="http://schemas.openxmlformats.org/officeDocument/2006/relationships/footer" Target="footer26.xml"/><Relationship Id="rId69" Type="http://schemas.openxmlformats.org/officeDocument/2006/relationships/header" Target="header25.xml"/><Relationship Id="rId70" Type="http://schemas.openxmlformats.org/officeDocument/2006/relationships/footer" Target="footer27.xml"/><Relationship Id="rId71" Type="http://schemas.openxmlformats.org/officeDocument/2006/relationships/header" Target="header26.xml"/><Relationship Id="rId72" Type="http://schemas.openxmlformats.org/officeDocument/2006/relationships/footer" Target="footer28.xml"/><Relationship Id="rId73" Type="http://schemas.openxmlformats.org/officeDocument/2006/relationships/header" Target="header27.xml"/><Relationship Id="rId74" Type="http://schemas.openxmlformats.org/officeDocument/2006/relationships/footer" Target="footer29.xml"/><Relationship Id="rId75" Type="http://schemas.openxmlformats.org/officeDocument/2006/relationships/header" Target="header28.xml"/><Relationship Id="rId76" Type="http://schemas.openxmlformats.org/officeDocument/2006/relationships/footer" Target="footer30.xml"/><Relationship Id="rId77" Type="http://schemas.openxmlformats.org/officeDocument/2006/relationships/header" Target="header29.xml"/><Relationship Id="rId78" Type="http://schemas.openxmlformats.org/officeDocument/2006/relationships/footer" Target="footer31.xml"/><Relationship Id="rId79" Type="http://schemas.openxmlformats.org/officeDocument/2006/relationships/header" Target="header30.xml"/><Relationship Id="rId80" Type="http://schemas.openxmlformats.org/officeDocument/2006/relationships/footer" Target="footer32.xml"/><Relationship Id="rId81" Type="http://schemas.openxmlformats.org/officeDocument/2006/relationships/header" Target="header31.xml"/><Relationship Id="rId82" Type="http://schemas.openxmlformats.org/officeDocument/2006/relationships/footer" Target="footer33.xml"/><Relationship Id="rId83" Type="http://schemas.openxmlformats.org/officeDocument/2006/relationships/header" Target="header32.xml"/><Relationship Id="rId84" Type="http://schemas.openxmlformats.org/officeDocument/2006/relationships/footer" Target="footer34.xml"/><Relationship Id="rId85" Type="http://schemas.openxmlformats.org/officeDocument/2006/relationships/header" Target="header33.xml"/><Relationship Id="rId86" Type="http://schemas.openxmlformats.org/officeDocument/2006/relationships/footer" Target="footer35.xml"/><Relationship Id="rId87" Type="http://schemas.openxmlformats.org/officeDocument/2006/relationships/header" Target="header34.xml"/><Relationship Id="rId88" Type="http://schemas.openxmlformats.org/officeDocument/2006/relationships/footer" Target="footer36.xml"/><Relationship Id="rId89" Type="http://schemas.openxmlformats.org/officeDocument/2006/relationships/image" Target="media/image11.jpeg"/><Relationship Id="rId90" Type="http://schemas.openxmlformats.org/officeDocument/2006/relationships/image" Target="media/image11.jpeg" TargetMode="External"/><Relationship Id="rId91" Type="http://schemas.openxmlformats.org/officeDocument/2006/relationships/header" Target="header35.xml"/><Relationship Id="rId92" Type="http://schemas.openxmlformats.org/officeDocument/2006/relationships/footer" Target="footer37.xml"/><Relationship Id="rId93" Type="http://schemas.openxmlformats.org/officeDocument/2006/relationships/header" Target="header36.xml"/><Relationship Id="rId94" Type="http://schemas.openxmlformats.org/officeDocument/2006/relationships/footer" Target="footer38.xml"/><Relationship Id="rId95" Type="http://schemas.openxmlformats.org/officeDocument/2006/relationships/header" Target="header37.xml"/><Relationship Id="rId96" Type="http://schemas.openxmlformats.org/officeDocument/2006/relationships/footer" Target="footer39.xml"/><Relationship Id="rId97" Type="http://schemas.openxmlformats.org/officeDocument/2006/relationships/header" Target="header38.xml"/><Relationship Id="rId98" Type="http://schemas.openxmlformats.org/officeDocument/2006/relationships/footer" Target="footer40.xml"/><Relationship Id="rId99" Type="http://schemas.openxmlformats.org/officeDocument/2006/relationships/header" Target="header39.xml"/><Relationship Id="rId100" Type="http://schemas.openxmlformats.org/officeDocument/2006/relationships/footer" Target="footer41.xml"/><Relationship Id="rId101" Type="http://schemas.openxmlformats.org/officeDocument/2006/relationships/header" Target="header40.xml"/><Relationship Id="rId102" Type="http://schemas.openxmlformats.org/officeDocument/2006/relationships/footer" Target="footer42.xml"/><Relationship Id="rId103" Type="http://schemas.openxmlformats.org/officeDocument/2006/relationships/header" Target="header41.xml"/><Relationship Id="rId104" Type="http://schemas.openxmlformats.org/officeDocument/2006/relationships/footer" Target="footer43.xml"/><Relationship Id="rId105" Type="http://schemas.openxmlformats.org/officeDocument/2006/relationships/header" Target="header42.xml"/><Relationship Id="rId106" Type="http://schemas.openxmlformats.org/officeDocument/2006/relationships/footer" Target="footer44.xml"/><Relationship Id="rId107" Type="http://schemas.openxmlformats.org/officeDocument/2006/relationships/header" Target="header43.xml"/><Relationship Id="rId108" Type="http://schemas.openxmlformats.org/officeDocument/2006/relationships/footer" Target="footer45.xml"/><Relationship Id="rId109" Type="http://schemas.openxmlformats.org/officeDocument/2006/relationships/header" Target="header44.xml"/><Relationship Id="rId110" Type="http://schemas.openxmlformats.org/officeDocument/2006/relationships/footer" Target="footer46.xml"/><Relationship Id="rId111" Type="http://schemas.openxmlformats.org/officeDocument/2006/relationships/header" Target="header45.xml"/><Relationship Id="rId112" Type="http://schemas.openxmlformats.org/officeDocument/2006/relationships/footer" Target="footer47.xml"/><Relationship Id="rId113" Type="http://schemas.openxmlformats.org/officeDocument/2006/relationships/header" Target="header46.xml"/><Relationship Id="rId114" Type="http://schemas.openxmlformats.org/officeDocument/2006/relationships/footer" Target="footer48.xml"/><Relationship Id="rId115" Type="http://schemas.openxmlformats.org/officeDocument/2006/relationships/header" Target="header47.xml"/><Relationship Id="rId116" Type="http://schemas.openxmlformats.org/officeDocument/2006/relationships/footer" Target="footer49.xml"/><Relationship Id="rId117" Type="http://schemas.openxmlformats.org/officeDocument/2006/relationships/image" Target="media/image13.jpeg"/><Relationship Id="rId118" Type="http://schemas.openxmlformats.org/officeDocument/2006/relationships/image" Target="media/image13.jpeg" TargetMode="External"/><Relationship Id="rId119" Type="http://schemas.openxmlformats.org/officeDocument/2006/relationships/image" Target="media/image14.jpeg"/><Relationship Id="rId120" Type="http://schemas.openxmlformats.org/officeDocument/2006/relationships/image" Target="media/image14.jpeg" TargetMode="External"/><Relationship Id="rId121" Type="http://schemas.openxmlformats.org/officeDocument/2006/relationships/header" Target="header48.xml"/><Relationship Id="rId122" Type="http://schemas.openxmlformats.org/officeDocument/2006/relationships/footer" Target="footer50.xml"/><Relationship Id="rId123" Type="http://schemas.openxmlformats.org/officeDocument/2006/relationships/header" Target="header49.xml"/><Relationship Id="rId124" Type="http://schemas.openxmlformats.org/officeDocument/2006/relationships/footer" Target="footer51.xml"/></Relationships>
</file>

<file path=word/_rels/header13.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23.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26.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27.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43.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北京百华悦邦科技股份有限公司2020年年度报告全文</dc:title>
  <dc:subject/>
  <dc:creator>北京百华悦邦科技股份有限公司</dc:creator>
  <cp:keywords/>
</cp:coreProperties>
</file>