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35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408656" cy="8572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8656" cy="857250"/>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964" w:right="3946" w:firstLine="0"/>
        <w:jc w:val="center"/>
        <w:rPr>
          <w:rFonts w:ascii="宋体" w:hAnsi="宋体" w:cs="宋体" w:eastAsia="宋体" w:hint="default"/>
          <w:sz w:val="36"/>
          <w:szCs w:val="36"/>
        </w:rPr>
      </w:pPr>
      <w:r>
        <w:rPr>
          <w:rFonts w:ascii="宋体" w:hAnsi="宋体" w:cs="宋体" w:eastAsia="宋体" w:hint="default"/>
          <w:b/>
          <w:bCs/>
          <w:sz w:val="36"/>
          <w:szCs w:val="36"/>
        </w:rPr>
        <w:t>拉卡拉支付股份有限公司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964" w:right="394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964" w:right="39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公司负责人孙陶然、主管会计工作负责人周钢及会计机构负责人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周钢声明：保证年度报告中财务报告的真实、准确、完整。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本年度报告中涉及的未来发展战略、经营计划等前瞻性内容属于计划性事</w:t>
      </w:r>
      <w:r>
        <w:rPr>
          <w:rFonts w:ascii="宋体" w:hAnsi="宋体" w:cs="宋体" w:eastAsia="宋体" w:hint="default"/>
          <w:spacing w:val="2"/>
          <w:sz w:val="28"/>
          <w:szCs w:val="28"/>
        </w:rPr>
      </w:r>
    </w:p>
    <w:p>
      <w:pPr>
        <w:spacing w:line="403" w:lineRule="auto" w:before="0"/>
        <w:ind w:left="152" w:right="1132" w:firstLine="0"/>
        <w:jc w:val="both"/>
        <w:rPr>
          <w:rFonts w:ascii="宋体" w:hAnsi="宋体" w:cs="宋体" w:eastAsia="宋体" w:hint="default"/>
          <w:sz w:val="28"/>
          <w:szCs w:val="28"/>
        </w:rPr>
      </w:pPr>
      <w:r>
        <w:rPr>
          <w:rFonts w:ascii="宋体" w:hAnsi="宋体" w:cs="宋体" w:eastAsia="宋体" w:hint="default"/>
          <w:b/>
          <w:bCs/>
          <w:spacing w:val="2"/>
          <w:sz w:val="28"/>
          <w:szCs w:val="28"/>
        </w:rPr>
        <w:t>项，能否实现取决于市场状况变化等多种因素，存在不确定性，并不代表公司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对未来年度的盈利预测，也不构成公司对投资者及相关人士的实质性承诺。投</w:t>
      </w:r>
      <w:r>
        <w:rPr>
          <w:rFonts w:ascii="宋体" w:hAnsi="宋体" w:cs="宋体" w:eastAsia="宋体" w:hint="default"/>
          <w:b/>
          <w:bCs/>
          <w:w w:val="99"/>
          <w:sz w:val="28"/>
          <w:szCs w:val="28"/>
        </w:rPr>
        <w:t> </w:t>
      </w:r>
      <w:r>
        <w:rPr>
          <w:rFonts w:ascii="宋体" w:hAnsi="宋体" w:cs="宋体" w:eastAsia="宋体" w:hint="default"/>
          <w:b/>
          <w:bCs/>
          <w:spacing w:val="2"/>
          <w:sz w:val="28"/>
          <w:szCs w:val="28"/>
        </w:rPr>
        <w:t>资者及相关人士均应对此保持足够的风险认识，并且应当理解计划、预测与承</w:t>
      </w:r>
      <w:r>
        <w:rPr>
          <w:rFonts w:ascii="宋体" w:hAnsi="宋体" w:cs="宋体" w:eastAsia="宋体" w:hint="default"/>
          <w:b/>
          <w:bCs/>
          <w:w w:val="99"/>
          <w:sz w:val="28"/>
          <w:szCs w:val="28"/>
        </w:rPr>
        <w:t> </w:t>
      </w:r>
      <w:r>
        <w:rPr>
          <w:rFonts w:ascii="宋体" w:hAnsi="宋体" w:cs="宋体" w:eastAsia="宋体" w:hint="default"/>
          <w:b/>
          <w:bCs/>
          <w:spacing w:val="2"/>
          <w:sz w:val="28"/>
          <w:szCs w:val="28"/>
        </w:rPr>
        <w:t>诺之间的差异，敬请投资者注意投资风险。公司在本年度报告中详细阐述了未</w:t>
      </w:r>
      <w:r>
        <w:rPr>
          <w:rFonts w:ascii="宋体" w:hAnsi="宋体" w:cs="宋体" w:eastAsia="宋体" w:hint="default"/>
          <w:b/>
          <w:bCs/>
          <w:w w:val="99"/>
          <w:sz w:val="28"/>
          <w:szCs w:val="28"/>
        </w:rPr>
        <w:t> </w:t>
      </w:r>
      <w:r>
        <w:rPr>
          <w:rFonts w:ascii="宋体" w:hAnsi="宋体" w:cs="宋体" w:eastAsia="宋体" w:hint="default"/>
          <w:b/>
          <w:bCs/>
          <w:spacing w:val="2"/>
          <w:sz w:val="28"/>
          <w:szCs w:val="28"/>
        </w:rPr>
        <w:t>来可能存在的风险因素及对策，具体内容详见本报告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w:t>
      </w:r>
      <w:r>
        <w:rPr>
          <w:rFonts w:ascii="宋体" w:hAnsi="宋体" w:cs="宋体" w:eastAsia="宋体" w:hint="default"/>
          <w:b/>
          <w:bCs/>
          <w:spacing w:val="16"/>
          <w:sz w:val="28"/>
          <w:szCs w:val="28"/>
        </w:rPr>
        <w:t> </w:t>
      </w:r>
      <w:r>
        <w:rPr>
          <w:rFonts w:ascii="宋体" w:hAnsi="宋体" w:cs="宋体" w:eastAsia="宋体" w:hint="default"/>
          <w:b/>
          <w:bCs/>
          <w:sz w:val="28"/>
          <w:szCs w:val="28"/>
        </w:rPr>
        <w:t>经营情况讨论与</w:t>
      </w:r>
      <w:r>
        <w:rPr>
          <w:rFonts w:ascii="宋体" w:hAnsi="宋体" w:cs="宋体" w:eastAsia="宋体" w:hint="default"/>
          <w:b/>
          <w:bCs/>
          <w:w w:val="99"/>
          <w:sz w:val="28"/>
          <w:szCs w:val="28"/>
        </w:rPr>
        <w:t> </w:t>
      </w:r>
      <w:r>
        <w:rPr>
          <w:rFonts w:ascii="宋体" w:hAnsi="宋体" w:cs="宋体" w:eastAsia="宋体" w:hint="default"/>
          <w:b/>
          <w:bCs/>
          <w:sz w:val="28"/>
          <w:szCs w:val="28"/>
        </w:rPr>
        <w:t>分析</w:t>
      </w:r>
      <w:r>
        <w:rPr>
          <w:rFonts w:ascii="宋体" w:hAnsi="宋体" w:cs="宋体" w:eastAsia="宋体" w:hint="default"/>
          <w:b/>
          <w:bCs/>
          <w:spacing w:val="-2"/>
          <w:sz w:val="28"/>
          <w:szCs w:val="28"/>
        </w:rPr>
        <w:t> </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，敬请投资者予以关注。</w:t>
      </w:r>
      <w:r>
        <w:rPr>
          <w:rFonts w:ascii="宋体" w:hAnsi="宋体" w:cs="宋体" w:eastAsia="宋体" w:hint="default"/>
          <w:sz w:val="28"/>
          <w:szCs w:val="28"/>
        </w:rPr>
      </w:r>
    </w:p>
    <w:p>
      <w:pPr>
        <w:spacing w:before="126"/>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400010000</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57"/>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57"/>
          <w:sz w:val="28"/>
          <w:szCs w:val="28"/>
        </w:rPr>
        <w:t> </w:t>
      </w:r>
      <w:r>
        <w:rPr>
          <w:rFonts w:ascii="Times New Roman" w:hAnsi="Times New Roman" w:cs="Times New Roman" w:eastAsia="Times New Roman" w:hint="default"/>
          <w:b/>
          <w:bCs/>
          <w:spacing w:val="1"/>
          <w:w w:val="100"/>
          <w:sz w:val="28"/>
          <w:szCs w:val="28"/>
        </w:rPr>
        <w:t>2</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55"/>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w:t>
      </w:r>
      <w:r>
        <w:rPr>
          <w:rFonts w:ascii="宋体" w:hAnsi="宋体" w:cs="宋体" w:eastAsia="宋体" w:hint="default"/>
          <w:sz w:val="28"/>
          <w:szCs w:val="28"/>
        </w:rPr>
      </w:r>
    </w:p>
    <w:p>
      <w:pPr>
        <w:spacing w:before="237"/>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964" w:right="394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12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30</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68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75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76</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77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86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92</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t>93</w:t>
            </w:r>
          </w:hyperlink>
        </w:p>
        <w:p>
          <w:pPr>
            <w:pStyle w:val="TOC1"/>
            <w:tabs>
              <w:tab w:pos="9785" w:val="right" w:leader="dot"/>
            </w:tabs>
            <w:spacing w:line="240" w:lineRule="auto" w:before="104"/>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t>203</w:t>
            </w:r>
          </w:hyperlink>
        </w:p>
        <w:p>
          <w:pPr/>
          <w:r>
            <w:fldChar w:fldCharType="end"/>
          </w:r>
        </w:p>
      </w:sdtContent>
    </w:sdt>
    <w:p>
      <w:pPr>
        <w:spacing w:after="0"/>
        <w:sectPr>
          <w:pgSz w:w="11910" w:h="16840"/>
          <w:pgMar w:header="745" w:footer="980" w:top="1060" w:bottom="1160" w:left="980" w:right="0"/>
        </w:sectPr>
      </w:pPr>
    </w:p>
    <w:p>
      <w:pPr>
        <w:spacing w:before="945"/>
        <w:ind w:left="2964" w:right="394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2"/>
          <w:szCs w:val="12"/>
        </w:rPr>
      </w:pPr>
    </w:p>
    <w:p>
      <w:pPr>
        <w:pStyle w:val="BodyText"/>
        <w:spacing w:line="240" w:lineRule="auto"/>
        <w:ind w:left="0" w:right="1136"/>
        <w:jc w:val="right"/>
      </w:pPr>
      <w:r>
        <w:rPr/>
        <w:pict>
          <v:shape style="position:absolute;margin-left:56.400002pt;margin-top:-377.978271pt;width:479.3pt;height:549.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拉卡拉、公司、本公司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拉卡拉支付股份有限公司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78"/>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年年度股东大会通过的现行适用的《拉卡拉支付股份有限 公司章程》</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拉卡拉支付股份有限公司股东大会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拉卡拉支付股份有限公司董事会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拉卡拉支付股份有限公司监事会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交易所、上市证券交易所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互联网金融</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70"/>
                          <w:jc w:val="left"/>
                          <w:rPr>
                            <w:rFonts w:ascii="宋体" w:hAnsi="宋体" w:cs="宋体" w:eastAsia="宋体" w:hint="default"/>
                            <w:sz w:val="18"/>
                            <w:szCs w:val="18"/>
                          </w:rPr>
                        </w:pPr>
                        <w:r>
                          <w:rPr>
                            <w:rFonts w:ascii="宋体" w:hAnsi="宋体" w:cs="宋体" w:eastAsia="宋体" w:hint="default"/>
                            <w:sz w:val="18"/>
                            <w:szCs w:val="18"/>
                          </w:rPr>
                          <w:t>传统金融机构与互联网企业利用互联网技术和信息通信技术实现资 金融通、支付、投资和信息中介服务的新型金融业务模式</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169"/>
                          <w:jc w:val="left"/>
                          <w:rPr>
                            <w:rFonts w:ascii="宋体" w:hAnsi="宋体" w:cs="宋体" w:eastAsia="宋体" w:hint="default"/>
                            <w:sz w:val="18"/>
                            <w:szCs w:val="18"/>
                          </w:rPr>
                        </w:pPr>
                        <w:r>
                          <w:rPr>
                            <w:rFonts w:ascii="宋体" w:hAnsi="宋体" w:cs="宋体" w:eastAsia="宋体" w:hint="default"/>
                            <w:sz w:val="18"/>
                            <w:szCs w:val="18"/>
                          </w:rPr>
                          <w:t>用户使用其手机等移动终端对所消费的商品或服务进行账务支付的 一种服务方式</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69"/>
                          <w:jc w:val="left"/>
                          <w:rPr>
                            <w:rFonts w:ascii="宋体" w:hAnsi="宋体" w:cs="宋体" w:eastAsia="宋体" w:hint="default"/>
                            <w:sz w:val="18"/>
                            <w:szCs w:val="18"/>
                          </w:rPr>
                        </w:pPr>
                        <w:r>
                          <w:rPr>
                            <w:rFonts w:ascii="宋体" w:hAnsi="宋体" w:cs="宋体" w:eastAsia="宋体" w:hint="default"/>
                            <w:sz w:val="18"/>
                            <w:szCs w:val="18"/>
                          </w:rPr>
                          <w:t>一些和银行签约并具备一定实力和信誉保障的第三方独立机构面向 个人和企业提供支付和清算服务的交易支持平台</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收单业务</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收单机构与特约商户签订银行卡受理协议，在特约商户按约定受理银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行卡并与持卡人达成交易后，为特约商户提供交易资金结算服务。收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单机构通过向商户收取手续费获得收益。</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POS/POS </w:t>
                        </w:r>
                        <w:r>
                          <w:rPr>
                            <w:rFonts w:ascii="宋体" w:hAnsi="宋体" w:cs="宋体" w:eastAsia="宋体" w:hint="default"/>
                            <w:sz w:val="18"/>
                            <w:szCs w:val="18"/>
                          </w:rPr>
                          <w:t>机</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20"/>
                          <w:jc w:val="left"/>
                          <w:rPr>
                            <w:rFonts w:ascii="宋体" w:hAnsi="宋体" w:cs="宋体" w:eastAsia="宋体" w:hint="default"/>
                            <w:sz w:val="18"/>
                            <w:szCs w:val="18"/>
                          </w:rPr>
                        </w:pPr>
                        <w:r>
                          <w:rPr>
                            <w:rFonts w:ascii="宋体" w:hAnsi="宋体" w:cs="宋体" w:eastAsia="宋体" w:hint="default"/>
                            <w:sz w:val="18"/>
                            <w:szCs w:val="18"/>
                          </w:rPr>
                          <w:t>一种配有条码或</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OCR</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码的终端阅读器，有现金或易货额度出纳功能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其主要任务是对商品与媒体交易提供数据服务和管理功能，并进行非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现金结算</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mPOS/</w:t>
                        </w:r>
                        <w:r>
                          <w:rPr>
                            <w:rFonts w:ascii="宋体" w:hAnsi="宋体" w:cs="宋体" w:eastAsia="宋体" w:hint="default"/>
                            <w:sz w:val="18"/>
                            <w:szCs w:val="18"/>
                          </w:rPr>
                          <w:t>手机收款宝</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一款支付产品，通过音频接口或蓝牙等方式与手机、平板电脑等通用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智能移动设备进行连接，通过互联网进行信息传输，外接设备完成卡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片读取、</w:t>
                        </w:r>
                        <w:r>
                          <w:rPr>
                            <w:rFonts w:ascii="Times New Roman" w:hAnsi="Times New Roman" w:cs="Times New Roman" w:eastAsia="Times New Roman" w:hint="default"/>
                            <w:sz w:val="18"/>
                            <w:szCs w:val="18"/>
                          </w:rPr>
                          <w:t>PIN</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输入、数据加解密、提示信息显示等操作，从而实现支 付功能的应用。</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商户拓展服务机构</w:t>
                        </w:r>
                        <w:r>
                          <w:rPr>
                            <w:rFonts w:ascii="Times New Roman" w:hAnsi="Times New Roman" w:cs="Times New Roman" w:eastAsia="Times New Roman" w:hint="default"/>
                            <w:sz w:val="18"/>
                            <w:szCs w:val="18"/>
                          </w:rPr>
                          <w:t>/</w:t>
                        </w:r>
                        <w:r>
                          <w:rPr>
                            <w:rFonts w:ascii="宋体" w:hAnsi="宋体" w:cs="宋体" w:eastAsia="宋体" w:hint="default"/>
                            <w:sz w:val="18"/>
                            <w:szCs w:val="18"/>
                          </w:rPr>
                          <w:t>渠道服务机构</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8"/>
                          <w:jc w:val="left"/>
                          <w:rPr>
                            <w:rFonts w:ascii="宋体" w:hAnsi="宋体" w:cs="宋体" w:eastAsia="宋体" w:hint="default"/>
                            <w:sz w:val="18"/>
                            <w:szCs w:val="18"/>
                          </w:rPr>
                        </w:pPr>
                        <w:r>
                          <w:rPr>
                            <w:rFonts w:ascii="宋体" w:hAnsi="宋体" w:cs="宋体" w:eastAsia="宋体" w:hint="default"/>
                            <w:spacing w:val="-1"/>
                            <w:sz w:val="18"/>
                            <w:szCs w:val="18"/>
                          </w:rPr>
                          <w:t>根据《银联卡收单第三方服务机构管理办法》等相关法规要求，与拉</w:t>
                        </w:r>
                        <w:r>
                          <w:rPr>
                            <w:rFonts w:ascii="宋体" w:hAnsi="宋体" w:cs="宋体" w:eastAsia="宋体" w:hint="default"/>
                            <w:sz w:val="18"/>
                            <w:szCs w:val="18"/>
                          </w:rPr>
                          <w:t> 卡拉签约的收单商户拓展服务机构</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第三方支付机构向商户拓展服务机构支付的收单商户拓展服务费</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44"/>
        <w:ind w:left="0" w:right="1139"/>
        <w:jc w:val="right"/>
      </w:pPr>
      <w:r>
        <w:rPr/>
        <w:pict>
          <v:shape style="position:absolute;margin-left:56.400002pt;margin-top:-31.948271pt;width:479.3pt;height:373.1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清分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8"/>
                          <w:jc w:val="left"/>
                          <w:rPr>
                            <w:rFonts w:ascii="宋体" w:hAnsi="宋体" w:cs="宋体" w:eastAsia="宋体" w:hint="default"/>
                            <w:sz w:val="18"/>
                            <w:szCs w:val="18"/>
                          </w:rPr>
                        </w:pPr>
                        <w:r>
                          <w:rPr>
                            <w:rFonts w:ascii="宋体" w:hAnsi="宋体" w:cs="宋体" w:eastAsia="宋体" w:hint="default"/>
                            <w:spacing w:val="-3"/>
                            <w:sz w:val="18"/>
                            <w:szCs w:val="18"/>
                          </w:rPr>
                          <w:t>清算的数据准备阶段</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主要是将当日的全部收单消费、便民业务、网络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支付等交易数据，按照相关商户的计费约定、结算周期等规则，把贷</w:t>
                        </w:r>
                        <w:r>
                          <w:rPr>
                            <w:rFonts w:ascii="宋体" w:hAnsi="宋体" w:cs="宋体" w:eastAsia="宋体" w:hint="default"/>
                            <w:sz w:val="18"/>
                            <w:szCs w:val="18"/>
                          </w:rPr>
                          <w:t> </w:t>
                        </w:r>
                        <w:r>
                          <w:rPr>
                            <w:rFonts w:ascii="宋体" w:hAnsi="宋体" w:cs="宋体" w:eastAsia="宋体" w:hint="default"/>
                            <w:spacing w:val="-5"/>
                            <w:sz w:val="18"/>
                            <w:szCs w:val="18"/>
                          </w:rPr>
                          <w:t>记、借记、笔数、金额、交易日期等消费或支付要素进行汇总、整理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分类，并计算出相应的商户结算金额、收入、费用、分润等数据结果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央行</w:t>
                        </w:r>
                        <w:r>
                          <w:rPr>
                            <w:rFonts w:ascii="Times New Roman" w:hAnsi="Times New Roman" w:cs="Times New Roman" w:eastAsia="Times New Roman" w:hint="default"/>
                            <w:sz w:val="18"/>
                            <w:szCs w:val="18"/>
                          </w:rPr>
                          <w:t>/</w:t>
                        </w:r>
                        <w:r>
                          <w:rPr>
                            <w:rFonts w:ascii="宋体" w:hAnsi="宋体" w:cs="宋体" w:eastAsia="宋体" w:hint="default"/>
                            <w:sz w:val="18"/>
                            <w:szCs w:val="18"/>
                          </w:rPr>
                          <w:t>人民银行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中国人民银行</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中国银联是指中国的银行卡联合组织，通过银联跨行交易清算系统， </w:t>
                        </w:r>
                        <w:r>
                          <w:rPr>
                            <w:rFonts w:ascii="宋体" w:hAnsi="宋体" w:cs="宋体" w:eastAsia="宋体" w:hint="default"/>
                            <w:spacing w:val="-2"/>
                            <w:sz w:val="18"/>
                            <w:szCs w:val="18"/>
                          </w:rPr>
                          <w:t>实现商业银行系统间的互联互通和资源共享，保证银行卡跨行、跨地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区和跨境的使用</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网联公司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
                          <w:jc w:val="both"/>
                          <w:rPr>
                            <w:rFonts w:ascii="宋体" w:hAnsi="宋体" w:cs="宋体" w:eastAsia="宋体" w:hint="default"/>
                            <w:sz w:val="18"/>
                            <w:szCs w:val="18"/>
                          </w:rPr>
                        </w:pPr>
                        <w:r>
                          <w:rPr>
                            <w:rFonts w:ascii="宋体" w:hAnsi="宋体" w:cs="宋体" w:eastAsia="宋体" w:hint="default"/>
                            <w:spacing w:val="-2"/>
                            <w:sz w:val="18"/>
                            <w:szCs w:val="18"/>
                          </w:rPr>
                          <w:t>网联清算有限公司，是经中国人民银行批准成立的非银行支付机构网</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络支付清算平台的运营机构，主要处理非银行支付机构发起的涉及银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行账户的网络支付业务，实现非银行支付机构及商业银行一点接入， 提供公共、安全、高效、经济的交易信息转接和资金清算服务</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NFC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pacing w:val="-1"/>
                            <w:w w:val="99"/>
                            <w:sz w:val="18"/>
                            <w:szCs w:val="18"/>
                          </w:rPr>
                          <w:t>近场通信（</w:t>
                        </w:r>
                        <w:r>
                          <w:rPr>
                            <w:rFonts w:ascii="Times New Roman" w:hAnsi="Times New Roman" w:cs="Times New Roman" w:eastAsia="Times New Roman" w:hint="default"/>
                            <w:spacing w:val="-1"/>
                            <w:w w:val="99"/>
                            <w:sz w:val="18"/>
                            <w:szCs w:val="18"/>
                          </w:rPr>
                          <w:t>Near</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w w:val="99"/>
                            <w:sz w:val="18"/>
                            <w:szCs w:val="18"/>
                          </w:rPr>
                          <w:t>Field </w:t>
                        </w:r>
                        <w:r>
                          <w:rPr>
                            <w:rFonts w:ascii="Times New Roman" w:hAnsi="Times New Roman" w:cs="Times New Roman" w:eastAsia="Times New Roman" w:hint="default"/>
                            <w:spacing w:val="-4"/>
                            <w:w w:val="99"/>
                            <w:sz w:val="18"/>
                            <w:szCs w:val="18"/>
                          </w:rPr>
                          <w:t>Communication</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NFC</w:t>
                        </w:r>
                        <w:r>
                          <w:rPr>
                            <w:rFonts w:ascii="宋体" w:hAnsi="宋体" w:cs="宋体" w:eastAsia="宋体" w:hint="default"/>
                            <w:spacing w:val="-4"/>
                            <w:w w:val="99"/>
                            <w:sz w:val="18"/>
                            <w:szCs w:val="18"/>
                          </w:rPr>
                          <w:t>），又称近距离无线通信</w:t>
                        </w:r>
                        <w:r>
                          <w:rPr>
                            <w:rFonts w:ascii="宋体" w:hAnsi="宋体" w:cs="宋体" w:eastAsia="宋体" w:hint="default"/>
                            <w:spacing w:val="-79"/>
                            <w:w w:val="99"/>
                            <w:sz w:val="18"/>
                            <w:szCs w:val="18"/>
                          </w:rPr>
                          <w:t> </w:t>
                        </w:r>
                        <w:r>
                          <w:rPr>
                            <w:rFonts w:ascii="宋体" w:hAnsi="宋体" w:cs="宋体" w:eastAsia="宋体" w:hint="default"/>
                            <w:spacing w:val="-79"/>
                            <w:w w:val="99"/>
                            <w:sz w:val="18"/>
                            <w:szCs w:val="18"/>
                          </w:rPr>
                        </w:r>
                        <w:r>
                          <w:rPr>
                            <w:rFonts w:ascii="宋体" w:hAnsi="宋体" w:cs="宋体" w:eastAsia="宋体" w:hint="default"/>
                            <w:spacing w:val="-2"/>
                            <w:sz w:val="18"/>
                            <w:szCs w:val="18"/>
                          </w:rPr>
                          <w:t>是一种短距离的高频无线通信技术，允许电子设备之间进行非接触式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点对点数据传输交换数据</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T+1</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在收单服务中，当天发生交易，清算资金下一个工作日到账</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D+1</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在收单服务中，当天发生交易，清算资金下一个自然日到账</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T+0/D+0</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在收单服务中，当天发生交易，清算资金当天（工作日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自然日）到账</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端用户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各类特约商户，包括支付业务受理商户和积分购业务服务商户</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端用户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与特约商户发生交易关系的持卡人、支付账户用户，拉卡拉各类公众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号的粉丝，以及积分业务中形成的个人用户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139"/>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681595pt;width:361.55pt;height:19.75pt;mso-position-horizontal-relative:page;mso-position-vertical-relative:paragraph;z-index:-1070488"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拉卡拉</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300773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拉卡拉支付股份有限公司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拉卡拉</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Lakala Payment Co.,</w:t>
            </w:r>
            <w:r>
              <w:rPr>
                <w:rFonts w:ascii="Times New Roman"/>
                <w:spacing w:val="-6"/>
                <w:sz w:val="18"/>
              </w:rPr>
              <w:t> </w:t>
            </w:r>
            <w:r>
              <w:rPr>
                <w:rFonts w:ascii="Times New Roman"/>
                <w:sz w:val="18"/>
              </w:rPr>
              <w:t>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Lakala</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孙陶然</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北京市海淀区北清路中关村壹号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D1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100094</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北京市海淀区北清路中关村壹号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D1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100094</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http://www.lakala.com/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contact@lakala.com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朱国海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田鹏</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北京市海淀区北清路中关村壹号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D1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606</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北京市海淀区北清路中关村壹号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D1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606</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010-56710773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010-56710999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010-56710909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010-56710909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contact@lakala.com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contact@lakala.com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拉卡拉支付股份有限公司董事会办公室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徐继凯、周军</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号凯 恒中心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张铁、翁子涵</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4,899,421,582.02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5,679,411,603.66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2,785,212,372.04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806,342,383.91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599,491,627.18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469,643,398.63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793,269,997.05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579,086,221.92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447,875,059.89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1,112,955,420.01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621,748,013.68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554,398,561.26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11,186,865,198.40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5,038,217,277.64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4,216,688,707.06</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4,956,041,948.26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2,914,975,164.67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2,315,042,851.03</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1,313,039,535.24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1,183,272,312.11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1,193,900,288.03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1,209,209,446.64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159,926,829.57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206,319,668.94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249,881,888.23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190,213,997.17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158,724,306.00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201,487,253.92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233,904,185.79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199,154,251.34</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4,611,049.96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240,366,654.32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350,615,693.95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517,362,021.78</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-8,653,544.93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-4,149,018.12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1,320,585.02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27,761,181.39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32,430,166.02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22,003,435.57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1,278,849.18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-4,311,227.69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-5,227,028.54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-2,886,152.99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1,724,021.91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2,648,714.10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-51,621.96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13,072,386.86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20,405,405.26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21,768,338.74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025" w:firstLine="360"/>
        <w:jc w:val="left"/>
      </w:pPr>
      <w:r>
        <w:rPr/>
        <w:t>公司定位于</w:t>
      </w:r>
      <w:r>
        <w:rPr>
          <w:rFonts w:ascii="Times New Roman" w:hAnsi="Times New Roman" w:cs="Times New Roman" w:eastAsia="Times New Roman" w:hint="default"/>
        </w:rPr>
        <w:t>“</w:t>
      </w:r>
      <w:r>
        <w:rPr/>
        <w:t>以支付为切入，整合信息科技，服务线下实体，全维度为中小微商户经营赋能</w:t>
      </w:r>
      <w:r>
        <w:rPr>
          <w:rFonts w:ascii="Times New Roman" w:hAnsi="Times New Roman" w:cs="Times New Roman" w:eastAsia="Times New Roman" w:hint="default"/>
        </w:rPr>
        <w:t>”</w:t>
      </w:r>
      <w:r>
        <w:rPr/>
        <w:t>的经营战略。公司的支付业 务覆盖线上与线下各种交易场景和支付渠道，基于</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模式，深度融合和协同</w:t>
      </w:r>
      <w:r>
        <w:rPr>
          <w:rFonts w:ascii="Times New Roman" w:hAnsi="Times New Roman" w:cs="Times New Roman" w:eastAsia="Times New Roman" w:hint="default"/>
        </w:rPr>
        <w:t>“</w:t>
      </w:r>
      <w:r>
        <w:rPr/>
        <w:t>支付、金融、电商、信息</w:t>
      </w:r>
      <w:r>
        <w:rPr>
          <w:rFonts w:ascii="Times New Roman" w:hAnsi="Times New Roman" w:cs="Times New Roman" w:eastAsia="Times New Roman" w:hint="default"/>
        </w:rPr>
        <w:t>”</w:t>
      </w:r>
      <w:r>
        <w:rPr/>
        <w:t>四大科技业务</w:t>
      </w:r>
      <w:r>
        <w:rPr>
          <w:spacing w:val="-59"/>
        </w:rPr>
        <w:t> </w:t>
      </w:r>
      <w:r>
        <w:rPr>
          <w:spacing w:val="-59"/>
        </w:rPr>
      </w:r>
      <w:r>
        <w:rPr>
          <w:spacing w:val="-3"/>
        </w:rPr>
        <w:t>板块，以线上与线下推广、直营与渠道合作的方式，向超过</w:t>
      </w:r>
      <w:r>
        <w:rPr>
          <w:rFonts w:ascii="Times New Roman" w:hAnsi="Times New Roman" w:cs="Times New Roman" w:eastAsia="Times New Roman" w:hint="default"/>
          <w:spacing w:val="-3"/>
        </w:rPr>
        <w:t>2200</w:t>
      </w:r>
      <w:r>
        <w:rPr>
          <w:spacing w:val="-3"/>
        </w:rPr>
        <w:t>万的中小微商户以及线上用户提供支付、贷款、理财、保险、</w:t>
      </w:r>
      <w:r>
        <w:rPr/>
        <w:t> </w:t>
      </w:r>
      <w:r>
        <w:rPr>
          <w:spacing w:val="-2"/>
        </w:rPr>
        <w:t>信用卡发卡、新零售和云分销</w:t>
      </w:r>
      <w:r>
        <w:rPr>
          <w:rFonts w:ascii="Times New Roman" w:hAnsi="Times New Roman" w:cs="Times New Roman" w:eastAsia="Times New Roman" w:hint="default"/>
          <w:spacing w:val="-2"/>
        </w:rPr>
        <w:t>SaaS</w:t>
      </w:r>
      <w:r>
        <w:rPr>
          <w:spacing w:val="-2"/>
        </w:rPr>
        <w:t>、积分消费运营、广告营销、会员订阅等服务，帮助中小微商户解决经营痛点。同时，公</w:t>
      </w:r>
      <w:r>
        <w:rPr>
          <w:spacing w:val="-68"/>
        </w:rPr>
        <w:t> </w:t>
      </w:r>
      <w:r>
        <w:rPr>
          <w:spacing w:val="-68"/>
        </w:rPr>
      </w:r>
      <w:r>
        <w:rPr>
          <w:spacing w:val="-2"/>
        </w:rPr>
        <w:t>司基于自身专业优势和技术积累，与金融机构合作开展云收单业务和专业化服务，向中小银行和持牌机构输出包括银行卡收</w:t>
      </w:r>
      <w:r>
        <w:rPr>
          <w:spacing w:val="-62"/>
        </w:rPr>
        <w:t> </w:t>
      </w:r>
      <w:r>
        <w:rPr>
          <w:spacing w:val="-62"/>
        </w:rPr>
      </w:r>
      <w:r>
        <w:rPr>
          <w:spacing w:val="-2"/>
        </w:rPr>
        <w:t>单、条码支付、风险监控等在内的整体支付受理解决方案，共同赋能中小微商户经营。公司在全国各省会城市以及主要的二</w:t>
      </w:r>
      <w:r>
        <w:rPr>
          <w:spacing w:val="-64"/>
        </w:rPr>
        <w:t> </w:t>
      </w:r>
      <w:r>
        <w:rPr>
          <w:spacing w:val="-64"/>
        </w:rPr>
      </w:r>
      <w:r>
        <w:rPr/>
        <w:t>级地市设有分支机构，已经形成了覆盖全国的分支机构和销售渠道；旗下</w:t>
      </w:r>
      <w:r>
        <w:rPr>
          <w:rFonts w:ascii="Times New Roman" w:hAnsi="Times New Roman" w:cs="Times New Roman" w:eastAsia="Times New Roman" w:hint="default"/>
        </w:rPr>
        <w:t>APP</w:t>
      </w:r>
      <w:r>
        <w:rPr/>
        <w:t>用户和微信公众号粉丝共计超过</w:t>
      </w:r>
      <w:r>
        <w:rPr>
          <w:rFonts w:ascii="Times New Roman" w:hAnsi="Times New Roman" w:cs="Times New Roman" w:eastAsia="Times New Roman" w:hint="default"/>
        </w:rPr>
        <w:t>3000</w:t>
      </w:r>
      <w:r>
        <w:rPr/>
        <w:t>万，实现 线上线下一体化经营。经营规模保持行业领先。</w:t>
      </w:r>
    </w:p>
    <w:p>
      <w:pPr>
        <w:pStyle w:val="BodyText"/>
        <w:spacing w:line="240" w:lineRule="auto" w:before="28"/>
        <w:ind w:left="513" w:right="1133"/>
        <w:jc w:val="left"/>
      </w:pPr>
      <w:r>
        <w:rPr/>
        <w:t>报告期内，公司主要业务如下：</w:t>
      </w:r>
    </w:p>
    <w:p>
      <w:pPr>
        <w:pStyle w:val="BodyText"/>
        <w:spacing w:line="300" w:lineRule="auto" w:before="76"/>
        <w:ind w:left="513" w:right="1133"/>
        <w:jc w:val="left"/>
      </w:pPr>
      <w:r>
        <w:rPr>
          <w:rFonts w:ascii="Times New Roman" w:hAnsi="Times New Roman" w:cs="Times New Roman" w:eastAsia="Times New Roman" w:hint="default"/>
        </w:rPr>
        <w:t>1</w:t>
      </w:r>
      <w:r>
        <w:rPr/>
        <w:t>、支付业务 </w:t>
      </w:r>
      <w:r>
        <w:rPr>
          <w:spacing w:val="-2"/>
        </w:rPr>
        <w:t>公司为商户提供覆盖各类支付方式与各种受理终端形态的综合支付服务。全面支持线下刷卡、闪付、扫码、无卡等支付</w:t>
      </w:r>
    </w:p>
    <w:p>
      <w:pPr>
        <w:pStyle w:val="BodyText"/>
        <w:spacing w:line="300" w:lineRule="auto" w:before="31"/>
        <w:ind w:right="1028"/>
        <w:jc w:val="left"/>
      </w:pPr>
      <w:r>
        <w:rPr>
          <w:spacing w:val="-2"/>
        </w:rPr>
        <w:t>方式，通过各类</w:t>
      </w:r>
      <w:r>
        <w:rPr>
          <w:rFonts w:ascii="Times New Roman" w:hAnsi="Times New Roman" w:cs="Times New Roman" w:eastAsia="Times New Roman" w:hint="default"/>
          <w:spacing w:val="-2"/>
        </w:rPr>
        <w:t>POS</w:t>
      </w:r>
      <w:r>
        <w:rPr>
          <w:spacing w:val="-2"/>
        </w:rPr>
        <w:t>、码牌、</w:t>
      </w:r>
      <w:r>
        <w:rPr>
          <w:rFonts w:ascii="Times New Roman" w:hAnsi="Times New Roman" w:cs="Times New Roman" w:eastAsia="Times New Roman" w:hint="default"/>
          <w:spacing w:val="-2"/>
        </w:rPr>
        <w:t>APP</w:t>
      </w:r>
      <w:r>
        <w:rPr>
          <w:spacing w:val="-2"/>
        </w:rPr>
        <w:t>、小程序、公众号等载体均可发起交易，可受理银联卡、境外卡组织的银行卡以及支付宝、</w:t>
      </w:r>
      <w:r>
        <w:rPr/>
        <w:t> </w:t>
      </w:r>
      <w:r>
        <w:rPr>
          <w:spacing w:val="-2"/>
        </w:rPr>
        <w:t>微信等支付账户。公司的支付产品主要包括：智能</w:t>
      </w:r>
      <w:r>
        <w:rPr>
          <w:rFonts w:ascii="Times New Roman" w:hAnsi="Times New Roman" w:cs="Times New Roman" w:eastAsia="Times New Roman" w:hint="default"/>
          <w:spacing w:val="-2"/>
        </w:rPr>
        <w:t>POS</w:t>
      </w:r>
      <w:r>
        <w:rPr>
          <w:spacing w:val="-2"/>
        </w:rPr>
        <w:t>、</w:t>
      </w:r>
      <w:r>
        <w:rPr>
          <w:rFonts w:ascii="Times New Roman" w:hAnsi="Times New Roman" w:cs="Times New Roman" w:eastAsia="Times New Roman" w:hint="default"/>
          <w:spacing w:val="-2"/>
        </w:rPr>
        <w:t>MPOS</w:t>
      </w:r>
      <w:r>
        <w:rPr>
          <w:spacing w:val="-2"/>
        </w:rPr>
        <w:t>、收钱宝盒等智能终端产品，以及云收单、云小店、收款码、</w:t>
      </w:r>
      <w:r>
        <w:rPr>
          <w:spacing w:val="-75"/>
        </w:rPr>
        <w:t> </w:t>
      </w:r>
      <w:r>
        <w:rPr>
          <w:spacing w:val="-75"/>
        </w:rPr>
      </w:r>
      <w:r>
        <w:rPr/>
        <w:t>汇管店等基于</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模式的</w:t>
      </w:r>
      <w:r>
        <w:rPr>
          <w:rFonts w:ascii="Times New Roman" w:hAnsi="Times New Roman" w:cs="Times New Roman" w:eastAsia="Times New Roman" w:hint="default"/>
        </w:rPr>
        <w:t>SaaS</w:t>
      </w:r>
      <w:r>
        <w:rPr/>
        <w:t>产品和解决方案，并向商户提供</w:t>
      </w:r>
      <w:r>
        <w:rPr>
          <w:rFonts w:ascii="Times New Roman" w:hAnsi="Times New Roman" w:cs="Times New Roman" w:eastAsia="Times New Roman" w:hint="default"/>
        </w:rPr>
        <w:t>“</w:t>
      </w:r>
      <w:r>
        <w:rPr/>
        <w:t>支付即会员、会员管理、数据管理、营销工具、营销活动 追踪</w:t>
      </w:r>
      <w:r>
        <w:rPr>
          <w:rFonts w:ascii="Times New Roman" w:hAnsi="Times New Roman" w:cs="Times New Roman" w:eastAsia="Times New Roman" w:hint="default"/>
        </w:rPr>
        <w:t>”</w:t>
      </w:r>
      <w:r>
        <w:rPr/>
        <w:t>等增值服务。公司支付业务的场景不仅限于传统的线下门店消费，且涵盖于广泛的</w:t>
      </w:r>
      <w:r>
        <w:rPr>
          <w:rFonts w:ascii="Times New Roman" w:hAnsi="Times New Roman" w:cs="Times New Roman" w:eastAsia="Times New Roman" w:hint="default"/>
        </w:rPr>
        <w:t>B2C</w:t>
      </w:r>
      <w:r>
        <w:rPr/>
        <w:t>、</w:t>
      </w:r>
      <w:r>
        <w:rPr>
          <w:rFonts w:ascii="Times New Roman" w:hAnsi="Times New Roman" w:cs="Times New Roman" w:eastAsia="Times New Roman" w:hint="default"/>
        </w:rPr>
        <w:t>B2B</w:t>
      </w:r>
      <w:r>
        <w:rPr/>
        <w:t>的线上交易场景。报告</w:t>
      </w:r>
      <w:r>
        <w:rPr>
          <w:spacing w:val="-23"/>
        </w:rPr>
        <w:t> </w:t>
      </w:r>
      <w:r>
        <w:rPr>
          <w:spacing w:val="-23"/>
        </w:rPr>
      </w:r>
      <w:r>
        <w:rPr/>
        <w:t>期内，公司推出的主要新产品：</w:t>
      </w:r>
    </w:p>
    <w:p>
      <w:pPr>
        <w:pStyle w:val="BodyText"/>
        <w:spacing w:line="300" w:lineRule="auto" w:before="31"/>
        <w:ind w:right="1133" w:firstLine="360"/>
        <w:jc w:val="left"/>
      </w:pPr>
      <w:r>
        <w:rPr>
          <w:spacing w:val="-2"/>
        </w:rPr>
        <w:t>云收单：将公司成熟可靠的收单支付风控能力、技术能力、运营能力，封装成</w:t>
      </w:r>
      <w:r>
        <w:rPr>
          <w:rFonts w:ascii="Times New Roman" w:hAnsi="Times New Roman" w:cs="Times New Roman" w:eastAsia="Times New Roman" w:hint="default"/>
          <w:spacing w:val="-2"/>
        </w:rPr>
        <w:t>SaaS</w:t>
      </w:r>
      <w:r>
        <w:rPr>
          <w:spacing w:val="-2"/>
        </w:rPr>
        <w:t>产品，向中小银行和持牌机构输出包</w:t>
      </w:r>
      <w:r>
        <w:rPr/>
        <w:t> 括银行卡收单、条码支付、风险监控等在内的整体支付受理解决方案。</w:t>
      </w:r>
    </w:p>
    <w:p>
      <w:pPr>
        <w:pStyle w:val="BodyText"/>
        <w:spacing w:line="309" w:lineRule="auto" w:before="31"/>
        <w:ind w:right="1133" w:firstLine="360"/>
        <w:jc w:val="both"/>
      </w:pPr>
      <w:r>
        <w:rPr/>
        <w:t>云小店：针对快消、生鲜、母婴等行业，通过</w:t>
      </w:r>
      <w:r>
        <w:rPr>
          <w:rFonts w:ascii="Times New Roman" w:hAnsi="Times New Roman" w:cs="Times New Roman" w:eastAsia="Times New Roman" w:hint="default"/>
        </w:rPr>
        <w:t>“</w:t>
      </w:r>
      <w:r>
        <w:rPr/>
        <w:t>门店收银</w:t>
      </w:r>
      <w:r>
        <w:rPr>
          <w:rFonts w:ascii="Times New Roman" w:hAnsi="Times New Roman" w:cs="Times New Roman" w:eastAsia="Times New Roman" w:hint="default"/>
        </w:rPr>
        <w:t>+</w:t>
      </w:r>
      <w:r>
        <w:rPr/>
        <w:t>线上</w:t>
      </w:r>
      <w:r>
        <w:rPr>
          <w:rFonts w:ascii="Times New Roman" w:hAnsi="Times New Roman" w:cs="Times New Roman" w:eastAsia="Times New Roman" w:hint="default"/>
        </w:rPr>
        <w:t>H5</w:t>
      </w:r>
      <w:r>
        <w:rPr/>
        <w:t>商城</w:t>
      </w:r>
      <w:r>
        <w:rPr>
          <w:rFonts w:ascii="Times New Roman" w:hAnsi="Times New Roman" w:cs="Times New Roman" w:eastAsia="Times New Roman" w:hint="default"/>
        </w:rPr>
        <w:t>+</w:t>
      </w:r>
      <w:r>
        <w:rPr/>
        <w:t>小程序商城</w:t>
      </w:r>
      <w:r>
        <w:rPr>
          <w:rFonts w:ascii="Times New Roman" w:hAnsi="Times New Roman" w:cs="Times New Roman" w:eastAsia="Times New Roman" w:hint="default"/>
        </w:rPr>
        <w:t>”</w:t>
      </w:r>
      <w:r>
        <w:rPr/>
        <w:t>线上线下一体化的模式，打通线上 </w:t>
      </w:r>
      <w:r>
        <w:rPr>
          <w:spacing w:val="-2"/>
        </w:rPr>
        <w:t>线下消费场景，无缝对接配送平台，并根据不同行业应用场景提供差异化服务，为商户经营提供商品上架、会员管理、订单</w:t>
      </w:r>
      <w:r>
        <w:rPr>
          <w:spacing w:val="-67"/>
        </w:rPr>
        <w:t> </w:t>
      </w:r>
      <w:r>
        <w:rPr>
          <w:spacing w:val="-67"/>
        </w:rPr>
      </w:r>
      <w:r>
        <w:rPr/>
        <w:t>管理、进销存管理等功能，满足商户</w:t>
      </w:r>
      <w:r>
        <w:rPr>
          <w:rFonts w:ascii="Times New Roman" w:hAnsi="Times New Roman" w:cs="Times New Roman" w:eastAsia="Times New Roman" w:hint="default"/>
        </w:rPr>
        <w:t>B2C</w:t>
      </w:r>
      <w:r>
        <w:rPr/>
        <w:t>、</w:t>
      </w:r>
      <w:r>
        <w:rPr>
          <w:rFonts w:ascii="Times New Roman" w:hAnsi="Times New Roman" w:cs="Times New Roman" w:eastAsia="Times New Roman" w:hint="default"/>
        </w:rPr>
        <w:t>B2B</w:t>
      </w:r>
      <w:r>
        <w:rPr/>
        <w:t>的线上交易需求及门店经营需求，帮助商户拥抱新零售。</w:t>
      </w:r>
    </w:p>
    <w:p>
      <w:pPr>
        <w:pStyle w:val="BodyText"/>
        <w:spacing w:line="309" w:lineRule="auto" w:before="5"/>
        <w:ind w:right="0" w:firstLine="360"/>
        <w:jc w:val="left"/>
      </w:pPr>
      <w:r>
        <w:rPr/>
        <w:t>收款码：结合拉卡拉收款宝小程序、通过</w:t>
      </w:r>
      <w:r>
        <w:rPr>
          <w:rFonts w:ascii="Times New Roman" w:hAnsi="Times New Roman" w:cs="Times New Roman" w:eastAsia="Times New Roman" w:hint="default"/>
        </w:rPr>
        <w:t>“1</w:t>
      </w:r>
      <w:r>
        <w:rPr/>
        <w:t>个码牌</w:t>
      </w:r>
      <w:r>
        <w:rPr>
          <w:rFonts w:ascii="Times New Roman" w:hAnsi="Times New Roman" w:cs="Times New Roman" w:eastAsia="Times New Roman" w:hint="default"/>
        </w:rPr>
        <w:t>+1</w:t>
      </w:r>
      <w:r>
        <w:rPr/>
        <w:t>个小程序</w:t>
      </w:r>
      <w:r>
        <w:rPr>
          <w:rFonts w:ascii="Times New Roman" w:hAnsi="Times New Roman" w:cs="Times New Roman" w:eastAsia="Times New Roman" w:hint="default"/>
        </w:rPr>
        <w:t>”</w:t>
      </w:r>
      <w:r>
        <w:rPr/>
        <w:t>，打通线上线下融合的壁垒，实现聚合扫码收款、聚合 </w:t>
      </w:r>
      <w:r>
        <w:rPr>
          <w:spacing w:val="-4"/>
        </w:rPr>
        <w:t>店铺服务，全面覆盖微信、支付宝、云闪付、翼支付等主流扫码渠道，并提供支付即会员、会员管理、数据管理、营销工具、</w:t>
      </w:r>
      <w:r>
        <w:rPr>
          <w:spacing w:val="-45"/>
        </w:rPr>
        <w:t> </w:t>
      </w:r>
      <w:r>
        <w:rPr>
          <w:spacing w:val="-45"/>
        </w:rPr>
      </w:r>
      <w:r>
        <w:rPr/>
        <w:t>营销活动追踪等服务。</w:t>
      </w:r>
    </w:p>
    <w:p>
      <w:pPr>
        <w:pStyle w:val="BodyText"/>
        <w:spacing w:line="316" w:lineRule="auto" w:before="24"/>
        <w:ind w:right="0" w:firstLine="360"/>
        <w:jc w:val="left"/>
      </w:pPr>
      <w:r>
        <w:rPr>
          <w:spacing w:val="-2"/>
        </w:rPr>
        <w:t>汇管店：帮助商户打造专属的线上官网，并通过产品推荐、信息发布、在线客服等功能，让商户与用户进行互动、营销</w:t>
      </w:r>
      <w:r>
        <w:rPr/>
        <w:t> 和转化，并能够通过对会员进行自定义标签和分组来实现定向推送、定向服务，进行精准营销。</w:t>
      </w:r>
    </w:p>
    <w:p>
      <w:pPr>
        <w:pStyle w:val="BodyText"/>
        <w:spacing w:line="240" w:lineRule="auto" w:before="19"/>
        <w:ind w:left="513" w:right="1133"/>
        <w:jc w:val="left"/>
      </w:pPr>
      <w:r>
        <w:rPr>
          <w:rFonts w:ascii="Times New Roman" w:hAnsi="Times New Roman" w:cs="Times New Roman" w:eastAsia="Times New Roman" w:hint="default"/>
        </w:rPr>
        <w:t>2</w:t>
      </w:r>
      <w:r>
        <w:rPr/>
        <w:t>、金融科技服务</w:t>
      </w:r>
    </w:p>
    <w:p>
      <w:pPr>
        <w:pStyle w:val="BodyText"/>
        <w:spacing w:line="309" w:lineRule="auto" w:before="63"/>
        <w:ind w:right="0" w:firstLine="360"/>
        <w:jc w:val="left"/>
      </w:pPr>
      <w:r>
        <w:rPr/>
        <w:t>（</w:t>
      </w:r>
      <w:r>
        <w:rPr>
          <w:rFonts w:ascii="Times New Roman" w:hAnsi="Times New Roman" w:cs="Times New Roman" w:eastAsia="Times New Roman" w:hint="default"/>
        </w:rPr>
        <w:t>1</w:t>
      </w:r>
      <w:r>
        <w:rPr/>
        <w:t>）基于在大数据分析、图计算、人工智能算法、反欺诈、安全服务、人脸识别、语音识别等研发积累，针对公司商 </w:t>
      </w:r>
      <w:r>
        <w:rPr>
          <w:spacing w:val="-4"/>
        </w:rPr>
        <w:t>户在日常经营中存在的周转资金短缺、资金短期闲置、风险防范等诉求，通过与银行、小贷、保险等外部持牌金融机构合作，</w:t>
      </w:r>
      <w:r>
        <w:rPr>
          <w:spacing w:val="-43"/>
        </w:rPr>
        <w:t> </w:t>
      </w:r>
      <w:r>
        <w:rPr>
          <w:spacing w:val="-43"/>
        </w:rPr>
      </w:r>
      <w:r>
        <w:rPr/>
        <w:t>以</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模式，为小微商户提供贷款、理财、保险、信用卡申请等金融增值服务，并向合作机构收取服务费。</w:t>
      </w:r>
    </w:p>
    <w:p>
      <w:pPr>
        <w:pStyle w:val="BodyText"/>
        <w:spacing w:line="300" w:lineRule="auto" w:before="5"/>
        <w:ind w:right="1124" w:firstLine="360"/>
        <w:jc w:val="left"/>
      </w:pPr>
      <w:r>
        <w:rPr/>
        <w:t>（</w:t>
      </w:r>
      <w:r>
        <w:rPr>
          <w:rFonts w:ascii="Times New Roman" w:hAnsi="Times New Roman" w:cs="Times New Roman" w:eastAsia="Times New Roman" w:hint="default"/>
        </w:rPr>
        <w:t>2</w:t>
      </w:r>
      <w:r>
        <w:rPr/>
        <w:t>）系统和解决方案输出服务。公司向中小银行提供云收单系统，使其具备受理银行卡收单、扫码支付以及风险监控 等能力，并收取服务费用。</w:t>
      </w:r>
    </w:p>
    <w:p>
      <w:pPr>
        <w:pStyle w:val="BodyText"/>
        <w:spacing w:line="240" w:lineRule="auto" w:before="31"/>
        <w:ind w:left="513" w:right="1133"/>
        <w:jc w:val="left"/>
      </w:pPr>
      <w:r>
        <w:rPr>
          <w:rFonts w:ascii="Times New Roman" w:hAnsi="Times New Roman" w:cs="Times New Roman" w:eastAsia="Times New Roman" w:hint="default"/>
        </w:rPr>
        <w:t>3</w:t>
      </w:r>
      <w:r>
        <w:rPr/>
        <w:t>、电商科技服务</w:t>
      </w:r>
    </w:p>
    <w:p>
      <w:pPr>
        <w:pStyle w:val="BodyText"/>
        <w:spacing w:line="300" w:lineRule="auto" w:before="63"/>
        <w:ind w:left="513" w:right="1033"/>
        <w:jc w:val="left"/>
      </w:pPr>
      <w:r>
        <w:rPr/>
        <w:t>（</w:t>
      </w:r>
      <w:r>
        <w:rPr>
          <w:rFonts w:ascii="Times New Roman" w:hAnsi="Times New Roman" w:cs="Times New Roman" w:eastAsia="Times New Roman" w:hint="default"/>
        </w:rPr>
        <w:t>1</w:t>
      </w:r>
      <w:r>
        <w:rPr/>
        <w:t>）积分运营业务 基于自主开发的积分云平台，上游接入通信运营商、银行、航空等行业的头部积分源，下游打通品牌商超、连锁餐饮、</w:t>
      </w:r>
    </w:p>
    <w:p>
      <w:pPr>
        <w:pStyle w:val="BodyText"/>
        <w:spacing w:line="316" w:lineRule="auto" w:before="31"/>
        <w:ind w:right="1133"/>
        <w:jc w:val="left"/>
      </w:pPr>
      <w:r>
        <w:rPr>
          <w:spacing w:val="-2"/>
        </w:rPr>
        <w:t>在线商城、视频平台等线上、线下消费场景，提升上游积分用户的活跃度和积分价值，为下游带来客流，从中收取相应的服</w:t>
      </w:r>
      <w:r>
        <w:rPr>
          <w:spacing w:val="-67"/>
        </w:rPr>
        <w:t> </w:t>
      </w:r>
      <w:r>
        <w:rPr>
          <w:spacing w:val="-67"/>
        </w:rPr>
      </w:r>
      <w:r>
        <w:rPr/>
        <w:t>务费。</w:t>
      </w:r>
    </w:p>
    <w:p>
      <w:pPr>
        <w:pStyle w:val="BodyText"/>
        <w:spacing w:line="240" w:lineRule="auto" w:before="19"/>
        <w:ind w:left="513" w:right="1133"/>
        <w:jc w:val="left"/>
      </w:pPr>
      <w:r>
        <w:rPr/>
        <w:t>（</w:t>
      </w:r>
      <w:r>
        <w:rPr>
          <w:rFonts w:ascii="Times New Roman" w:hAnsi="Times New Roman" w:cs="Times New Roman" w:eastAsia="Times New Roman" w:hint="default"/>
        </w:rPr>
        <w:t>2</w:t>
      </w:r>
      <w:r>
        <w:rPr/>
        <w:t>）新零售解决方案</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3" w:firstLine="360"/>
        <w:jc w:val="left"/>
      </w:pPr>
      <w:r>
        <w:rPr>
          <w:spacing w:val="-2"/>
        </w:rPr>
        <w:t>通过云分销</w:t>
      </w:r>
      <w:r>
        <w:rPr>
          <w:rFonts w:ascii="Times New Roman" w:hAnsi="Times New Roman" w:cs="Times New Roman" w:eastAsia="Times New Roman" w:hint="default"/>
          <w:spacing w:val="-2"/>
        </w:rPr>
        <w:t>SaaS</w:t>
      </w:r>
      <w:r>
        <w:rPr>
          <w:spacing w:val="-2"/>
        </w:rPr>
        <w:t>产品，为线下连锁门店、批发市场、品牌贸易商等行业客户提供数字化转型，拥抱新零售，满足其从商</w:t>
      </w:r>
      <w:r>
        <w:rPr/>
        <w:t> 品采购、进销存、物流配送、供应链金融贷款到会员的全供应链管理需求。</w:t>
      </w:r>
    </w:p>
    <w:p>
      <w:pPr>
        <w:pStyle w:val="BodyText"/>
        <w:spacing w:line="240" w:lineRule="auto" w:before="31"/>
        <w:ind w:left="513" w:right="1133"/>
        <w:jc w:val="left"/>
      </w:pPr>
      <w:r>
        <w:rPr>
          <w:rFonts w:ascii="Times New Roman" w:hAnsi="Times New Roman" w:cs="Times New Roman" w:eastAsia="Times New Roman" w:hint="default"/>
        </w:rPr>
        <w:t>4</w:t>
      </w:r>
      <w:r>
        <w:rPr/>
        <w:t>、信息科技服务</w:t>
      </w:r>
    </w:p>
    <w:p>
      <w:pPr>
        <w:pStyle w:val="BodyText"/>
        <w:spacing w:line="300" w:lineRule="auto" w:before="63"/>
        <w:ind w:left="513" w:right="1133"/>
        <w:jc w:val="left"/>
      </w:pPr>
      <w:r>
        <w:rPr/>
        <w:t>（</w:t>
      </w:r>
      <w:r>
        <w:rPr>
          <w:rFonts w:ascii="Times New Roman" w:hAnsi="Times New Roman" w:cs="Times New Roman" w:eastAsia="Times New Roman" w:hint="default"/>
        </w:rPr>
        <w:t>1</w:t>
      </w:r>
      <w:r>
        <w:rPr/>
        <w:t>）会员订阅服务 </w:t>
      </w:r>
      <w:r>
        <w:rPr>
          <w:spacing w:val="-2"/>
        </w:rPr>
        <w:t>用户通过付费升级为会员，会员可以享受实时到账、手续费减免、延迟赔偿、会员积分、限时红包、客服优享、以及快</w:t>
      </w:r>
    </w:p>
    <w:p>
      <w:pPr>
        <w:pStyle w:val="BodyText"/>
        <w:spacing w:line="240" w:lineRule="auto" w:before="31"/>
        <w:ind w:right="1133"/>
        <w:jc w:val="left"/>
      </w:pPr>
      <w:r>
        <w:rPr/>
        <w:t>捷申领信用卡、贷款、理财、保险等金融服务。</w:t>
      </w:r>
    </w:p>
    <w:p>
      <w:pPr>
        <w:pStyle w:val="BodyText"/>
        <w:spacing w:line="300" w:lineRule="auto" w:before="76"/>
        <w:ind w:left="513" w:right="1033"/>
        <w:jc w:val="left"/>
      </w:pPr>
      <w:r>
        <w:rPr/>
        <w:t>（</w:t>
      </w:r>
      <w:r>
        <w:rPr>
          <w:rFonts w:ascii="Times New Roman" w:hAnsi="Times New Roman" w:cs="Times New Roman" w:eastAsia="Times New Roman" w:hint="default"/>
        </w:rPr>
        <w:t>2</w:t>
      </w:r>
      <w:r>
        <w:rPr/>
        <w:t>）广告服务 基于后台数据对公司商户的洞察，与广告主或供应商合作通过公众号推文、支付完成页面展示、商城展示等多种形式，</w:t>
      </w:r>
    </w:p>
    <w:p>
      <w:pPr>
        <w:pStyle w:val="BodyText"/>
        <w:spacing w:line="240" w:lineRule="auto" w:before="31"/>
        <w:ind w:right="1133"/>
        <w:jc w:val="left"/>
      </w:pPr>
      <w:r>
        <w:rPr/>
        <w:t>向公司用户推荐产品和服务，并向广告主或供应商收取服务费用。</w:t>
      </w:r>
    </w:p>
    <w:p>
      <w:pPr>
        <w:pStyle w:val="BodyText"/>
        <w:spacing w:line="300" w:lineRule="auto" w:before="76"/>
        <w:ind w:left="513" w:right="1133"/>
        <w:jc w:val="left"/>
      </w:pPr>
      <w:r>
        <w:rPr/>
        <w:t>（</w:t>
      </w:r>
      <w:r>
        <w:rPr>
          <w:rFonts w:ascii="Times New Roman" w:hAnsi="Times New Roman" w:cs="Times New Roman" w:eastAsia="Times New Roman" w:hint="default"/>
        </w:rPr>
        <w:t>3</w:t>
      </w:r>
      <w:r>
        <w:rPr/>
        <w:t>）专业化服务 </w:t>
      </w:r>
      <w:r>
        <w:rPr>
          <w:spacing w:val="-2"/>
        </w:rPr>
        <w:t>基于自身智能</w:t>
      </w:r>
      <w:r>
        <w:rPr>
          <w:rFonts w:ascii="Times New Roman" w:hAnsi="Times New Roman" w:cs="Times New Roman" w:eastAsia="Times New Roman" w:hint="default"/>
          <w:spacing w:val="-2"/>
        </w:rPr>
        <w:t>POS</w:t>
      </w:r>
      <w:r>
        <w:rPr>
          <w:spacing w:val="-2"/>
        </w:rPr>
        <w:t>及扫码服务的系统能力和全国服务体系，向从事收单业务的商业银行提供收单外包服务，为银行的收</w:t>
      </w:r>
    </w:p>
    <w:p>
      <w:pPr>
        <w:pStyle w:val="BodyText"/>
        <w:spacing w:line="240" w:lineRule="auto" w:before="13"/>
        <w:ind w:right="1133"/>
        <w:jc w:val="left"/>
      </w:pPr>
      <w:r>
        <w:rPr/>
        <w:t>单商户提供智能支付解决方案以及商户服务等一揽子服务，向商业银行收取服务费用。</w:t>
      </w:r>
    </w:p>
    <w:p>
      <w:pPr>
        <w:pStyle w:val="BodyText"/>
        <w:spacing w:line="300" w:lineRule="auto" w:before="77"/>
        <w:ind w:left="513" w:right="0"/>
        <w:jc w:val="left"/>
      </w:pPr>
      <w:r>
        <w:rPr/>
        <w:t>（</w:t>
      </w:r>
      <w:r>
        <w:rPr>
          <w:rFonts w:ascii="Times New Roman" w:hAnsi="Times New Roman" w:cs="Times New Roman" w:eastAsia="Times New Roman" w:hint="default"/>
        </w:rPr>
        <w:t>4</w:t>
      </w:r>
      <w:r>
        <w:rPr/>
        <w:t>）营销服务 </w:t>
      </w:r>
      <w:r>
        <w:rPr>
          <w:spacing w:val="-4"/>
        </w:rPr>
        <w:t>与中国银联、商业银行等机构合作，向其持卡人、账户用户等用户提供卡券核销、优惠促销等服务，提升持卡人活跃度，</w:t>
      </w:r>
    </w:p>
    <w:p>
      <w:pPr>
        <w:pStyle w:val="BodyText"/>
        <w:spacing w:line="240" w:lineRule="auto" w:before="31"/>
        <w:ind w:right="1133"/>
        <w:jc w:val="left"/>
      </w:pPr>
      <w:r>
        <w:rPr/>
        <w:t>获得营销服务费用。</w:t>
      </w:r>
    </w:p>
    <w:p>
      <w:pPr>
        <w:pStyle w:val="BodyText"/>
        <w:spacing w:line="340" w:lineRule="auto" w:before="76"/>
        <w:ind w:left="441" w:right="1133" w:firstLine="72"/>
        <w:jc w:val="left"/>
      </w:pPr>
      <w:r>
        <w:rPr>
          <w:rFonts w:ascii="Times New Roman" w:hAnsi="Times New Roman" w:cs="Times New Roman" w:eastAsia="Times New Roman" w:hint="default"/>
        </w:rPr>
        <w:t>5</w:t>
      </w:r>
      <w:r>
        <w:rPr/>
        <w:t>、跨境业务 </w:t>
      </w:r>
      <w:r>
        <w:rPr>
          <w:spacing w:val="-1"/>
        </w:rPr>
        <w:t>向跨境电商客户提供出口结汇、进口付汇双向跨境收、付款服务，解决其跨境小额、高频、收付款难、成本高、效率低</w:t>
      </w:r>
    </w:p>
    <w:p>
      <w:pPr>
        <w:pStyle w:val="BodyText"/>
        <w:spacing w:line="240" w:lineRule="auto" w:before="1"/>
        <w:ind w:right="1133"/>
        <w:jc w:val="left"/>
      </w:pPr>
      <w:r>
        <w:rPr/>
        <w:t>的痛点，并向商户收取服务费。</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pStyle w:val="BodyText"/>
        <w:spacing w:line="240" w:lineRule="auto" w:before="44"/>
        <w:ind w:left="0" w:right="1139"/>
        <w:jc w:val="right"/>
      </w:pPr>
      <w:r>
        <w:rPr/>
        <w:pict>
          <v:shape style="position:absolute;margin-left:56.400002pt;margin-top:-206.338287pt;width:479.3pt;height:246.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本期新增对联营企业投资。</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并购非同一控制下企业，形成的特许经营许可权。</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027"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、按照中国银联要求，清算规则发生改变，导致资金沉淀增加，备付金账户余额 增加。</w:t>
                        </w:r>
                      </w:p>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、本报告期上市募集资金增加。</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商户经营业务快速增长所致。</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、主要系公司为进一步扩大业务规模，抢占市场，通过向终端厂商预付部分货款 方式，保证终端供给。</w:t>
                        </w:r>
                        <w:r>
                          <w:rPr>
                            <w:rFonts w:ascii="Times New Roman" w:hAnsi="Times New Roman" w:cs="Times New Roman" w:eastAsia="Times New Roman" w:hint="default"/>
                            <w:sz w:val="18"/>
                            <w:szCs w:val="18"/>
                          </w:rPr>
                          <w:t>2</w:t>
                        </w:r>
                        <w:r>
                          <w:rPr>
                            <w:rFonts w:ascii="宋体" w:hAnsi="宋体" w:cs="宋体" w:eastAsia="宋体" w:hint="default"/>
                            <w:sz w:val="18"/>
                            <w:szCs w:val="18"/>
                          </w:rPr>
                          <w:t>、电商科技服务向下游商户预付部分款项，建立渠道合作</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为本期新增购楼款。</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4"/>
        <w:spacing w:line="240" w:lineRule="auto" w:before="36"/>
        <w:ind w:right="1133"/>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经过多年发展，公司拥有一支对第三方支付行业有着深刻理解的管理、运营和技术团队，形成了线上与线下较为庞大的</w:t>
      </w:r>
      <w:r>
        <w:rPr/>
        <w:t> </w:t>
      </w:r>
      <w:r>
        <w:rPr>
          <w:spacing w:val="-2"/>
        </w:rPr>
        <w:t>用户规模和丰富的交易场景，经营规模位居行业前列。公司在品牌影响力、用户规模、运营体系、衍生发展能力等方面都具</w:t>
      </w:r>
      <w:r>
        <w:rPr>
          <w:spacing w:val="-67"/>
        </w:rPr>
        <w:t> </w:t>
      </w:r>
      <w:r>
        <w:rPr>
          <w:spacing w:val="-67"/>
        </w:rPr>
      </w:r>
      <w:r>
        <w:rPr/>
        <w:t>有一定竞争优势。公司的核心竞争力主要体现在以下几个方面：</w:t>
      </w:r>
    </w:p>
    <w:p>
      <w:pPr>
        <w:pStyle w:val="BodyText"/>
        <w:spacing w:line="309" w:lineRule="auto" w:before="19"/>
        <w:ind w:right="1129" w:firstLine="360"/>
        <w:jc w:val="both"/>
      </w:pPr>
      <w:r>
        <w:rPr>
          <w:rFonts w:ascii="Times New Roman" w:hAnsi="Times New Roman" w:cs="Times New Roman" w:eastAsia="Times New Roman" w:hint="default"/>
          <w:spacing w:val="-1"/>
        </w:rPr>
        <w:t>1.</w:t>
      </w:r>
      <w:r>
        <w:rPr>
          <w:spacing w:val="-1"/>
        </w:rPr>
        <w:t>经营机制充满活力。公司以成为行业数一数二、可持续成长及受人尊重的企业为发展目标，打造了一个基层自驱动型</w:t>
      </w:r>
      <w:r>
        <w:rPr/>
        <w:t> </w:t>
      </w:r>
      <w:r>
        <w:rPr>
          <w:spacing w:val="-2"/>
        </w:rPr>
        <w:t>的组织结构，塑造了一片内部培育开疆拓土英雄的土壤，形成了一把手亲临前线解决当期核心问题的工作作风，使得公司一</w:t>
      </w:r>
      <w:r>
        <w:rPr>
          <w:spacing w:val="-62"/>
        </w:rPr>
        <w:t> </w:t>
      </w:r>
      <w:r>
        <w:rPr>
          <w:spacing w:val="-62"/>
        </w:rPr>
      </w:r>
      <w:r>
        <w:rPr/>
        <w:t>直充满活力。</w:t>
      </w:r>
    </w:p>
    <w:p>
      <w:pPr>
        <w:pStyle w:val="BodyText"/>
        <w:spacing w:line="312" w:lineRule="auto" w:before="24"/>
        <w:ind w:right="1131" w:firstLine="360"/>
        <w:jc w:val="both"/>
      </w:pPr>
      <w:r>
        <w:rPr>
          <w:rFonts w:ascii="Times New Roman" w:hAnsi="Times New Roman" w:cs="Times New Roman" w:eastAsia="Times New Roman" w:hint="default"/>
          <w:spacing w:val="-1"/>
        </w:rPr>
        <w:t>2.</w:t>
      </w:r>
      <w:r>
        <w:rPr>
          <w:spacing w:val="-1"/>
        </w:rPr>
        <w:t>发展战略坚定清晰。公司制定了清晰的发展战略，并且拥有强大的战略执行能力。从成立之初，公司就专注于以支付</w:t>
      </w:r>
      <w:r>
        <w:rPr/>
        <w:t> </w:t>
      </w:r>
      <w:r>
        <w:rPr>
          <w:spacing w:val="-2"/>
        </w:rPr>
        <w:t>为切入，整合信息科技，全维度服务商户的战略。公司不仅拥有央行颁发的《支付业务许可证》，而且取得了国家外管局批</w:t>
      </w:r>
      <w:r>
        <w:rPr>
          <w:spacing w:val="-68"/>
        </w:rPr>
        <w:t> </w:t>
      </w:r>
      <w:r>
        <w:rPr>
          <w:spacing w:val="-68"/>
        </w:rPr>
      </w:r>
      <w:r>
        <w:rPr>
          <w:spacing w:val="-2"/>
        </w:rPr>
        <w:t>准的跨境外汇支付业务资格。</w:t>
      </w:r>
      <w:r>
        <w:rPr>
          <w:rFonts w:ascii="Times New Roman" w:hAnsi="Times New Roman" w:cs="Times New Roman" w:eastAsia="Times New Roman" w:hint="default"/>
          <w:spacing w:val="-2"/>
        </w:rPr>
        <w:t>2018</w:t>
      </w:r>
      <w:r>
        <w:rPr>
          <w:spacing w:val="-2"/>
        </w:rPr>
        <w:t>年以来，公司与</w:t>
      </w:r>
      <w:r>
        <w:rPr>
          <w:rFonts w:ascii="Times New Roman" w:hAnsi="Times New Roman" w:cs="Times New Roman" w:eastAsia="Times New Roman" w:hint="default"/>
          <w:spacing w:val="-2"/>
        </w:rPr>
        <w:t>VISA</w:t>
      </w:r>
      <w:r>
        <w:rPr>
          <w:spacing w:val="-2"/>
        </w:rPr>
        <w:t>、</w:t>
      </w:r>
      <w:r>
        <w:rPr>
          <w:rFonts w:ascii="Times New Roman" w:hAnsi="Times New Roman" w:cs="Times New Roman" w:eastAsia="Times New Roman" w:hint="default"/>
          <w:spacing w:val="-2"/>
        </w:rPr>
        <w:t>MasterCard</w:t>
      </w:r>
      <w:r>
        <w:rPr>
          <w:spacing w:val="-2"/>
        </w:rPr>
        <w:t>、</w:t>
      </w:r>
      <w:r>
        <w:rPr>
          <w:rFonts w:ascii="Times New Roman" w:hAnsi="Times New Roman" w:cs="Times New Roman" w:eastAsia="Times New Roman" w:hint="default"/>
          <w:spacing w:val="-2"/>
        </w:rPr>
        <w:t>Discover</w:t>
      </w:r>
      <w:r>
        <w:rPr>
          <w:spacing w:val="-2"/>
        </w:rPr>
        <w:t>、</w:t>
      </w:r>
      <w:r>
        <w:rPr>
          <w:rFonts w:ascii="Times New Roman" w:hAnsi="Times New Roman" w:cs="Times New Roman" w:eastAsia="Times New Roman" w:hint="default"/>
          <w:spacing w:val="-2"/>
        </w:rPr>
        <w:t>American</w:t>
      </w:r>
      <w:r>
        <w:rPr>
          <w:rFonts w:ascii="Times New Roman" w:hAnsi="Times New Roman" w:cs="Times New Roman" w:eastAsia="Times New Roman" w:hint="default"/>
        </w:rPr>
        <w:t> </w:t>
      </w:r>
      <w:r>
        <w:rPr>
          <w:rFonts w:ascii="Times New Roman" w:hAnsi="Times New Roman" w:cs="Times New Roman" w:eastAsia="Times New Roman" w:hint="default"/>
          <w:spacing w:val="-1"/>
        </w:rPr>
        <w:t>Express</w:t>
      </w:r>
      <w:r>
        <w:rPr>
          <w:spacing w:val="-1"/>
        </w:rPr>
        <w:t>四大国际卡组织签署了业</w:t>
      </w:r>
      <w:r>
        <w:rPr>
          <w:spacing w:val="-59"/>
        </w:rPr>
        <w:t> </w:t>
      </w:r>
      <w:r>
        <w:rPr>
          <w:spacing w:val="-2"/>
        </w:rPr>
        <w:t>务合作协议，积极布局海外市场。同时，公司通过战略投资进入银行、证券、保险、网联公司以及产业互联网等领域，形成</w:t>
      </w:r>
      <w:r>
        <w:rPr>
          <w:spacing w:val="-73"/>
        </w:rPr>
        <w:t> </w:t>
      </w:r>
      <w:r>
        <w:rPr>
          <w:spacing w:val="-73"/>
        </w:rPr>
      </w:r>
      <w:r>
        <w:rPr>
          <w:spacing w:val="-2"/>
        </w:rPr>
        <w:t>了为中小微商户提供支付、金融、电商以及信息等科技服务的强大能力。这些能力正日益发挥作用，在扩大公司支付商户规</w:t>
      </w:r>
      <w:r>
        <w:rPr>
          <w:spacing w:val="-65"/>
        </w:rPr>
        <w:t> </w:t>
      </w:r>
      <w:r>
        <w:rPr>
          <w:spacing w:val="-65"/>
        </w:rPr>
      </w:r>
      <w:r>
        <w:rPr/>
        <w:t>模的同时，进一步提升了公司每个商户的</w:t>
      </w:r>
      <w:r>
        <w:rPr>
          <w:rFonts w:ascii="Times New Roman" w:hAnsi="Times New Roman" w:cs="Times New Roman" w:eastAsia="Times New Roman" w:hint="default"/>
        </w:rPr>
        <w:t>ARPU</w:t>
      </w:r>
      <w:r>
        <w:rPr/>
        <w:t>值以及商户粘性。</w:t>
      </w:r>
    </w:p>
    <w:p>
      <w:pPr>
        <w:pStyle w:val="BodyText"/>
        <w:spacing w:line="300" w:lineRule="auto" w:before="3"/>
        <w:ind w:right="1133" w:firstLine="360"/>
        <w:jc w:val="both"/>
      </w:pPr>
      <w:r>
        <w:rPr>
          <w:rFonts w:ascii="Times New Roman" w:hAnsi="Times New Roman" w:cs="Times New Roman" w:eastAsia="Times New Roman" w:hint="default"/>
          <w:spacing w:val="-1"/>
        </w:rPr>
        <w:t>3.</w:t>
      </w:r>
      <w:r>
        <w:rPr>
          <w:spacing w:val="-1"/>
        </w:rPr>
        <w:t>企业文化强大。公司独创的五行文化，包括使命愿景、价值观、十二条令、管理方法论和经营方法论五大模块，从价</w:t>
      </w:r>
      <w:r>
        <w:rPr/>
        <w:t> 值观、方法论和工具维度贯串到公司的业务全流程之中，使得公司具备强大的战略执行能力。</w:t>
      </w:r>
    </w:p>
    <w:p>
      <w:pPr>
        <w:pStyle w:val="BodyText"/>
        <w:spacing w:line="300" w:lineRule="auto" w:before="31"/>
        <w:ind w:right="1128" w:firstLine="360"/>
        <w:jc w:val="both"/>
      </w:pPr>
      <w:r>
        <w:rPr>
          <w:rFonts w:ascii="Times New Roman" w:hAnsi="Times New Roman" w:cs="Times New Roman" w:eastAsia="Times New Roman" w:hint="default"/>
          <w:spacing w:val="-1"/>
        </w:rPr>
        <w:t>4.</w:t>
      </w:r>
      <w:r>
        <w:rPr>
          <w:spacing w:val="-1"/>
        </w:rPr>
        <w:t>创新能力强大。在企业文化引领下，公司始终坚持技术和产品创新，在业务模式和产品服务上均走在市场前列。历史</w:t>
      </w:r>
      <w:r>
        <w:rPr/>
        <w:t> 上，公司创新性推出了为便利店赋能的自助缴费终端智能</w:t>
      </w:r>
      <w:r>
        <w:rPr>
          <w:rFonts w:ascii="Times New Roman" w:hAnsi="Times New Roman" w:cs="Times New Roman" w:eastAsia="Times New Roman" w:hint="default"/>
        </w:rPr>
        <w:t>POS</w:t>
      </w:r>
      <w:r>
        <w:rPr/>
        <w:t>、</w:t>
      </w:r>
      <w:r>
        <w:rPr>
          <w:rFonts w:ascii="Times New Roman" w:hAnsi="Times New Roman" w:cs="Times New Roman" w:eastAsia="Times New Roman" w:hint="default"/>
        </w:rPr>
        <w:t>MPOS</w:t>
      </w:r>
      <w:r>
        <w:rPr/>
        <w:t>、拉卡拉</w:t>
      </w:r>
      <w:r>
        <w:rPr>
          <w:rFonts w:ascii="Times New Roman" w:hAnsi="Times New Roman" w:cs="Times New Roman" w:eastAsia="Times New Roman" w:hint="default"/>
        </w:rPr>
        <w:t>Q</w:t>
      </w:r>
      <w:r>
        <w:rPr/>
        <w:t>码、收钱宝盒以及超级收款宝等产品，上</w:t>
      </w:r>
      <w:r>
        <w:rPr>
          <w:spacing w:val="-50"/>
        </w:rPr>
        <w:t> </w:t>
      </w:r>
      <w:r>
        <w:rPr>
          <w:spacing w:val="-50"/>
        </w:rPr>
      </w:r>
      <w:r>
        <w:rPr/>
        <w:t>市以来，公司基于自身优势和积累，结合新零售、云分销等技术，创新推出</w:t>
      </w:r>
      <w:r>
        <w:rPr>
          <w:rFonts w:ascii="Times New Roman" w:hAnsi="Times New Roman" w:cs="Times New Roman" w:eastAsia="Times New Roman" w:hint="default"/>
        </w:rPr>
        <w:t>“</w:t>
      </w:r>
      <w:r>
        <w:rPr/>
        <w:t>云小店</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汇管店</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收款码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云收单</w:t>
      </w:r>
      <w:r>
        <w:rPr>
          <w:rFonts w:ascii="Times New Roman" w:hAnsi="Times New Roman" w:cs="Times New Roman" w:eastAsia="Times New Roman" w:hint="default"/>
        </w:rPr>
        <w:t>“</w:t>
      </w:r>
      <w:r>
        <w:rPr/>
        <w:t>等为</w:t>
      </w:r>
      <w:r>
        <w:rPr>
          <w:spacing w:val="2"/>
        </w:rPr>
        <w:t> </w:t>
      </w:r>
      <w:r>
        <w:rPr/>
        <w:t>中小微商户经营赋能的</w:t>
      </w:r>
      <w:r>
        <w:rPr>
          <w:rFonts w:ascii="Times New Roman" w:hAnsi="Times New Roman" w:cs="Times New Roman" w:eastAsia="Times New Roman" w:hint="default"/>
        </w:rPr>
        <w:t>SaaS</w:t>
      </w:r>
      <w:r>
        <w:rPr/>
        <w:t>产品。既解决了用户的需求，也为公司打开了新的市场。</w:t>
      </w:r>
    </w:p>
    <w:p>
      <w:pPr>
        <w:pStyle w:val="BodyText"/>
        <w:spacing w:line="302" w:lineRule="auto" w:before="13"/>
        <w:ind w:right="1034" w:firstLine="360"/>
        <w:jc w:val="left"/>
      </w:pPr>
      <w:r>
        <w:rPr>
          <w:rFonts w:ascii="Times New Roman" w:hAnsi="Times New Roman" w:cs="Times New Roman" w:eastAsia="Times New Roman" w:hint="default"/>
        </w:rPr>
        <w:t>5.</w:t>
      </w:r>
      <w:r>
        <w:rPr/>
        <w:t>技术实力强大。公司基于自主云建设路线，持续对底层</w:t>
      </w:r>
      <w:r>
        <w:rPr>
          <w:rFonts w:ascii="Times New Roman" w:hAnsi="Times New Roman" w:cs="Times New Roman" w:eastAsia="Times New Roman" w:hint="default"/>
        </w:rPr>
        <w:t>IDC</w:t>
      </w:r>
      <w:r>
        <w:rPr/>
        <w:t>能力和容量进行拓展升级，形成了</w:t>
      </w:r>
      <w:r>
        <w:rPr>
          <w:rFonts w:ascii="Times New Roman" w:hAnsi="Times New Roman" w:cs="Times New Roman" w:eastAsia="Times New Roman" w:hint="default"/>
        </w:rPr>
        <w:t>IDC</w:t>
      </w:r>
      <w:r>
        <w:rPr/>
        <w:t>、专有云、公有云 的混合云融合生态；通过数据标签的持续建设结合</w:t>
      </w:r>
      <w:r>
        <w:rPr>
          <w:rFonts w:ascii="Times New Roman" w:hAnsi="Times New Roman" w:cs="Times New Roman" w:eastAsia="Times New Roman" w:hint="default"/>
        </w:rPr>
        <w:t>AI</w:t>
      </w:r>
      <w:r>
        <w:rPr/>
        <w:t>深度学习逐步形成了</w:t>
      </w:r>
      <w:r>
        <w:rPr>
          <w:rFonts w:ascii="Times New Roman" w:hAnsi="Times New Roman" w:cs="Times New Roman" w:eastAsia="Times New Roman" w:hint="default"/>
        </w:rPr>
        <w:t>DT</w:t>
      </w:r>
      <w:r>
        <w:rPr/>
        <w:t>驱动的大数据中台，具备为业务处理、运营、</w:t>
      </w:r>
      <w:r>
        <w:rPr>
          <w:spacing w:val="-65"/>
        </w:rPr>
        <w:t> </w:t>
      </w:r>
      <w:r>
        <w:rPr>
          <w:spacing w:val="-65"/>
        </w:rPr>
      </w:r>
      <w:r>
        <w:rPr/>
        <w:t>风控、智能营销等方面提供精准数据支撑的能力，智能风控系统实现伪卡、盗刷等主流作案手法监控覆盖率达</w:t>
      </w:r>
      <w:r>
        <w:rPr>
          <w:rFonts w:ascii="Times New Roman" w:hAnsi="Times New Roman" w:cs="Times New Roman" w:eastAsia="Times New Roman" w:hint="default"/>
        </w:rPr>
        <w:t>95%</w:t>
      </w:r>
      <w:r>
        <w:rPr/>
        <w:t>以上，业 务欺诈损失率保持在百万分之一的水平，智能机器人替代人工客户服务和营销服务率已经超过</w:t>
      </w:r>
      <w:r>
        <w:rPr>
          <w:rFonts w:ascii="Times New Roman" w:hAnsi="Times New Roman" w:cs="Times New Roman" w:eastAsia="Times New Roman" w:hint="default"/>
        </w:rPr>
        <w:t>60%</w:t>
      </w:r>
      <w:r>
        <w:rPr/>
        <w:t>；公司独立架构的清结算 体系，采用分布式企业级信息技术，具备百万级</w:t>
      </w:r>
      <w:r>
        <w:rPr>
          <w:rFonts w:ascii="Times New Roman" w:hAnsi="Times New Roman" w:cs="Times New Roman" w:eastAsia="Times New Roman" w:hint="default"/>
        </w:rPr>
        <w:t>TPS</w:t>
      </w:r>
      <w:r>
        <w:rPr/>
        <w:t>集群并发处理能力、</w:t>
      </w:r>
      <w:r>
        <w:rPr>
          <w:rFonts w:ascii="Times New Roman" w:hAnsi="Times New Roman" w:cs="Times New Roman" w:eastAsia="Times New Roman" w:hint="default"/>
        </w:rPr>
        <w:t>99.999%</w:t>
      </w:r>
      <w:r>
        <w:rPr/>
        <w:t>的可靠性；公司的应用研发、测试和生产</w:t>
      </w:r>
      <w:r>
        <w:rPr>
          <w:spacing w:val="-53"/>
        </w:rPr>
        <w:t> </w:t>
      </w:r>
      <w:r>
        <w:rPr>
          <w:spacing w:val="-53"/>
        </w:rPr>
      </w:r>
      <w:r>
        <w:rPr/>
        <w:t>运行联动一体化运行机制，让公司具备强大的产研融合能力。公司在区块链、人工智能、大数据等前沿技术上的研发投入， 助力产品创新，保持行业领先。截止</w:t>
      </w:r>
      <w:r>
        <w:rPr>
          <w:rFonts w:ascii="Times New Roman" w:hAnsi="Times New Roman" w:cs="Times New Roman" w:eastAsia="Times New Roman" w:hint="default"/>
        </w:rPr>
        <w:t>2019</w:t>
      </w:r>
      <w:r>
        <w:rPr/>
        <w:t>年末，公司拥有公司持有的专利</w:t>
      </w:r>
      <w:r>
        <w:rPr>
          <w:rFonts w:ascii="Times New Roman" w:hAnsi="Times New Roman" w:cs="Times New Roman" w:eastAsia="Times New Roman" w:hint="default"/>
        </w:rPr>
        <w:t>41</w:t>
      </w:r>
      <w:r>
        <w:rPr/>
        <w:t>项，在申请专利</w:t>
      </w:r>
      <w:r>
        <w:rPr>
          <w:rFonts w:ascii="Times New Roman" w:hAnsi="Times New Roman" w:cs="Times New Roman" w:eastAsia="Times New Roman" w:hint="default"/>
        </w:rPr>
        <w:t>40</w:t>
      </w:r>
      <w:r>
        <w:rPr/>
        <w:t>多个。</w:t>
      </w:r>
    </w:p>
    <w:p>
      <w:pPr>
        <w:pStyle w:val="BodyText"/>
        <w:spacing w:line="309" w:lineRule="auto" w:before="11"/>
        <w:ind w:right="1131" w:firstLine="360"/>
        <w:jc w:val="both"/>
      </w:pPr>
      <w:r>
        <w:rPr>
          <w:rFonts w:ascii="Times New Roman" w:hAnsi="Times New Roman" w:cs="Times New Roman" w:eastAsia="Times New Roman" w:hint="default"/>
        </w:rPr>
        <w:t>6.</w:t>
      </w:r>
      <w:r>
        <w:rPr/>
        <w:t>规模地位品牌优势明显。目前，公司累计覆盖商户超过</w:t>
      </w:r>
      <w:r>
        <w:rPr>
          <w:rFonts w:ascii="Times New Roman" w:hAnsi="Times New Roman" w:cs="Times New Roman" w:eastAsia="Times New Roman" w:hint="default"/>
        </w:rPr>
        <w:t>2200</w:t>
      </w:r>
      <w:r>
        <w:rPr/>
        <w:t>万户，</w:t>
      </w:r>
      <w:r>
        <w:rPr>
          <w:rFonts w:ascii="Times New Roman" w:hAnsi="Times New Roman" w:cs="Times New Roman" w:eastAsia="Times New Roman" w:hint="default"/>
        </w:rPr>
        <w:t>3</w:t>
      </w:r>
      <w:r>
        <w:rPr/>
        <w:t>万家积分消费商户门店，商户规模和交易规模居 </w:t>
      </w:r>
      <w:r>
        <w:rPr>
          <w:spacing w:val="-2"/>
        </w:rPr>
        <w:t>于行业前列。公司在全国各省、市以及主要的二级城市都设置了分支机构，实行直营和渠道双轮驱动的运营模式，具有强大</w:t>
      </w:r>
      <w:r>
        <w:rPr>
          <w:spacing w:val="-65"/>
        </w:rPr>
        <w:t> </w:t>
      </w:r>
      <w:r>
        <w:rPr>
          <w:spacing w:val="-65"/>
        </w:rPr>
      </w:r>
      <w:r>
        <w:rPr/>
        <w:t>的营销推广、行业合作、服务商户的能力。公司品牌形象好，认知度高。</w:t>
      </w:r>
    </w:p>
    <w:p>
      <w:pPr>
        <w:spacing w:after="0" w:line="30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128" w:firstLine="360"/>
        <w:jc w:val="both"/>
      </w:pPr>
      <w:r>
        <w:rPr>
          <w:rFonts w:ascii="Times New Roman" w:hAnsi="Times New Roman" w:cs="Times New Roman" w:eastAsia="Times New Roman" w:hint="default"/>
          <w:spacing w:val="-2"/>
        </w:rPr>
        <w:t>2019</w:t>
      </w:r>
      <w:r>
        <w:rPr>
          <w:spacing w:val="-2"/>
        </w:rPr>
        <w:t>年是公司发展历程中里程碑式的一年，公司成功登陆创业板，进入资本市场。自</w:t>
      </w:r>
      <w:r>
        <w:rPr>
          <w:rFonts w:ascii="Times New Roman" w:hAnsi="Times New Roman" w:cs="Times New Roman" w:eastAsia="Times New Roman" w:hint="default"/>
          <w:spacing w:val="-2"/>
        </w:rPr>
        <w:t>2011</w:t>
      </w:r>
      <w:r>
        <w:rPr>
          <w:spacing w:val="-2"/>
        </w:rPr>
        <w:t>年首批获得国内全支付牌照以</w:t>
      </w:r>
      <w:r>
        <w:rPr/>
        <w:t> </w:t>
      </w:r>
      <w:r>
        <w:rPr>
          <w:spacing w:val="-3"/>
        </w:rPr>
        <w:t>来，公司以覆盖全国的机构网络、庞大的商户规模、以及丰富的交易场景，通过战略布局、产品创新和技术研发，完成了</w:t>
      </w:r>
      <w:r>
        <w:rPr>
          <w:rFonts w:ascii="Times New Roman" w:hAnsi="Times New Roman" w:cs="Times New Roman" w:eastAsia="Times New Roman" w:hint="default"/>
          <w:spacing w:val="-3"/>
        </w:rPr>
        <w:t>“</w:t>
      </w:r>
      <w:r>
        <w:rPr>
          <w:spacing w:val="-3"/>
        </w:rPr>
        <w:t>超</w:t>
      </w:r>
      <w:r>
        <w:rPr>
          <w:spacing w:val="-86"/>
        </w:rPr>
        <w:t> </w:t>
      </w:r>
      <w:r>
        <w:rPr>
          <w:spacing w:val="-1"/>
        </w:rPr>
        <w:t>越支付</w:t>
      </w:r>
      <w:r>
        <w:rPr>
          <w:rFonts w:ascii="Times New Roman" w:hAnsi="Times New Roman" w:cs="Times New Roman" w:eastAsia="Times New Roman" w:hint="default"/>
          <w:spacing w:val="-1"/>
        </w:rPr>
        <w:t>”</w:t>
      </w:r>
      <w:r>
        <w:rPr>
          <w:spacing w:val="-1"/>
        </w:rPr>
        <w:t>的战略规划，正式进入战略</w:t>
      </w:r>
      <w:r>
        <w:rPr>
          <w:rFonts w:ascii="Times New Roman" w:hAnsi="Times New Roman" w:cs="Times New Roman" w:eastAsia="Times New Roman" w:hint="default"/>
          <w:spacing w:val="-1"/>
        </w:rPr>
        <w:t>4.0</w:t>
      </w:r>
      <w:r>
        <w:rPr>
          <w:spacing w:val="-1"/>
        </w:rPr>
        <w:t>阶段，从一家支付公司升级为综合性企业服务公司，形成了支付科技、金融科技、电</w:t>
      </w:r>
      <w:r>
        <w:rPr>
          <w:spacing w:val="-61"/>
        </w:rPr>
        <w:t> </w:t>
      </w:r>
      <w:r>
        <w:rPr>
          <w:spacing w:val="-61"/>
        </w:rPr>
      </w:r>
      <w:r>
        <w:rPr>
          <w:spacing w:val="-2"/>
        </w:rPr>
        <w:t>商科技和信息科技四大业务板块，全维度为中小微商户提供线上与线下服务，成长为行业龙头企业，经营规模处于行业领先</w:t>
      </w:r>
      <w:r>
        <w:rPr>
          <w:spacing w:val="-63"/>
        </w:rPr>
        <w:t> </w:t>
      </w:r>
      <w:r>
        <w:rPr>
          <w:spacing w:val="-63"/>
        </w:rPr>
      </w:r>
      <w:r>
        <w:rPr/>
        <w:t>地位。</w:t>
      </w:r>
    </w:p>
    <w:p>
      <w:pPr>
        <w:pStyle w:val="BodyText"/>
        <w:spacing w:line="304" w:lineRule="auto" w:before="66"/>
        <w:ind w:right="1134" w:firstLine="360"/>
        <w:jc w:val="both"/>
      </w:pPr>
      <w:r>
        <w:rPr>
          <w:rFonts w:ascii="Times New Roman" w:hAnsi="Times New Roman" w:cs="Times New Roman" w:eastAsia="Times New Roman" w:hint="default"/>
          <w:spacing w:val="-2"/>
        </w:rPr>
        <w:t>2019</w:t>
      </w:r>
      <w:r>
        <w:rPr>
          <w:spacing w:val="-2"/>
        </w:rPr>
        <w:t>年也是公司既经历五年高速增长之后主动调整商户拓展、优化收入结构、夯实发展基础的重要一年。上市后，公司</w:t>
      </w:r>
      <w:r>
        <w:rPr/>
        <w:t> 坚定推进战略</w:t>
      </w:r>
      <w:r>
        <w:rPr>
          <w:rFonts w:ascii="Times New Roman" w:hAnsi="Times New Roman" w:cs="Times New Roman" w:eastAsia="Times New Roman" w:hint="default"/>
        </w:rPr>
        <w:t>4.0</w:t>
      </w:r>
      <w:r>
        <w:rPr/>
        <w:t>，以支付为切入，协同</w:t>
      </w:r>
      <w:r>
        <w:rPr>
          <w:rFonts w:ascii="Times New Roman" w:hAnsi="Times New Roman" w:cs="Times New Roman" w:eastAsia="Times New Roman" w:hint="default"/>
        </w:rPr>
        <w:t>“</w:t>
      </w:r>
      <w:r>
        <w:rPr/>
        <w:t>支付、金融、电商、信息</w:t>
      </w:r>
      <w:r>
        <w:rPr>
          <w:rFonts w:ascii="Times New Roman" w:hAnsi="Times New Roman" w:cs="Times New Roman" w:eastAsia="Times New Roman" w:hint="default"/>
        </w:rPr>
        <w:t>”</w:t>
      </w:r>
      <w:r>
        <w:rPr/>
        <w:t>四大科技业务板块，全维度为中小微商户提供线上与线</w:t>
      </w:r>
      <w:r>
        <w:rPr>
          <w:spacing w:val="-27"/>
        </w:rPr>
        <w:t> </w:t>
      </w:r>
      <w:r>
        <w:rPr>
          <w:spacing w:val="-27"/>
        </w:rPr>
      </w:r>
      <w:r>
        <w:rPr/>
        <w:t>下服务。针对中小微商户获取资源能力有限，传统</w:t>
      </w:r>
      <w:r>
        <w:rPr>
          <w:rFonts w:ascii="Times New Roman" w:hAnsi="Times New Roman" w:cs="Times New Roman" w:eastAsia="Times New Roman" w:hint="default"/>
        </w:rPr>
        <w:t>2B</w:t>
      </w:r>
      <w:r>
        <w:rPr/>
        <w:t>服务商难以触达的情况，公司致力于发展中小微商户，新增商户和深</w:t>
      </w:r>
      <w:r>
        <w:rPr>
          <w:spacing w:val="-31"/>
        </w:rPr>
        <w:t> </w:t>
      </w:r>
      <w:r>
        <w:rPr>
          <w:spacing w:val="-31"/>
        </w:rPr>
      </w:r>
      <w:r>
        <w:rPr>
          <w:spacing w:val="-2"/>
        </w:rPr>
        <w:t>度经营并举，在保证商户规模稳步增长的同时，发力商户经营业务，优化交易和收入结构，并取得快速发展，也为深度经营</w:t>
      </w:r>
      <w:r>
        <w:rPr>
          <w:spacing w:val="-67"/>
        </w:rPr>
        <w:t> </w:t>
      </w:r>
      <w:r>
        <w:rPr>
          <w:spacing w:val="-67"/>
        </w:rPr>
      </w:r>
      <w:r>
        <w:rPr/>
        <w:t>和可持续发展奠定了坚实的基础。</w:t>
      </w:r>
    </w:p>
    <w:p>
      <w:pPr>
        <w:pStyle w:val="BodyText"/>
        <w:spacing w:line="300" w:lineRule="auto" w:before="68"/>
        <w:ind w:right="1132" w:firstLine="360"/>
        <w:jc w:val="both"/>
      </w:pPr>
      <w:r>
        <w:rPr>
          <w:rFonts w:ascii="Times New Roman" w:hAnsi="Times New Roman" w:cs="Times New Roman" w:eastAsia="Times New Roman" w:hint="default"/>
          <w:spacing w:val="-3"/>
        </w:rPr>
        <w:t>2019</w:t>
      </w:r>
      <w:r>
        <w:rPr>
          <w:spacing w:val="-3"/>
        </w:rPr>
        <w:t>年，公司战略布局产业互联网，结合公司长期研发积累，内生式与外延式发展并举，持续向市场投放</w:t>
      </w:r>
      <w:r>
        <w:rPr>
          <w:rFonts w:ascii="Times New Roman" w:hAnsi="Times New Roman" w:cs="Times New Roman" w:eastAsia="Times New Roman" w:hint="default"/>
          <w:spacing w:val="-3"/>
        </w:rPr>
        <w:t>“</w:t>
      </w:r>
      <w:r>
        <w:rPr>
          <w:spacing w:val="-3"/>
        </w:rPr>
        <w:t>云收单</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云</w:t>
      </w:r>
      <w:r>
        <w:rPr/>
        <w:t> 小店</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收款码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汇管店</w:t>
      </w:r>
      <w:r>
        <w:rPr>
          <w:rFonts w:ascii="Times New Roman" w:hAnsi="Times New Roman" w:cs="Times New Roman" w:eastAsia="Times New Roman" w:hint="default"/>
        </w:rPr>
        <w:t>”</w:t>
      </w:r>
      <w:r>
        <w:rPr/>
        <w:t>等基于云服务的</w:t>
      </w:r>
      <w:r>
        <w:rPr>
          <w:rFonts w:ascii="Times New Roman" w:hAnsi="Times New Roman" w:cs="Times New Roman" w:eastAsia="Times New Roman" w:hint="default"/>
        </w:rPr>
        <w:t>SaaS</w:t>
      </w:r>
      <w:r>
        <w:rPr/>
        <w:t>产品，不断丰富公司产品矩阵，提升商户服务能力。报告期内，公司深度</w:t>
      </w:r>
      <w:r>
        <w:rPr>
          <w:spacing w:val="-42"/>
        </w:rPr>
        <w:t> </w:t>
      </w:r>
      <w:r>
        <w:rPr>
          <w:spacing w:val="-42"/>
        </w:rPr>
      </w:r>
      <w:r>
        <w:rPr>
          <w:spacing w:val="-2"/>
        </w:rPr>
        <w:t>融合和协同</w:t>
      </w:r>
      <w:r>
        <w:rPr>
          <w:rFonts w:ascii="Times New Roman" w:hAnsi="Times New Roman" w:cs="Times New Roman" w:eastAsia="Times New Roman" w:hint="default"/>
          <w:spacing w:val="-2"/>
        </w:rPr>
        <w:t>“</w:t>
      </w:r>
      <w:r>
        <w:rPr>
          <w:spacing w:val="-2"/>
        </w:rPr>
        <w:t>支付、金融、电商、信息</w:t>
      </w:r>
      <w:r>
        <w:rPr>
          <w:rFonts w:ascii="Times New Roman" w:hAnsi="Times New Roman" w:cs="Times New Roman" w:eastAsia="Times New Roman" w:hint="default"/>
          <w:spacing w:val="-2"/>
        </w:rPr>
        <w:t>”</w:t>
      </w:r>
      <w:r>
        <w:rPr>
          <w:spacing w:val="-2"/>
        </w:rPr>
        <w:t>四大科技业务板块，向中小微商户提供支付、贷款、理财、保险、信用卡发卡、积分</w:t>
      </w:r>
      <w:r>
        <w:rPr>
          <w:spacing w:val="-50"/>
        </w:rPr>
        <w:t> </w:t>
      </w:r>
      <w:r>
        <w:rPr>
          <w:spacing w:val="-50"/>
        </w:rPr>
      </w:r>
      <w:r>
        <w:rPr>
          <w:spacing w:val="-2"/>
        </w:rPr>
        <w:t>消费运营、广告营销、会员订阅、新零售和云分销</w:t>
      </w:r>
      <w:r>
        <w:rPr>
          <w:rFonts w:ascii="Times New Roman" w:hAnsi="Times New Roman" w:cs="Times New Roman" w:eastAsia="Times New Roman" w:hint="default"/>
          <w:spacing w:val="-2"/>
        </w:rPr>
        <w:t>SaaS</w:t>
      </w:r>
      <w:r>
        <w:rPr>
          <w:spacing w:val="-2"/>
        </w:rPr>
        <w:t>等服务，并与金融机构合作开展云收单和专业化服务，帮助中小微商</w:t>
      </w:r>
      <w:r>
        <w:rPr>
          <w:spacing w:val="-65"/>
        </w:rPr>
        <w:t> </w:t>
      </w:r>
      <w:r>
        <w:rPr>
          <w:spacing w:val="-65"/>
        </w:rPr>
      </w:r>
      <w:r>
        <w:rPr/>
        <w:t>户解决经营痛点。业务创新与用户规模效应显现，商户经营业务收入增长达</w:t>
      </w:r>
      <w:r>
        <w:rPr>
          <w:rFonts w:ascii="Times New Roman" w:hAnsi="Times New Roman" w:cs="Times New Roman" w:eastAsia="Times New Roman" w:hint="default"/>
        </w:rPr>
        <w:t>120%</w:t>
      </w:r>
      <w:r>
        <w:rPr/>
        <w:t>，已成为支撑公司业绩快速增长的又一个</w:t>
      </w:r>
      <w:r>
        <w:rPr>
          <w:spacing w:val="-57"/>
        </w:rPr>
        <w:t> </w:t>
      </w:r>
      <w:r>
        <w:rPr>
          <w:spacing w:val="-57"/>
        </w:rPr>
      </w:r>
      <w:r>
        <w:rPr/>
        <w:t>重要引擎。</w:t>
      </w:r>
    </w:p>
    <w:p>
      <w:pPr>
        <w:pStyle w:val="BodyText"/>
        <w:spacing w:line="309" w:lineRule="auto" w:before="72"/>
        <w:ind w:right="1130" w:firstLine="360"/>
        <w:jc w:val="both"/>
      </w:pPr>
      <w:r>
        <w:rPr>
          <w:rFonts w:ascii="Times New Roman" w:hAnsi="Times New Roman" w:cs="Times New Roman" w:eastAsia="Times New Roman" w:hint="default"/>
          <w:spacing w:val="-2"/>
        </w:rPr>
        <w:t>2019</w:t>
      </w:r>
      <w:r>
        <w:rPr>
          <w:spacing w:val="-2"/>
        </w:rPr>
        <w:t>年，公司立足国内，积极布局海外业务。</w:t>
      </w:r>
      <w:r>
        <w:rPr>
          <w:rFonts w:ascii="Times New Roman" w:hAnsi="Times New Roman" w:cs="Times New Roman" w:eastAsia="Times New Roman" w:hint="default"/>
          <w:spacing w:val="-2"/>
        </w:rPr>
        <w:t>2019</w:t>
      </w:r>
      <w:r>
        <w:rPr>
          <w:spacing w:val="-2"/>
        </w:rPr>
        <w:t>年，公司已与</w:t>
      </w:r>
      <w:r>
        <w:rPr>
          <w:rFonts w:ascii="Times New Roman" w:hAnsi="Times New Roman" w:cs="Times New Roman" w:eastAsia="Times New Roman" w:hint="default"/>
          <w:spacing w:val="-2"/>
        </w:rPr>
        <w:t>VISA</w:t>
      </w:r>
      <w:r>
        <w:rPr>
          <w:spacing w:val="-2"/>
        </w:rPr>
        <w:t>、</w:t>
      </w:r>
      <w:r>
        <w:rPr>
          <w:rFonts w:ascii="Times New Roman" w:hAnsi="Times New Roman" w:cs="Times New Roman" w:eastAsia="Times New Roman" w:hint="default"/>
          <w:spacing w:val="-2"/>
        </w:rPr>
        <w:t>MasterCard</w:t>
      </w:r>
      <w:r>
        <w:rPr>
          <w:spacing w:val="-2"/>
        </w:rPr>
        <w:t>、</w:t>
      </w:r>
      <w:r>
        <w:rPr>
          <w:rFonts w:ascii="Times New Roman" w:hAnsi="Times New Roman" w:cs="Times New Roman" w:eastAsia="Times New Roman" w:hint="default"/>
          <w:spacing w:val="-2"/>
        </w:rPr>
        <w:t>Discover</w:t>
      </w:r>
      <w:r>
        <w:rPr>
          <w:spacing w:val="-2"/>
        </w:rPr>
        <w:t>、</w:t>
      </w:r>
      <w:r>
        <w:rPr>
          <w:rFonts w:ascii="Times New Roman" w:hAnsi="Times New Roman" w:cs="Times New Roman" w:eastAsia="Times New Roman" w:hint="default"/>
          <w:spacing w:val="-2"/>
        </w:rPr>
        <w:t>American</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Express</w:t>
      </w:r>
      <w:r>
        <w:rPr>
          <w:spacing w:val="-1"/>
        </w:rPr>
        <w:t>签署合</w:t>
      </w:r>
      <w:r>
        <w:rPr/>
        <w:t> </w:t>
      </w:r>
      <w:r>
        <w:rPr>
          <w:spacing w:val="-2"/>
        </w:rPr>
        <w:t>作协议，正式成为四大国际卡组织成员机构，也是第三方支付机构中全面与国际卡组织合作的少数机构之一；完成了贸易外</w:t>
      </w:r>
      <w:r>
        <w:rPr>
          <w:spacing w:val="-63"/>
        </w:rPr>
        <w:t> </w:t>
      </w:r>
      <w:r>
        <w:rPr>
          <w:spacing w:val="-63"/>
        </w:rPr>
      </w:r>
      <w:r>
        <w:rPr/>
        <w:t>汇收支企业名录登记，为发展跨境与境外业务奠定了基础。</w:t>
      </w:r>
    </w:p>
    <w:p>
      <w:pPr>
        <w:pStyle w:val="BodyText"/>
        <w:spacing w:line="309" w:lineRule="auto" w:before="62"/>
        <w:ind w:right="1129" w:firstLine="360"/>
        <w:jc w:val="both"/>
      </w:pPr>
      <w:r>
        <w:rPr>
          <w:rFonts w:ascii="Times New Roman" w:hAnsi="Times New Roman" w:cs="Times New Roman" w:eastAsia="Times New Roman" w:hint="default"/>
          <w:spacing w:val="-2"/>
        </w:rPr>
        <w:t>2019</w:t>
      </w:r>
      <w:r>
        <w:rPr>
          <w:spacing w:val="-2"/>
        </w:rPr>
        <w:t>年，公司技术研发进入关键环节，以</w:t>
      </w:r>
      <w:r>
        <w:rPr>
          <w:rFonts w:ascii="Times New Roman" w:hAnsi="Times New Roman" w:cs="Times New Roman" w:eastAsia="Times New Roman" w:hint="default"/>
          <w:spacing w:val="-2"/>
        </w:rPr>
        <w:t>“</w:t>
      </w:r>
      <w:r>
        <w:rPr>
          <w:spacing w:val="-2"/>
        </w:rPr>
        <w:t>云建设、数据赋能、新一代支付体系</w:t>
      </w:r>
      <w:r>
        <w:rPr>
          <w:rFonts w:ascii="Times New Roman" w:hAnsi="Times New Roman" w:cs="Times New Roman" w:eastAsia="Times New Roman" w:hint="default"/>
          <w:spacing w:val="-2"/>
        </w:rPr>
        <w:t>”</w:t>
      </w:r>
      <w:r>
        <w:rPr>
          <w:spacing w:val="-2"/>
        </w:rPr>
        <w:t>为重心，深度融合大数据、区块链和人</w:t>
      </w:r>
      <w:r>
        <w:rPr/>
        <w:t> </w:t>
      </w:r>
      <w:r>
        <w:rPr>
          <w:spacing w:val="-2"/>
        </w:rPr>
        <w:t>工智能等前沿技术，在基础设施整体升级、大数据治理与数据驱动、新型支付体系建设、新技术预研预与业务融合等方面取</w:t>
      </w:r>
      <w:r>
        <w:rPr>
          <w:spacing w:val="-64"/>
        </w:rPr>
        <w:t> </w:t>
      </w:r>
      <w:r>
        <w:rPr>
          <w:spacing w:val="-64"/>
        </w:rPr>
      </w:r>
      <w:r>
        <w:rPr/>
        <w:t>得长足进步和实质性进展，着力打造业界领先、符合公司整体发展的新型支付技术体系和运营生态。</w:t>
      </w:r>
    </w:p>
    <w:p>
      <w:pPr>
        <w:pStyle w:val="BodyText"/>
        <w:spacing w:line="300" w:lineRule="auto" w:before="65"/>
        <w:ind w:right="1034" w:firstLine="360"/>
        <w:jc w:val="left"/>
      </w:pPr>
      <w:r>
        <w:rPr>
          <w:rFonts w:ascii="Times New Roman" w:hAnsi="Times New Roman" w:cs="Times New Roman" w:eastAsia="Times New Roman" w:hint="default"/>
        </w:rPr>
        <w:t>2019</w:t>
      </w:r>
      <w:r>
        <w:rPr/>
        <w:t>年，公司主动调整和优化商户与收入结构，商户经营业务收入快速增长，提升了公司主营业务收入的毛利率水平， 销售费用大幅度减少，公司净利润继续保持大幅增长态势。报告期内，公司营业收入为</w:t>
      </w:r>
      <w:r>
        <w:rPr>
          <w:rFonts w:ascii="Times New Roman" w:hAnsi="Times New Roman" w:cs="Times New Roman" w:eastAsia="Times New Roman" w:hint="default"/>
        </w:rPr>
        <w:t>48.99</w:t>
      </w:r>
      <w:r>
        <w:rPr/>
        <w:t>亿元，虽然因为公司主动调整</w:t>
      </w:r>
      <w:r>
        <w:rPr>
          <w:spacing w:val="-40"/>
        </w:rPr>
        <w:t> </w:t>
      </w:r>
      <w:r>
        <w:rPr>
          <w:spacing w:val="-40"/>
        </w:rPr>
      </w:r>
      <w:r>
        <w:rPr/>
        <w:t>商户和收入结构导致收入同比下降 </w:t>
      </w:r>
      <w:r>
        <w:rPr>
          <w:rFonts w:ascii="Times New Roman" w:hAnsi="Times New Roman" w:cs="Times New Roman" w:eastAsia="Times New Roman" w:hint="default"/>
        </w:rPr>
        <w:t>13.73 %</w:t>
      </w:r>
      <w:r>
        <w:rPr/>
        <w:t>，但净利润达 </w:t>
      </w:r>
      <w:r>
        <w:rPr>
          <w:rFonts w:ascii="Times New Roman" w:hAnsi="Times New Roman" w:cs="Times New Roman" w:eastAsia="Times New Roman" w:hint="default"/>
        </w:rPr>
        <w:t>8.17 </w:t>
      </w:r>
      <w:r>
        <w:rPr/>
        <w:t>亿元，同比增长</w:t>
      </w:r>
      <w:r>
        <w:rPr>
          <w:rFonts w:ascii="Times New Roman" w:hAnsi="Times New Roman" w:cs="Times New Roman" w:eastAsia="Times New Roman" w:hint="default"/>
        </w:rPr>
        <w:t>34.72 %</w:t>
      </w:r>
      <w:r>
        <w:rPr/>
        <w:t>，归属上市公司股东的净利润为</w:t>
      </w:r>
      <w:r>
        <w:rPr>
          <w:spacing w:val="-66"/>
        </w:rPr>
        <w:t> </w:t>
      </w:r>
      <w:r>
        <w:rPr>
          <w:rFonts w:ascii="Times New Roman" w:hAnsi="Times New Roman" w:cs="Times New Roman" w:eastAsia="Times New Roman" w:hint="default"/>
        </w:rPr>
        <w:t>8.06 </w:t>
      </w:r>
      <w:r>
        <w:rPr/>
        <w:t>亿元，同比增长</w:t>
      </w:r>
      <w:r>
        <w:rPr>
          <w:rFonts w:ascii="Times New Roman" w:hAnsi="Times New Roman" w:cs="Times New Roman" w:eastAsia="Times New Roman" w:hint="default"/>
        </w:rPr>
        <w:t>34.5%</w:t>
      </w:r>
      <w:r>
        <w:rPr/>
        <w:t>，超额完成实现了公司年度经营计划。报告期末，公司资产负债率为</w:t>
      </w:r>
      <w:r>
        <w:rPr>
          <w:rFonts w:ascii="Times New Roman" w:hAnsi="Times New Roman" w:cs="Times New Roman" w:eastAsia="Times New Roman" w:hint="default"/>
        </w:rPr>
        <w:t>55.15%</w:t>
      </w:r>
      <w:r>
        <w:rPr/>
        <w:t>，剔除清算业务往来后的 资产负债率为</w:t>
      </w:r>
      <w:r>
        <w:rPr>
          <w:rFonts w:ascii="Times New Roman" w:hAnsi="Times New Roman" w:cs="Times New Roman" w:eastAsia="Times New Roman" w:hint="default"/>
        </w:rPr>
        <w:t>17.34%</w:t>
      </w:r>
      <w:r>
        <w:rPr/>
        <w:t>。</w:t>
      </w:r>
    </w:p>
    <w:p>
      <w:pPr>
        <w:pStyle w:val="BodyText"/>
        <w:spacing w:line="240" w:lineRule="auto" w:before="53"/>
        <w:ind w:left="513" w:right="1133"/>
        <w:jc w:val="left"/>
      </w:pPr>
      <w:r>
        <w:rPr/>
        <w:t>（一）支付科技业务</w:t>
      </w:r>
    </w:p>
    <w:p>
      <w:pPr>
        <w:pStyle w:val="BodyText"/>
        <w:spacing w:line="309" w:lineRule="auto" w:before="115"/>
        <w:ind w:right="0" w:firstLine="360"/>
        <w:jc w:val="left"/>
      </w:pPr>
      <w:r>
        <w:rPr>
          <w:rFonts w:ascii="Times New Roman" w:hAnsi="Times New Roman" w:cs="Times New Roman" w:eastAsia="Times New Roman" w:hint="default"/>
          <w:spacing w:val="-2"/>
        </w:rPr>
        <w:t>2019</w:t>
      </w:r>
      <w:r>
        <w:rPr>
          <w:spacing w:val="-2"/>
        </w:rPr>
        <w:t>年，公司基于覆盖全国的网络优势和</w:t>
      </w:r>
      <w:r>
        <w:rPr>
          <w:rFonts w:ascii="Times New Roman" w:hAnsi="Times New Roman" w:cs="Times New Roman" w:eastAsia="Times New Roman" w:hint="default"/>
          <w:spacing w:val="-2"/>
        </w:rPr>
        <w:t>“</w:t>
      </w:r>
      <w:r>
        <w:rPr>
          <w:spacing w:val="-2"/>
        </w:rPr>
        <w:t>拉卡拉</w:t>
      </w:r>
      <w:r>
        <w:rPr>
          <w:rFonts w:ascii="Times New Roman" w:hAnsi="Times New Roman" w:cs="Times New Roman" w:eastAsia="Times New Roman" w:hint="default"/>
          <w:spacing w:val="-2"/>
        </w:rPr>
        <w:t>”</w:t>
      </w:r>
      <w:r>
        <w:rPr>
          <w:spacing w:val="-2"/>
        </w:rPr>
        <w:t>品牌优势，继续以直营</w:t>
      </w:r>
      <w:r>
        <w:rPr>
          <w:rFonts w:ascii="Times New Roman" w:hAnsi="Times New Roman" w:cs="Times New Roman" w:eastAsia="Times New Roman" w:hint="default"/>
          <w:spacing w:val="-2"/>
        </w:rPr>
        <w:t>+</w:t>
      </w:r>
      <w:r>
        <w:rPr>
          <w:spacing w:val="-2"/>
        </w:rPr>
        <w:t>渠道双轮驱动模式，开拓支付市场。一方面，</w:t>
      </w:r>
      <w:r>
        <w:rPr/>
        <w:t> </w:t>
      </w:r>
      <w:r>
        <w:rPr>
          <w:spacing w:val="-2"/>
        </w:rPr>
        <w:t>公司调整策略，致力于发展中小微商户，提升商户规模，优化商户结构；另一方面，公司顺应社会技术变革趋势，以持续的</w:t>
      </w:r>
      <w:r>
        <w:rPr>
          <w:spacing w:val="-68"/>
        </w:rPr>
        <w:t> </w:t>
      </w:r>
      <w:r>
        <w:rPr>
          <w:spacing w:val="-68"/>
        </w:rPr>
      </w:r>
      <w:r>
        <w:rPr/>
        <w:t>产品创新，巩固在支付领域的领先优势。</w:t>
      </w:r>
    </w:p>
    <w:p>
      <w:pPr>
        <w:pStyle w:val="BodyText"/>
        <w:spacing w:line="300" w:lineRule="auto" w:before="65"/>
        <w:ind w:right="1131" w:firstLine="360"/>
        <w:jc w:val="both"/>
      </w:pPr>
      <w:r>
        <w:rPr>
          <w:rFonts w:ascii="Times New Roman" w:hAnsi="Times New Roman" w:cs="Times New Roman" w:eastAsia="Times New Roman" w:hint="default"/>
          <w:spacing w:val="-2"/>
        </w:rPr>
        <w:t>2019</w:t>
      </w:r>
      <w:r>
        <w:rPr>
          <w:spacing w:val="-2"/>
        </w:rPr>
        <w:t>年，公司扩大商户规模与商户结构调整并举，优化成果显著，全年商户收单交易达到</w:t>
      </w:r>
      <w:r>
        <w:rPr>
          <w:rFonts w:ascii="Times New Roman" w:hAnsi="Times New Roman" w:cs="Times New Roman" w:eastAsia="Times New Roman" w:hint="default"/>
          <w:spacing w:val="-2"/>
        </w:rPr>
        <w:t>“</w:t>
      </w:r>
      <w:r>
        <w:rPr>
          <w:spacing w:val="-2"/>
        </w:rPr>
        <w:t>小额、高频、活跃</w:t>
      </w:r>
      <w:r>
        <w:rPr>
          <w:rFonts w:ascii="Times New Roman" w:hAnsi="Times New Roman" w:cs="Times New Roman" w:eastAsia="Times New Roman" w:hint="default"/>
          <w:spacing w:val="-2"/>
        </w:rPr>
        <w:t>”</w:t>
      </w:r>
      <w:r>
        <w:rPr>
          <w:spacing w:val="-2"/>
        </w:rPr>
        <w:t>的良好状</w:t>
      </w:r>
      <w:r>
        <w:rPr/>
        <w:t> </w:t>
      </w:r>
      <w:r>
        <w:rPr>
          <w:spacing w:val="-2"/>
        </w:rPr>
        <w:t>态。报告期末，公司服务商户超过</w:t>
      </w:r>
      <w:r>
        <w:rPr>
          <w:rFonts w:ascii="Times New Roman" w:hAnsi="Times New Roman" w:cs="Times New Roman" w:eastAsia="Times New Roman" w:hint="default"/>
          <w:spacing w:val="-2"/>
        </w:rPr>
        <w:t>2200</w:t>
      </w:r>
      <w:r>
        <w:rPr>
          <w:spacing w:val="-2"/>
        </w:rPr>
        <w:t>万，其中：年支付交易规模在</w:t>
      </w:r>
      <w:r>
        <w:rPr>
          <w:rFonts w:ascii="Times New Roman" w:hAnsi="Times New Roman" w:cs="Times New Roman" w:eastAsia="Times New Roman" w:hint="default"/>
          <w:spacing w:val="-2"/>
        </w:rPr>
        <w:t>50</w:t>
      </w:r>
      <w:r>
        <w:rPr>
          <w:spacing w:val="-2"/>
        </w:rPr>
        <w:t>万元以下的商户数量占比达到了</w:t>
      </w:r>
      <w:r>
        <w:rPr>
          <w:rFonts w:ascii="Times New Roman" w:hAnsi="Times New Roman" w:cs="Times New Roman" w:eastAsia="Times New Roman" w:hint="default"/>
          <w:spacing w:val="-2"/>
        </w:rPr>
        <w:t>95%</w:t>
      </w:r>
      <w:r>
        <w:rPr>
          <w:spacing w:val="-2"/>
        </w:rPr>
        <w:t>。公司全年收单</w:t>
      </w:r>
      <w:r>
        <w:rPr>
          <w:spacing w:val="-36"/>
        </w:rPr>
        <w:t> </w:t>
      </w:r>
      <w:r>
        <w:rPr>
          <w:spacing w:val="-36"/>
        </w:rPr>
      </w:r>
      <w:r>
        <w:rPr/>
        <w:t>交易金额</w:t>
      </w:r>
      <w:r>
        <w:rPr>
          <w:rFonts w:ascii="Times New Roman" w:hAnsi="Times New Roman" w:cs="Times New Roman" w:eastAsia="Times New Roman" w:hint="default"/>
        </w:rPr>
        <w:t>3.25</w:t>
      </w:r>
      <w:r>
        <w:rPr/>
        <w:t>万亿元，同比下降</w:t>
      </w:r>
      <w:r>
        <w:rPr>
          <w:rFonts w:ascii="Times New Roman" w:hAnsi="Times New Roman" w:cs="Times New Roman" w:eastAsia="Times New Roman" w:hint="default"/>
        </w:rPr>
        <w:t>11.03%</w:t>
      </w:r>
      <w:r>
        <w:rPr/>
        <w:t>；扫码支付交易金额</w:t>
      </w:r>
      <w:r>
        <w:rPr>
          <w:rFonts w:ascii="Times New Roman" w:hAnsi="Times New Roman" w:cs="Times New Roman" w:eastAsia="Times New Roman" w:hint="default"/>
        </w:rPr>
        <w:t>0.64</w:t>
      </w:r>
      <w:r>
        <w:rPr/>
        <w:t>万亿元，同比增长</w:t>
      </w:r>
      <w:r>
        <w:rPr>
          <w:rFonts w:ascii="Times New Roman" w:hAnsi="Times New Roman" w:cs="Times New Roman" w:eastAsia="Times New Roman" w:hint="default"/>
        </w:rPr>
        <w:t>49.76% </w:t>
      </w:r>
      <w:r>
        <w:rPr/>
        <w:t>；累计交易笔数</w:t>
      </w:r>
      <w:r>
        <w:rPr>
          <w:rFonts w:ascii="Times New Roman" w:hAnsi="Times New Roman" w:cs="Times New Roman" w:eastAsia="Times New Roman" w:hint="default"/>
        </w:rPr>
        <w:t>83.84</w:t>
      </w:r>
      <w:r>
        <w:rPr/>
        <w:t>亿笔，同比</w:t>
      </w:r>
      <w:r>
        <w:rPr>
          <w:spacing w:val="-76"/>
        </w:rPr>
        <w:t> </w:t>
      </w:r>
      <w:r>
        <w:rPr/>
        <w:t>增长</w:t>
      </w:r>
      <w:r>
        <w:rPr>
          <w:rFonts w:ascii="Times New Roman" w:hAnsi="Times New Roman" w:cs="Times New Roman" w:eastAsia="Times New Roman" w:hint="default"/>
        </w:rPr>
        <w:t>46.8%</w:t>
      </w:r>
      <w:r>
        <w:rPr/>
        <w:t>；扫码交易笔数</w:t>
      </w:r>
      <w:r>
        <w:rPr>
          <w:rFonts w:ascii="Times New Roman" w:hAnsi="Times New Roman" w:cs="Times New Roman" w:eastAsia="Times New Roman" w:hint="default"/>
        </w:rPr>
        <w:t>79.23</w:t>
      </w:r>
      <w:r>
        <w:rPr/>
        <w:t>亿笔，同比增长</w:t>
      </w:r>
      <w:r>
        <w:rPr>
          <w:rFonts w:ascii="Times New Roman" w:hAnsi="Times New Roman" w:cs="Times New Roman" w:eastAsia="Times New Roman" w:hint="default"/>
        </w:rPr>
        <w:t>56.44%</w:t>
      </w:r>
      <w:r>
        <w:rPr/>
        <w:t>。</w:t>
      </w:r>
    </w:p>
    <w:p>
      <w:pPr>
        <w:pStyle w:val="BodyText"/>
        <w:spacing w:line="300" w:lineRule="auto" w:before="53"/>
        <w:ind w:right="1133"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2019</w:t>
      </w:r>
      <w:r>
        <w:rPr>
          <w:spacing w:val="-2"/>
        </w:rPr>
        <w:t>年，公司持续加大产品创新力度。一是全面升级基于不同商户的各类支付产品，打通线上线下的支付场景。在完善</w:t>
      </w:r>
      <w:r>
        <w:rPr/>
        <w:t> 智能</w:t>
      </w:r>
      <w:r>
        <w:rPr>
          <w:rFonts w:ascii="Times New Roman" w:hAnsi="Times New Roman" w:cs="Times New Roman" w:eastAsia="Times New Roman" w:hint="default"/>
        </w:rPr>
        <w:t>POS</w:t>
      </w:r>
      <w:r>
        <w:rPr/>
        <w:t>、</w:t>
      </w:r>
      <w:r>
        <w:rPr>
          <w:rFonts w:ascii="Times New Roman" w:hAnsi="Times New Roman" w:cs="Times New Roman" w:eastAsia="Times New Roman" w:hint="default"/>
        </w:rPr>
        <w:t>MPOS</w:t>
      </w:r>
      <w:r>
        <w:rPr/>
        <w:t>、收款宝盒等现有收单终端对扫码支持，结合拉卡拉收款宝小程序，推出</w:t>
      </w:r>
      <w:r>
        <w:rPr>
          <w:rFonts w:ascii="Times New Roman" w:hAnsi="Times New Roman" w:cs="Times New Roman" w:eastAsia="Times New Roman" w:hint="default"/>
        </w:rPr>
        <w:t>“</w:t>
      </w:r>
      <w:r>
        <w:rPr/>
        <w:t>收款码</w:t>
      </w:r>
      <w:r>
        <w:rPr>
          <w:rFonts w:ascii="Times New Roman" w:hAnsi="Times New Roman" w:cs="Times New Roman" w:eastAsia="Times New Roman" w:hint="default"/>
        </w:rPr>
        <w:t>”</w:t>
      </w:r>
      <w:r>
        <w:rPr/>
        <w:t>产品，通过</w:t>
      </w:r>
      <w:r>
        <w:rPr>
          <w:rFonts w:ascii="Times New Roman" w:hAnsi="Times New Roman" w:cs="Times New Roman" w:eastAsia="Times New Roman" w:hint="default"/>
        </w:rPr>
        <w:t>“1</w:t>
      </w:r>
      <w:r>
        <w:rPr/>
        <w:t>个码牌</w:t>
      </w:r>
      <w:r>
        <w:rPr>
          <w:rFonts w:ascii="Times New Roman" w:hAnsi="Times New Roman" w:cs="Times New Roman" w:eastAsia="Times New Roman" w:hint="default"/>
        </w:rPr>
        <w:t>+1</w:t>
      </w:r>
    </w:p>
    <w:p>
      <w:pPr>
        <w:spacing w:after="0" w:line="300" w:lineRule="auto"/>
        <w:jc w:val="both"/>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07" w:lineRule="auto" w:before="44"/>
        <w:ind w:right="1034"/>
        <w:jc w:val="left"/>
      </w:pPr>
      <w:r>
        <w:rPr/>
        <w:t>个小程序</w:t>
      </w:r>
      <w:r>
        <w:rPr>
          <w:rFonts w:ascii="Times New Roman" w:hAnsi="Times New Roman" w:cs="Times New Roman" w:eastAsia="Times New Roman" w:hint="default"/>
        </w:rPr>
        <w:t>”</w:t>
      </w:r>
      <w:r>
        <w:rPr/>
        <w:t>打通线上线下融合的壁垒，实现聚合扫码收款、聚合店铺服务，全面覆盖微信、支付宝、云闪付、翼支付等主流</w:t>
      </w:r>
      <w:r>
        <w:rPr>
          <w:spacing w:val="-76"/>
        </w:rPr>
        <w:t> </w:t>
      </w:r>
      <w:r>
        <w:rPr>
          <w:spacing w:val="-76"/>
        </w:rPr>
      </w:r>
      <w:r>
        <w:rPr>
          <w:spacing w:val="-2"/>
        </w:rPr>
        <w:t>扫码渠道，提供支付即会员、会员管理、数据管理、营销工具、营销活动追踪等服务。二是推出门店经营解决方案。重点聚</w:t>
      </w:r>
      <w:r>
        <w:rPr>
          <w:spacing w:val="-73"/>
        </w:rPr>
        <w:t> </w:t>
      </w:r>
      <w:r>
        <w:rPr>
          <w:spacing w:val="-73"/>
        </w:rPr>
      </w:r>
      <w:r>
        <w:rPr/>
        <w:t>焦快消、生鲜、母婴等行业，推广</w:t>
      </w:r>
      <w:r>
        <w:rPr>
          <w:rFonts w:ascii="Times New Roman" w:hAnsi="Times New Roman" w:cs="Times New Roman" w:eastAsia="Times New Roman" w:hint="default"/>
        </w:rPr>
        <w:t>“</w:t>
      </w:r>
      <w:r>
        <w:rPr/>
        <w:t>云小店</w:t>
      </w:r>
      <w:r>
        <w:rPr>
          <w:rFonts w:ascii="Times New Roman" w:hAnsi="Times New Roman" w:cs="Times New Roman" w:eastAsia="Times New Roman" w:hint="default"/>
        </w:rPr>
        <w:t>”</w:t>
      </w:r>
      <w:r>
        <w:rPr/>
        <w:t>产品，通过</w:t>
      </w:r>
      <w:r>
        <w:rPr>
          <w:rFonts w:ascii="Times New Roman" w:hAnsi="Times New Roman" w:cs="Times New Roman" w:eastAsia="Times New Roman" w:hint="default"/>
        </w:rPr>
        <w:t>“</w:t>
      </w:r>
      <w:r>
        <w:rPr/>
        <w:t>门店收银</w:t>
      </w:r>
      <w:r>
        <w:rPr>
          <w:rFonts w:ascii="Times New Roman" w:hAnsi="Times New Roman" w:cs="Times New Roman" w:eastAsia="Times New Roman" w:hint="default"/>
        </w:rPr>
        <w:t>+</w:t>
      </w:r>
      <w:r>
        <w:rPr/>
        <w:t>线上</w:t>
      </w:r>
      <w:r>
        <w:rPr>
          <w:rFonts w:ascii="Times New Roman" w:hAnsi="Times New Roman" w:cs="Times New Roman" w:eastAsia="Times New Roman" w:hint="default"/>
        </w:rPr>
        <w:t>H5</w:t>
      </w:r>
      <w:r>
        <w:rPr/>
        <w:t>商城</w:t>
      </w:r>
      <w:r>
        <w:rPr>
          <w:rFonts w:ascii="Times New Roman" w:hAnsi="Times New Roman" w:cs="Times New Roman" w:eastAsia="Times New Roman" w:hint="default"/>
        </w:rPr>
        <w:t>+</w:t>
      </w:r>
      <w:r>
        <w:rPr/>
        <w:t>小程序商城</w:t>
      </w:r>
      <w:r>
        <w:rPr>
          <w:rFonts w:ascii="Times New Roman" w:hAnsi="Times New Roman" w:cs="Times New Roman" w:eastAsia="Times New Roman" w:hint="default"/>
        </w:rPr>
        <w:t>”</w:t>
      </w:r>
      <w:r>
        <w:rPr/>
        <w:t>线上线下一体化的模式，打通</w:t>
      </w:r>
      <w:r>
        <w:rPr>
          <w:spacing w:val="-23"/>
        </w:rPr>
        <w:t> </w:t>
      </w:r>
      <w:r>
        <w:rPr>
          <w:spacing w:val="-23"/>
        </w:rPr>
      </w:r>
      <w:r>
        <w:rPr/>
        <w:t>线上线下消费场景，无缝对接配送平台，并根据不同行业应用场景提供差异化服务，为商户经营提供商品上架、会员管理、 订单管理、进销存管理等功能，拥抱新零售。三是打造拉卡拉云收单。将拉卡拉成熟可靠的收单支付风控能力、技术能力、 </w:t>
      </w:r>
      <w:r>
        <w:rPr>
          <w:spacing w:val="-2"/>
        </w:rPr>
        <w:t>运营能力，封装成</w:t>
      </w:r>
      <w:r>
        <w:rPr>
          <w:rFonts w:ascii="Times New Roman" w:hAnsi="Times New Roman" w:cs="Times New Roman" w:eastAsia="Times New Roman" w:hint="default"/>
          <w:spacing w:val="-2"/>
        </w:rPr>
        <w:t>“</w:t>
      </w:r>
      <w:r>
        <w:rPr>
          <w:spacing w:val="-2"/>
        </w:rPr>
        <w:t>云收单</w:t>
      </w:r>
      <w:r>
        <w:rPr>
          <w:rFonts w:ascii="Times New Roman" w:hAnsi="Times New Roman" w:cs="Times New Roman" w:eastAsia="Times New Roman" w:hint="default"/>
          <w:spacing w:val="-2"/>
        </w:rPr>
        <w:t>”</w:t>
      </w:r>
      <w:r>
        <w:rPr>
          <w:spacing w:val="-2"/>
        </w:rPr>
        <w:t>的</w:t>
      </w:r>
      <w:r>
        <w:rPr>
          <w:rFonts w:ascii="Times New Roman" w:hAnsi="Times New Roman" w:cs="Times New Roman" w:eastAsia="Times New Roman" w:hint="default"/>
          <w:spacing w:val="-2"/>
        </w:rPr>
        <w:t>SaaS</w:t>
      </w:r>
      <w:r>
        <w:rPr>
          <w:spacing w:val="-2"/>
        </w:rPr>
        <w:t>产品，向中小银行和持牌机构输出包括银行卡收单、条码支付、风险监控等在内的整体支</w:t>
      </w:r>
      <w:r>
        <w:rPr>
          <w:spacing w:val="-38"/>
        </w:rPr>
        <w:t> </w:t>
      </w:r>
      <w:r>
        <w:rPr>
          <w:spacing w:val="-38"/>
        </w:rPr>
      </w:r>
      <w:r>
        <w:rPr>
          <w:spacing w:val="-2"/>
        </w:rPr>
        <w:t>付受理解决方案，共同赋能中小微商户经营。报告期内，公司已与</w:t>
      </w:r>
      <w:r>
        <w:rPr>
          <w:rFonts w:ascii="Times New Roman" w:hAnsi="Times New Roman" w:cs="Times New Roman" w:eastAsia="Times New Roman" w:hint="default"/>
          <w:spacing w:val="-2"/>
        </w:rPr>
        <w:t>12</w:t>
      </w:r>
      <w:r>
        <w:rPr>
          <w:spacing w:val="-2"/>
        </w:rPr>
        <w:t>家银行达成业务合作。四是提供商户营销支持。针对商</w:t>
      </w:r>
      <w:r>
        <w:rPr>
          <w:spacing w:val="-65"/>
        </w:rPr>
        <w:t> </w:t>
      </w:r>
      <w:r>
        <w:rPr>
          <w:spacing w:val="-65"/>
        </w:rPr>
      </w:r>
      <w:r>
        <w:rPr>
          <w:spacing w:val="-2"/>
        </w:rPr>
        <w:t>户会员管理的需求，推出</w:t>
      </w:r>
      <w:r>
        <w:rPr>
          <w:rFonts w:ascii="Times New Roman" w:hAnsi="Times New Roman" w:cs="Times New Roman" w:eastAsia="Times New Roman" w:hint="default"/>
          <w:spacing w:val="-2"/>
        </w:rPr>
        <w:t>“</w:t>
      </w:r>
      <w:r>
        <w:rPr>
          <w:spacing w:val="-2"/>
        </w:rPr>
        <w:t>汇管店</w:t>
      </w:r>
      <w:r>
        <w:rPr>
          <w:rFonts w:ascii="Times New Roman" w:hAnsi="Times New Roman" w:cs="Times New Roman" w:eastAsia="Times New Roman" w:hint="default"/>
          <w:spacing w:val="-2"/>
        </w:rPr>
        <w:t>”</w:t>
      </w:r>
      <w:r>
        <w:rPr>
          <w:spacing w:val="-2"/>
        </w:rPr>
        <w:t>产品，帮助商户打造专属的线上官网，并通过产品推荐、信息发布、在线客服等功能，让</w:t>
      </w:r>
      <w:r>
        <w:rPr>
          <w:spacing w:val="-48"/>
        </w:rPr>
        <w:t> </w:t>
      </w:r>
      <w:r>
        <w:rPr>
          <w:spacing w:val="-48"/>
        </w:rPr>
      </w:r>
      <w:r>
        <w:rPr/>
        <w:t>商户与用户进行互动、营销和转化，并能够通过对会员进行自定义标签和分组来实现定向推送、定向服务，进行精准营销。 五是积极探索新型支付方式。公司与支付宝、微信合作推广刷脸支付。</w:t>
      </w:r>
    </w:p>
    <w:p>
      <w:pPr>
        <w:pStyle w:val="BodyText"/>
        <w:spacing w:line="300" w:lineRule="auto" w:before="67"/>
        <w:ind w:right="1130" w:firstLine="360"/>
        <w:jc w:val="both"/>
      </w:pPr>
      <w:r>
        <w:rPr/>
        <w:t>报告期内，公司各类在运营</w:t>
      </w:r>
      <w:r>
        <w:rPr>
          <w:rFonts w:ascii="Times New Roman" w:hAnsi="Times New Roman" w:cs="Times New Roman" w:eastAsia="Times New Roman" w:hint="default"/>
        </w:rPr>
        <w:t>APP</w:t>
      </w:r>
      <w:r>
        <w:rPr/>
        <w:t>注册用户数和各微信公众号粉丝数合计超过</w:t>
      </w:r>
      <w:r>
        <w:rPr>
          <w:rFonts w:ascii="Times New Roman" w:hAnsi="Times New Roman" w:cs="Times New Roman" w:eastAsia="Times New Roman" w:hint="default"/>
        </w:rPr>
        <w:t>3000</w:t>
      </w:r>
      <w:r>
        <w:rPr/>
        <w:t>万，旗下</w:t>
      </w:r>
      <w:r>
        <w:rPr>
          <w:rFonts w:ascii="Times New Roman" w:hAnsi="Times New Roman" w:cs="Times New Roman" w:eastAsia="Times New Roman" w:hint="default"/>
        </w:rPr>
        <w:t>APP</w:t>
      </w:r>
      <w:r>
        <w:rPr/>
        <w:t>月度活跃用户数超过</w:t>
      </w:r>
      <w:r>
        <w:rPr>
          <w:rFonts w:ascii="Times New Roman" w:hAnsi="Times New Roman" w:cs="Times New Roman" w:eastAsia="Times New Roman" w:hint="default"/>
        </w:rPr>
        <w:t>300 </w:t>
      </w:r>
      <w:r>
        <w:rPr/>
        <w:t>万。中小微商户既是小</w:t>
      </w:r>
      <w:r>
        <w:rPr>
          <w:rFonts w:ascii="Times New Roman" w:hAnsi="Times New Roman" w:cs="Times New Roman" w:eastAsia="Times New Roman" w:hint="default"/>
        </w:rPr>
        <w:t>B</w:t>
      </w:r>
      <w:r>
        <w:rPr/>
        <w:t>端客户也同时是大</w:t>
      </w:r>
      <w:r>
        <w:rPr>
          <w:rFonts w:ascii="Times New Roman" w:hAnsi="Times New Roman" w:cs="Times New Roman" w:eastAsia="Times New Roman" w:hint="default"/>
        </w:rPr>
        <w:t>C</w:t>
      </w:r>
      <w:r>
        <w:rPr/>
        <w:t>端用户，公司以支付为切入，获得了数千万级的流量入口，为金融、电商、信</w:t>
      </w:r>
      <w:r>
        <w:rPr>
          <w:spacing w:val="-59"/>
        </w:rPr>
        <w:t> </w:t>
      </w:r>
      <w:r>
        <w:rPr>
          <w:spacing w:val="-59"/>
        </w:rPr>
      </w:r>
      <w:r>
        <w:rPr/>
        <w:t>息等商户经营服务带来流量红利，在解决商户经营痛点的同时，提升商户粘性，扩大公司的收入来源。</w:t>
      </w:r>
    </w:p>
    <w:p>
      <w:pPr>
        <w:pStyle w:val="BodyText"/>
        <w:spacing w:line="240" w:lineRule="auto" w:before="70"/>
        <w:ind w:left="513" w:right="1133"/>
        <w:jc w:val="left"/>
      </w:pPr>
      <w:r>
        <w:rPr/>
        <w:t>（二）金融科技业务</w:t>
      </w:r>
    </w:p>
    <w:p>
      <w:pPr>
        <w:pStyle w:val="BodyText"/>
        <w:spacing w:line="307" w:lineRule="auto" w:before="117"/>
        <w:ind w:right="1131" w:firstLine="360"/>
        <w:jc w:val="both"/>
      </w:pPr>
      <w:r>
        <w:rPr>
          <w:rFonts w:ascii="Times New Roman" w:hAnsi="Times New Roman" w:cs="Times New Roman" w:eastAsia="Times New Roman" w:hint="default"/>
        </w:rPr>
        <w:t>2019</w:t>
      </w:r>
      <w:r>
        <w:rPr/>
        <w:t>年，公司继续联合及赋能金融机构，以</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模式，为小微商户经营提供金融服务和增值服务等，支持银行等金 </w:t>
      </w:r>
      <w:r>
        <w:rPr>
          <w:spacing w:val="-1"/>
        </w:rPr>
        <w:t>融机构更好地进行客户获取、客户经营和风险管控，报告期内，金融科技业务实现收入</w:t>
      </w:r>
      <w:r>
        <w:rPr>
          <w:rFonts w:ascii="Times New Roman" w:hAnsi="Times New Roman" w:cs="Times New Roman" w:eastAsia="Times New Roman" w:hint="default"/>
          <w:spacing w:val="-1"/>
        </w:rPr>
        <w:t>0.94</w:t>
      </w:r>
      <w:r>
        <w:rPr>
          <w:spacing w:val="-1"/>
        </w:rPr>
        <w:t>亿元，同比增长</w:t>
      </w:r>
      <w:r>
        <w:rPr>
          <w:rFonts w:ascii="Times New Roman" w:hAnsi="Times New Roman" w:cs="Times New Roman" w:eastAsia="Times New Roman" w:hint="default"/>
          <w:spacing w:val="-1"/>
        </w:rPr>
        <w:t>67.08%</w:t>
      </w:r>
      <w:r>
        <w:rPr>
          <w:spacing w:val="-1"/>
        </w:rPr>
        <w:t>。一是与</w:t>
      </w:r>
      <w:r>
        <w:rPr>
          <w:spacing w:val="-87"/>
        </w:rPr>
        <w:t> </w:t>
      </w:r>
      <w:r>
        <w:rPr>
          <w:spacing w:val="-87"/>
        </w:rPr>
      </w:r>
      <w:r>
        <w:rPr>
          <w:spacing w:val="-2"/>
        </w:rPr>
        <w:t>持牌金融机构合作，为中小微商户提供贷款、理财、信用卡、保险等金融服务，满足其各种金融需求。报告期内，公司通过</w:t>
      </w:r>
      <w:r>
        <w:rPr>
          <w:spacing w:val="-72"/>
        </w:rPr>
        <w:t> </w:t>
      </w:r>
      <w:r>
        <w:rPr>
          <w:spacing w:val="-72"/>
        </w:rPr>
      </w:r>
      <w:r>
        <w:rPr/>
        <w:t>与银行和金融机构合作帮助商户成功办理贷款超过</w:t>
      </w:r>
      <w:r>
        <w:rPr>
          <w:rFonts w:ascii="Times New Roman" w:hAnsi="Times New Roman" w:cs="Times New Roman" w:eastAsia="Times New Roman" w:hint="default"/>
        </w:rPr>
        <w:t>8</w:t>
      </w:r>
      <w:r>
        <w:rPr/>
        <w:t>万笔，成功申请信用卡超过</w:t>
      </w:r>
      <w:r>
        <w:rPr>
          <w:rFonts w:ascii="Times New Roman" w:hAnsi="Times New Roman" w:cs="Times New Roman" w:eastAsia="Times New Roman" w:hint="default"/>
        </w:rPr>
        <w:t>5</w:t>
      </w:r>
      <w:r>
        <w:rPr/>
        <w:t>万张；贷款引流服务收入同比增长</w:t>
      </w:r>
      <w:r>
        <w:rPr>
          <w:rFonts w:ascii="Times New Roman" w:hAnsi="Times New Roman" w:cs="Times New Roman" w:eastAsia="Times New Roman" w:hint="default"/>
        </w:rPr>
        <w:t>110%</w:t>
      </w:r>
      <w:r>
        <w:rPr/>
        <w:t>。</w:t>
      </w:r>
      <w:r>
        <w:rPr>
          <w:spacing w:val="-56"/>
        </w:rPr>
        <w:t> </w:t>
      </w:r>
      <w:r>
        <w:rPr>
          <w:spacing w:val="-2"/>
        </w:rPr>
        <w:t>二是基于自主研发的系统产品，以及在大数据分析、图计算、人工智能算法、反欺诈、安全服务、人脸识别、语音识别等研</w:t>
      </w:r>
      <w:r>
        <w:rPr>
          <w:spacing w:val="-73"/>
        </w:rPr>
        <w:t> </w:t>
      </w:r>
      <w:r>
        <w:rPr>
          <w:spacing w:val="-73"/>
        </w:rPr>
      </w:r>
      <w:r>
        <w:rPr>
          <w:spacing w:val="-2"/>
        </w:rPr>
        <w:t>发积累，对外部金融、监管机构进行技术输出，包括支付受理方案、户端信用评估、风险控制、反欺诈等模块产品，共同赋</w:t>
      </w:r>
      <w:r>
        <w:rPr>
          <w:spacing w:val="-73"/>
        </w:rPr>
        <w:t> </w:t>
      </w:r>
      <w:r>
        <w:rPr>
          <w:spacing w:val="-73"/>
        </w:rPr>
      </w:r>
      <w:r>
        <w:rPr/>
        <w:t>能中小微商户。三是加强探索区块链、人工智能、大数据等前沿技术在</w:t>
      </w:r>
      <w:r>
        <w:rPr>
          <w:rFonts w:ascii="Times New Roman" w:hAnsi="Times New Roman" w:cs="Times New Roman" w:eastAsia="Times New Roman" w:hint="default"/>
        </w:rPr>
        <w:t>“</w:t>
      </w:r>
      <w:r>
        <w:rPr/>
        <w:t>监管科技、联合风控、基于隐私计算的信息安全、</w:t>
      </w:r>
      <w:r>
        <w:rPr>
          <w:spacing w:val="-74"/>
        </w:rPr>
        <w:t> </w:t>
      </w:r>
      <w:r>
        <w:rPr>
          <w:spacing w:val="-74"/>
        </w:rPr>
      </w:r>
      <w:r>
        <w:rPr/>
        <w:t>反欺诈和下一代结算系统和商品溯源</w:t>
      </w:r>
      <w:r>
        <w:rPr>
          <w:rFonts w:ascii="Times New Roman" w:hAnsi="Times New Roman" w:cs="Times New Roman" w:eastAsia="Times New Roman" w:hint="default"/>
        </w:rPr>
        <w:t>”</w:t>
      </w:r>
      <w:r>
        <w:rPr/>
        <w:t>等方面的应用与服务。</w:t>
      </w:r>
    </w:p>
    <w:p>
      <w:pPr>
        <w:pStyle w:val="BodyText"/>
        <w:spacing w:line="240" w:lineRule="auto" w:before="48"/>
        <w:ind w:left="513" w:right="1133"/>
        <w:jc w:val="left"/>
      </w:pPr>
      <w:r>
        <w:rPr/>
        <w:t>（三）电商科技业务</w:t>
      </w:r>
    </w:p>
    <w:p>
      <w:pPr>
        <w:pStyle w:val="BodyText"/>
        <w:spacing w:line="309" w:lineRule="auto" w:before="115"/>
        <w:ind w:right="0" w:firstLine="360"/>
        <w:jc w:val="left"/>
      </w:pPr>
      <w:r>
        <w:rPr>
          <w:rFonts w:ascii="Times New Roman" w:hAnsi="Times New Roman" w:cs="Times New Roman" w:eastAsia="Times New Roman" w:hint="default"/>
        </w:rPr>
        <w:t>2019</w:t>
      </w:r>
      <w:r>
        <w:rPr/>
        <w:t>年，公司电商科技业务发展较快，实现收入</w:t>
      </w:r>
      <w:r>
        <w:rPr>
          <w:rFonts w:ascii="Times New Roman" w:hAnsi="Times New Roman" w:cs="Times New Roman" w:eastAsia="Times New Roman" w:hint="default"/>
        </w:rPr>
        <w:t>0.93</w:t>
      </w:r>
      <w:r>
        <w:rPr/>
        <w:t>亿元，同比增长</w:t>
      </w:r>
      <w:r>
        <w:rPr>
          <w:rFonts w:ascii="Times New Roman" w:hAnsi="Times New Roman" w:cs="Times New Roman" w:eastAsia="Times New Roman" w:hint="default"/>
        </w:rPr>
        <w:t>48.70%</w:t>
      </w:r>
      <w:r>
        <w:rPr/>
        <w:t>。一是积分运营业务继续保持高增长。</w:t>
      </w:r>
      <w:r>
        <w:rPr>
          <w:rFonts w:ascii="Times New Roman" w:hAnsi="Times New Roman" w:cs="Times New Roman" w:eastAsia="Times New Roman" w:hint="default"/>
        </w:rPr>
        <w:t>2019 </w:t>
      </w:r>
      <w:r>
        <w:rPr>
          <w:spacing w:val="-2"/>
        </w:rPr>
        <w:t>年，公司头部积分源的积分兑换业务稳定增长，中长尾积分源业务快速增长。基于积分购业务打通的线下线上消费场景，以</w:t>
      </w:r>
      <w:r>
        <w:rPr>
          <w:spacing w:val="-64"/>
        </w:rPr>
        <w:t> </w:t>
      </w:r>
      <w:r>
        <w:rPr>
          <w:spacing w:val="-64"/>
        </w:rPr>
      </w:r>
      <w:r>
        <w:rPr>
          <w:spacing w:val="-4"/>
        </w:rPr>
        <w:t>用户为导向推广购优惠买单、优惠买券、优惠兑换业务，提升用户交易活跃。考拉新零售平台为商户提供会员、发券、储值、</w:t>
      </w:r>
      <w:r>
        <w:rPr>
          <w:spacing w:val="-44"/>
        </w:rPr>
        <w:t> </w:t>
      </w:r>
      <w:r>
        <w:rPr>
          <w:spacing w:val="-44"/>
        </w:rPr>
      </w:r>
      <w:r>
        <w:rPr/>
        <w:t>营销等增值服务，助力商户营旧拉新，并与银行开展本地营销合作，向商户导流。报告期内，积分运营业务交易金额</w:t>
      </w:r>
      <w:r>
        <w:rPr>
          <w:rFonts w:ascii="Times New Roman" w:hAnsi="Times New Roman" w:cs="Times New Roman" w:eastAsia="Times New Roman" w:hint="default"/>
        </w:rPr>
        <w:t>32.3</w:t>
      </w:r>
      <w:r>
        <w:rPr/>
        <w:t>亿 元，同比增长</w:t>
      </w:r>
      <w:r>
        <w:rPr>
          <w:rFonts w:ascii="Times New Roman" w:hAnsi="Times New Roman" w:cs="Times New Roman" w:eastAsia="Times New Roman" w:hint="default"/>
        </w:rPr>
        <w:t>103.3%</w:t>
      </w:r>
      <w:r>
        <w:rPr/>
        <w:t>。</w:t>
      </w:r>
      <w:r>
        <w:rPr>
          <w:rFonts w:ascii="Times New Roman" w:hAnsi="Times New Roman" w:cs="Times New Roman" w:eastAsia="Times New Roman" w:hint="default"/>
        </w:rPr>
        <w:t>2019</w:t>
      </w:r>
      <w:r>
        <w:rPr/>
        <w:t>年，公司新增壹钱包、工银</w:t>
      </w:r>
      <w:r>
        <w:rPr>
          <w:rFonts w:ascii="Times New Roman" w:hAnsi="Times New Roman" w:cs="Times New Roman" w:eastAsia="Times New Roman" w:hint="default"/>
        </w:rPr>
        <w:t>E</w:t>
      </w:r>
      <w:r>
        <w:rPr/>
        <w:t>生活四川、国电积分商城等</w:t>
      </w:r>
      <w:r>
        <w:rPr>
          <w:rFonts w:ascii="Times New Roman" w:hAnsi="Times New Roman" w:cs="Times New Roman" w:eastAsia="Times New Roman" w:hint="default"/>
        </w:rPr>
        <w:t>10</w:t>
      </w:r>
      <w:r>
        <w:rPr/>
        <w:t>家头部积分源，公司自主开发的积分 </w:t>
      </w:r>
      <w:r>
        <w:rPr>
          <w:spacing w:val="-2"/>
        </w:rPr>
        <w:t>云已经接入支持中国移动、中国电信、中国联通、工商银行、建设银行、民生银行、东方航空等</w:t>
      </w:r>
      <w:r>
        <w:rPr>
          <w:rFonts w:ascii="Times New Roman" w:hAnsi="Times New Roman" w:cs="Times New Roman" w:eastAsia="Times New Roman" w:hint="default"/>
          <w:spacing w:val="-2"/>
        </w:rPr>
        <w:t>50</w:t>
      </w:r>
      <w:r>
        <w:rPr>
          <w:spacing w:val="-2"/>
        </w:rPr>
        <w:t>多家头部积分源，进一步</w:t>
      </w:r>
      <w:r>
        <w:rPr>
          <w:spacing w:val="-71"/>
        </w:rPr>
        <w:t> </w:t>
      </w:r>
      <w:r>
        <w:rPr>
          <w:spacing w:val="-71"/>
        </w:rPr>
      </w:r>
      <w:r>
        <w:rPr>
          <w:spacing w:val="-2"/>
        </w:rPr>
        <w:t>夯实积分购业务在头部积分源的优势。公司为沃尔玛、华润万家、麦德龙、苏果、好德、可的、好邻居、肯德基、必胜客等</w:t>
      </w:r>
      <w:r>
        <w:rPr>
          <w:spacing w:val="-68"/>
        </w:rPr>
        <w:t> </w:t>
      </w:r>
      <w:r>
        <w:rPr>
          <w:spacing w:val="-68"/>
        </w:rPr>
      </w:r>
      <w:r>
        <w:rPr>
          <w:spacing w:val="-2"/>
        </w:rPr>
        <w:t>上万家线下品牌商超、连锁餐饮商户赋能客流量导入及积分消费服务；与苏宁易购、京东商城、罗辑思维、腾讯视频、爱奇</w:t>
      </w:r>
      <w:r>
        <w:rPr>
          <w:spacing w:val="-68"/>
        </w:rPr>
        <w:t> </w:t>
      </w:r>
      <w:r>
        <w:rPr>
          <w:spacing w:val="-68"/>
        </w:rPr>
      </w:r>
      <w:r>
        <w:rPr>
          <w:spacing w:val="-2"/>
        </w:rPr>
        <w:t>艺、优酷土豆等达成紧密合作，拓宽更多线上积分使用场景，新拓展了包括华润万家，家乐福，携程，阿里零售通等在内的</w:t>
      </w:r>
      <w:r>
        <w:rPr>
          <w:spacing w:val="-67"/>
        </w:rPr>
        <w:t> </w:t>
      </w:r>
      <w:r>
        <w:rPr>
          <w:spacing w:val="-67"/>
        </w:rPr>
      </w:r>
      <w:r>
        <w:rPr>
          <w:spacing w:val="-2"/>
        </w:rPr>
        <w:t>积分消费合作方</w:t>
      </w:r>
      <w:r>
        <w:rPr>
          <w:rFonts w:ascii="Times New Roman" w:hAnsi="Times New Roman" w:cs="Times New Roman" w:eastAsia="Times New Roman" w:hint="default"/>
          <w:spacing w:val="-2"/>
        </w:rPr>
        <w:t>25</w:t>
      </w:r>
      <w:r>
        <w:rPr>
          <w:spacing w:val="-2"/>
        </w:rPr>
        <w:t>家。二是战略布局产业互联网。</w:t>
      </w:r>
      <w:r>
        <w:rPr>
          <w:rFonts w:ascii="Times New Roman" w:hAnsi="Times New Roman" w:cs="Times New Roman" w:eastAsia="Times New Roman" w:hint="default"/>
          <w:spacing w:val="-2"/>
        </w:rPr>
        <w:t>2019</w:t>
      </w:r>
      <w:r>
        <w:rPr>
          <w:spacing w:val="-2"/>
        </w:rPr>
        <w:t>年，公司以覆盖全国的销售与服务体系，以及数千万级商户规模的优</w:t>
      </w:r>
      <w:r>
        <w:rPr>
          <w:spacing w:val="-57"/>
        </w:rPr>
        <w:t> </w:t>
      </w:r>
      <w:r>
        <w:rPr>
          <w:spacing w:val="-57"/>
        </w:rPr>
      </w:r>
      <w:r>
        <w:rPr>
          <w:spacing w:val="-2"/>
        </w:rPr>
        <w:t>势，战略投资新零售云</w:t>
      </w:r>
      <w:r>
        <w:rPr>
          <w:rFonts w:ascii="Times New Roman" w:hAnsi="Times New Roman" w:cs="Times New Roman" w:eastAsia="Times New Roman" w:hint="default"/>
          <w:spacing w:val="-2"/>
        </w:rPr>
        <w:t>SaaS</w:t>
      </w:r>
      <w:r>
        <w:rPr>
          <w:spacing w:val="-2"/>
        </w:rPr>
        <w:t>业务，打造涵盖从订货到分销、门店收银、线上商城、零售商场、连锁</w:t>
      </w:r>
      <w:r>
        <w:rPr>
          <w:rFonts w:ascii="Times New Roman" w:hAnsi="Times New Roman" w:cs="Times New Roman" w:eastAsia="Times New Roman" w:hint="default"/>
          <w:spacing w:val="-2"/>
        </w:rPr>
        <w:t>O2O</w:t>
      </w:r>
      <w:r>
        <w:rPr>
          <w:spacing w:val="-2"/>
        </w:rPr>
        <w:t>及采购和分销平台服</w:t>
      </w:r>
      <w:r>
        <w:rPr>
          <w:spacing w:val="-56"/>
        </w:rPr>
        <w:t> </w:t>
      </w:r>
      <w:r>
        <w:rPr/>
        <w:t>务，为中小企业提供全供应链管理解决方案。</w:t>
      </w:r>
    </w:p>
    <w:p>
      <w:pPr>
        <w:pStyle w:val="BodyText"/>
        <w:spacing w:line="360" w:lineRule="auto" w:before="65"/>
        <w:ind w:left="513" w:right="1133"/>
        <w:jc w:val="left"/>
      </w:pPr>
      <w:r>
        <w:rPr/>
        <w:t>（四）信息科技业务 报告期内，公司信息科技业务高速增长，实现收入</w:t>
      </w:r>
      <w:r>
        <w:rPr>
          <w:rFonts w:ascii="Times New Roman" w:hAnsi="Times New Roman" w:cs="Times New Roman" w:eastAsia="Times New Roman" w:hint="default"/>
        </w:rPr>
        <w:t>2.56</w:t>
      </w:r>
      <w:r>
        <w:rPr/>
        <w:t>亿元，同比增长</w:t>
      </w:r>
      <w:r>
        <w:rPr>
          <w:rFonts w:ascii="Times New Roman" w:hAnsi="Times New Roman" w:cs="Times New Roman" w:eastAsia="Times New Roman" w:hint="default"/>
        </w:rPr>
        <w:t>208.27%</w:t>
      </w:r>
      <w:r>
        <w:rPr/>
        <w:t>。一是会员订阅服务。通过给予会员用</w:t>
      </w:r>
    </w:p>
    <w:p>
      <w:pPr>
        <w:pStyle w:val="BodyText"/>
        <w:spacing w:line="199" w:lineRule="exact"/>
        <w:ind w:right="0"/>
        <w:jc w:val="left"/>
      </w:pPr>
      <w:r>
        <w:rPr/>
        <w:t>户实时到账、手续费减免、延迟赔偿、会员积分、限时红包、客服优享、以及快捷申领信用卡、贷款、理财、保险等金融服</w:t>
      </w:r>
    </w:p>
    <w:p>
      <w:pPr>
        <w:pStyle w:val="BodyText"/>
        <w:spacing w:line="304" w:lineRule="auto" w:before="76"/>
        <w:ind w:right="1130"/>
        <w:jc w:val="both"/>
      </w:pPr>
      <w:r>
        <w:rPr>
          <w:spacing w:val="-2"/>
        </w:rPr>
        <w:t>务等增值权益，贡献稳定的会员订阅费收入，提升会员用户的活跃度和粘性，为公司后续精准服务会员用户，挖掘流量价值</w:t>
      </w:r>
      <w:r>
        <w:rPr>
          <w:spacing w:val="-65"/>
        </w:rPr>
        <w:t> </w:t>
      </w:r>
      <w:r>
        <w:rPr>
          <w:spacing w:val="-65"/>
        </w:rPr>
      </w:r>
      <w:r>
        <w:rPr/>
        <w:t>奠定了坚实的基础。二是广告业务。公司继续围绕旗下各类</w:t>
      </w:r>
      <w:r>
        <w:rPr>
          <w:rFonts w:ascii="Times New Roman" w:hAnsi="Times New Roman" w:cs="Times New Roman" w:eastAsia="Times New Roman" w:hint="default"/>
        </w:rPr>
        <w:t>APP</w:t>
      </w:r>
      <w:r>
        <w:rPr/>
        <w:t>、微信公众号</w:t>
      </w:r>
      <w:r>
        <w:rPr>
          <w:rFonts w:ascii="Times New Roman" w:hAnsi="Times New Roman" w:cs="Times New Roman" w:eastAsia="Times New Roman" w:hint="default"/>
        </w:rPr>
        <w:t>3000</w:t>
      </w:r>
      <w:r>
        <w:rPr/>
        <w:t>万</w:t>
      </w:r>
      <w:r>
        <w:rPr>
          <w:rFonts w:ascii="Times New Roman" w:hAnsi="Times New Roman" w:cs="Times New Roman" w:eastAsia="Times New Roman" w:hint="default"/>
        </w:rPr>
        <w:t>+</w:t>
      </w:r>
      <w:r>
        <w:rPr/>
        <w:t>的线上注册用户流量，基于大数据的</w:t>
      </w:r>
      <w:r>
        <w:rPr>
          <w:spacing w:val="-67"/>
        </w:rPr>
        <w:t> </w:t>
      </w:r>
      <w:r>
        <w:rPr>
          <w:spacing w:val="-67"/>
        </w:rPr>
      </w:r>
      <w:r>
        <w:rPr/>
        <w:t>用户行为洞察，与金融、教育培训、电商平台、美妆等行业的广告主</w:t>
      </w:r>
      <w:r>
        <w:rPr>
          <w:rFonts w:ascii="Times New Roman" w:hAnsi="Times New Roman" w:cs="Times New Roman" w:eastAsia="Times New Roman" w:hint="default"/>
        </w:rPr>
        <w:t>/</w:t>
      </w:r>
      <w:r>
        <w:rPr/>
        <w:t>供应商合作，通过公众号推文、支付完成页面展示、</w:t>
      </w:r>
      <w:r>
        <w:rPr>
          <w:spacing w:val="-47"/>
        </w:rPr>
        <w:t> </w:t>
      </w:r>
      <w:r>
        <w:rPr>
          <w:spacing w:val="-47"/>
        </w:rPr>
      </w:r>
      <w:r>
        <w:rPr/>
        <w:t>商城展示等多种形式，向用户进行产品与服务的精准化营销推广，累计为教育、电商、美妆等客户带来超过</w:t>
      </w:r>
      <w:r>
        <w:rPr>
          <w:rFonts w:ascii="Times New Roman" w:hAnsi="Times New Roman" w:cs="Times New Roman" w:eastAsia="Times New Roman" w:hint="default"/>
        </w:rPr>
        <w:t>5</w:t>
      </w:r>
      <w:r>
        <w:rPr/>
        <w:t>万人次的有效</w:t>
      </w:r>
      <w:r>
        <w:rPr>
          <w:spacing w:val="-82"/>
        </w:rPr>
        <w:t> </w:t>
      </w:r>
      <w:r>
        <w:rPr>
          <w:spacing w:val="3"/>
        </w:rPr>
        <w:t>付费用户，与客户形成了良性的互惠互利合作模式。三是营销业务。公司为中国银联推广</w:t>
      </w:r>
      <w:r>
        <w:rPr>
          <w:rFonts w:ascii="Times New Roman" w:hAnsi="Times New Roman" w:cs="Times New Roman" w:eastAsia="Times New Roman" w:hint="default"/>
          <w:spacing w:val="3"/>
        </w:rPr>
        <w:t>“</w:t>
      </w:r>
      <w:r>
        <w:rPr>
          <w:spacing w:val="3"/>
        </w:rPr>
        <w:t>云闪付</w:t>
      </w:r>
      <w:r>
        <w:rPr>
          <w:rFonts w:ascii="Times New Roman" w:hAnsi="Times New Roman" w:cs="Times New Roman" w:eastAsia="Times New Roman" w:hint="default"/>
          <w:spacing w:val="3"/>
        </w:rPr>
        <w:t>”</w:t>
      </w:r>
      <w:r>
        <w:rPr>
          <w:spacing w:val="3"/>
        </w:rPr>
        <w:t>等重点产品，为</w:t>
      </w:r>
      <w:r>
        <w:rPr>
          <w:rFonts w:ascii="Times New Roman" w:hAnsi="Times New Roman" w:cs="Times New Roman" w:eastAsia="Times New Roman" w:hint="default"/>
          <w:spacing w:val="3"/>
        </w:rPr>
        <w:t>“</w:t>
      </w:r>
      <w:r>
        <w:rPr>
          <w:spacing w:val="3"/>
        </w:rPr>
        <w:t>云闪</w:t>
      </w:r>
      <w:r>
        <w:rPr/>
      </w:r>
    </w:p>
    <w:p>
      <w:pPr>
        <w:spacing w:after="0" w:line="304"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0"/>
        <w:jc w:val="both"/>
      </w:pPr>
      <w:r>
        <w:rPr/>
        <w:t>付</w:t>
      </w:r>
      <w:r>
        <w:rPr>
          <w:rFonts w:ascii="Times New Roman" w:hAnsi="Times New Roman" w:cs="Times New Roman" w:eastAsia="Times New Roman" w:hint="default"/>
        </w:rPr>
        <w:t>”APP</w:t>
      </w:r>
      <w:r>
        <w:rPr/>
        <w:t>发展用户，扩大</w:t>
      </w:r>
      <w:r>
        <w:rPr>
          <w:rFonts w:ascii="Times New Roman" w:hAnsi="Times New Roman" w:cs="Times New Roman" w:eastAsia="Times New Roman" w:hint="default"/>
        </w:rPr>
        <w:t>“</w:t>
      </w:r>
      <w:r>
        <w:rPr/>
        <w:t>云闪付</w:t>
      </w:r>
      <w:r>
        <w:rPr>
          <w:rFonts w:ascii="Times New Roman" w:hAnsi="Times New Roman" w:cs="Times New Roman" w:eastAsia="Times New Roman" w:hint="default"/>
        </w:rPr>
        <w:t>”</w:t>
      </w:r>
      <w:r>
        <w:rPr/>
        <w:t>的受理规模，深入拓展银联卡受理商户，加强银行卡商圈建设，提升银联卡交易规模；分</w:t>
      </w:r>
      <w:r>
        <w:rPr>
          <w:spacing w:val="-35"/>
        </w:rPr>
        <w:t> </w:t>
      </w:r>
      <w:r>
        <w:rPr>
          <w:spacing w:val="-35"/>
        </w:rPr>
      </w:r>
      <w:r>
        <w:rPr>
          <w:spacing w:val="-2"/>
        </w:rPr>
        <w:t>支机构与当地商业银行合作开展卡券核销类服务，促进银行卡交易受理，推动银行卡分期业务，为商业银行增加分期业务收</w:t>
      </w:r>
      <w:r>
        <w:rPr>
          <w:spacing w:val="-63"/>
        </w:rPr>
        <w:t> </w:t>
      </w:r>
      <w:r>
        <w:rPr>
          <w:spacing w:val="-63"/>
        </w:rPr>
      </w:r>
      <w:r>
        <w:rPr/>
        <w:t>入。</w:t>
      </w:r>
    </w:p>
    <w:p>
      <w:pPr>
        <w:pStyle w:val="BodyText"/>
        <w:spacing w:line="240" w:lineRule="auto" w:before="65"/>
        <w:ind w:left="513" w:right="1133"/>
        <w:jc w:val="left"/>
      </w:pPr>
      <w:r>
        <w:rPr/>
        <w:t>（五）海外业务</w:t>
      </w:r>
    </w:p>
    <w:p>
      <w:pPr>
        <w:pStyle w:val="BodyText"/>
        <w:spacing w:line="307" w:lineRule="auto" w:before="115"/>
        <w:ind w:right="1129" w:firstLine="360"/>
        <w:jc w:val="both"/>
      </w:pPr>
      <w:r>
        <w:rPr>
          <w:rFonts w:ascii="Times New Roman" w:hAnsi="Times New Roman" w:cs="Times New Roman" w:eastAsia="Times New Roman" w:hint="default"/>
          <w:spacing w:val="-2"/>
        </w:rPr>
        <w:t>2019</w:t>
      </w:r>
      <w:r>
        <w:rPr>
          <w:spacing w:val="-2"/>
        </w:rPr>
        <w:t>年，公司积极布局海外业务。公司与知名跨境电商购销平台开展合作，专门针对中国中小卖家出口的场景打造全新</w:t>
      </w:r>
      <w:r>
        <w:rPr/>
        <w:t> 的系统和产品，强化全球收付款渠道能力，开始为中小企业卖家提供外币跨境</w:t>
      </w:r>
      <w:r>
        <w:rPr>
          <w:rFonts w:ascii="Times New Roman" w:hAnsi="Times New Roman" w:cs="Times New Roman" w:eastAsia="Times New Roman" w:hint="default"/>
        </w:rPr>
        <w:t>+</w:t>
      </w:r>
      <w:r>
        <w:rPr/>
        <w:t>人民币跨境、快速收款</w:t>
      </w:r>
      <w:r>
        <w:rPr>
          <w:rFonts w:ascii="Times New Roman" w:hAnsi="Times New Roman" w:cs="Times New Roman" w:eastAsia="Times New Roman" w:hint="default"/>
        </w:rPr>
        <w:t>+</w:t>
      </w:r>
      <w:r>
        <w:rPr/>
        <w:t>实时付款的综合跨</w:t>
      </w:r>
      <w:r>
        <w:rPr>
          <w:spacing w:val="-19"/>
        </w:rPr>
        <w:t> </w:t>
      </w:r>
      <w:r>
        <w:rPr>
          <w:spacing w:val="-19"/>
        </w:rPr>
      </w:r>
      <w:r>
        <w:rPr>
          <w:spacing w:val="-2"/>
        </w:rPr>
        <w:t>境支付解决方案，切实解决其跨境收付款周期长、成本高、流程复杂的痛点。报告期内，公司跨境支付及海外聚合支付交易</w:t>
      </w:r>
      <w:r>
        <w:rPr>
          <w:spacing w:val="-67"/>
        </w:rPr>
        <w:t> </w:t>
      </w:r>
      <w:r>
        <w:rPr>
          <w:spacing w:val="-67"/>
        </w:rPr>
      </w:r>
      <w:r>
        <w:rPr/>
        <w:t>金额已超过百亿，服务商户超过</w:t>
      </w:r>
      <w:r>
        <w:rPr>
          <w:rFonts w:ascii="Times New Roman" w:hAnsi="Times New Roman" w:cs="Times New Roman" w:eastAsia="Times New Roman" w:hint="default"/>
        </w:rPr>
        <w:t>3500</w:t>
      </w:r>
      <w:r>
        <w:rPr/>
        <w:t>家，并保持着稳定的增长趋势。</w:t>
      </w:r>
    </w:p>
    <w:p>
      <w:pPr>
        <w:pStyle w:val="BodyText"/>
        <w:spacing w:line="360" w:lineRule="auto" w:before="48"/>
        <w:ind w:left="513" w:right="6253"/>
        <w:jc w:val="left"/>
      </w:pPr>
      <w:r>
        <w:rPr/>
        <w:t>（六）技术研发 报告期内，公司技术研发成果主要有以下几个方面：</w:t>
      </w:r>
    </w:p>
    <w:p>
      <w:pPr>
        <w:pStyle w:val="BodyText"/>
        <w:spacing w:line="307" w:lineRule="auto" w:before="25"/>
        <w:ind w:right="1131" w:firstLine="360"/>
        <w:jc w:val="both"/>
      </w:pPr>
      <w:r>
        <w:rPr>
          <w:rFonts w:ascii="Times New Roman" w:hAnsi="Times New Roman" w:cs="Times New Roman" w:eastAsia="Times New Roman" w:hint="default"/>
          <w:spacing w:val="-2"/>
        </w:rPr>
        <w:t>1</w:t>
      </w:r>
      <w:r>
        <w:rPr>
          <w:spacing w:val="-2"/>
        </w:rPr>
        <w:t>、基础设施整体升级，形成</w:t>
      </w:r>
      <w:r>
        <w:rPr>
          <w:rFonts w:ascii="Times New Roman" w:hAnsi="Times New Roman" w:cs="Times New Roman" w:eastAsia="Times New Roman" w:hint="default"/>
          <w:spacing w:val="-2"/>
        </w:rPr>
        <w:t>IDC</w:t>
      </w:r>
      <w:r>
        <w:rPr>
          <w:spacing w:val="-2"/>
        </w:rPr>
        <w:t>、专有云、公有云的混合云融合生态。一是推动公有云技术落地实践，对现有</w:t>
      </w:r>
      <w:r>
        <w:rPr>
          <w:rFonts w:ascii="Times New Roman" w:hAnsi="Times New Roman" w:cs="Times New Roman" w:eastAsia="Times New Roman" w:hint="default"/>
          <w:spacing w:val="-2"/>
        </w:rPr>
        <w:t>IDC</w:t>
      </w:r>
      <w:r>
        <w:rPr>
          <w:spacing w:val="-2"/>
        </w:rPr>
        <w:t>能力</w:t>
      </w:r>
      <w:r>
        <w:rPr/>
        <w:t> </w:t>
      </w:r>
      <w:r>
        <w:rPr>
          <w:spacing w:val="-2"/>
        </w:rPr>
        <w:t>和容量进行改造和拓展，形成公司自有的云建设路线，提高基础设施的利用率和稳定性。二是引入容器化部署，支付产品体</w:t>
      </w:r>
      <w:r>
        <w:rPr>
          <w:spacing w:val="-65"/>
        </w:rPr>
        <w:t> </w:t>
      </w:r>
      <w:r>
        <w:rPr>
          <w:spacing w:val="-65"/>
        </w:rPr>
      </w:r>
      <w:r>
        <w:rPr>
          <w:spacing w:val="-2"/>
        </w:rPr>
        <w:t>系整体应用向</w:t>
      </w:r>
      <w:r>
        <w:rPr>
          <w:rFonts w:ascii="Times New Roman" w:hAnsi="Times New Roman" w:cs="Times New Roman" w:eastAsia="Times New Roman" w:hint="default"/>
          <w:spacing w:val="-2"/>
        </w:rPr>
        <w:t>“</w:t>
      </w:r>
      <w:r>
        <w:rPr>
          <w:spacing w:val="-2"/>
        </w:rPr>
        <w:t>云原生</w:t>
      </w:r>
      <w:r>
        <w:rPr>
          <w:rFonts w:ascii="Times New Roman" w:hAnsi="Times New Roman" w:cs="Times New Roman" w:eastAsia="Times New Roman" w:hint="default"/>
          <w:spacing w:val="-2"/>
        </w:rPr>
        <w:t>”</w:t>
      </w:r>
      <w:r>
        <w:rPr>
          <w:spacing w:val="-2"/>
        </w:rPr>
        <w:t>迁移，整合优化</w:t>
      </w:r>
      <w:r>
        <w:rPr>
          <w:rFonts w:ascii="Times New Roman" w:hAnsi="Times New Roman" w:cs="Times New Roman" w:eastAsia="Times New Roman" w:hint="default"/>
          <w:spacing w:val="-2"/>
        </w:rPr>
        <w:t>DevOps</w:t>
      </w:r>
      <w:r>
        <w:rPr>
          <w:spacing w:val="-2"/>
        </w:rPr>
        <w:t>流水线，整体资源使用率提升超过</w:t>
      </w:r>
      <w:r>
        <w:rPr>
          <w:rFonts w:ascii="Times New Roman" w:hAnsi="Times New Roman" w:cs="Times New Roman" w:eastAsia="Times New Roman" w:hint="default"/>
          <w:spacing w:val="-2"/>
        </w:rPr>
        <w:t>50%</w:t>
      </w:r>
      <w:r>
        <w:rPr>
          <w:spacing w:val="-2"/>
        </w:rPr>
        <w:t>。三是形成应用研发、测试和生产运行</w:t>
      </w:r>
      <w:r>
        <w:rPr>
          <w:spacing w:val="-61"/>
        </w:rPr>
        <w:t> </w:t>
      </w:r>
      <w:r>
        <w:rPr>
          <w:spacing w:val="-61"/>
        </w:rPr>
      </w:r>
      <w:r>
        <w:rPr/>
        <w:t>联动的一体化运行机制，建立应用服务的全链路跟踪，进一步促进了业务和产品更新升级。</w:t>
      </w:r>
    </w:p>
    <w:p>
      <w:pPr>
        <w:pStyle w:val="BodyText"/>
        <w:spacing w:line="307" w:lineRule="auto" w:before="67"/>
        <w:ind w:right="1131"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大数据治理和数据驱动取得整体突破。一是围绕业务处理、运营、风控、智能营销等方面，整合现有数据平台，逐 步打造</w:t>
      </w:r>
      <w:r>
        <w:rPr>
          <w:rFonts w:ascii="Times New Roman" w:hAnsi="Times New Roman" w:cs="Times New Roman" w:eastAsia="Times New Roman" w:hint="default"/>
        </w:rPr>
        <w:t>DT</w:t>
      </w:r>
      <w:r>
        <w:rPr/>
        <w:t>驱动的大数据中台，通过数据标签的持续建设结合深度学习形成智能风控模型、各类营销模型，为业务决策、风</w:t>
      </w:r>
      <w:r>
        <w:rPr>
          <w:spacing w:val="-59"/>
        </w:rPr>
        <w:t> </w:t>
      </w:r>
      <w:r>
        <w:rPr>
          <w:spacing w:val="-59"/>
        </w:rPr>
      </w:r>
      <w:r>
        <w:rPr>
          <w:spacing w:val="-2"/>
        </w:rPr>
        <w:t>险管理、客户服务提供快速精准的智能数据服务。二是与业界领先厂商协作，全面引入分布式数据库技术，提供实时数据服</w:t>
      </w:r>
      <w:r>
        <w:rPr>
          <w:spacing w:val="-65"/>
        </w:rPr>
        <w:t> </w:t>
      </w:r>
      <w:r>
        <w:rPr>
          <w:spacing w:val="-65"/>
        </w:rPr>
      </w:r>
      <w:r>
        <w:rPr/>
        <w:t>务平台，提升数据中台的服务能力和快速响应能力。</w:t>
      </w:r>
    </w:p>
    <w:p>
      <w:pPr>
        <w:pStyle w:val="BodyText"/>
        <w:spacing w:line="307" w:lineRule="auto" w:before="67"/>
        <w:ind w:right="1130"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新型支付体系进入实质性研发阶段。一是全面优化和重构了现有支付核心体系，打造新一代清结算体系、以数据为 </w:t>
      </w:r>
      <w:r>
        <w:rPr>
          <w:spacing w:val="-2"/>
        </w:rPr>
        <w:t>核心的商户中心和业务运营平台，形成与数据中台联动的业务中台和技术中台，整体运营向数据驱动转型，提升业务运营能</w:t>
      </w:r>
      <w:r>
        <w:rPr>
          <w:spacing w:val="-63"/>
        </w:rPr>
        <w:t> </w:t>
      </w:r>
      <w:r>
        <w:rPr>
          <w:spacing w:val="-63"/>
        </w:rPr>
      </w:r>
      <w:r>
        <w:rPr>
          <w:spacing w:val="-2"/>
        </w:rPr>
        <w:t>力和水平。二是建设条码支付</w:t>
      </w:r>
      <w:r>
        <w:rPr>
          <w:rFonts w:ascii="Times New Roman" w:hAnsi="Times New Roman" w:cs="Times New Roman" w:eastAsia="Times New Roman" w:hint="default"/>
          <w:spacing w:val="-2"/>
        </w:rPr>
        <w:t>SaaS</w:t>
      </w:r>
      <w:r>
        <w:rPr>
          <w:spacing w:val="-2"/>
        </w:rPr>
        <w:t>平台，针对条码支付交易的典型特征和业务发展需求，形成适应条码支付业务发展的</w:t>
      </w:r>
      <w:r>
        <w:rPr>
          <w:rFonts w:ascii="Times New Roman" w:hAnsi="Times New Roman" w:cs="Times New Roman" w:eastAsia="Times New Roman" w:hint="default"/>
          <w:spacing w:val="-2"/>
        </w:rPr>
        <w:t>SaaS</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化服务平台，优化现有支付交易处理过程，形成卡基交易和码基交易的双核处理引擎。</w:t>
      </w:r>
    </w:p>
    <w:p>
      <w:pPr>
        <w:pStyle w:val="BodyText"/>
        <w:spacing w:line="302" w:lineRule="auto" w:before="64"/>
        <w:ind w:right="1128"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1"/>
        </w:rPr>
        <w:t> </w:t>
      </w:r>
      <w:r>
        <w:rPr/>
        <w:t>支付创新和产业融合有序展开。一是打造公司云收单体系，形成收单、转接、风险管理、业务拓展、对账、商户运 营、终端运营的整体支付服务，通过弹性处理和分布式处理</w:t>
      </w:r>
      <w:r>
        <w:rPr>
          <w:rFonts w:ascii="Times New Roman" w:hAnsi="Times New Roman" w:cs="Times New Roman" w:eastAsia="Times New Roman" w:hint="default"/>
        </w:rPr>
        <w:t>“</w:t>
      </w:r>
      <w:r>
        <w:rPr/>
        <w:t>的技术手段，全面提升了系统容量和处理效率，加快了业务合</w:t>
      </w:r>
      <w:r>
        <w:rPr>
          <w:spacing w:val="-75"/>
        </w:rPr>
        <w:t> </w:t>
      </w:r>
      <w:r>
        <w:rPr>
          <w:spacing w:val="-75"/>
        </w:rPr>
      </w:r>
      <w:r>
        <w:rPr>
          <w:spacing w:val="-1"/>
        </w:rPr>
        <w:t>作进度。二是与银行、主要手机厂商共同打造手机</w:t>
      </w:r>
      <w:r>
        <w:rPr>
          <w:rFonts w:ascii="Times New Roman" w:hAnsi="Times New Roman" w:cs="Times New Roman" w:eastAsia="Times New Roman" w:hint="default"/>
          <w:spacing w:val="-1"/>
        </w:rPr>
        <w:t>POS</w:t>
      </w:r>
      <w:r>
        <w:rPr>
          <w:spacing w:val="-1"/>
        </w:rPr>
        <w:t>服务，进一步完善了支付移动化服务水平，提高了支付便捷性和用户</w:t>
      </w:r>
      <w:r>
        <w:rPr/>
        <w:t> 触达率，为业务整体拓展提供新手段和工具。三是与</w:t>
      </w:r>
      <w:r>
        <w:rPr>
          <w:rFonts w:ascii="Times New Roman" w:hAnsi="Times New Roman" w:cs="Times New Roman" w:eastAsia="Times New Roman" w:hint="default"/>
        </w:rPr>
        <w:t>VISA</w:t>
      </w:r>
      <w:r>
        <w:rPr/>
        <w:t>等国际卡组织合作，构建了新型外卡收单体系，为跨境支付、商</w:t>
      </w:r>
      <w:r>
        <w:rPr>
          <w:spacing w:val="-58"/>
        </w:rPr>
        <w:t> </w:t>
      </w:r>
      <w:r>
        <w:rPr>
          <w:spacing w:val="-58"/>
        </w:rPr>
      </w:r>
      <w:r>
        <w:rPr>
          <w:spacing w:val="-2"/>
        </w:rPr>
        <w:t>户运营提供新型的支付手段，帮助中小型商户提升在货物贸易、留学交易、航空旅行、酒店住宿等不同领域和场景的经营能</w:t>
      </w:r>
      <w:r>
        <w:rPr>
          <w:spacing w:val="-66"/>
        </w:rPr>
        <w:t> </w:t>
      </w:r>
      <w:r>
        <w:rPr>
          <w:spacing w:val="-66"/>
        </w:rPr>
      </w:r>
      <w:r>
        <w:rPr/>
        <w:t>力。四是积极拓展产业融合的支付场景，</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月，发布了产业互联网战略产品，在母婴、快消品、餐饮、生鲜等领域，</w:t>
      </w:r>
      <w:r>
        <w:rPr>
          <w:spacing w:val="-85"/>
        </w:rPr>
        <w:t> </w:t>
      </w:r>
      <w:r>
        <w:rPr>
          <w:spacing w:val="-85"/>
        </w:rPr>
      </w:r>
      <w:r>
        <w:rPr/>
        <w:t>提供连锁</w:t>
      </w:r>
      <w:r>
        <w:rPr>
          <w:rFonts w:ascii="Times New Roman" w:hAnsi="Times New Roman" w:cs="Times New Roman" w:eastAsia="Times New Roman" w:hint="default"/>
        </w:rPr>
        <w:t>O2O</w:t>
      </w:r>
      <w:r>
        <w:rPr/>
        <w:t>、全链路</w:t>
      </w:r>
      <w:r>
        <w:rPr>
          <w:rFonts w:ascii="Times New Roman" w:hAnsi="Times New Roman" w:cs="Times New Roman" w:eastAsia="Times New Roman" w:hint="default"/>
        </w:rPr>
        <w:t>B2B</w:t>
      </w:r>
      <w:r>
        <w:rPr/>
        <w:t>、零售线上线下一体化的完整垂直电商解决方案，更好的为商户提供服务。</w:t>
      </w:r>
    </w:p>
    <w:p>
      <w:pPr>
        <w:pStyle w:val="BodyText"/>
        <w:spacing w:line="309" w:lineRule="auto" w:before="52"/>
        <w:ind w:right="1131" w:firstLine="36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新技术预研和业务融合取得长足进步。一是与数字货币研究所、清华交叉信息学院等开展合作，在区块链应用、数 </w:t>
      </w:r>
      <w:r>
        <w:rPr>
          <w:spacing w:val="-2"/>
        </w:rPr>
        <w:t>字货币、多方隐私计算方向进行深入探讨和实践，围绕数字货币、新型金融监管、支付结算和供应链金融等场景进行了预研</w:t>
      </w:r>
      <w:r>
        <w:rPr>
          <w:spacing w:val="-64"/>
        </w:rPr>
        <w:t> </w:t>
      </w:r>
      <w:r>
        <w:rPr>
          <w:spacing w:val="-64"/>
        </w:rPr>
      </w:r>
      <w:r>
        <w:rPr/>
        <w:t>和打样，并针对数字货币对支付行业的影响进行了深入分析和实验。二是</w:t>
      </w:r>
      <w:r>
        <w:rPr>
          <w:rFonts w:ascii="Times New Roman" w:hAnsi="Times New Roman" w:cs="Times New Roman" w:eastAsia="Times New Roman" w:hint="default"/>
        </w:rPr>
        <w:t>AI</w:t>
      </w:r>
      <w:r>
        <w:rPr/>
        <w:t>技术与支付结合取得实质性进展，形成基于深</w:t>
      </w:r>
      <w:r>
        <w:rPr>
          <w:spacing w:val="-13"/>
        </w:rPr>
        <w:t> </w:t>
      </w:r>
      <w:r>
        <w:rPr>
          <w:spacing w:val="-13"/>
        </w:rPr>
      </w:r>
      <w:r>
        <w:rPr>
          <w:spacing w:val="-2"/>
        </w:rPr>
        <w:t>度学习的新型风控和客户营销体系，极大提高了风险案件的处理能力和处理水平，通过智能机器人提升客户服务和营销的人</w:t>
      </w:r>
      <w:r>
        <w:rPr>
          <w:spacing w:val="-63"/>
        </w:rPr>
        <w:t> </w:t>
      </w:r>
      <w:r>
        <w:rPr>
          <w:spacing w:val="-63"/>
        </w:rPr>
      </w:r>
      <w:r>
        <w:rPr/>
        <w:t>工替代率，实现服务替代率超过</w:t>
      </w:r>
      <w:r>
        <w:rPr>
          <w:rFonts w:ascii="Times New Roman" w:hAnsi="Times New Roman" w:cs="Times New Roman" w:eastAsia="Times New Roman" w:hint="default"/>
        </w:rPr>
        <w:t>60%</w:t>
      </w:r>
      <w:r>
        <w:rPr/>
        <w:t>。</w:t>
      </w:r>
    </w:p>
    <w:p>
      <w:pPr>
        <w:pStyle w:val="BodyText"/>
        <w:spacing w:line="300" w:lineRule="auto" w:before="46"/>
        <w:ind w:right="1131" w:firstLine="288"/>
        <w:jc w:val="both"/>
      </w:pPr>
      <w:r>
        <w:rPr/>
        <w:t>截至报告期末，公司持有的专利</w:t>
      </w:r>
      <w:r>
        <w:rPr>
          <w:rFonts w:ascii="Times New Roman" w:hAnsi="Times New Roman" w:cs="Times New Roman" w:eastAsia="Times New Roman" w:hint="default"/>
        </w:rPr>
        <w:t>41</w:t>
      </w:r>
      <w:r>
        <w:rPr/>
        <w:t>项，其中发明专利</w:t>
      </w:r>
      <w:r>
        <w:rPr>
          <w:rFonts w:ascii="Times New Roman" w:hAnsi="Times New Roman" w:cs="Times New Roman" w:eastAsia="Times New Roman" w:hint="default"/>
        </w:rPr>
        <w:t>5</w:t>
      </w:r>
      <w:r>
        <w:rPr/>
        <w:t>项、实用新型专利</w:t>
      </w:r>
      <w:r>
        <w:rPr>
          <w:rFonts w:ascii="Times New Roman" w:hAnsi="Times New Roman" w:cs="Times New Roman" w:eastAsia="Times New Roman" w:hint="default"/>
        </w:rPr>
        <w:t>16</w:t>
      </w:r>
      <w:r>
        <w:rPr/>
        <w:t>项、外观设计专利</w:t>
      </w:r>
      <w:r>
        <w:rPr>
          <w:rFonts w:ascii="Times New Roman" w:hAnsi="Times New Roman" w:cs="Times New Roman" w:eastAsia="Times New Roman" w:hint="default"/>
        </w:rPr>
        <w:t>20</w:t>
      </w:r>
      <w:r>
        <w:rPr/>
        <w:t>项，同时新增</w:t>
      </w:r>
      <w:r>
        <w:rPr>
          <w:rFonts w:ascii="Times New Roman" w:hAnsi="Times New Roman" w:cs="Times New Roman" w:eastAsia="Times New Roman" w:hint="default"/>
        </w:rPr>
        <w:t>40</w:t>
      </w:r>
      <w:r>
        <w:rPr/>
        <w:t>多个专 利申请，通过在技术上的大力投入，进一步强化公司的技术优势和服务能力。</w:t>
      </w:r>
    </w:p>
    <w:p>
      <w:pPr>
        <w:spacing w:line="240" w:lineRule="auto" w:before="8"/>
        <w:rPr>
          <w:rFonts w:ascii="宋体" w:hAnsi="宋体" w:cs="宋体" w:eastAsia="宋体" w:hint="default"/>
          <w:sz w:val="21"/>
          <w:szCs w:val="21"/>
        </w:rPr>
      </w:pPr>
    </w:p>
    <w:p>
      <w:pPr>
        <w:pStyle w:val="Heading2"/>
        <w:spacing w:line="240" w:lineRule="auto"/>
        <w:ind w:right="1133"/>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4,899,421,582.02</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5,679,411,603.66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4,899,421,582.02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5,679,411,603.66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4,346,259,687.05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88.71%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5,220,118,484.85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91.92%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-16.74%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商户经营业务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441,740,271.80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201,166,505.44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119.59%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111,421,623.17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258,126,613.37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-56.83%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4,899,421,582.02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5,679,411,603.66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4,787,999,958.85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2,663,661,482.71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4,346,259,687.05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2,533,331,453.20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商户经营业务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441,740,271.80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130,330,029.51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119.59%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1,757.20%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-26.02%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4,787,999,958.85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2,663,661,482.71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-0.20%</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60"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3" w:space="804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专业化服务费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2,254,885,033.03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2,830,667,942.26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255,755,075.56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140,240,872.31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18,568,942.71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21,505,902.65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4,122,401.90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5,609,573.53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商户经营业务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服务推广费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125,274,289.38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5,220,234.66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2,299.78%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商户经营业务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5,055,740.13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1,797,335.74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59,054,433.19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127,279,238.07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-53.60%</w:t>
            </w:r>
          </w:p>
        </w:tc>
      </w:tr>
    </w:tbl>
    <w:p>
      <w:pPr>
        <w:pStyle w:val="BodyText"/>
        <w:spacing w:line="240" w:lineRule="auto" w:before="49"/>
        <w:ind w:right="1133"/>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371"/>
        <w:gridCol w:w="5151"/>
        <w:gridCol w:w="2552"/>
      </w:tblGrid>
      <w:tr>
        <w:trPr>
          <w:trHeight w:val="334" w:hRule="exact"/>
        </w:trPr>
        <w:tc>
          <w:tcPr>
            <w:tcW w:w="13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51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360"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1</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四川拉卡拉汇积天下技术服务有限公司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6"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汇积天下科技服务（厦门）有限公司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8"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汇聚天下科技服务（海南）有限公司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8"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拉卡拉科技投资有限公司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6"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北京腾祥商务服务有限公司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8"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广州赢达信息咨询有限公司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6"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北京大树保险经纪有限责任公司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非同一控制下并购</w:t>
            </w:r>
          </w:p>
        </w:tc>
      </w:tr>
      <w:tr>
        <w:trPr>
          <w:trHeight w:val="349"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8</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广州拉卡拉信息技术有限公司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6"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9</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拉卡拉國際有限公司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8"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海南泛泰科技发展有限公司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8"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11</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海南嘉驰科技发展有限公司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6" w:hRule="exact"/>
        </w:trPr>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12</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北京考拉鲲鹏科技成长基金合伙企业（有限合伙）</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202,275,612.11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60,453,303.08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48,719,632.03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33,763,596.42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31,590,339.62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27,748,740.96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202,275,612.11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w:t>
            </w:r>
          </w:p>
        </w:tc>
      </w:tr>
    </w:tbl>
    <w:p>
      <w:pPr>
        <w:pStyle w:val="BodyText"/>
        <w:spacing w:line="240" w:lineRule="auto" w:before="49"/>
        <w:ind w:right="1133"/>
        <w:jc w:val="left"/>
      </w:pPr>
      <w:r>
        <w:rPr/>
        <w:t>主要客户其他情况说明</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700,447,793.80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301,910,901.06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149,986,830.53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94,834,964.56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80,160,050.94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73,555,046.71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700,447,793.80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25.71%</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713,703,492.11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1,155,038,398.74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-38.21%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主要为本年广告宣传与市场推广费 同比减少导致。</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308,757,025.75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252,323,623.58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94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-6,131,327.08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106,292,024.76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-105.77%</w:t>
            </w:r>
          </w:p>
        </w:tc>
        <w:tc>
          <w:tcPr>
            <w:tcW w:w="291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主要是受益于银联按照发改委、人民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银行等联合发布《关于做好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降成本重点工作的通知》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发改运行</w:t>
            </w:r>
          </w:p>
          <w:p>
            <w:pPr>
              <w:pStyle w:val="TableParagraph"/>
              <w:spacing w:line="307" w:lineRule="auto" w:before="5"/>
              <w:ind w:left="23" w:right="1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819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等的政策，推动大规 </w:t>
            </w:r>
            <w:r>
              <w:rPr>
                <w:rFonts w:ascii="宋体" w:hAnsi="宋体" w:cs="宋体" w:eastAsia="宋体" w:hint="default"/>
                <w:spacing w:val="-2"/>
                <w:sz w:val="18"/>
                <w:szCs w:val="18"/>
              </w:rPr>
              <w:t>模降费，加大金融对实体经济的支持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力度，自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月大规模免除了 结算手续费。</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94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251,545,845.16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273,407,922.76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公司的研究开发费主要包括研发人员的工资及福利费、研发设备折旧及软件摊销费、研发材料购置费用、外包技术开发费、 </w:t>
      </w:r>
      <w:r>
        <w:rPr>
          <w:spacing w:val="-3"/>
        </w:rPr>
        <w:t>测试和认证费用等。公司以</w:t>
      </w:r>
      <w:r>
        <w:rPr>
          <w:rFonts w:ascii="Times New Roman" w:hAnsi="Times New Roman" w:cs="Times New Roman" w:eastAsia="Times New Roman" w:hint="default"/>
          <w:spacing w:val="-3"/>
        </w:rPr>
        <w:t>“</w:t>
      </w:r>
      <w:r>
        <w:rPr>
          <w:spacing w:val="-3"/>
        </w:rPr>
        <w:t>云建设、数据赋能、新一代支付体系</w:t>
      </w:r>
      <w:r>
        <w:rPr>
          <w:rFonts w:ascii="Times New Roman" w:hAnsi="Times New Roman" w:cs="Times New Roman" w:eastAsia="Times New Roman" w:hint="default"/>
          <w:spacing w:val="-3"/>
        </w:rPr>
        <w:t>”</w:t>
      </w:r>
      <w:r>
        <w:rPr>
          <w:spacing w:val="-3"/>
        </w:rPr>
        <w:t>为重心，深度融合大数据、区块链和人工智能等前沿技术，</w:t>
      </w:r>
      <w:r>
        <w:rPr>
          <w:spacing w:val="-78"/>
        </w:rPr>
        <w:t> </w:t>
      </w:r>
      <w:r>
        <w:rPr>
          <w:spacing w:val="-78"/>
        </w:rPr>
      </w:r>
      <w:r>
        <w:rPr>
          <w:spacing w:val="-2"/>
        </w:rPr>
        <w:t>在基础设施整体升级、大数据治理与数据驱动、新型支付体系建设、新技术预研预与业务融合等方面取得长足进步和实质性</w:t>
      </w:r>
      <w:r>
        <w:rPr>
          <w:spacing w:val="-63"/>
        </w:rPr>
        <w:t> </w:t>
      </w:r>
      <w:r>
        <w:rPr>
          <w:spacing w:val="-63"/>
        </w:rPr>
      </w:r>
      <w:r>
        <w:rPr>
          <w:spacing w:val="-2"/>
        </w:rPr>
        <w:t>进展，着力打造业界领先、符合公司整体发展的新型支付技术体系和运营生态，进一步促进了业务和产品更新升级，持续为</w:t>
      </w:r>
      <w:r>
        <w:rPr>
          <w:spacing w:val="-63"/>
        </w:rPr>
        <w:t> </w:t>
      </w:r>
      <w:r>
        <w:rPr>
          <w:spacing w:val="-63"/>
        </w:rPr>
      </w:r>
      <w:r>
        <w:rPr/>
        <w:t>公司带来稳定的经济效益。</w:t>
      </w:r>
    </w:p>
    <w:p>
      <w:pPr>
        <w:pStyle w:val="BodyText"/>
        <w:spacing w:line="240" w:lineRule="auto" w:before="58"/>
        <w:ind w:right="1133"/>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251,545,845.16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273,407,922.76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193,711,713.37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5,605,075,211.97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6,150,645,119.33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4,492,119,791.96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5,528,897,105.65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1,112,955,420.01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621,748,013.68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2,911,833.53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9,430,904.77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-69.12%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647,737,198.52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316,423,804.88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104.71%</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-644,825,364.99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-306,992,900.11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1,323,061,101.89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1,403.48%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109,130,103.77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30,929,116.66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1,213,930,998.12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57,070,883.34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2,027.06%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1,681,947,281.54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371,825,996.91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352.35%</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944"/>
        <w:gridCol w:w="1460"/>
        <w:gridCol w:w="1370"/>
        <w:gridCol w:w="951"/>
        <w:gridCol w:w="3783"/>
      </w:tblGrid>
      <w:tr>
        <w:trPr>
          <w:trHeight w:val="428"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58"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96" w:right="63" w:hanging="632"/>
              <w:jc w:val="left"/>
              <w:rPr>
                <w:rFonts w:ascii="宋体" w:hAnsi="宋体" w:cs="宋体" w:eastAsia="宋体" w:hint="default"/>
                <w:sz w:val="18"/>
                <w:szCs w:val="18"/>
              </w:rPr>
            </w:pPr>
            <w:r>
              <w:rPr>
                <w:rFonts w:ascii="宋体" w:hAnsi="宋体" w:cs="宋体" w:eastAsia="宋体" w:hint="default"/>
                <w:sz w:val="18"/>
                <w:szCs w:val="18"/>
              </w:rPr>
              <w:t>经营活动产生的现金流 量净额</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1,112,955,420.01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621,748,013.68</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79.00%</w:t>
            </w:r>
          </w:p>
        </w:tc>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主要系净利润增加所致</w:t>
            </w:r>
          </w:p>
        </w:tc>
      </w:tr>
      <w:tr>
        <w:trPr>
          <w:trHeight w:val="427"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2,911,833.53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9,430,904.77</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-69.12%</w:t>
            </w:r>
          </w:p>
        </w:tc>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投资项目退出，</w:t>
            </w:r>
            <w:r>
              <w:rPr>
                <w:rFonts w:ascii="Times New Roman" w:hAnsi="Times New Roman" w:cs="Times New Roman" w:eastAsia="Times New Roman" w:hint="default"/>
                <w:sz w:val="18"/>
                <w:szCs w:val="18"/>
              </w:rPr>
              <w:t>18</w:t>
            </w:r>
            <w:r>
              <w:rPr>
                <w:rFonts w:ascii="宋体" w:hAnsi="宋体" w:cs="宋体" w:eastAsia="宋体" w:hint="default"/>
                <w:sz w:val="18"/>
                <w:szCs w:val="18"/>
              </w:rPr>
              <w:t>年项目投资收回较大</w:t>
            </w:r>
          </w:p>
        </w:tc>
      </w:tr>
      <w:tr>
        <w:trPr>
          <w:trHeight w:val="427"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647,737,198.52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316,423,804.88</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104.71%</w:t>
            </w:r>
          </w:p>
        </w:tc>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主要系购楼款、对外投资及收购公司所致</w:t>
            </w:r>
          </w:p>
        </w:tc>
      </w:tr>
      <w:tr>
        <w:trPr>
          <w:trHeight w:val="739"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696" w:right="63" w:hanging="632"/>
              <w:jc w:val="left"/>
              <w:rPr>
                <w:rFonts w:ascii="宋体" w:hAnsi="宋体" w:cs="宋体" w:eastAsia="宋体" w:hint="default"/>
                <w:sz w:val="18"/>
                <w:szCs w:val="18"/>
              </w:rPr>
            </w:pPr>
            <w:r>
              <w:rPr>
                <w:rFonts w:ascii="宋体" w:hAnsi="宋体" w:cs="宋体" w:eastAsia="宋体" w:hint="default"/>
                <w:sz w:val="18"/>
                <w:szCs w:val="18"/>
              </w:rPr>
              <w:t>投资活动产生的现金流 量净额</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-644,825,364.99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-306,992,900.11</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110.05%</w:t>
            </w:r>
          </w:p>
        </w:tc>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主要系购楼款、对外投资及收购公司所致</w:t>
            </w:r>
          </w:p>
        </w:tc>
      </w:tr>
      <w:tr>
        <w:trPr>
          <w:trHeight w:val="427"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1,323,061,101.89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88,000,000.00</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1403.48%</w:t>
            </w:r>
          </w:p>
        </w:tc>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主要系上市募集资金所致</w:t>
            </w:r>
          </w:p>
        </w:tc>
      </w:tr>
      <w:tr>
        <w:trPr>
          <w:trHeight w:val="739"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109,130,103.77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30,929,116.66</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252.84%</w:t>
            </w:r>
          </w:p>
        </w:tc>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61"/>
              <w:jc w:val="left"/>
              <w:rPr>
                <w:rFonts w:ascii="宋体" w:hAnsi="宋体" w:cs="宋体" w:eastAsia="宋体" w:hint="default"/>
                <w:sz w:val="18"/>
                <w:szCs w:val="18"/>
              </w:rPr>
            </w:pPr>
            <w:r>
              <w:rPr>
                <w:rFonts w:ascii="宋体" w:hAnsi="宋体" w:cs="宋体" w:eastAsia="宋体" w:hint="default"/>
                <w:sz w:val="18"/>
                <w:szCs w:val="18"/>
              </w:rPr>
              <w:t>主要系子公司偿还融资款及本公司支付上市发 行费等所致</w:t>
            </w:r>
          </w:p>
        </w:tc>
      </w:tr>
      <w:tr>
        <w:trPr>
          <w:trHeight w:val="740"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696" w:right="63" w:hanging="632"/>
              <w:jc w:val="left"/>
              <w:rPr>
                <w:rFonts w:ascii="宋体" w:hAnsi="宋体" w:cs="宋体" w:eastAsia="宋体" w:hint="default"/>
                <w:sz w:val="18"/>
                <w:szCs w:val="18"/>
              </w:rPr>
            </w:pPr>
            <w:r>
              <w:rPr>
                <w:rFonts w:ascii="宋体" w:hAnsi="宋体" w:cs="宋体" w:eastAsia="宋体" w:hint="default"/>
                <w:sz w:val="18"/>
                <w:szCs w:val="18"/>
              </w:rPr>
              <w:t>筹资活动产生的现金流 量净额</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1,213,930,998.12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57,070,883.34</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2027.06%</w:t>
            </w:r>
          </w:p>
        </w:tc>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主要系上市募集资金所致</w:t>
            </w:r>
          </w:p>
        </w:tc>
      </w:tr>
      <w:tr>
        <w:trPr>
          <w:trHeight w:val="739"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785" w:right="63" w:hanging="721"/>
              <w:jc w:val="left"/>
              <w:rPr>
                <w:rFonts w:ascii="宋体" w:hAnsi="宋体" w:cs="宋体" w:eastAsia="宋体" w:hint="default"/>
                <w:sz w:val="18"/>
                <w:szCs w:val="18"/>
              </w:rPr>
            </w:pPr>
            <w:r>
              <w:rPr>
                <w:rFonts w:ascii="宋体" w:hAnsi="宋体" w:cs="宋体" w:eastAsia="宋体" w:hint="default"/>
                <w:sz w:val="18"/>
                <w:szCs w:val="18"/>
              </w:rPr>
              <w:t>现金及现金等价物净增 加额</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1,681,947,281.54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371,825,996.91</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352.35%</w:t>
            </w:r>
          </w:p>
        </w:tc>
        <w:tc>
          <w:tcPr>
            <w:tcW w:w="3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主要系上市募集资金及净利润增加所致</w:t>
            </w:r>
          </w:p>
        </w:tc>
      </w:tr>
    </w:tbl>
    <w:p>
      <w:pPr>
        <w:spacing w:line="240" w:lineRule="auto" w:before="2"/>
        <w:rPr>
          <w:rFonts w:ascii="宋体" w:hAnsi="宋体" w:cs="宋体" w:eastAsia="宋体" w:hint="default"/>
          <w:sz w:val="24"/>
          <w:szCs w:val="24"/>
        </w:rPr>
      </w:pPr>
    </w:p>
    <w:p>
      <w:pPr>
        <w:pStyle w:val="BodyText"/>
        <w:spacing w:line="240" w:lineRule="auto" w:before="44"/>
        <w:ind w:right="1133"/>
        <w:jc w:val="left"/>
      </w:pPr>
      <w:r>
        <w:rPr/>
        <w:t>报告期内公司经营活动产生的现金净流量与本年度净利润存在重大差异的原因说明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6"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8,171,630,449.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73.05%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2,621,839,051.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52.04%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21.01%</w:t>
            </w:r>
          </w:p>
        </w:tc>
        <w:tc>
          <w:tcPr>
            <w:tcW w:w="2919" w:type="dxa"/>
            <w:vMerge w:val="restart"/>
            <w:tcBorders>
              <w:top w:val="single" w:sz="4" w:space="0" w:color="000000"/>
              <w:left w:val="single" w:sz="4" w:space="0" w:color="000000"/>
              <w:right w:val="single" w:sz="4" w:space="0" w:color="000000"/>
            </w:tcBorders>
          </w:tcPr>
          <w:p>
            <w:pPr>
              <w:pStyle w:val="TableParagraph"/>
              <w:spacing w:line="304"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、按照中国银联要求，清算规则发 </w:t>
            </w:r>
            <w:r>
              <w:rPr>
                <w:rFonts w:ascii="宋体" w:hAnsi="宋体" w:cs="宋体" w:eastAsia="宋体" w:hint="default"/>
                <w:spacing w:val="-2"/>
                <w:sz w:val="18"/>
                <w:szCs w:val="18"/>
              </w:rPr>
              <w:t>生改变，导致资金沉淀增加，备付金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账户余额增加。</w:t>
            </w:r>
            <w:r>
              <w:rPr>
                <w:rFonts w:ascii="Times New Roman" w:hAnsi="Times New Roman" w:cs="Times New Roman" w:eastAsia="Times New Roman" w:hint="default"/>
                <w:sz w:val="18"/>
                <w:szCs w:val="18"/>
              </w:rPr>
              <w:t>2</w:t>
            </w:r>
            <w:r>
              <w:rPr>
                <w:rFonts w:ascii="宋体" w:hAnsi="宋体" w:cs="宋体" w:eastAsia="宋体" w:hint="default"/>
                <w:sz w:val="18"/>
                <w:szCs w:val="18"/>
              </w:rPr>
              <w:t>、上市募集资金账 面留存。</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315,875,906.9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2.82%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223,427,336.47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4.43%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-1.61%</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18,608,497.31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16,846,251.25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461,234,747.5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4.12%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361,601,888.34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7.18%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-3.06%</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1,209,823,949.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10.81%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1,289,044,829.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25.59%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-14.78%</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70"/>
        <w:gridCol w:w="1021"/>
        <w:gridCol w:w="1058"/>
        <w:gridCol w:w="1193"/>
        <w:gridCol w:w="925"/>
        <w:gridCol w:w="1207"/>
        <w:gridCol w:w="1052"/>
        <w:gridCol w:w="920"/>
        <w:gridCol w:w="1212"/>
      </w:tblGrid>
      <w:tr>
        <w:trPr>
          <w:trHeight w:val="161" w:hRule="exact"/>
        </w:trPr>
        <w:tc>
          <w:tcPr>
            <w:tcW w:w="970" w:type="dxa"/>
            <w:vMerge w:val="restart"/>
            <w:tcBorders>
              <w:top w:val="single" w:sz="4" w:space="0" w:color="000000"/>
              <w:left w:val="single" w:sz="4" w:space="0" w:color="000000"/>
              <w:right w:val="single" w:sz="4" w:space="0" w:color="000000"/>
            </w:tcBorders>
            <w:shd w:val="clear" w:color="auto" w:fill="D2D2D2"/>
          </w:tcPr>
          <w:p>
            <w:pPr/>
          </w:p>
        </w:tc>
        <w:tc>
          <w:tcPr>
            <w:tcW w:w="1021" w:type="dxa"/>
            <w:vMerge w:val="restart"/>
            <w:tcBorders>
              <w:top w:val="single" w:sz="4" w:space="0" w:color="000000"/>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021"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89" w:right="93"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52"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70" w:type="dxa"/>
            <w:vMerge w:val="restart"/>
            <w:tcBorders>
              <w:top w:val="nil" w:sz="6" w:space="0" w:color="auto"/>
              <w:left w:val="single" w:sz="4" w:space="0" w:color="000000"/>
              <w:right w:val="single" w:sz="4" w:space="0" w:color="000000"/>
            </w:tcBorders>
            <w:shd w:val="clear" w:color="auto" w:fill="D2D2D2"/>
          </w:tcPr>
          <w:p>
            <w:pPr/>
          </w:p>
        </w:tc>
        <w:tc>
          <w:tcPr>
            <w:tcW w:w="1021"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70" w:type="dxa"/>
            <w:vMerge/>
            <w:tcBorders>
              <w:left w:val="single" w:sz="4" w:space="0" w:color="000000"/>
              <w:bottom w:val="single" w:sz="4" w:space="0" w:color="000000"/>
              <w:right w:val="single" w:sz="4" w:space="0" w:color="000000"/>
            </w:tcBorders>
            <w:shd w:val="clear" w:color="auto" w:fill="D2D2D2"/>
          </w:tcPr>
          <w:p>
            <w:pPr/>
          </w:p>
        </w:tc>
        <w:tc>
          <w:tcPr>
            <w:tcW w:w="1021"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3"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74,000,000.0</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495,050.00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73,504,950.00</w:t>
            </w:r>
          </w:p>
        </w:tc>
      </w:tr>
      <w:tr>
        <w:trPr>
          <w:trHeight w:val="161" w:hRule="exact"/>
        </w:trPr>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1" w:type="dxa"/>
            <w:vMerge w:val="restart"/>
            <w:tcBorders>
              <w:top w:val="single" w:sz="4" w:space="0" w:color="000000"/>
              <w:left w:val="single" w:sz="9" w:space="0" w:color="D2D2D2"/>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74,000,000.0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1058" w:type="dxa"/>
            <w:vMerge w:val="restart"/>
            <w:tcBorders>
              <w:top w:val="single" w:sz="4" w:space="0" w:color="000000"/>
              <w:left w:val="single" w:sz="4" w:space="0" w:color="000000"/>
              <w:right w:val="single" w:sz="4" w:space="0" w:color="000000"/>
            </w:tcBorders>
          </w:tcPr>
          <w:p>
            <w:pPr/>
          </w:p>
        </w:tc>
        <w:tc>
          <w:tcPr>
            <w:tcW w:w="1193" w:type="dxa"/>
            <w:vMerge w:val="restart"/>
            <w:tcBorders>
              <w:top w:val="single" w:sz="4" w:space="0" w:color="000000"/>
              <w:left w:val="single" w:sz="4" w:space="0" w:color="000000"/>
              <w:right w:val="single" w:sz="4" w:space="0" w:color="000000"/>
            </w:tcBorders>
          </w:tcPr>
          <w:p>
            <w:pPr/>
          </w:p>
        </w:tc>
        <w:tc>
          <w:tcPr>
            <w:tcW w:w="925" w:type="dxa"/>
            <w:vMerge w:val="restart"/>
            <w:tcBorders>
              <w:top w:val="single" w:sz="4" w:space="0" w:color="000000"/>
              <w:left w:val="single" w:sz="4" w:space="0" w:color="000000"/>
              <w:right w:val="single" w:sz="4" w:space="0" w:color="000000"/>
            </w:tcBorders>
          </w:tcPr>
          <w:p>
            <w:pPr/>
          </w:p>
        </w:tc>
        <w:tc>
          <w:tcPr>
            <w:tcW w:w="1207" w:type="dxa"/>
            <w:vMerge w:val="restart"/>
            <w:tcBorders>
              <w:top w:val="single" w:sz="4" w:space="0" w:color="000000"/>
              <w:left w:val="single" w:sz="4" w:space="0" w:color="000000"/>
              <w:right w:val="single" w:sz="4" w:space="0" w:color="000000"/>
            </w:tcBorders>
          </w:tcPr>
          <w:p>
            <w:pP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495,050.00</w:t>
            </w:r>
          </w:p>
        </w:tc>
        <w:tc>
          <w:tcPr>
            <w:tcW w:w="920"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73,504,950.00</w:t>
            </w:r>
          </w:p>
        </w:tc>
      </w:tr>
      <w:tr>
        <w:trPr>
          <w:trHeight w:val="394" w:hRule="exact"/>
        </w:trPr>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21" w:type="dxa"/>
            <w:vMerge/>
            <w:tcBorders>
              <w:left w:val="single" w:sz="9" w:space="0" w:color="D2D2D2"/>
              <w:right w:val="single" w:sz="4" w:space="0" w:color="000000"/>
            </w:tcBorders>
          </w:tcPr>
          <w:p>
            <w:pPr/>
          </w:p>
        </w:tc>
        <w:tc>
          <w:tcPr>
            <w:tcW w:w="1058"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161" w:hRule="exact"/>
        </w:trPr>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1" w:type="dxa"/>
            <w:vMerge/>
            <w:tcBorders>
              <w:left w:val="single" w:sz="9" w:space="0" w:color="D2D2D2"/>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r>
        <w:trPr>
          <w:trHeight w:val="401"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58" w:right="0"/>
              <w:jc w:val="left"/>
              <w:rPr>
                <w:rFonts w:ascii="Times New Roman" w:hAnsi="Times New Roman" w:cs="Times New Roman" w:eastAsia="Times New Roman" w:hint="default"/>
                <w:sz w:val="18"/>
                <w:szCs w:val="18"/>
              </w:rPr>
            </w:pPr>
            <w:r>
              <w:rPr>
                <w:rFonts w:ascii="Times New Roman"/>
                <w:sz w:val="18"/>
              </w:rPr>
              <w:t>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r>
        <w:rPr/>
        <w:pict>
          <v:group style="position:absolute;margin-left:357.309998pt;margin-top:592.869995pt;width:31pt;height:74.95pt;mso-position-horizontal-relative:page;mso-position-vertical-relative:page;z-index:-1070440" coordorigin="7146,11857" coordsize="620,1499">
            <v:group style="position:absolute;left:7158;top:11869;width:2;height:394" coordorigin="7158,11869" coordsize="2,394">
              <v:shape style="position:absolute;left:7158;top:11869;width:2;height:394" coordorigin="7158,11869" coordsize="0,394" path="m7158,11869l7158,12263e" filled="false" stroked="true" strokeweight="1.2pt" strokecolor="#ffffff">
                <v:path arrowok="t"/>
              </v:shape>
            </v:group>
            <v:group style="position:absolute;left:7146;top:12263;width:620;height:1093" coordorigin="7146,12263" coordsize="620,1093">
              <v:shape style="position:absolute;left:7146;top:12263;width:620;height:1093" coordorigin="7146,12263" coordsize="620,1093" path="m7146,13356l7765,13356,7765,12263,7146,12263,7146,13356xe" filled="true" fillcolor="#ffffff" stroked="false">
                <v:path arrowok="t"/>
                <v:fill type="solid"/>
              </v:shape>
            </v:group>
            <v:group style="position:absolute;left:7170;top:11869;width:572;height:394" coordorigin="7170,11869" coordsize="572,394">
              <v:shape style="position:absolute;left:7170;top:11869;width:572;height:394" coordorigin="7170,11869" coordsize="572,394" path="m7170,12263l7741,12263,7741,11869,7170,11869,7170,12263xe" filled="true" fillcolor="#ffffff" stroked="false">
                <v:path arrowok="t"/>
                <v:fill type="solid"/>
              </v:shape>
            </v:group>
            <w10:wrap type="none"/>
          </v:group>
        </w:pict>
      </w:r>
    </w:p>
    <w:p>
      <w:pPr>
        <w:pStyle w:val="BodyText"/>
        <w:spacing w:line="360" w:lineRule="auto" w:before="44"/>
        <w:ind w:right="6794"/>
        <w:jc w:val="left"/>
      </w:pPr>
      <w:r>
        <w:rPr/>
        <w:t>其他变动的内容 报告期内公司主要资产计量属性是否发生重大变化</w:t>
      </w:r>
    </w:p>
    <w:p>
      <w:pPr>
        <w:pStyle w:val="BodyText"/>
        <w:spacing w:line="240" w:lineRule="auto" w:before="2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552"/>
        <w:gridCol w:w="2658"/>
        <w:gridCol w:w="2605"/>
      </w:tblGrid>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4,487,056.62</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7,328,245.00</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其他保证金</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5,350,690,874.56</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客户备付金</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5,362,506,176.18</w:t>
            </w:r>
          </w:p>
        </w:tc>
        <w:tc>
          <w:tcPr>
            <w:tcW w:w="260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33"/>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647,737,198.52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316,423,804.88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58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江苏千 米网络 科技股 份有限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为企业 提供分 </w:t>
            </w:r>
            <w:r>
              <w:rPr>
                <w:rFonts w:ascii="宋体" w:hAnsi="宋体" w:cs="宋体" w:eastAsia="宋体" w:hint="default"/>
                <w:spacing w:val="-22"/>
                <w:sz w:val="18"/>
                <w:szCs w:val="18"/>
              </w:rPr>
              <w:t>销云、门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店电商 </w:t>
            </w:r>
            <w:r>
              <w:rPr>
                <w:rFonts w:ascii="宋体" w:hAnsi="宋体" w:cs="宋体" w:eastAsia="宋体" w:hint="default"/>
                <w:spacing w:val="-22"/>
                <w:sz w:val="18"/>
                <w:szCs w:val="18"/>
              </w:rPr>
              <w:t>云、新零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售云等 </w:t>
            </w:r>
            <w:r>
              <w:rPr>
                <w:rFonts w:ascii="Times New Roman" w:hAnsi="Times New Roman" w:cs="Times New Roman" w:eastAsia="Times New Roman" w:hint="default"/>
                <w:sz w:val="18"/>
                <w:szCs w:val="18"/>
              </w:rPr>
              <w:t>SaaS </w:t>
            </w:r>
            <w:r>
              <w:rPr>
                <w:rFonts w:ascii="宋体" w:hAnsi="宋体" w:cs="宋体" w:eastAsia="宋体" w:hint="default"/>
                <w:sz w:val="18"/>
                <w:szCs w:val="18"/>
              </w:rPr>
              <w:t>服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32.79%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石正川</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23"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模 </w:t>
            </w:r>
            <w:r>
              <w:rPr>
                <w:rFonts w:ascii="Times New Roman" w:hAnsi="Times New Roman" w:cs="Times New Roman" w:eastAsia="Times New Roman" w:hint="default"/>
                <w:sz w:val="18"/>
                <w:szCs w:val="18"/>
              </w:rPr>
              <w:t>SCRM</w:t>
            </w:r>
          </w:p>
          <w:p>
            <w:pPr>
              <w:pStyle w:val="TableParagraph"/>
              <w:spacing w:line="300" w:lineRule="auto" w:before="40"/>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B2B  </w:t>
            </w:r>
            <w:r>
              <w:rPr>
                <w:rFonts w:ascii="宋体" w:hAnsi="宋体" w:cs="宋体" w:eastAsia="宋体" w:hint="default"/>
                <w:sz w:val="18"/>
                <w:szCs w:val="18"/>
              </w:rPr>
              <w:t>等</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160" w:lineRule="exact"/>
              <w:ind w:left="28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189"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164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北京大 树保险 经纪有 限责任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保险经 纪业务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拉卡拉 网络技 术有限 公司</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保险经 纪业务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227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北京考 拉鲲鹏 科技成 长基金 合伙企 </w:t>
            </w:r>
            <w:r>
              <w:rPr>
                <w:rFonts w:ascii="宋体" w:hAnsi="宋体" w:cs="宋体" w:eastAsia="宋体" w:hint="default"/>
                <w:spacing w:val="-21"/>
                <w:sz w:val="18"/>
                <w:szCs w:val="18"/>
              </w:rPr>
              <w:t>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1"/>
              <w:jc w:val="left"/>
              <w:rPr>
                <w:rFonts w:ascii="宋体" w:hAnsi="宋体" w:cs="宋体" w:eastAsia="宋体" w:hint="default"/>
                <w:sz w:val="18"/>
                <w:szCs w:val="18"/>
              </w:rPr>
            </w:pPr>
            <w:r>
              <w:rPr>
                <w:rFonts w:ascii="宋体" w:hAnsi="宋体" w:cs="宋体" w:eastAsia="宋体" w:hint="default"/>
                <w:sz w:val="18"/>
                <w:szCs w:val="18"/>
              </w:rPr>
              <w:t>非证券 业务的 </w:t>
            </w:r>
            <w:r>
              <w:rPr>
                <w:rFonts w:ascii="宋体" w:hAnsi="宋体" w:cs="宋体" w:eastAsia="宋体" w:hint="default"/>
                <w:spacing w:val="-22"/>
                <w:sz w:val="18"/>
                <w:szCs w:val="18"/>
              </w:rPr>
              <w:t>投资、投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资管理 咨询</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53.76%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中关村 科技园 区海淀 园创业 服务中 心</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非证券 业务的 投资、 投资管 理、咨 询</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-113,311.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282,000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-127,643</w:t>
            </w:r>
          </w:p>
          <w:p>
            <w:pPr>
              <w:pStyle w:val="TableParagraph"/>
              <w:spacing w:line="240" w:lineRule="auto" w:before="102"/>
              <w:ind w:left="482" w:right="0"/>
              <w:jc w:val="left"/>
              <w:rPr>
                <w:rFonts w:ascii="Times New Roman" w:hAnsi="Times New Roman" w:cs="Times New Roman" w:eastAsia="Times New Roman" w:hint="default"/>
                <w:sz w:val="18"/>
                <w:szCs w:val="18"/>
              </w:rPr>
            </w:pPr>
            <w:r>
              <w:rPr>
                <w:rFonts w:ascii="Times New Roman"/>
                <w:sz w:val="18"/>
              </w:rPr>
              <w:t>.47</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pict>
          <v:group style="position:absolute;margin-left:126.379997pt;margin-top:-95.616325pt;width:32.5500pt;height:46.8pt;mso-position-horizontal-relative:page;mso-position-vertical-relative:paragraph;z-index:-1070416" coordorigin="2528,-1912" coordsize="651,936">
            <v:shape style="position:absolute;left:2528;top:-1912;width:651;height:936" coordorigin="2528,-1912" coordsize="651,936" path="m2528,-976l3178,-976,3178,-1912,2528,-1912,2528,-976xe" filled="true" fillcolor="#ffffff" stroked="false">
              <v:path arrowok="t"/>
              <v:fill type="solid"/>
            </v:shape>
            <w10:wrap type="none"/>
          </v:group>
        </w:pict>
      </w: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495,050.00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73,504,950.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495,050.00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73,504,950.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首次公开 发行股份 上市</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123,245.65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4,517.72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71,522.02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53,210.67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123,245.65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4,517.72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71,522.02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53,210.67</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93.024002pt;margin-top:697.656006pt;width:442.05pt;height:46.8pt;mso-position-horizontal-relative:page;mso-position-vertical-relative:page;z-index:-1070392" coordorigin="1860,13953" coordsize="8841,936">
            <v:shape style="position:absolute;left:1860;top:13953;width:8841;height:936" coordorigin="1860,13953" coordsize="8841,936" path="m1860,14889l10701,14889,10701,13953,1860,13953,1860,14889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9566"/>
      </w:tblGrid>
      <w:tr>
        <w:trPr>
          <w:trHeight w:val="401" w:hRule="exact"/>
        </w:trPr>
        <w:tc>
          <w:tcPr>
            <w:tcW w:w="9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99" w:hRule="exact"/>
        </w:trPr>
        <w:tc>
          <w:tcPr>
            <w:tcW w:w="95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7"/>
              <w:jc w:val="both"/>
              <w:rPr>
                <w:rFonts w:ascii="宋体" w:hAnsi="宋体" w:cs="宋体" w:eastAsia="宋体" w:hint="default"/>
                <w:sz w:val="18"/>
                <w:szCs w:val="18"/>
              </w:rPr>
            </w:pPr>
            <w:r>
              <w:rPr>
                <w:rFonts w:ascii="宋体" w:hAnsi="宋体" w:cs="宋体" w:eastAsia="宋体" w:hint="default"/>
                <w:sz w:val="18"/>
                <w:szCs w:val="18"/>
              </w:rPr>
              <w:t>①实际募集资金金额、资金到位时间经中国证券监督管理委员会</w:t>
            </w:r>
            <w:r>
              <w:rPr>
                <w:rFonts w:ascii="宋体" w:hAnsi="宋体" w:cs="宋体" w:eastAsia="宋体" w:hint="default"/>
                <w:spacing w:val="1"/>
                <w:sz w:val="18"/>
                <w:szCs w:val="18"/>
              </w:rPr>
              <w:t> </w:t>
            </w:r>
            <w:r>
              <w:rPr>
                <w:rFonts w:ascii="宋体" w:hAnsi="宋体" w:cs="宋体" w:eastAsia="宋体" w:hint="default"/>
                <w:sz w:val="18"/>
                <w:szCs w:val="18"/>
              </w:rPr>
              <w:t>《关于核准拉卡拉支付股份有限公司首次公开发行股票</w:t>
            </w:r>
            <w:r>
              <w:rPr>
                <w:rFonts w:ascii="宋体" w:hAnsi="宋体" w:cs="宋体" w:eastAsia="宋体" w:hint="default"/>
                <w:sz w:val="18"/>
                <w:szCs w:val="18"/>
              </w:rPr>
              <w:t> </w:t>
            </w:r>
            <w:r>
              <w:rPr>
                <w:rFonts w:ascii="宋体" w:hAnsi="宋体" w:cs="宋体" w:eastAsia="宋体" w:hint="default"/>
                <w:spacing w:val="-6"/>
                <w:sz w:val="18"/>
                <w:szCs w:val="18"/>
              </w:rPr>
              <w:t>的批复》（证监许可</w:t>
            </w:r>
            <w:r>
              <w:rPr>
                <w:rFonts w:ascii="Times New Roman" w:hAnsi="Times New Roman" w:cs="Times New Roman" w:eastAsia="Times New Roman" w:hint="default"/>
                <w:spacing w:val="-6"/>
                <w:sz w:val="18"/>
                <w:szCs w:val="18"/>
              </w:rPr>
              <w:t>[2019]646</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号）核准，本公司采用网下向投资者询价配售和网上资金申购发行相结合的方式，向社会公</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开发行人民币普通股股票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40,010,000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股，每股发行价格为人民币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33.28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元，共募集资金人民币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1,331,532,800.00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元，扣除承</w:t>
            </w:r>
          </w:p>
          <w:p>
            <w:pPr>
              <w:pStyle w:val="TableParagraph"/>
              <w:spacing w:line="240" w:lineRule="auto" w:before="7"/>
              <w:ind w:left="24" w:right="0"/>
              <w:jc w:val="both"/>
              <w:rPr>
                <w:rFonts w:ascii="宋体" w:hAnsi="宋体" w:cs="宋体" w:eastAsia="宋体" w:hint="default"/>
                <w:sz w:val="18"/>
                <w:szCs w:val="18"/>
              </w:rPr>
            </w:pPr>
            <w:r>
              <w:rPr>
                <w:rFonts w:ascii="宋体" w:hAnsi="宋体" w:cs="宋体" w:eastAsia="宋体" w:hint="default"/>
                <w:sz w:val="18"/>
                <w:szCs w:val="18"/>
              </w:rPr>
              <w:t>销及保荐费用人民币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75,471,698.11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元（不含增值税）后的募集资金为人民币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1,256,061,101.89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元，已由中信建投证券股份</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日转入公司北京银行股份有限公司互联网金融中心支行募集资金专户，银行账号为</w:t>
            </w:r>
          </w:p>
          <w:p>
            <w:pPr>
              <w:pStyle w:val="TableParagraph"/>
              <w:spacing w:line="300" w:lineRule="auto" w:before="63"/>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20000012539100028314447</w:t>
            </w:r>
            <w:r>
              <w:rPr>
                <w:rFonts w:ascii="宋体" w:hAnsi="宋体" w:cs="宋体" w:eastAsia="宋体" w:hint="default"/>
                <w:sz w:val="18"/>
                <w:szCs w:val="18"/>
              </w:rPr>
              <w:t>。扣除各项发行费用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23,604,564.14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元后的实际募集股款净额为人民币</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1,232,456,537.75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 经立信会计师事务所（特殊普通合伙）验证，出具信会师报字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ZB10836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号验资报告。②募集资金使用及结余情况 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日，募集资金投资项目投入金额合计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71,522.02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日募集资金专户余额为</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53,210.67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19"/>
        <w:gridCol w:w="728"/>
        <w:gridCol w:w="898"/>
        <w:gridCol w:w="896"/>
        <w:gridCol w:w="727"/>
        <w:gridCol w:w="898"/>
        <w:gridCol w:w="898"/>
        <w:gridCol w:w="727"/>
        <w:gridCol w:w="727"/>
        <w:gridCol w:w="899"/>
        <w:gridCol w:w="727"/>
        <w:gridCol w:w="727"/>
      </w:tblGrid>
      <w:tr>
        <w:trPr>
          <w:trHeight w:val="1651" w:hRule="exact"/>
        </w:trPr>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1"/>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1"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4"/>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40" w:hRule="exact"/>
        </w:trPr>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3"/>
              <w:jc w:val="both"/>
              <w:rPr>
                <w:rFonts w:ascii="宋体" w:hAnsi="宋体" w:cs="宋体" w:eastAsia="宋体" w:hint="default"/>
                <w:sz w:val="18"/>
                <w:szCs w:val="18"/>
              </w:rPr>
            </w:pPr>
            <w:r>
              <w:rPr>
                <w:rFonts w:ascii="宋体" w:hAnsi="宋体" w:cs="宋体" w:eastAsia="宋体" w:hint="default"/>
                <w:sz w:val="18"/>
                <w:szCs w:val="18"/>
              </w:rPr>
              <w:t>第三方 支付产 业升级 项目</w:t>
            </w:r>
          </w:p>
        </w:tc>
        <w:tc>
          <w:tcPr>
            <w:tcW w:w="72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123,245.65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123,245.65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4,517.72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71,522.02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58.03%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35,725.8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7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43"/>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8" w:type="dxa"/>
            <w:tcBorders>
              <w:top w:val="single" w:sz="4" w:space="0" w:color="000000"/>
              <w:left w:val="single" w:sz="4" w:space="0" w:color="000000"/>
              <w:bottom w:val="nil" w:sz="6" w:space="0" w:color="auto"/>
              <w:right w:val="single" w:sz="4" w:space="0" w:color="FFFFFF"/>
            </w:tcBorders>
            <w:shd w:val="clear" w:color="auto" w:fill="D2D2D2"/>
          </w:tcPr>
          <w:p>
            <w:pPr/>
          </w:p>
        </w:tc>
        <w:tc>
          <w:tcPr>
            <w:tcW w:w="898" w:type="dxa"/>
            <w:vMerge w:val="restart"/>
            <w:tcBorders>
              <w:top w:val="single" w:sz="4" w:space="0" w:color="000000"/>
              <w:left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123,245.65</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123,245.65</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4,517.72</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71,522.02</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13,771.1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99"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35,725.8</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19" w:type="dxa"/>
            <w:vMerge/>
            <w:tcBorders>
              <w:left w:val="single" w:sz="4" w:space="0" w:color="000000"/>
              <w:right w:val="single" w:sz="4" w:space="0" w:color="000000"/>
            </w:tcBorders>
            <w:shd w:val="clear" w:color="auto" w:fill="D2D2D2"/>
          </w:tcPr>
          <w:p>
            <w:pPr/>
          </w:p>
        </w:tc>
        <w:tc>
          <w:tcPr>
            <w:tcW w:w="728"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4" w:space="0" w:color="FFFFFF"/>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10" w:space="0" w:color="D2D2D2"/>
              <w:right w:val="single" w:sz="4" w:space="0" w:color="000000"/>
            </w:tcBorders>
          </w:tcPr>
          <w:p>
            <w:pPr/>
          </w:p>
        </w:tc>
        <w:tc>
          <w:tcPr>
            <w:tcW w:w="899"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719" w:type="dxa"/>
            <w:vMerge/>
            <w:tcBorders>
              <w:left w:val="single" w:sz="4" w:space="0" w:color="000000"/>
              <w:bottom w:val="single" w:sz="4" w:space="0" w:color="000000"/>
              <w:right w:val="single" w:sz="4" w:space="0" w:color="000000"/>
            </w:tcBorders>
            <w:shd w:val="clear" w:color="auto" w:fill="D2D2D2"/>
          </w:tcPr>
          <w:p>
            <w:pPr/>
          </w:p>
        </w:tc>
        <w:tc>
          <w:tcPr>
            <w:tcW w:w="728" w:type="dxa"/>
            <w:tcBorders>
              <w:top w:val="nil" w:sz="6" w:space="0" w:color="auto"/>
              <w:left w:val="single" w:sz="4" w:space="0" w:color="000000"/>
              <w:bottom w:val="single" w:sz="4" w:space="0" w:color="000000"/>
              <w:right w:val="single" w:sz="4" w:space="0" w:color="FFFFFF"/>
            </w:tcBorders>
            <w:shd w:val="clear" w:color="auto" w:fill="D2D2D2"/>
          </w:tcPr>
          <w:p>
            <w:pPr/>
          </w:p>
        </w:tc>
        <w:tc>
          <w:tcPr>
            <w:tcW w:w="898" w:type="dxa"/>
            <w:vMerge/>
            <w:tcBorders>
              <w:left w:val="single" w:sz="4" w:space="0" w:color="FFFFFF"/>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123,245.65</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123,245.65</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4,517.72</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71,522.02</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35,725.8</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tcPr>
          <w:p>
            <w:pPr/>
          </w:p>
        </w:tc>
        <w:tc>
          <w:tcPr>
            <w:tcW w:w="899"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2585" w:hRule="exact"/>
        </w:trPr>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3"/>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9"/>
              <w:ind w:left="24" w:right="-35"/>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52"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97" w:lineRule="auto"/>
              <w:ind w:left="16" w:right="8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）第三方支付产业升级项目因募集资金到位晚于预期，投资项目进度不及预期；（</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）公司本年度实现的效益</w:t>
            </w:r>
            <w:r>
              <w:rPr>
                <w:rFonts w:ascii="宋体" w:hAnsi="宋体" w:cs="宋体" w:eastAsia="宋体" w:hint="default"/>
                <w:spacing w:val="-80"/>
                <w:sz w:val="18"/>
                <w:szCs w:val="18"/>
              </w:rPr>
              <w:t> </w:t>
            </w:r>
            <w:r>
              <w:rPr>
                <w:rFonts w:ascii="宋体" w:hAnsi="宋体" w:cs="宋体" w:eastAsia="宋体" w:hint="default"/>
                <w:sz w:val="18"/>
                <w:szCs w:val="18"/>
              </w:rPr>
              <w:t>未达到预计效益，主要系智能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终端尚在投放期。</w:t>
            </w:r>
          </w:p>
        </w:tc>
      </w:tr>
    </w:tbl>
    <w:p>
      <w:pPr>
        <w:spacing w:after="0" w:line="29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1961"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157"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160" w:hRule="exact"/>
        </w:trPr>
        <w:tc>
          <w:tcPr>
            <w:tcW w:w="722" w:type="dxa"/>
            <w:vMerge/>
            <w:tcBorders>
              <w:left w:val="single" w:sz="4" w:space="0" w:color="000000"/>
              <w:bottom w:val="single" w:sz="4" w:space="0" w:color="FFFFFF"/>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72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募集资金项目在募集资金实际到位之前公司已用自筹资金预先投入，截至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日止，本公司以自筹资</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金预先投入募集资金投资项目的实际投资额为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67,004.30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万元，已用自筹资金支付的发行费用为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1,699.84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24" w:right="18"/>
              <w:jc w:val="both"/>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68,704.14 </w:t>
            </w:r>
            <w:r>
              <w:rPr>
                <w:rFonts w:ascii="宋体" w:hAnsi="宋体" w:cs="宋体" w:eastAsia="宋体" w:hint="default"/>
                <w:sz w:val="18"/>
                <w:szCs w:val="18"/>
              </w:rPr>
              <w:t>万元，已经立信会计师事务所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特殊普通合伙）专项审核，并出具《关于拉卡拉支付股份有限公司 以募集资金置换预先投入募集资金项目及已支付发行费用的自筹资金的鉴证报告》</w:t>
            </w:r>
            <w:r>
              <w:rPr>
                <w:rFonts w:ascii="Times New Roman" w:hAnsi="Times New Roman" w:cs="Times New Roman" w:eastAsia="Times New Roman" w:hint="default"/>
                <w:sz w:val="18"/>
                <w:szCs w:val="18"/>
              </w:rPr>
              <w:t>(</w:t>
            </w: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ZB11801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日对该项支出进行置换。</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146"/>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164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4" w:right="8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日，本公司尚未使用的募集资金均存放于现有募集资金专户中，公司尚未使用募集资金进 行现金管理。</w:t>
            </w:r>
          </w:p>
        </w:tc>
      </w:tr>
      <w:tr>
        <w:trPr>
          <w:trHeight w:val="2276"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33"/>
        <w:jc w:val="left"/>
      </w:pPr>
      <w:r>
        <w:rPr/>
        <w:t>（一）</w:t>
      </w:r>
      <w:r>
        <w:rPr>
          <w:rFonts w:ascii="Times New Roman" w:hAnsi="Times New Roman" w:cs="Times New Roman" w:eastAsia="Times New Roman" w:hint="default"/>
        </w:rPr>
        <w:t>2020</w:t>
      </w:r>
      <w:r>
        <w:rPr/>
        <w:t>年公司发展战略与经营计划</w:t>
      </w:r>
    </w:p>
    <w:p>
      <w:pPr>
        <w:pStyle w:val="BodyText"/>
        <w:spacing w:line="300" w:lineRule="auto" w:before="63"/>
        <w:ind w:right="1037" w:firstLine="432"/>
        <w:jc w:val="left"/>
      </w:pPr>
      <w:r>
        <w:rPr>
          <w:rFonts w:ascii="Times New Roman" w:hAnsi="Times New Roman" w:cs="Times New Roman" w:eastAsia="Times New Roman" w:hint="default"/>
          <w:spacing w:val="-1"/>
        </w:rPr>
        <w:t>2020</w:t>
      </w:r>
      <w:r>
        <w:rPr>
          <w:spacing w:val="-1"/>
        </w:rPr>
        <w:t>年公司将继续贯彻</w:t>
      </w:r>
      <w:r>
        <w:rPr>
          <w:rFonts w:ascii="Times New Roman" w:hAnsi="Times New Roman" w:cs="Times New Roman" w:eastAsia="Times New Roman" w:hint="default"/>
          <w:spacing w:val="-1"/>
        </w:rPr>
        <w:t>“</w:t>
      </w:r>
      <w:r>
        <w:rPr>
          <w:spacing w:val="-1"/>
        </w:rPr>
        <w:t>以支付为切入，整合信息科技，服务线下实体，全维度为中小微商户的经营赋能</w:t>
      </w:r>
      <w:r>
        <w:rPr>
          <w:rFonts w:ascii="Times New Roman" w:hAnsi="Times New Roman" w:cs="Times New Roman" w:eastAsia="Times New Roman" w:hint="default"/>
          <w:spacing w:val="-1"/>
        </w:rPr>
        <w:t>”</w:t>
      </w:r>
      <w:r>
        <w:rPr>
          <w:spacing w:val="-1"/>
        </w:rPr>
        <w:t>的既定战略，</w:t>
      </w:r>
      <w:r>
        <w:rPr/>
        <w:t> 充分发挥</w:t>
      </w:r>
      <w:r>
        <w:rPr>
          <w:rFonts w:ascii="Times New Roman" w:hAnsi="Times New Roman" w:cs="Times New Roman" w:eastAsia="Times New Roman" w:hint="default"/>
        </w:rPr>
        <w:t>“</w:t>
      </w:r>
      <w:r>
        <w:rPr/>
        <w:t>支付、金融、电商、信息</w:t>
      </w:r>
      <w:r>
        <w:rPr>
          <w:rFonts w:ascii="Times New Roman" w:hAnsi="Times New Roman" w:cs="Times New Roman" w:eastAsia="Times New Roman" w:hint="default"/>
        </w:rPr>
        <w:t>”</w:t>
      </w:r>
      <w:r>
        <w:rPr/>
        <w:t>四大科技板块的协同作用，解决中小微商户经营痛点，克服疫情影响，继续扩大公司市 场份额，实现公司业绩增长目标。</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0"/>
        <w:jc w:val="left"/>
      </w:pPr>
      <w:r>
        <w:rPr>
          <w:rFonts w:ascii="Times New Roman" w:hAnsi="Times New Roman" w:cs="Times New Roman" w:eastAsia="Times New Roman" w:hint="default"/>
        </w:rPr>
        <w:t>1</w:t>
      </w:r>
      <w:r>
        <w:rPr/>
        <w:t>、扩大支付市场份额 </w:t>
      </w:r>
      <w:r>
        <w:rPr>
          <w:spacing w:val="-2"/>
        </w:rPr>
        <w:t>加强与中国银联、网联、商业银行以及支付宝、微信等账户机构的合作关系，深入发挥公司作为四大国际卡组织成员机</w:t>
      </w:r>
    </w:p>
    <w:p>
      <w:pPr>
        <w:pStyle w:val="BodyText"/>
        <w:spacing w:line="304" w:lineRule="auto" w:before="31"/>
        <w:ind w:right="1129"/>
        <w:jc w:val="both"/>
      </w:pPr>
      <w:r>
        <w:rPr>
          <w:spacing w:val="-2"/>
        </w:rPr>
        <w:t>构的优势，积极整合市场上合规经营的第四方机构、收单服务机构等机构，共同建设银行卡及扫码受理市场。加快推广云小</w:t>
      </w:r>
      <w:r>
        <w:rPr>
          <w:spacing w:val="-65"/>
        </w:rPr>
        <w:t> </w:t>
      </w:r>
      <w:r>
        <w:rPr>
          <w:spacing w:val="-65"/>
        </w:rPr>
      </w:r>
      <w:r>
        <w:rPr>
          <w:spacing w:val="-3"/>
        </w:rPr>
        <w:t>店业务，为商户线上线下经营一体化提供支撑，丰富公司支付产品体系和收入多样化。持续推进支付产品创新，完善手机</w:t>
      </w:r>
      <w:r>
        <w:rPr>
          <w:rFonts w:ascii="Times New Roman" w:hAnsi="Times New Roman" w:cs="Times New Roman" w:eastAsia="Times New Roman" w:hint="default"/>
          <w:spacing w:val="-3"/>
        </w:rPr>
        <w:t>pos</w:t>
      </w:r>
      <w:r>
        <w:rPr>
          <w:rFonts w:ascii="Times New Roman" w:hAnsi="Times New Roman" w:cs="Times New Roman" w:eastAsia="Times New Roman" w:hint="default"/>
          <w:spacing w:val="-29"/>
        </w:rPr>
        <w:t> </w:t>
      </w:r>
      <w:r>
        <w:rPr>
          <w:spacing w:val="-1"/>
        </w:rPr>
        <w:t>业务体系建设，积极推广与华为、银联合作的手机</w:t>
      </w:r>
      <w:r>
        <w:rPr>
          <w:rFonts w:ascii="Times New Roman" w:hAnsi="Times New Roman" w:cs="Times New Roman" w:eastAsia="Times New Roman" w:hint="default"/>
          <w:spacing w:val="-1"/>
        </w:rPr>
        <w:t>POS</w:t>
      </w:r>
      <w:r>
        <w:rPr>
          <w:spacing w:val="-1"/>
        </w:rPr>
        <w:t>产品，发挥手机</w:t>
      </w:r>
      <w:r>
        <w:rPr>
          <w:rFonts w:ascii="Times New Roman" w:hAnsi="Times New Roman" w:cs="Times New Roman" w:eastAsia="Times New Roman" w:hint="default"/>
          <w:spacing w:val="-1"/>
        </w:rPr>
        <w:t>POS</w:t>
      </w:r>
      <w:r>
        <w:rPr>
          <w:spacing w:val="-1"/>
        </w:rPr>
        <w:t>成本低、易携带、功能拓展性强等优点，快速提</w:t>
      </w:r>
      <w:r>
        <w:rPr>
          <w:spacing w:val="-59"/>
        </w:rPr>
        <w:t> </w:t>
      </w:r>
      <w:r>
        <w:rPr>
          <w:spacing w:val="-59"/>
        </w:rPr>
      </w:r>
      <w:r>
        <w:rPr/>
        <w:t>升公司商户规模，完善公司面向</w:t>
      </w:r>
      <w:r>
        <w:rPr>
          <w:rFonts w:ascii="Times New Roman" w:hAnsi="Times New Roman" w:cs="Times New Roman" w:eastAsia="Times New Roman" w:hint="default"/>
        </w:rPr>
        <w:t>C</w:t>
      </w:r>
      <w:r>
        <w:rPr/>
        <w:t>端消费者的增值服务体系，进一步构建公司商户服务生态。深入推广电签</w:t>
      </w:r>
      <w:r>
        <w:rPr>
          <w:rFonts w:ascii="Times New Roman" w:hAnsi="Times New Roman" w:cs="Times New Roman" w:eastAsia="Times New Roman" w:hint="default"/>
        </w:rPr>
        <w:t>POS</w:t>
      </w:r>
      <w:r>
        <w:rPr/>
        <w:t>，保持和扩</w:t>
      </w:r>
      <w:r>
        <w:rPr>
          <w:spacing w:val="-85"/>
        </w:rPr>
        <w:t> </w:t>
      </w:r>
      <w:r>
        <w:rPr>
          <w:spacing w:val="-85"/>
        </w:rPr>
      </w:r>
      <w:r>
        <w:rPr>
          <w:spacing w:val="-2"/>
        </w:rPr>
        <w:t>大市场领先优势，降低商户终端成本，提升客户支付体验。全面推广</w:t>
      </w:r>
      <w:r>
        <w:rPr>
          <w:rFonts w:ascii="Times New Roman" w:hAnsi="Times New Roman" w:cs="Times New Roman" w:eastAsia="Times New Roman" w:hint="default"/>
          <w:spacing w:val="-2"/>
        </w:rPr>
        <w:t>SaaS</w:t>
      </w:r>
      <w:r>
        <w:rPr>
          <w:spacing w:val="-2"/>
        </w:rPr>
        <w:t>云收单系统，优化刷脸、扫码等业务体验，扩大扫</w:t>
      </w:r>
      <w:r>
        <w:rPr>
          <w:spacing w:val="-66"/>
        </w:rPr>
        <w:t> </w:t>
      </w:r>
      <w:r>
        <w:rPr>
          <w:spacing w:val="-66"/>
        </w:rPr>
      </w:r>
      <w:r>
        <w:rPr/>
        <w:t>码受理市场份额。</w:t>
      </w:r>
    </w:p>
    <w:p>
      <w:pPr>
        <w:pStyle w:val="BodyText"/>
        <w:spacing w:line="300" w:lineRule="auto" w:before="28"/>
        <w:ind w:left="513" w:right="1133"/>
        <w:jc w:val="left"/>
      </w:pPr>
      <w:r>
        <w:rPr>
          <w:rFonts w:ascii="Times New Roman" w:hAnsi="Times New Roman" w:cs="Times New Roman" w:eastAsia="Times New Roman" w:hint="default"/>
        </w:rPr>
        <w:t>2</w:t>
      </w:r>
      <w:r>
        <w:rPr/>
        <w:t>、融合四大科技业务 大力推进战略</w:t>
      </w:r>
      <w:r>
        <w:rPr>
          <w:rFonts w:ascii="Times New Roman" w:hAnsi="Times New Roman" w:cs="Times New Roman" w:eastAsia="Times New Roman" w:hint="default"/>
        </w:rPr>
        <w:t>4.0</w:t>
      </w:r>
      <w:r>
        <w:rPr/>
        <w:t>落地实施，内生与外延式发展并举，协同</w:t>
      </w:r>
      <w:r>
        <w:rPr>
          <w:rFonts w:ascii="Times New Roman" w:hAnsi="Times New Roman" w:cs="Times New Roman" w:eastAsia="Times New Roman" w:hint="default"/>
        </w:rPr>
        <w:t>“</w:t>
      </w:r>
      <w:r>
        <w:rPr/>
        <w:t>支付、金融、电商、信息</w:t>
      </w:r>
      <w:r>
        <w:rPr>
          <w:rFonts w:ascii="Times New Roman" w:hAnsi="Times New Roman" w:cs="Times New Roman" w:eastAsia="Times New Roman" w:hint="default"/>
        </w:rPr>
        <w:t>”</w:t>
      </w:r>
      <w:r>
        <w:rPr/>
        <w:t>四大科技板块，提升对中小微商</w:t>
      </w:r>
    </w:p>
    <w:p>
      <w:pPr>
        <w:pStyle w:val="BodyText"/>
        <w:spacing w:line="309" w:lineRule="auto" w:before="13"/>
        <w:ind w:right="1130"/>
        <w:jc w:val="both"/>
      </w:pPr>
      <w:r>
        <w:rPr>
          <w:spacing w:val="-2"/>
        </w:rPr>
        <w:t>户的服务能力。一是继续推进线上平台建设，优化</w:t>
      </w:r>
      <w:r>
        <w:rPr>
          <w:rFonts w:ascii="Times New Roman" w:hAnsi="Times New Roman" w:cs="Times New Roman" w:eastAsia="Times New Roman" w:hint="default"/>
          <w:spacing w:val="-2"/>
        </w:rPr>
        <w:t>APP</w:t>
      </w:r>
      <w:r>
        <w:rPr>
          <w:spacing w:val="-2"/>
        </w:rPr>
        <w:t>、公众号、小程序等线上平台的产品体系和服务体验，加强金融、电</w:t>
      </w:r>
      <w:r>
        <w:rPr>
          <w:spacing w:val="-39"/>
        </w:rPr>
        <w:t> </w:t>
      </w:r>
      <w:r>
        <w:rPr>
          <w:spacing w:val="-39"/>
        </w:rPr>
      </w:r>
      <w:r>
        <w:rPr>
          <w:spacing w:val="-2"/>
        </w:rPr>
        <w:t>商、广告、会员等业务的线上运营，有效提升活跃用户和用户转化，创造流量增值。二是丰富公司云</w:t>
      </w:r>
      <w:r>
        <w:rPr>
          <w:rFonts w:ascii="Times New Roman" w:hAnsi="Times New Roman" w:cs="Times New Roman" w:eastAsia="Times New Roman" w:hint="default"/>
          <w:spacing w:val="-2"/>
        </w:rPr>
        <w:t>SaaS</w:t>
      </w:r>
      <w:r>
        <w:rPr>
          <w:spacing w:val="-2"/>
        </w:rPr>
        <w:t>产品矩阵，面向快</w:t>
      </w:r>
      <w:r>
        <w:rPr>
          <w:spacing w:val="-65"/>
        </w:rPr>
        <w:t> </w:t>
      </w:r>
      <w:r>
        <w:rPr>
          <w:spacing w:val="-65"/>
        </w:rPr>
      </w:r>
      <w:r>
        <w:rPr>
          <w:spacing w:val="-2"/>
        </w:rPr>
        <w:t>消品、母婴、水果、生鲜等行业，为商户提供支付、电商、金融、科技、信息等服务，帮助商户拥抱移动互联网、拥抱新零</w:t>
      </w:r>
      <w:r>
        <w:rPr>
          <w:spacing w:val="-69"/>
        </w:rPr>
        <w:t> </w:t>
      </w:r>
      <w:r>
        <w:rPr>
          <w:spacing w:val="-69"/>
        </w:rPr>
      </w:r>
      <w:r>
        <w:rPr>
          <w:spacing w:val="-2"/>
        </w:rPr>
        <w:t>售。三是依托先进的金融科技技术以及成熟的运营服务能力、风险监控能力，大力推进云收单业务，为商业银行及相关机构</w:t>
      </w:r>
      <w:r>
        <w:rPr>
          <w:spacing w:val="-64"/>
        </w:rPr>
        <w:t> </w:t>
      </w:r>
      <w:r>
        <w:rPr>
          <w:spacing w:val="-64"/>
        </w:rPr>
      </w:r>
      <w:r>
        <w:rPr/>
        <w:t>赋能。争取在三年内实现商户经营业务的利润贡献占比达到</w:t>
      </w:r>
      <w:r>
        <w:rPr>
          <w:rFonts w:ascii="Times New Roman" w:hAnsi="Times New Roman" w:cs="Times New Roman" w:eastAsia="Times New Roman" w:hint="default"/>
        </w:rPr>
        <w:t>50%</w:t>
      </w:r>
      <w:r>
        <w:rPr/>
        <w:t>。</w:t>
      </w:r>
    </w:p>
    <w:p>
      <w:pPr>
        <w:pStyle w:val="BodyText"/>
        <w:spacing w:line="300" w:lineRule="auto" w:before="5"/>
        <w:ind w:left="513" w:right="1133"/>
        <w:jc w:val="left"/>
      </w:pPr>
      <w:r>
        <w:rPr>
          <w:rFonts w:ascii="Times New Roman" w:hAnsi="Times New Roman" w:cs="Times New Roman" w:eastAsia="Times New Roman" w:hint="default"/>
        </w:rPr>
        <w:t>3</w:t>
      </w:r>
      <w:r>
        <w:rPr/>
        <w:t>、稳步发展海外业务 </w:t>
      </w:r>
      <w:r>
        <w:rPr>
          <w:spacing w:val="-2"/>
        </w:rPr>
        <w:t>积极布局海外业务，投资建立拉卡拉国际业务研发中心，以技术输出为基石，成立北美、英国、欧洲、日本等本地化业</w:t>
      </w:r>
    </w:p>
    <w:p>
      <w:pPr>
        <w:pStyle w:val="BodyText"/>
        <w:spacing w:line="300" w:lineRule="auto" w:before="31"/>
        <w:ind w:right="1134"/>
        <w:jc w:val="both"/>
      </w:pPr>
      <w:r>
        <w:rPr/>
        <w:t>务中心，积极申请当地支付牌照，并在未来的</w:t>
      </w:r>
      <w:r>
        <w:rPr>
          <w:rFonts w:ascii="Times New Roman" w:hAnsi="Times New Roman" w:cs="Times New Roman" w:eastAsia="Times New Roman" w:hint="default"/>
        </w:rPr>
        <w:t>3-5</w:t>
      </w:r>
      <w:r>
        <w:rPr/>
        <w:t>年内完成全球支付技术服务领域布局。根据各国不同的国情、不同的业务</w:t>
      </w:r>
      <w:r>
        <w:rPr>
          <w:spacing w:val="-57"/>
        </w:rPr>
        <w:t> </w:t>
      </w:r>
      <w:r>
        <w:rPr>
          <w:spacing w:val="-57"/>
        </w:rPr>
      </w:r>
      <w:r>
        <w:rPr/>
        <w:t>场景，积极向全球推广支付相关产品、解决方案以及系统开发能力，形成以技术为核心价值的可持续发展业务模式。</w:t>
      </w:r>
      <w:r>
        <w:rPr>
          <w:rFonts w:ascii="Times New Roman" w:hAnsi="Times New Roman" w:cs="Times New Roman" w:eastAsia="Times New Roman" w:hint="default"/>
        </w:rPr>
        <w:t>2020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年，拉卡拉全球付将进一步向线下深化。</w:t>
      </w:r>
    </w:p>
    <w:p>
      <w:pPr>
        <w:pStyle w:val="BodyText"/>
        <w:spacing w:line="300" w:lineRule="auto" w:before="31"/>
        <w:ind w:left="513" w:right="1133"/>
        <w:jc w:val="left"/>
      </w:pPr>
      <w:r>
        <w:rPr>
          <w:rFonts w:ascii="Times New Roman" w:hAnsi="Times New Roman" w:cs="Times New Roman" w:eastAsia="Times New Roman" w:hint="default"/>
        </w:rPr>
        <w:t>4</w:t>
      </w:r>
      <w:r>
        <w:rPr/>
        <w:t>、加强技术研发投入 </w:t>
      </w:r>
      <w:r>
        <w:rPr>
          <w:spacing w:val="-2"/>
        </w:rPr>
        <w:t>继续实施以</w:t>
      </w:r>
      <w:r>
        <w:rPr>
          <w:rFonts w:ascii="Times New Roman" w:hAnsi="Times New Roman" w:cs="Times New Roman" w:eastAsia="Times New Roman" w:hint="default"/>
          <w:spacing w:val="-2"/>
        </w:rPr>
        <w:t>“</w:t>
      </w:r>
      <w:r>
        <w:rPr>
          <w:spacing w:val="-2"/>
        </w:rPr>
        <w:t>云建设、数据赋能、新一代支付体系</w:t>
      </w:r>
      <w:r>
        <w:rPr>
          <w:rFonts w:ascii="Times New Roman" w:hAnsi="Times New Roman" w:cs="Times New Roman" w:eastAsia="Times New Roman" w:hint="default"/>
          <w:spacing w:val="-2"/>
        </w:rPr>
        <w:t>”</w:t>
      </w:r>
      <w:r>
        <w:rPr>
          <w:spacing w:val="-2"/>
        </w:rPr>
        <w:t>为重心的发展战略，加强大数据、区块链和人工智能等前沿技术的研</w:t>
      </w:r>
    </w:p>
    <w:p>
      <w:pPr>
        <w:pStyle w:val="BodyText"/>
        <w:spacing w:line="319" w:lineRule="auto" w:before="13"/>
        <w:ind w:right="1131"/>
        <w:jc w:val="both"/>
      </w:pPr>
      <w:r>
        <w:rPr>
          <w:spacing w:val="-2"/>
        </w:rPr>
        <w:t>究与应用，优化与拓展应用研发场景。全面重构新一代支付核心体系，打造以数据为核心的新型清结算体系、商户中心和业</w:t>
      </w:r>
      <w:r>
        <w:rPr>
          <w:spacing w:val="-65"/>
        </w:rPr>
        <w:t> </w:t>
      </w:r>
      <w:r>
        <w:rPr>
          <w:spacing w:val="-65"/>
        </w:rPr>
      </w:r>
      <w:r>
        <w:rPr>
          <w:spacing w:val="-2"/>
        </w:rPr>
        <w:t>务运营平台，整体运营向数据驱动转型升级，提升业务运营能力和水平；进一步完善支付移动化服务水平，为业务整体拓展</w:t>
      </w:r>
      <w:r>
        <w:rPr>
          <w:spacing w:val="-65"/>
        </w:rPr>
        <w:t> </w:t>
      </w:r>
      <w:r>
        <w:rPr>
          <w:spacing w:val="-65"/>
        </w:rPr>
      </w:r>
      <w:r>
        <w:rPr>
          <w:spacing w:val="-2"/>
        </w:rPr>
        <w:t>提供新型工具和手段，提高了支付便捷性和用户触达率，推动支付创新和产业融合。积极与外部机构开展合作，加强对大数</w:t>
      </w:r>
      <w:r>
        <w:rPr>
          <w:spacing w:val="-65"/>
        </w:rPr>
        <w:t> </w:t>
      </w:r>
      <w:r>
        <w:rPr>
          <w:spacing w:val="-65"/>
        </w:rPr>
      </w:r>
      <w:r>
        <w:rPr/>
        <w:t>据、区块链、人工智能等前沿技术的研究。</w:t>
      </w:r>
    </w:p>
    <w:p>
      <w:pPr>
        <w:pStyle w:val="BodyText"/>
        <w:spacing w:line="240" w:lineRule="auto" w:before="58"/>
        <w:ind w:right="0"/>
        <w:jc w:val="both"/>
      </w:pPr>
      <w:r>
        <w:rPr/>
        <w:t>（二）未来可能面临的风险</w:t>
      </w:r>
    </w:p>
    <w:p>
      <w:pPr>
        <w:pStyle w:val="BodyText"/>
        <w:spacing w:line="300" w:lineRule="auto" w:before="115"/>
        <w:ind w:left="513" w:right="0"/>
        <w:jc w:val="left"/>
      </w:pPr>
      <w:r>
        <w:rPr>
          <w:rFonts w:ascii="Times New Roman" w:hAnsi="Times New Roman" w:cs="Times New Roman" w:eastAsia="Times New Roman" w:hint="default"/>
        </w:rPr>
        <w:t>1</w:t>
      </w:r>
      <w:r>
        <w:rPr/>
        <w:t>、行业政策风险 </w:t>
      </w:r>
      <w:r>
        <w:rPr>
          <w:spacing w:val="-2"/>
        </w:rPr>
        <w:t>公司主营业务涉及第三方支付、跨境支付等多项业务资质，由于所处行业的特殊性和专业性，行业主管部门制定了较为</w:t>
      </w:r>
    </w:p>
    <w:p>
      <w:pPr>
        <w:pStyle w:val="BodyText"/>
        <w:spacing w:line="316" w:lineRule="auto" w:before="31"/>
        <w:ind w:right="1135"/>
        <w:jc w:val="both"/>
      </w:pPr>
      <w:r>
        <w:rPr>
          <w:spacing w:val="-2"/>
        </w:rPr>
        <w:t>严格的行业监管政策。报告期内，公司已经取得了相关业务资质证书、许可、批复等批准文件，未受到相关监管机构的重大</w:t>
      </w:r>
      <w:r>
        <w:rPr>
          <w:spacing w:val="-67"/>
        </w:rPr>
        <w:t> </w:t>
      </w:r>
      <w:r>
        <w:rPr>
          <w:spacing w:val="-67"/>
        </w:rPr>
      </w:r>
      <w:r>
        <w:rPr/>
        <w:t>处罚。随着业务发展以及监管政策变化，若公司无法取得相关业务经营资质，将对公司经营造成不利影响。</w:t>
      </w:r>
    </w:p>
    <w:p>
      <w:pPr>
        <w:pStyle w:val="BodyText"/>
        <w:spacing w:line="316" w:lineRule="auto" w:before="19"/>
        <w:ind w:right="1131" w:firstLine="360"/>
        <w:jc w:val="both"/>
      </w:pPr>
      <w:r>
        <w:rPr>
          <w:spacing w:val="-2"/>
        </w:rPr>
        <w:t>应对措施：公司构建了完整的风险控制流程，设立了由业务运营部、风险管理部及业务合规部构成的事前防范、事中监</w:t>
      </w:r>
      <w:r>
        <w:rPr/>
        <w:t> </w:t>
      </w:r>
      <w:r>
        <w:rPr>
          <w:spacing w:val="-2"/>
        </w:rPr>
        <w:t>控、事后监督的三道风险防线，确保公司业务合规有序开展。同时，公司定期对合规管理体系的有效性和充分性进行审计和</w:t>
      </w:r>
      <w:r>
        <w:rPr>
          <w:spacing w:val="-64"/>
        </w:rPr>
        <w:t> </w:t>
      </w:r>
      <w:r>
        <w:rPr>
          <w:spacing w:val="-64"/>
        </w:rPr>
      </w:r>
      <w:r>
        <w:rPr/>
        <w:t>评估，确保风险管理的三道防线充分发挥作用并能持续、有效满足监管要求。</w:t>
      </w:r>
    </w:p>
    <w:p>
      <w:pPr>
        <w:pStyle w:val="BodyText"/>
        <w:spacing w:line="300" w:lineRule="auto" w:before="19"/>
        <w:ind w:left="513" w:right="0"/>
        <w:jc w:val="left"/>
      </w:pPr>
      <w:r>
        <w:rPr>
          <w:rFonts w:ascii="Times New Roman" w:hAnsi="Times New Roman" w:cs="Times New Roman" w:eastAsia="Times New Roman" w:hint="default"/>
        </w:rPr>
        <w:t>2</w:t>
      </w:r>
      <w:r>
        <w:rPr/>
        <w:t>、市场竞争风险 </w:t>
      </w:r>
      <w:r>
        <w:rPr>
          <w:spacing w:val="-2"/>
        </w:rPr>
        <w:t>第三方支付行业正处在快速发展即行业整合期，行业监管政策逐步完善、新技术不断出现、市场中同类产品或服务增多</w:t>
      </w:r>
    </w:p>
    <w:p>
      <w:pPr>
        <w:pStyle w:val="BodyText"/>
        <w:spacing w:line="316" w:lineRule="auto" w:before="31"/>
        <w:ind w:right="1132"/>
        <w:jc w:val="both"/>
      </w:pPr>
      <w:r>
        <w:rPr>
          <w:spacing w:val="-2"/>
        </w:rPr>
        <w:t>等诸多因素，推动行业的竞争环境发生变化。公司经过多年发展，在品牌知名度、全国渠道网络、人才、技术及产品、系统</w:t>
      </w:r>
      <w:r>
        <w:rPr>
          <w:spacing w:val="-73"/>
        </w:rPr>
        <w:t> </w:t>
      </w:r>
      <w:r>
        <w:rPr>
          <w:spacing w:val="-73"/>
        </w:rPr>
      </w:r>
      <w:r>
        <w:rPr>
          <w:spacing w:val="-2"/>
        </w:rPr>
        <w:t>运营能力等方面拥有一定的优势和竞争壁垒，但若未来公司不能准确把握市场和行业发展机遇，持续进行技术升级和商业模</w:t>
      </w:r>
      <w:r>
        <w:rPr>
          <w:spacing w:val="-63"/>
        </w:rPr>
        <w:t> </w:t>
      </w:r>
      <w:r>
        <w:rPr>
          <w:spacing w:val="-63"/>
        </w:rPr>
      </w:r>
      <w:r>
        <w:rPr/>
        <w:t>式创新，提升商户服务能力，则可能存在经营业绩下滑等市场竞争风险。</w:t>
      </w:r>
    </w:p>
    <w:p>
      <w:pPr>
        <w:pStyle w:val="BodyText"/>
        <w:spacing w:line="240" w:lineRule="auto" w:before="19"/>
        <w:ind w:left="513" w:right="1133"/>
        <w:jc w:val="left"/>
      </w:pPr>
      <w:r>
        <w:rPr/>
        <w:t>应对措施：</w:t>
      </w:r>
    </w:p>
    <w:p>
      <w:pPr>
        <w:pStyle w:val="BodyText"/>
        <w:spacing w:line="309" w:lineRule="auto" w:before="76"/>
        <w:ind w:right="1131" w:firstLine="360"/>
        <w:jc w:val="both"/>
      </w:pPr>
      <w:r>
        <w:rPr/>
        <w:t>（</w:t>
      </w:r>
      <w:r>
        <w:rPr>
          <w:rFonts w:ascii="Times New Roman" w:hAnsi="Times New Roman" w:cs="Times New Roman" w:eastAsia="Times New Roman" w:hint="default"/>
        </w:rPr>
        <w:t>1</w:t>
      </w:r>
      <w:r>
        <w:rPr/>
        <w:t>）公司将继续加强技术研发、前瞻性研究能力，紧跟行业技术发展趋势，围绕中小企业和商户的需求，推出适应不 </w:t>
      </w:r>
      <w:r>
        <w:rPr>
          <w:spacing w:val="-2"/>
        </w:rPr>
        <w:t>同区域、不同类型客户的创新产品和解决方案。继续加大直营和渠道双轮驱动的市场拓展力度，扩大商户规模，优化商户结</w:t>
      </w:r>
      <w:r>
        <w:rPr>
          <w:spacing w:val="-64"/>
        </w:rPr>
        <w:t> </w:t>
      </w:r>
      <w:r>
        <w:rPr>
          <w:spacing w:val="-64"/>
        </w:rPr>
      </w:r>
      <w:r>
        <w:rPr/>
        <w:t>构，巩固自身在第三方支付行业的优势地位。</w:t>
      </w:r>
    </w:p>
    <w:p>
      <w:pPr>
        <w:pStyle w:val="BodyText"/>
        <w:spacing w:line="240" w:lineRule="auto" w:before="24"/>
        <w:ind w:left="513" w:right="0"/>
        <w:jc w:val="left"/>
      </w:pPr>
      <w:r>
        <w:rPr/>
        <w:t>（</w:t>
      </w:r>
      <w:r>
        <w:rPr>
          <w:rFonts w:ascii="Times New Roman" w:hAnsi="Times New Roman" w:cs="Times New Roman" w:eastAsia="Times New Roman" w:hint="default"/>
        </w:rPr>
        <w:t>2</w:t>
      </w:r>
      <w:r>
        <w:rPr/>
        <w:t>）继续贯彻</w:t>
      </w:r>
      <w:r>
        <w:rPr>
          <w:rFonts w:ascii="Times New Roman" w:hAnsi="Times New Roman" w:cs="Times New Roman" w:eastAsia="Times New Roman" w:hint="default"/>
        </w:rPr>
        <w:t>“</w:t>
      </w:r>
      <w:r>
        <w:rPr/>
        <w:t>以支付为切入，整合信息科技，服务线下实体，全维度为中小微商户的经营赋能</w:t>
      </w:r>
      <w:r>
        <w:rPr>
          <w:rFonts w:ascii="Times New Roman" w:hAnsi="Times New Roman" w:cs="Times New Roman" w:eastAsia="Times New Roman" w:hint="default"/>
        </w:rPr>
        <w:t>”</w:t>
      </w:r>
      <w:r>
        <w:rPr/>
        <w:t>的发展战略，大力为</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商户提供支付科技、金融科技、电商科技和信息科技服务。</w:t>
      </w:r>
    </w:p>
    <w:p>
      <w:pPr>
        <w:pStyle w:val="BodyText"/>
        <w:spacing w:line="300" w:lineRule="auto" w:before="77"/>
        <w:ind w:left="513" w:right="0"/>
        <w:jc w:val="left"/>
      </w:pPr>
      <w:r>
        <w:rPr>
          <w:rFonts w:ascii="Times New Roman" w:hAnsi="Times New Roman" w:cs="Times New Roman" w:eastAsia="Times New Roman" w:hint="default"/>
        </w:rPr>
        <w:t>3</w:t>
      </w:r>
      <w:r>
        <w:rPr/>
        <w:t>、商户拓展和违规经营风险 </w:t>
      </w:r>
      <w:r>
        <w:rPr>
          <w:spacing w:val="-2"/>
        </w:rPr>
        <w:t>公司通过直营推广和商户拓展服务机构发展特约商户，建设了较为成熟的客户风险监控系统，依据支付行业业态建立了</w:t>
      </w:r>
    </w:p>
    <w:p>
      <w:pPr>
        <w:pStyle w:val="BodyText"/>
        <w:spacing w:line="316" w:lineRule="auto" w:before="31"/>
        <w:ind w:right="1130"/>
        <w:jc w:val="both"/>
      </w:pPr>
      <w:r>
        <w:rPr>
          <w:spacing w:val="-2"/>
        </w:rPr>
        <w:t>交易监控规则和风险控制模型，对客户交易进行监控和分析，对于可疑大额资金及时核查并采取相应的控制措施。但不排除</w:t>
      </w:r>
      <w:r>
        <w:rPr>
          <w:spacing w:val="-63"/>
        </w:rPr>
        <w:t> </w:t>
      </w:r>
      <w:r>
        <w:rPr>
          <w:spacing w:val="-63"/>
        </w:rPr>
      </w:r>
      <w:r>
        <w:rPr>
          <w:spacing w:val="-2"/>
        </w:rPr>
        <w:t>随着商户规模不断扩大，部分商户拓展服务机构及签约商户可能存在违规经营行为，未来若公司在商户管理、商户拓展服务</w:t>
      </w:r>
      <w:r>
        <w:rPr>
          <w:spacing w:val="-63"/>
        </w:rPr>
        <w:t> </w:t>
      </w:r>
      <w:r>
        <w:rPr>
          <w:spacing w:val="-63"/>
        </w:rPr>
      </w:r>
      <w:r>
        <w:rPr>
          <w:spacing w:val="-2"/>
        </w:rPr>
        <w:t>机构管理、风险交易监测不到位，不能及时排查可疑交易，从而导致监管处罚等对公司日常经营产生影响的风险，对公司日</w:t>
      </w:r>
      <w:r>
        <w:rPr>
          <w:spacing w:val="-64"/>
        </w:rPr>
        <w:t> </w:t>
      </w:r>
      <w:r>
        <w:rPr>
          <w:spacing w:val="-64"/>
        </w:rPr>
      </w:r>
      <w:r>
        <w:rPr/>
        <w:t>常经营产生不利影响。</w:t>
      </w:r>
    </w:p>
    <w:p>
      <w:pPr>
        <w:pStyle w:val="BodyText"/>
        <w:spacing w:line="309" w:lineRule="auto" w:before="19"/>
        <w:ind w:right="1129" w:firstLine="360"/>
        <w:jc w:val="both"/>
      </w:pPr>
      <w:r>
        <w:rPr>
          <w:spacing w:val="-2"/>
        </w:rPr>
        <w:t>应对措施：公司严格遵守央行制定的《非金融机构支付服务管理办法》、《银行卡收单业务管理办法》、《支付机构反</w:t>
      </w:r>
      <w:r>
        <w:rPr/>
        <w:t> </w:t>
      </w:r>
      <w:r>
        <w:rPr>
          <w:spacing w:val="-2"/>
        </w:rPr>
        <w:t>洗钱和反恐怖融资管理办法》等的规定，制订《拉卡拉商户管理办法》等经营管理制度，遵循</w:t>
      </w:r>
      <w:r>
        <w:rPr>
          <w:rFonts w:ascii="Times New Roman" w:hAnsi="Times New Roman" w:cs="Times New Roman" w:eastAsia="Times New Roman" w:hint="default"/>
          <w:spacing w:val="-2"/>
        </w:rPr>
        <w:t>“</w:t>
      </w:r>
      <w:r>
        <w:rPr>
          <w:spacing w:val="-2"/>
        </w:rPr>
        <w:t>了解你的客户</w:t>
      </w:r>
      <w:r>
        <w:rPr>
          <w:rFonts w:ascii="Times New Roman" w:hAnsi="Times New Roman" w:cs="Times New Roman" w:eastAsia="Times New Roman" w:hint="default"/>
          <w:spacing w:val="-2"/>
        </w:rPr>
        <w:t>”</w:t>
      </w:r>
      <w:r>
        <w:rPr>
          <w:spacing w:val="-2"/>
        </w:rPr>
        <w:t>以及防范系统</w:t>
      </w:r>
      <w:r>
        <w:rPr>
          <w:spacing w:val="-44"/>
        </w:rPr>
        <w:t> </w:t>
      </w:r>
      <w:r>
        <w:rPr>
          <w:spacing w:val="-44"/>
        </w:rPr>
      </w:r>
      <w:r>
        <w:rPr/>
        <w:t>性风险等原则，通过资质审核、身份认证、现场巡检、风险调查等，加强商户准入与管理。</w:t>
      </w:r>
    </w:p>
    <w:p>
      <w:pPr>
        <w:pStyle w:val="BodyText"/>
        <w:spacing w:line="300" w:lineRule="auto" w:before="24"/>
        <w:ind w:left="513" w:right="0"/>
        <w:jc w:val="left"/>
      </w:pPr>
      <w:r>
        <w:rPr>
          <w:rFonts w:ascii="Times New Roman" w:hAnsi="Times New Roman" w:cs="Times New Roman" w:eastAsia="Times New Roman" w:hint="default"/>
        </w:rPr>
        <w:t>4</w:t>
      </w:r>
      <w:r>
        <w:rPr/>
        <w:t>、支付欺诈风险 </w:t>
      </w:r>
      <w:r>
        <w:rPr>
          <w:spacing w:val="-2"/>
        </w:rPr>
        <w:t>公司根据行业业态建立了交易监控规则、风险控制模型和较为完善的业务风险管理制度，不断完善和提升客户识别的方</w:t>
      </w:r>
    </w:p>
    <w:p>
      <w:pPr>
        <w:pStyle w:val="BodyText"/>
        <w:spacing w:line="316" w:lineRule="auto" w:before="32"/>
        <w:ind w:right="1130"/>
        <w:jc w:val="both"/>
      </w:pPr>
      <w:r>
        <w:rPr>
          <w:spacing w:val="-2"/>
        </w:rPr>
        <w:t>法和手段，针对账户盗用、伪卡、电信网络诈骗、洗钱等支付欺诈风险进行动态、持续的监测，定期或不定期地对公司经营</w:t>
      </w:r>
      <w:r>
        <w:rPr>
          <w:spacing w:val="-67"/>
        </w:rPr>
        <w:t> </w:t>
      </w:r>
      <w:r>
        <w:rPr>
          <w:spacing w:val="-67"/>
        </w:rPr>
      </w:r>
      <w:r>
        <w:rPr>
          <w:spacing w:val="-2"/>
        </w:rPr>
        <w:t>风险和操作风险进行识别与防控。报告期未曾因风险事件遭受央行处罚。但不排除未来随着公司业务规模的扩张，若公司在</w:t>
      </w:r>
      <w:r>
        <w:rPr>
          <w:spacing w:val="-63"/>
        </w:rPr>
        <w:t> </w:t>
      </w:r>
      <w:r>
        <w:rPr>
          <w:spacing w:val="-63"/>
        </w:rPr>
      </w:r>
      <w:r>
        <w:rPr/>
        <w:t>风险交易监测不到位或风险事件处置不力等，发生风险事件，可能面临客户投诉或诉讼，甚至监管处罚的风险。</w:t>
      </w:r>
    </w:p>
    <w:p>
      <w:pPr>
        <w:pStyle w:val="BodyText"/>
        <w:spacing w:line="309" w:lineRule="auto" w:before="19"/>
        <w:ind w:right="1130" w:firstLine="360"/>
        <w:jc w:val="both"/>
      </w:pPr>
      <w:r>
        <w:rPr/>
        <w:t>应对措施：（</w:t>
      </w:r>
      <w:r>
        <w:rPr>
          <w:rFonts w:ascii="Times New Roman" w:hAnsi="Times New Roman" w:cs="Times New Roman" w:eastAsia="Times New Roman" w:hint="default"/>
        </w:rPr>
        <w:t>1</w:t>
      </w:r>
      <w:r>
        <w:rPr/>
        <w:t>）公司依照政策和监管要求，加强风控和合规的制度建设，制定了关于业务管理、风险监控和处置、风 </w:t>
      </w:r>
      <w:r>
        <w:rPr>
          <w:spacing w:val="-2"/>
        </w:rPr>
        <w:t>险事件应急处置和报告、反洗钱、数据管理、信息安全、终端安全管理等一系列制度，建立了覆盖事前、事中和时候的全流</w:t>
      </w:r>
      <w:r>
        <w:rPr>
          <w:spacing w:val="-70"/>
        </w:rPr>
        <w:t> </w:t>
      </w:r>
      <w:r>
        <w:rPr>
          <w:spacing w:val="-70"/>
        </w:rPr>
      </w:r>
      <w:r>
        <w:rPr>
          <w:spacing w:val="-6"/>
          <w:w w:val="99"/>
        </w:rPr>
        <w:t>程监督体系。（</w:t>
      </w:r>
      <w:r>
        <w:rPr>
          <w:rFonts w:ascii="Times New Roman" w:hAnsi="Times New Roman" w:cs="Times New Roman" w:eastAsia="Times New Roman" w:hint="default"/>
          <w:spacing w:val="-6"/>
          <w:w w:val="99"/>
        </w:rPr>
        <w:t>2</w:t>
      </w:r>
      <w:r>
        <w:rPr>
          <w:spacing w:val="-6"/>
          <w:w w:val="99"/>
        </w:rPr>
        <w:t>）持续增加投入，加强风险控制能力，建设了专门的风险控制大数据平台，实现高风险交易响应时效在</w:t>
      </w:r>
      <w:r>
        <w:rPr>
          <w:rFonts w:ascii="Times New Roman" w:hAnsi="Times New Roman" w:cs="Times New Roman" w:eastAsia="Times New Roman" w:hint="default"/>
          <w:spacing w:val="-6"/>
          <w:w w:val="99"/>
        </w:rPr>
        <w:t>100ms</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6"/>
          <w:w w:val="99"/>
        </w:rPr>
      </w:r>
      <w:r>
        <w:rPr/>
        <w:t>以内。（</w:t>
      </w:r>
      <w:r>
        <w:rPr>
          <w:rFonts w:ascii="Times New Roman" w:hAnsi="Times New Roman" w:cs="Times New Roman" w:eastAsia="Times New Roman" w:hint="default"/>
        </w:rPr>
        <w:t>3</w:t>
      </w:r>
      <w:r>
        <w:rPr/>
        <w:t>）高度重视风控合规队伍建设和业务培训，定期组织关于账户安全、交易安全、数据安全、反洗钱、反电信网络</w:t>
      </w:r>
      <w:r>
        <w:rPr>
          <w:spacing w:val="-84"/>
        </w:rPr>
        <w:t> </w:t>
      </w:r>
      <w:r>
        <w:rPr>
          <w:spacing w:val="-84"/>
        </w:rPr>
      </w:r>
      <w:r>
        <w:rPr/>
        <w:t>诈骗等业务培训，强化风险防控和合规理念，落实各项风险防控和合规制度。（</w:t>
      </w:r>
      <w:r>
        <w:rPr>
          <w:rFonts w:ascii="Times New Roman" w:hAnsi="Times New Roman" w:cs="Times New Roman" w:eastAsia="Times New Roman" w:hint="default"/>
        </w:rPr>
        <w:t>4</w:t>
      </w:r>
      <w:r>
        <w:rPr/>
        <w:t>）加强安全生态建设，公司首批加入了银</w:t>
      </w:r>
      <w:r>
        <w:rPr>
          <w:spacing w:val="-83"/>
        </w:rPr>
        <w:t> </w:t>
      </w:r>
      <w:r>
        <w:rPr>
          <w:spacing w:val="-83"/>
        </w:rPr>
      </w:r>
      <w:r>
        <w:rPr>
          <w:spacing w:val="-2"/>
        </w:rPr>
        <w:t>行卡安全合作委员会、互联网金融支付安全产业联盟组织等行业组织。积极与中国银联和中国网联等清算组织、各商业银行</w:t>
      </w:r>
      <w:r>
        <w:rPr>
          <w:spacing w:val="-63"/>
        </w:rPr>
        <w:t> </w:t>
      </w:r>
      <w:r>
        <w:rPr>
          <w:spacing w:val="-63"/>
        </w:rPr>
      </w:r>
      <w:r>
        <w:rPr>
          <w:spacing w:val="-5"/>
        </w:rPr>
        <w:t>以及其他支付机构开展同业的风险控制联动。协同公安机关打击相关违法犯罪活动，与公安部经济犯罪侦查局共同签署了《打</w:t>
      </w:r>
      <w:r>
        <w:rPr>
          <w:spacing w:val="-76"/>
        </w:rPr>
        <w:t> </w:t>
      </w:r>
      <w:r>
        <w:rPr>
          <w:spacing w:val="-76"/>
        </w:rPr>
      </w:r>
      <w:r>
        <w:rPr>
          <w:spacing w:val="-2"/>
        </w:rPr>
        <w:t>击防范银行卡违法犯罪合作备忘录》，并与全国数十家省级经济侦查单位、反电信网络诈骗中心在打击支付类犯罪、共享风</w:t>
      </w:r>
      <w:r>
        <w:rPr>
          <w:spacing w:val="-64"/>
        </w:rPr>
        <w:t> </w:t>
      </w:r>
      <w:r>
        <w:rPr>
          <w:spacing w:val="-64"/>
        </w:rPr>
      </w:r>
      <w:r>
        <w:rPr/>
        <w:t>险数据等方面开展合作。</w:t>
      </w:r>
    </w:p>
    <w:p>
      <w:pPr>
        <w:pStyle w:val="BodyText"/>
        <w:spacing w:line="300" w:lineRule="auto" w:before="24"/>
        <w:ind w:left="513" w:right="1033"/>
        <w:jc w:val="left"/>
      </w:pPr>
      <w:r>
        <w:rPr>
          <w:rFonts w:ascii="Times New Roman" w:hAnsi="Times New Roman" w:cs="Times New Roman" w:eastAsia="Times New Roman" w:hint="default"/>
        </w:rPr>
        <w:t>5</w:t>
      </w:r>
      <w:r>
        <w:rPr/>
        <w:t>、技术和信息安全风险 技术和信息安全风险主要是指在支付过程中由于计算机硬件系统、应用系统、安全技术或网络运行问题导致数据保密、</w:t>
      </w:r>
    </w:p>
    <w:p>
      <w:pPr>
        <w:pStyle w:val="BodyText"/>
        <w:spacing w:line="316" w:lineRule="auto" w:before="31"/>
        <w:ind w:right="1050"/>
        <w:jc w:val="both"/>
      </w:pPr>
      <w:r>
        <w:rPr>
          <w:spacing w:val="-2"/>
        </w:rPr>
        <w:t>系统和数据完整性、客户身份认证、数据篡改以及其他有关计算机系统、数据库、网络安全等方面的风险。主要涉及银行的</w:t>
      </w:r>
      <w:r>
        <w:rPr>
          <w:spacing w:val="-67"/>
        </w:rPr>
        <w:t> </w:t>
      </w:r>
      <w:r>
        <w:rPr>
          <w:spacing w:val="-67"/>
        </w:rPr>
      </w:r>
      <w:r>
        <w:rPr>
          <w:spacing w:val="-2"/>
        </w:rPr>
        <w:t>网银系统、第三方支付平台以及商家的业务处理系统的稳定性、可靠性和安全性。公司建立了稳定安全的业务运营系统，但</w:t>
      </w:r>
      <w:r>
        <w:rPr>
          <w:spacing w:val="-66"/>
        </w:rPr>
        <w:t> </w:t>
      </w:r>
      <w:r>
        <w:rPr>
          <w:spacing w:val="-66"/>
        </w:rPr>
      </w:r>
      <w:r>
        <w:rPr/>
        <w:t>仍然可能面临因为相关技术及后台系统无法稳定安全运营导致木马病毒入侵致使客户支付信息泄露、交易失败等情况发生。</w:t>
      </w:r>
    </w:p>
    <w:p>
      <w:pPr>
        <w:pStyle w:val="BodyText"/>
        <w:spacing w:line="316" w:lineRule="auto" w:before="19"/>
        <w:ind w:right="0" w:firstLine="360"/>
        <w:jc w:val="left"/>
      </w:pPr>
      <w:r>
        <w:rPr>
          <w:spacing w:val="-4"/>
        </w:rPr>
        <w:t>应对措施：公司依照监管条例、行业规范以及信息技术相关安全法规要求，从数据中心物理安全、网络安全、主机安全、</w:t>
      </w:r>
      <w:r>
        <w:rPr/>
        <w:t> </w:t>
      </w:r>
      <w:r>
        <w:rPr>
          <w:spacing w:val="-2"/>
        </w:rPr>
        <w:t>应用安全、系统建设管理、人员安全、系统运行管理等方面，制订了《拉卡拉信息技术安全工作条例》、《拉卡拉网络安全</w:t>
      </w:r>
      <w:r>
        <w:rPr>
          <w:spacing w:val="-65"/>
        </w:rPr>
        <w:t> </w:t>
      </w:r>
      <w:r>
        <w:rPr>
          <w:spacing w:val="-65"/>
        </w:rPr>
      </w:r>
      <w:r>
        <w:rPr/>
        <w:t>管理规范》、《拉卡拉加密及加密设备管理规范》等一系列制度，并严格执行，以降低和规避技术和信息系统安全风险。</w:t>
      </w:r>
    </w:p>
    <w:p>
      <w:pPr>
        <w:pStyle w:val="BodyText"/>
        <w:spacing w:line="300" w:lineRule="auto" w:before="19"/>
        <w:ind w:left="513" w:right="0"/>
        <w:jc w:val="left"/>
      </w:pPr>
      <w:r>
        <w:rPr>
          <w:rFonts w:ascii="Times New Roman" w:hAnsi="Times New Roman" w:cs="Times New Roman" w:eastAsia="Times New Roman" w:hint="default"/>
        </w:rPr>
        <w:t>6</w:t>
      </w:r>
      <w:r>
        <w:rPr/>
        <w:t>、人才流失的风险 </w:t>
      </w:r>
      <w:r>
        <w:rPr>
          <w:spacing w:val="-2"/>
        </w:rPr>
        <w:t>第三方支付行业的市场竞争越来越体现为高素质人才之间的竞争，公司持续保持市场竞争优势，主要依赖于核心管理团</w:t>
      </w:r>
    </w:p>
    <w:p>
      <w:pPr>
        <w:pStyle w:val="BodyText"/>
        <w:spacing w:line="319" w:lineRule="auto" w:before="31"/>
        <w:ind w:right="1130"/>
        <w:jc w:val="both"/>
      </w:pPr>
      <w:r>
        <w:rPr>
          <w:spacing w:val="-2"/>
        </w:rPr>
        <w:t>队、以及长期发展过程中形成的核心技术和积累的运营管理经验。随着未来行业竞争激烈，如果公司核心骨干人员流失且无</w:t>
      </w:r>
      <w:r>
        <w:rPr>
          <w:spacing w:val="-63"/>
        </w:rPr>
        <w:t> </w:t>
      </w:r>
      <w:r>
        <w:rPr>
          <w:spacing w:val="-63"/>
        </w:rPr>
      </w:r>
      <w:r>
        <w:rPr/>
        <w:t>法吸引新的优秀人才，将对公司的经营造成不利影响。</w:t>
      </w:r>
    </w:p>
    <w:p>
      <w:pPr>
        <w:pStyle w:val="BodyText"/>
        <w:spacing w:line="316" w:lineRule="auto" w:before="58"/>
        <w:ind w:right="1131"/>
        <w:jc w:val="both"/>
      </w:pPr>
      <w:r>
        <w:rPr>
          <w:spacing w:val="-2"/>
        </w:rPr>
        <w:t>应对措施：公司将继续完善人才招聘与培养机制，优化人才梯队建设；加强公司企业文化建设，提高员工对公司企业文化的</w:t>
      </w:r>
      <w:r>
        <w:rPr>
          <w:spacing w:val="-65"/>
        </w:rPr>
        <w:t> </w:t>
      </w:r>
      <w:r>
        <w:rPr>
          <w:spacing w:val="-65"/>
        </w:rPr>
      </w:r>
      <w:r>
        <w:rPr/>
        <w:t>认同感；完善薪酬福利体系，提高公司的凝聚力与员工的归属感。</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both"/>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com.cn%2Ffinalpage%2F2019-05-16%2 F1206276322.DOC</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com.cn%2Ffinalpage%2F2019-05-17%2 F1206281398.DOC</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com.cn%2Ffinalpage%2F2019-06-12%2 F1206349833.DOC</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com.cn%2Ffinalpage%2F2019-07-10%2 F1206438926.DOC</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com.cn%2Ffinalpage%2F2019-07-11%2 F1206440103.doc</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com.cn%2Ffinalpage%2F2019-07-11%2 F1206440106.doc</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com.cn%2Ffinalpage%2F2019-07-11%2 F1206440113.doc</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0"/>
              <w:jc w:val="both"/>
              <w:rPr>
                <w:rFonts w:ascii="Times New Roman" w:hAnsi="Times New Roman" w:cs="Times New Roman" w:eastAsia="Times New Roman" w:hint="default"/>
                <w:sz w:val="18"/>
                <w:szCs w:val="18"/>
              </w:rPr>
            </w:pPr>
            <w:r>
              <w:rPr>
                <w:rFonts w:ascii="Times New Roman"/>
                <w:spacing w:val="-1"/>
                <w:sz w:val="18"/>
              </w:rPr>
              <w:t>https://view.officeapps.live.com/op/view.</w:t>
            </w:r>
            <w:r>
              <w:rPr>
                <w:rFonts w:ascii="Times New Roman"/>
                <w:sz w:val="18"/>
              </w:rPr>
              <w:t> aspx?src=http%3A%2F%2Fstatic.cninfo. com.cn%2Ffinalpage%2F2019-09-07%2 F1206909235.doc</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com.cn%2Ffinalpage%2F2019-09-09%2 F1206910805.doc</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com.cn%2Ffinalpage%2F2019-09-10%2 F1206913502.doc</w:t>
            </w:r>
          </w:p>
        </w:tc>
      </w:tr>
    </w:tbl>
    <w:p>
      <w:pPr>
        <w:spacing w:after="0" w:line="362" w:lineRule="auto"/>
        <w:jc w:val="both"/>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com.cn%2Ffinalpage%2F2019-09-10%2 F1206913505.doc</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com.cn%2Ffinalpage%2F2019-09-23%2 F1206943061.doc</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8"/>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com.cn%2Ffinalpage%2F2019-09-23%2 F1206943039.doc</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com.cn%2Ffinalpage%2F2019-09-23%2 F1206943040.doc</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0"/>
              <w:jc w:val="both"/>
              <w:rPr>
                <w:rFonts w:ascii="Times New Roman" w:hAnsi="Times New Roman" w:cs="Times New Roman" w:eastAsia="Times New Roman" w:hint="default"/>
                <w:sz w:val="18"/>
                <w:szCs w:val="18"/>
              </w:rPr>
            </w:pPr>
            <w:r>
              <w:rPr>
                <w:rFonts w:ascii="Times New Roman"/>
                <w:spacing w:val="-1"/>
                <w:sz w:val="18"/>
              </w:rPr>
              <w:t>https://view.officeapps.live.com/op/view.</w:t>
            </w:r>
            <w:r>
              <w:rPr>
                <w:rFonts w:ascii="Times New Roman"/>
                <w:sz w:val="18"/>
              </w:rPr>
              <w:t> aspx?src=http%3A%2F%2Fstatic.cninfo. com.cn%2Ffinalpage%2F2019-11-05%2 F1207066159.docx</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com.cn%2Ffinalpage%2F2019-12-08%2 F1207147516.docx</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com.cn%2Ffinalpage%2F2019-12-17%2 F1207172202.docx</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20"/>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com.cn%2Ffinalpage%2F2019-12-19%2 F1207180319.doc</w:t>
            </w:r>
          </w:p>
        </w:tc>
      </w:tr>
    </w:tbl>
    <w:p>
      <w:pPr>
        <w:spacing w:after="0" w:line="360" w:lineRule="auto"/>
        <w:jc w:val="both"/>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942"/>
        <w:jc w:val="center"/>
        <w:rPr>
          <w:b w:val="0"/>
          <w:bCs w:val="0"/>
        </w:rPr>
      </w:pPr>
      <w:bookmarkStart w:name="第五节重要事项" w:id="61"/>
      <w:bookmarkEnd w:id="61"/>
      <w:r>
        <w:rPr>
          <w:b w:val="0"/>
          <w:bCs w:val="0"/>
        </w:rPr>
      </w:r>
      <w:bookmarkStart w:name="_bookmark4" w:id="62"/>
      <w:bookmarkEnd w:id="62"/>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133"/>
        <w:jc w:val="left"/>
      </w:pPr>
      <w:r>
        <w:rPr/>
        <w:t>《公司章程》规定的公司利润分配政策如下：</w:t>
      </w:r>
    </w:p>
    <w:p>
      <w:pPr>
        <w:pStyle w:val="BodyText"/>
        <w:spacing w:line="316" w:lineRule="auto" w:before="76"/>
        <w:ind w:left="513" w:right="0"/>
        <w:jc w:val="left"/>
      </w:pPr>
      <w:r>
        <w:rPr/>
        <w:t>（一）利润分配原则 </w:t>
      </w:r>
      <w:r>
        <w:rPr>
          <w:spacing w:val="-2"/>
        </w:rPr>
        <w:t>公司实行连续、稳定的利润分配政策，公司的利润分配应重视对投资者的合理投资回报并兼顾公司的可持续发展，公司</w:t>
      </w:r>
    </w:p>
    <w:p>
      <w:pPr>
        <w:pStyle w:val="BodyText"/>
        <w:spacing w:line="240" w:lineRule="auto" w:before="19"/>
        <w:ind w:right="1133"/>
        <w:jc w:val="left"/>
      </w:pPr>
      <w:r>
        <w:rPr/>
        <w:t>优先采取现金分红的利润分配形式。</w:t>
      </w:r>
    </w:p>
    <w:p>
      <w:pPr>
        <w:pStyle w:val="BodyText"/>
        <w:spacing w:line="316" w:lineRule="auto" w:before="77"/>
        <w:ind w:left="513" w:right="1033"/>
        <w:jc w:val="left"/>
      </w:pPr>
      <w:r>
        <w:rPr/>
        <w:t>（二）利润分配形式 公司可以采取现金、股票、现金股票相结合及其他合法的方式分配股利，但利润分配不得超过累计可分配利润的范围。</w:t>
      </w:r>
    </w:p>
    <w:p>
      <w:pPr>
        <w:pStyle w:val="BodyText"/>
        <w:spacing w:line="240" w:lineRule="auto" w:before="19"/>
        <w:ind w:right="1133"/>
        <w:jc w:val="left"/>
      </w:pPr>
      <w:r>
        <w:rPr/>
        <w:t>在满足公司现金支出计划的前提下，</w:t>
      </w:r>
      <w:r>
        <w:rPr>
          <w:spacing w:val="-17"/>
        </w:rPr>
        <w:t> </w:t>
      </w:r>
      <w:r>
        <w:rPr/>
        <w:t>公司可根据当期经营利润和现金流情况进行中期现金分红。</w:t>
      </w:r>
    </w:p>
    <w:p>
      <w:pPr>
        <w:pStyle w:val="BodyText"/>
        <w:spacing w:line="316" w:lineRule="auto" w:before="76"/>
        <w:ind w:left="513" w:right="1033"/>
        <w:jc w:val="left"/>
      </w:pPr>
      <w:r>
        <w:rPr/>
        <w:t>（三）现金分红条件和比例 公司当年度实现盈利，根据公司章程的规定在依法弥补以前年度亏损、提取法定公积金、任意公积金后进行利润分配。 如无重大投资计划或重大现金支出发生，公司应当采取现金方式分配股利，</w:t>
      </w:r>
      <w:r>
        <w:rPr>
          <w:spacing w:val="4"/>
        </w:rPr>
        <w:t> </w:t>
      </w:r>
      <w:r>
        <w:rPr/>
        <w:t>以现金方式分配的利润不少于当年实现的</w:t>
      </w:r>
    </w:p>
    <w:p>
      <w:pPr>
        <w:pStyle w:val="BodyText"/>
        <w:spacing w:line="240" w:lineRule="auto" w:before="19"/>
        <w:ind w:right="1133"/>
        <w:jc w:val="left"/>
      </w:pPr>
      <w:r>
        <w:rPr/>
        <w:t>可分配利润的 </w:t>
      </w:r>
      <w:r>
        <w:rPr>
          <w:rFonts w:ascii="Times New Roman" w:hAnsi="Times New Roman" w:cs="Times New Roman" w:eastAsia="Times New Roman" w:hint="default"/>
        </w:rPr>
        <w:t>15%</w:t>
      </w:r>
      <w:r>
        <w:rPr/>
        <w:t>。最近三年以现金方式累计分配的利润不少于最近三年实现的年均可分配利润的</w:t>
      </w:r>
      <w:r>
        <w:rPr>
          <w:spacing w:val="-35"/>
        </w:rPr>
        <w:t> </w:t>
      </w:r>
      <w:r>
        <w:rPr>
          <w:rFonts w:ascii="Times New Roman" w:hAnsi="Times New Roman" w:cs="Times New Roman" w:eastAsia="Times New Roman" w:hint="default"/>
        </w:rPr>
        <w:t>30%</w:t>
      </w:r>
      <w:r>
        <w:rPr/>
        <w:t>。</w:t>
      </w:r>
    </w:p>
    <w:p>
      <w:pPr>
        <w:pStyle w:val="BodyText"/>
        <w:spacing w:line="300" w:lineRule="auto" w:before="63"/>
        <w:ind w:right="1126" w:firstLine="360"/>
        <w:jc w:val="left"/>
      </w:pPr>
      <w:r>
        <w:rPr/>
        <w:t>若公司最近连续 </w:t>
      </w: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个年度的经营活动现金流量为负时，公司在本年度进行的现金股利分配累计不得超过当年期初累计 可分配利润的</w:t>
      </w:r>
      <w:r>
        <w:rPr>
          <w:spacing w:val="-18"/>
        </w:rPr>
        <w:t> </w:t>
      </w:r>
      <w:r>
        <w:rPr>
          <w:rFonts w:ascii="Times New Roman" w:hAnsi="Times New Roman" w:cs="Times New Roman" w:eastAsia="Times New Roman" w:hint="default"/>
        </w:rPr>
        <w:t>50%</w:t>
      </w:r>
      <w:r>
        <w:rPr/>
        <w:t>。</w:t>
      </w:r>
    </w:p>
    <w:p>
      <w:pPr>
        <w:pStyle w:val="BodyText"/>
        <w:spacing w:line="316" w:lineRule="auto" w:before="13"/>
        <w:ind w:left="513" w:right="0"/>
        <w:jc w:val="left"/>
      </w:pPr>
      <w:r>
        <w:rPr/>
        <w:t>除上述年度股利分配外，公司可进行中期现金分红。 </w:t>
      </w:r>
      <w:r>
        <w:rPr>
          <w:spacing w:val="-2"/>
        </w:rPr>
        <w:t>公司采用股票股利进行利润分配的，应当具有公司成长性、每股净资产的摊薄等真实合理因素；公司董事会应当综合考</w:t>
      </w:r>
    </w:p>
    <w:p>
      <w:pPr>
        <w:pStyle w:val="BodyText"/>
        <w:spacing w:line="316" w:lineRule="auto" w:before="19"/>
        <w:ind w:right="1133"/>
        <w:jc w:val="left"/>
      </w:pPr>
      <w:r>
        <w:rPr>
          <w:spacing w:val="-2"/>
        </w:rPr>
        <w:t>虑所处行业特点、发展阶段、自身经营模式、盈利水平以及是否有重大资金支出安排等因素，区分下列情形，并按照本章程</w:t>
      </w:r>
      <w:r>
        <w:rPr>
          <w:spacing w:val="-67"/>
        </w:rPr>
        <w:t> </w:t>
      </w:r>
      <w:r>
        <w:rPr>
          <w:spacing w:val="-67"/>
        </w:rPr>
      </w:r>
      <w:r>
        <w:rPr/>
        <w:t>规定的程序，提出差异化的现金分红政策：</w:t>
      </w:r>
    </w:p>
    <w:p>
      <w:pPr>
        <w:pStyle w:val="BodyText"/>
        <w:spacing w:line="300" w:lineRule="auto" w:before="19"/>
        <w:ind w:right="1124" w:firstLine="360"/>
        <w:jc w:val="left"/>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 达到</w:t>
      </w:r>
      <w:r>
        <w:rPr>
          <w:spacing w:val="-18"/>
        </w:rPr>
        <w:t> </w:t>
      </w:r>
      <w:r>
        <w:rPr>
          <w:rFonts w:ascii="Times New Roman" w:hAnsi="Times New Roman" w:cs="Times New Roman" w:eastAsia="Times New Roman" w:hint="default"/>
        </w:rPr>
        <w:t>80%</w:t>
      </w:r>
      <w:r>
        <w:rPr/>
        <w:t>；</w:t>
      </w:r>
    </w:p>
    <w:p>
      <w:pPr>
        <w:pStyle w:val="BodyText"/>
        <w:spacing w:line="300" w:lineRule="auto" w:before="13"/>
        <w:ind w:right="1124" w:firstLine="360"/>
        <w:jc w:val="left"/>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 达到</w:t>
      </w:r>
      <w:r>
        <w:rPr>
          <w:spacing w:val="-18"/>
        </w:rPr>
        <w:t> </w:t>
      </w:r>
      <w:r>
        <w:rPr>
          <w:rFonts w:ascii="Times New Roman" w:hAnsi="Times New Roman" w:cs="Times New Roman" w:eastAsia="Times New Roman" w:hint="default"/>
        </w:rPr>
        <w:t>40%</w:t>
      </w:r>
      <w:r>
        <w:rPr/>
        <w:t>；</w:t>
      </w:r>
    </w:p>
    <w:p>
      <w:pPr>
        <w:pStyle w:val="BodyText"/>
        <w:spacing w:line="300" w:lineRule="auto" w:before="13"/>
        <w:ind w:right="1124" w:firstLine="360"/>
        <w:jc w:val="left"/>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 达到</w:t>
      </w:r>
      <w:r>
        <w:rPr>
          <w:spacing w:val="-18"/>
        </w:rPr>
        <w:t> </w:t>
      </w:r>
      <w:r>
        <w:rPr>
          <w:rFonts w:ascii="Times New Roman" w:hAnsi="Times New Roman" w:cs="Times New Roman" w:eastAsia="Times New Roman" w:hint="default"/>
        </w:rPr>
        <w:t>20%</w:t>
      </w:r>
      <w:r>
        <w:rPr/>
        <w:t>；</w:t>
      </w:r>
    </w:p>
    <w:p>
      <w:pPr>
        <w:pStyle w:val="BodyText"/>
        <w:spacing w:line="316" w:lineRule="auto" w:before="13"/>
        <w:ind w:left="513" w:right="0"/>
        <w:jc w:val="left"/>
      </w:pPr>
      <w:r>
        <w:rPr>
          <w:spacing w:val="-4"/>
        </w:rPr>
        <w:t>公司发展阶段不易区分但有重大资金支出安排的，按照前项规定处理。公司股利分配不得超过累计可供分配利润的范围。</w:t>
      </w:r>
      <w:r>
        <w:rPr>
          <w:spacing w:val="-52"/>
        </w:rPr>
        <w:t> </w:t>
      </w:r>
      <w:r>
        <w:rPr>
          <w:spacing w:val="-52"/>
        </w:rPr>
      </w:r>
      <w:r>
        <w:rPr/>
        <w:t>重大投资计划或重大现金支出指以下情形之一：（</w:t>
      </w:r>
      <w:r>
        <w:rPr>
          <w:rFonts w:ascii="Times New Roman" w:hAnsi="Times New Roman" w:cs="Times New Roman" w:eastAsia="Times New Roman" w:hint="default"/>
        </w:rPr>
        <w:t>1</w:t>
      </w:r>
      <w:r>
        <w:rPr/>
        <w:t>）公司未来十二个月内拟对外投资、收购资产或购买设备累计支出</w:t>
      </w:r>
    </w:p>
    <w:p>
      <w:pPr>
        <w:pStyle w:val="BodyText"/>
        <w:spacing w:line="300" w:lineRule="auto"/>
        <w:ind w:right="1124"/>
        <w:jc w:val="left"/>
      </w:pPr>
      <w:r>
        <w:rPr/>
        <w:t>达到或超过公司最近一期经审计净资产的</w:t>
      </w:r>
      <w:r>
        <w:rPr>
          <w:rFonts w:ascii="Times New Roman" w:hAnsi="Times New Roman" w:cs="Times New Roman" w:eastAsia="Times New Roman" w:hint="default"/>
        </w:rPr>
        <w:t>50%</w:t>
      </w:r>
      <w:r>
        <w:rPr/>
        <w:t>，且超过 </w:t>
      </w:r>
      <w:r>
        <w:rPr>
          <w:rFonts w:ascii="Times New Roman" w:hAnsi="Times New Roman" w:cs="Times New Roman" w:eastAsia="Times New Roman" w:hint="default"/>
        </w:rPr>
        <w:t>3,000</w:t>
      </w:r>
      <w:r>
        <w:rPr>
          <w:rFonts w:ascii="Times New Roman" w:hAnsi="Times New Roman" w:cs="Times New Roman" w:eastAsia="Times New Roman" w:hint="default"/>
          <w:spacing w:val="30"/>
        </w:rPr>
        <w:t> </w:t>
      </w:r>
      <w:r>
        <w:rPr/>
        <w:t>万元；（</w:t>
      </w:r>
      <w:r>
        <w:rPr>
          <w:rFonts w:ascii="Times New Roman" w:hAnsi="Times New Roman" w:cs="Times New Roman" w:eastAsia="Times New Roman" w:hint="default"/>
        </w:rPr>
        <w:t>2</w:t>
      </w:r>
      <w:r>
        <w:rPr/>
        <w:t>）公司未来十二个月内拟对外投资、收购资产或购 买设备累计支出达到或超过公司最近一期经审计总资产的</w:t>
      </w:r>
      <w:r>
        <w:rPr>
          <w:spacing w:val="-19"/>
        </w:rPr>
        <w:t> </w:t>
      </w:r>
      <w:r>
        <w:rPr>
          <w:rFonts w:ascii="Times New Roman" w:hAnsi="Times New Roman" w:cs="Times New Roman" w:eastAsia="Times New Roman" w:hint="default"/>
        </w:rPr>
        <w:t>30%</w:t>
      </w:r>
      <w:r>
        <w:rPr/>
        <w:t>。</w:t>
      </w:r>
    </w:p>
    <w:p>
      <w:pPr>
        <w:pStyle w:val="BodyText"/>
        <w:spacing w:line="316" w:lineRule="auto" w:before="13"/>
        <w:ind w:left="513" w:right="1122"/>
        <w:jc w:val="left"/>
      </w:pPr>
      <w:r>
        <w:rPr/>
        <w:t>（四）股票股利发放条件 公司主要的分红方式为现金分红；在履行上述现金分红之余，若公司未分配利润达到或超过股本的</w:t>
      </w:r>
      <w:r>
        <w:rPr>
          <w:spacing w:val="31"/>
        </w:rPr>
        <w:t> </w:t>
      </w:r>
      <w:r>
        <w:rPr>
          <w:rFonts w:ascii="Times New Roman" w:hAnsi="Times New Roman" w:cs="Times New Roman" w:eastAsia="Times New Roman" w:hint="default"/>
        </w:rPr>
        <w:t>30%</w:t>
      </w:r>
      <w:r>
        <w:rPr/>
        <w:t>时，公司可实</w:t>
      </w:r>
    </w:p>
    <w:p>
      <w:pPr>
        <w:pStyle w:val="BodyText"/>
        <w:spacing w:line="235" w:lineRule="exact"/>
        <w:ind w:right="1133"/>
        <w:jc w:val="left"/>
      </w:pPr>
      <w:r>
        <w:rPr/>
        <w:t>施股票股利分配。</w:t>
      </w:r>
    </w:p>
    <w:p>
      <w:pPr>
        <w:pStyle w:val="BodyText"/>
        <w:spacing w:line="316" w:lineRule="auto" w:before="76"/>
        <w:ind w:left="513" w:right="2473"/>
        <w:jc w:val="left"/>
      </w:pPr>
      <w:r>
        <w:rPr/>
        <w:t>（五）对公众投资者的保护 存在股东违规占用公司资金情况的，公司应当扣减该股东所分配的现金红利，以偿还其占用的资金。</w:t>
      </w:r>
    </w:p>
    <w:p>
      <w:pPr>
        <w:pStyle w:val="BodyText"/>
        <w:spacing w:line="240" w:lineRule="auto" w:before="19"/>
        <w:ind w:left="513" w:right="1133"/>
        <w:jc w:val="left"/>
      </w:pPr>
      <w:r>
        <w:rPr/>
        <w:t>（六）利润分配方案的决策机制</w:t>
      </w:r>
    </w:p>
    <w:p>
      <w:pPr>
        <w:pStyle w:val="BodyText"/>
        <w:spacing w:line="240" w:lineRule="auto" w:before="76"/>
        <w:ind w:left="513" w:right="1133"/>
        <w:jc w:val="left"/>
      </w:pPr>
      <w:r>
        <w:rPr>
          <w:rFonts w:ascii="Times New Roman" w:hAnsi="Times New Roman" w:cs="Times New Roman" w:eastAsia="Times New Roman" w:hint="default"/>
        </w:rPr>
        <w:t>1</w:t>
      </w:r>
      <w:r>
        <w:rPr/>
        <w:t>、公司利润分配政策的论证程序和决策机制</w:t>
      </w:r>
    </w:p>
    <w:p>
      <w:pPr>
        <w:pStyle w:val="BodyText"/>
        <w:spacing w:line="300" w:lineRule="auto" w:before="62"/>
        <w:ind w:right="1124" w:firstLine="360"/>
        <w:jc w:val="left"/>
      </w:pPr>
      <w:r>
        <w:rPr/>
        <w:t>（</w:t>
      </w:r>
      <w:r>
        <w:rPr>
          <w:rFonts w:ascii="Times New Roman" w:hAnsi="Times New Roman" w:cs="Times New Roman" w:eastAsia="Times New Roman" w:hint="default"/>
        </w:rPr>
        <w:t>1</w:t>
      </w:r>
      <w:r>
        <w:rPr/>
        <w:t>）公司董事会应当根据公司不同的发展阶段、当期的经营情况和项目投资的资金需求计划，在充分考虑股东的利益 的基础上正确处理公司的短期利益及长远发展的关系，确定合理的利润分配方案。</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2</w:t>
      </w:r>
      <w:r>
        <w:rPr/>
        <w:t>）利润分配方案由公司董事会制定，公司董事会应根据公司的财务经营状况，提出可行的利润分配提案。</w:t>
      </w:r>
    </w:p>
    <w:p>
      <w:pPr>
        <w:pStyle w:val="BodyText"/>
        <w:spacing w:line="300" w:lineRule="auto" w:before="63"/>
        <w:ind w:right="1133" w:firstLine="360"/>
        <w:jc w:val="both"/>
      </w:pPr>
      <w:r>
        <w:rPr/>
        <w:t>（</w:t>
      </w:r>
      <w:r>
        <w:rPr>
          <w:rFonts w:ascii="Times New Roman" w:hAnsi="Times New Roman" w:cs="Times New Roman" w:eastAsia="Times New Roman" w:hint="default"/>
        </w:rPr>
        <w:t>3</w:t>
      </w:r>
      <w:r>
        <w:rPr/>
        <w:t>）独立董事在召开利润分配的董事会前，应当就利润分配的提案提出明确意见，同意利润分配提案的，应经全体独 立董事过半数通过；如不同意，独立董事应提出不同意的事实、理由，要求董事会重新制定利润分配提案。</w:t>
      </w:r>
    </w:p>
    <w:p>
      <w:pPr>
        <w:pStyle w:val="BodyText"/>
        <w:spacing w:line="240" w:lineRule="auto" w:before="31"/>
        <w:ind w:left="513" w:right="1133"/>
        <w:jc w:val="left"/>
      </w:pPr>
      <w:r>
        <w:rPr/>
        <w:t>（</w:t>
      </w:r>
      <w:r>
        <w:rPr>
          <w:rFonts w:ascii="Times New Roman" w:hAnsi="Times New Roman" w:cs="Times New Roman" w:eastAsia="Times New Roman" w:hint="default"/>
        </w:rPr>
        <w:t>4</w:t>
      </w:r>
      <w:r>
        <w:rPr/>
        <w:t>）独立董事可以征集中小股东的意见，提出分红提案，并直接提交董事会审议。</w:t>
      </w:r>
    </w:p>
    <w:p>
      <w:pPr>
        <w:pStyle w:val="BodyText"/>
        <w:spacing w:line="300" w:lineRule="auto" w:before="63"/>
        <w:ind w:right="1131" w:firstLine="360"/>
        <w:jc w:val="both"/>
      </w:pPr>
      <w:r>
        <w:rPr>
          <w:spacing w:val="-1"/>
        </w:rPr>
        <w:t>（</w:t>
      </w:r>
      <w:r>
        <w:rPr>
          <w:rFonts w:ascii="Times New Roman" w:hAnsi="Times New Roman" w:cs="Times New Roman" w:eastAsia="Times New Roman" w:hint="default"/>
          <w:spacing w:val="-1"/>
        </w:rPr>
        <w:t>5</w:t>
      </w:r>
      <w:r>
        <w:rPr>
          <w:spacing w:val="-1"/>
        </w:rPr>
        <w:t>）监事会应当就利润分配的提案提出明确意见，同意利润分配提案的，</w:t>
      </w:r>
      <w:r>
        <w:rPr>
          <w:spacing w:val="-19"/>
        </w:rPr>
        <w:t> </w:t>
      </w:r>
      <w:r>
        <w:rPr>
          <w:spacing w:val="-2"/>
        </w:rPr>
        <w:t>应形成决议；如不同意，监事会应提出不同</w:t>
      </w:r>
      <w:r>
        <w:rPr/>
        <w:t> 意的事实、理由，并建议董事会重新制定利润分配提案。</w:t>
      </w:r>
    </w:p>
    <w:p>
      <w:pPr>
        <w:pStyle w:val="BodyText"/>
        <w:spacing w:line="316" w:lineRule="auto" w:before="31"/>
        <w:ind w:right="1130" w:firstLine="360"/>
        <w:jc w:val="both"/>
      </w:pPr>
      <w:r>
        <w:rPr>
          <w:spacing w:val="-2"/>
        </w:rPr>
        <w:t>利润分配方案经上述程序通过的，由董事会提交股东大会审议。股东大会审议利润分配政策调整方案时，公司应根据证</w:t>
      </w:r>
      <w:r>
        <w:rPr/>
        <w:t> 券交易所的有关规定提供网络或其他方式为公众投资者参加股东大会提供便利。</w:t>
      </w:r>
    </w:p>
    <w:p>
      <w:pPr>
        <w:pStyle w:val="BodyText"/>
        <w:spacing w:line="300" w:lineRule="auto" w:before="19"/>
        <w:ind w:left="513" w:right="0"/>
        <w:jc w:val="left"/>
      </w:pPr>
      <w:r>
        <w:rPr>
          <w:rFonts w:ascii="Times New Roman" w:hAnsi="Times New Roman" w:cs="Times New Roman" w:eastAsia="Times New Roman" w:hint="default"/>
        </w:rPr>
        <w:t>2</w:t>
      </w:r>
      <w:r>
        <w:rPr/>
        <w:t>、利润分配政策调整的决策程序 </w:t>
      </w:r>
      <w:r>
        <w:rPr>
          <w:spacing w:val="-2"/>
        </w:rPr>
        <w:t>遇到战争、自然灾害等不可抗力、或者公司外部经营环境发生变化并对公司经营造成重大影响，或者公司自身经营状况</w:t>
      </w:r>
    </w:p>
    <w:p>
      <w:pPr>
        <w:pStyle w:val="BodyText"/>
        <w:spacing w:line="240" w:lineRule="auto" w:before="31"/>
        <w:ind w:right="1133"/>
        <w:jc w:val="left"/>
      </w:pPr>
      <w:r>
        <w:rPr/>
        <w:t>发生重大变化时，公司可对利润分配政策进行调整。</w:t>
      </w:r>
    </w:p>
    <w:p>
      <w:pPr>
        <w:pStyle w:val="BodyText"/>
        <w:spacing w:line="309" w:lineRule="auto" w:before="76"/>
        <w:ind w:right="1130" w:firstLine="360"/>
        <w:jc w:val="both"/>
      </w:pPr>
      <w:r>
        <w:rPr/>
        <w:t>（</w:t>
      </w:r>
      <w:r>
        <w:rPr>
          <w:rFonts w:ascii="Times New Roman" w:hAnsi="Times New Roman" w:cs="Times New Roman" w:eastAsia="Times New Roman" w:hint="default"/>
        </w:rPr>
        <w:t>1</w:t>
      </w:r>
      <w:r>
        <w:rPr/>
        <w:t>）由公司董事会战略委员会制定《利润分配政策调整方案》，充分论证由于公司外部经营环境或自身经营状况的变 </w:t>
      </w:r>
      <w:r>
        <w:rPr>
          <w:spacing w:val="-2"/>
        </w:rPr>
        <w:t>化导致公司不能进行现金分红的原因，并说明利润留存的用途，同时制定切实可行的经营计划提升公司的盈利能力，由公司</w:t>
      </w:r>
      <w:r>
        <w:rPr>
          <w:spacing w:val="-63"/>
        </w:rPr>
        <w:t> </w:t>
      </w:r>
      <w:r>
        <w:rPr>
          <w:spacing w:val="-63"/>
        </w:rPr>
      </w:r>
      <w:r>
        <w:rPr/>
        <w:t>董事会根据实际情况，在公司盈利转强时实施公司对过往年度现金分红弥补方案，确保公司股东能够持续获得现金分红。</w:t>
      </w:r>
    </w:p>
    <w:p>
      <w:pPr>
        <w:pStyle w:val="BodyText"/>
        <w:spacing w:line="300" w:lineRule="auto" w:before="24"/>
        <w:ind w:right="1131" w:firstLine="360"/>
        <w:jc w:val="both"/>
      </w:pPr>
      <w:r>
        <w:rPr/>
        <w:t>（</w:t>
      </w:r>
      <w:r>
        <w:rPr>
          <w:rFonts w:ascii="Times New Roman" w:hAnsi="Times New Roman" w:cs="Times New Roman" w:eastAsia="Times New Roman" w:hint="default"/>
        </w:rPr>
        <w:t>2</w:t>
      </w:r>
      <w:r>
        <w:rPr/>
        <w:t>）公司独立董事就《利润分配政策调整方案》发表明确意见并应经全体独立董事过半数通过；如不同意调整利润分 配政策的，独立董事应提出不同意的事实、理由，要求董事会重新制定利润分配政策调整方案。</w:t>
      </w:r>
    </w:p>
    <w:p>
      <w:pPr>
        <w:pStyle w:val="BodyText"/>
        <w:spacing w:line="300" w:lineRule="auto" w:before="31"/>
        <w:ind w:right="1133" w:firstLine="360"/>
        <w:jc w:val="both"/>
      </w:pPr>
      <w:r>
        <w:rPr/>
        <w:t>（</w:t>
      </w:r>
      <w:r>
        <w:rPr>
          <w:rFonts w:ascii="Times New Roman" w:hAnsi="Times New Roman" w:cs="Times New Roman" w:eastAsia="Times New Roman" w:hint="default"/>
        </w:rPr>
        <w:t>3</w:t>
      </w:r>
      <w:r>
        <w:rPr/>
        <w:t>）监事会应当就《利润分配政策调整方案》提出明确意见，并经半数以上监事通过；如不同意，监事会应提出不同 意的事实、理由，并建议董事会重新制定利润分配调整计划。</w:t>
      </w:r>
    </w:p>
    <w:p>
      <w:pPr>
        <w:pStyle w:val="BodyText"/>
        <w:spacing w:line="300" w:lineRule="auto" w:before="31"/>
        <w:ind w:right="1133" w:firstLine="360"/>
        <w:jc w:val="both"/>
      </w:pPr>
      <w:r>
        <w:rPr/>
        <w:t>（</w:t>
      </w:r>
      <w:r>
        <w:rPr>
          <w:rFonts w:ascii="Times New Roman" w:hAnsi="Times New Roman" w:cs="Times New Roman" w:eastAsia="Times New Roman" w:hint="default"/>
        </w:rPr>
        <w:t>4</w:t>
      </w:r>
      <w:r>
        <w:rPr/>
        <w:t>）股东大会对《利润分配政策调整方案》进行讨论并表决，利润分配政策应当由出席股东大会的股东（包括股东代 理人）所持表决权的</w:t>
      </w:r>
      <w:r>
        <w:rPr>
          <w:spacing w:val="17"/>
        </w:rPr>
        <w:t> </w:t>
      </w:r>
      <w:r>
        <w:rPr>
          <w:rFonts w:ascii="Times New Roman" w:hAnsi="Times New Roman" w:cs="Times New Roman" w:eastAsia="Times New Roman" w:hint="default"/>
        </w:rPr>
        <w:t>2/3</w:t>
      </w:r>
      <w:r>
        <w:rPr>
          <w:rFonts w:ascii="Times New Roman" w:hAnsi="Times New Roman" w:cs="Times New Roman" w:eastAsia="Times New Roman" w:hint="default"/>
          <w:spacing w:val="13"/>
        </w:rPr>
        <w:t> </w:t>
      </w:r>
      <w:r>
        <w:rPr/>
        <w:t>以上通过。股东大会审议利润分配政策调整方案时，公司应根据深圳证券交易所的有关规定提供</w:t>
      </w:r>
      <w:r>
        <w:rPr>
          <w:spacing w:val="-83"/>
        </w:rPr>
        <w:t> </w:t>
      </w:r>
      <w:r>
        <w:rPr>
          <w:spacing w:val="-83"/>
        </w:rPr>
      </w:r>
      <w:r>
        <w:rPr/>
        <w:t>网络或其他方式为公众投资者参加股东大会提供便利。</w:t>
      </w:r>
    </w:p>
    <w:p>
      <w:pPr>
        <w:pStyle w:val="BodyText"/>
        <w:spacing w:line="240" w:lineRule="auto" w:before="31"/>
        <w:ind w:left="513" w:right="1133"/>
        <w:jc w:val="left"/>
      </w:pPr>
      <w:r>
        <w:rPr/>
        <w:t>（七）利润分配方案的实施</w:t>
      </w:r>
    </w:p>
    <w:p>
      <w:pPr>
        <w:pStyle w:val="BodyText"/>
        <w:spacing w:line="240" w:lineRule="auto" w:before="76"/>
        <w:ind w:left="513" w:right="1133"/>
        <w:jc w:val="left"/>
      </w:pPr>
      <w:r>
        <w:rPr/>
        <w:t>公司股东大会对利润分配方案作出决议后，公司董事会须在股东大会召开后</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个月内完成利润分配事项。</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48"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42.809998pt;margin-top:92.059982pt;width:290.95pt;height:20.8pt;mso-position-horizontal-relative:page;mso-position-vertical-relative:page;z-index:-1070368" coordorigin="4856,1841" coordsize="5819,416">
            <v:group style="position:absolute;left:4868;top:1853;width:2;height:392" coordorigin="4868,1853" coordsize="2,392">
              <v:shape style="position:absolute;left:4868;top:1853;width:2;height:392" coordorigin="4868,1853" coordsize="0,392" path="m4868,1853l4868,2244e" filled="false" stroked="true" strokeweight="1.2pt" strokecolor="#ffffff">
                <v:path arrowok="t"/>
              </v:shape>
            </v:group>
            <v:group style="position:absolute;left:4880;top:1853;width:5795;height:392" coordorigin="4880,1853" coordsize="5795,392">
              <v:shape style="position:absolute;left:4880;top:1853;width:5795;height:392" coordorigin="4880,1853" coordsize="5795,392" path="m4880,2244l10675,2244,10675,1853,4880,1853,4880,2244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800,020,000.00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50"/>
              <w:ind w:left="-119"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800,020,000.00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1,903,365,476.61</w:t>
            </w:r>
          </w:p>
        </w:tc>
      </w:tr>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以公司截至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计派发现金股利人民币</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56"/>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同时以</w:t>
            </w:r>
            <w:r>
              <w:rPr>
                <w:rFonts w:ascii="宋体" w:hAnsi="宋体" w:cs="宋体" w:eastAsia="宋体" w:hint="default"/>
                <w:spacing w:val="2"/>
                <w:sz w:val="18"/>
                <w:szCs w:val="18"/>
              </w:rPr>
              <w:t>资</w:t>
            </w:r>
            <w:r>
              <w:rPr>
                <w:rFonts w:ascii="宋体" w:hAnsi="宋体" w:cs="宋体" w:eastAsia="宋体" w:hint="default"/>
                <w:sz w:val="18"/>
                <w:szCs w:val="18"/>
              </w:rPr>
              <w:t>本公积金向全体股东每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转</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56"/>
                <w:sz w:val="18"/>
                <w:szCs w:val="18"/>
              </w:rPr>
              <w:t>，</w:t>
            </w:r>
            <w:r>
              <w:rPr>
                <w:rFonts w:ascii="宋体" w:hAnsi="宋体" w:cs="宋体" w:eastAsia="宋体" w:hint="default"/>
                <w:sz w:val="18"/>
                <w:szCs w:val="18"/>
              </w:rPr>
              <w:t>共计转增</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股，转增后总股本为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800,020,000 </w:t>
            </w:r>
            <w:r>
              <w:rPr>
                <w:rFonts w:ascii="宋体" w:hAnsi="宋体" w:cs="宋体" w:eastAsia="宋体" w:hint="default"/>
                <w:sz w:val="18"/>
                <w:szCs w:val="18"/>
              </w:rPr>
              <w:t>股。</w:t>
            </w:r>
          </w:p>
        </w:tc>
      </w:tr>
    </w:tbl>
    <w:p>
      <w:pPr>
        <w:pStyle w:val="BodyText"/>
        <w:spacing w:line="240" w:lineRule="auto" w:before="49"/>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1133"/>
        <w:jc w:val="left"/>
      </w:pPr>
      <w:r>
        <w:rPr>
          <w:rFonts w:ascii="Times New Roman" w:hAnsi="Times New Roman" w:cs="Times New Roman" w:eastAsia="Times New Roman" w:hint="default"/>
        </w:rPr>
        <w:t>2017</w:t>
      </w:r>
      <w:r>
        <w:rPr/>
        <w:t>年公司未进行利润分配。</w:t>
      </w:r>
    </w:p>
    <w:p>
      <w:pPr>
        <w:pStyle w:val="BodyText"/>
        <w:spacing w:line="240" w:lineRule="auto" w:before="63"/>
        <w:ind w:right="1133"/>
        <w:jc w:val="left"/>
      </w:pPr>
      <w:r>
        <w:rPr>
          <w:rFonts w:ascii="Times New Roman" w:hAnsi="Times New Roman" w:cs="Times New Roman" w:eastAsia="Times New Roman" w:hint="default"/>
        </w:rPr>
        <w:t>2018</w:t>
      </w:r>
      <w:r>
        <w:rPr/>
        <w:t>年公司未进行利润分配。</w:t>
      </w:r>
    </w:p>
    <w:p>
      <w:pPr>
        <w:pStyle w:val="BodyText"/>
        <w:spacing w:line="240" w:lineRule="auto" w:before="63"/>
        <w:ind w:right="1133"/>
        <w:jc w:val="left"/>
      </w:pPr>
      <w:r>
        <w:rPr>
          <w:rFonts w:ascii="Times New Roman" w:hAnsi="Times New Roman" w:cs="Times New Roman" w:eastAsia="Times New Roman" w:hint="default"/>
        </w:rPr>
        <w:t>2019</w:t>
      </w:r>
      <w:r>
        <w:rPr/>
        <w:t>年公司利润分配方案如下：</w:t>
      </w:r>
    </w:p>
    <w:p>
      <w:pPr>
        <w:pStyle w:val="BodyText"/>
        <w:spacing w:line="300" w:lineRule="auto" w:before="63"/>
        <w:ind w:right="1114" w:firstLine="360"/>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日，公司召开第二届董事会第二十六次会议，审议通过了《拉卡拉支付股份有限公司关于</w:t>
      </w:r>
      <w:r>
        <w:rPr>
          <w:rFonts w:ascii="Times New Roman" w:hAnsi="Times New Roman" w:cs="Times New Roman" w:eastAsia="Times New Roman" w:hint="default"/>
          <w:spacing w:val="-2"/>
        </w:rPr>
        <w:t>2019</w:t>
      </w:r>
      <w:r>
        <w:rPr>
          <w:spacing w:val="-2"/>
        </w:rPr>
        <w:t>年度利润分配</w:t>
      </w:r>
      <w:r>
        <w:rPr/>
        <w:t> </w:t>
      </w:r>
      <w:r>
        <w:rPr>
          <w:spacing w:val="-2"/>
        </w:rPr>
        <w:t>及资本公积金转增股本方案》，以公司截至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400,010,000</w:t>
      </w:r>
      <w:r>
        <w:rPr>
          <w:spacing w:val="-2"/>
        </w:rPr>
        <w:t>股为基数，向全体股东每</w:t>
      </w:r>
      <w:r>
        <w:rPr>
          <w:rFonts w:ascii="Times New Roman" w:hAnsi="Times New Roman" w:cs="Times New Roman" w:eastAsia="Times New Roman" w:hint="default"/>
          <w:spacing w:val="-2"/>
        </w:rPr>
        <w:t>10</w:t>
      </w:r>
      <w:r>
        <w:rPr>
          <w:spacing w:val="-2"/>
        </w:rPr>
        <w:t>股派发现金股利人</w:t>
      </w:r>
      <w:r>
        <w:rPr>
          <w:spacing w:val="-48"/>
        </w:rPr>
        <w:t> </w:t>
      </w:r>
      <w:r>
        <w:rPr>
          <w:spacing w:val="-48"/>
        </w:rPr>
      </w:r>
      <w:r>
        <w:rPr/>
        <w:t>民币</w:t>
      </w:r>
      <w:r>
        <w:rPr>
          <w:rFonts w:ascii="Times New Roman" w:hAnsi="Times New Roman" w:cs="Times New Roman" w:eastAsia="Times New Roman" w:hint="default"/>
        </w:rPr>
        <w:t>20</w:t>
      </w:r>
      <w:r>
        <w:rPr/>
        <w:t>元（含税），合计派发现金股利人民币</w:t>
      </w:r>
      <w:r>
        <w:rPr>
          <w:spacing w:val="-26"/>
        </w:rPr>
        <w:t> </w:t>
      </w:r>
      <w:r>
        <w:rPr>
          <w:rFonts w:ascii="Times New Roman" w:hAnsi="Times New Roman" w:cs="Times New Roman" w:eastAsia="Times New Roman" w:hint="default"/>
        </w:rPr>
        <w:t>800,020,000.00</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spacing w:val="-3"/>
        </w:rPr>
        <w:t> </w:t>
      </w:r>
      <w:r>
        <w:rPr/>
        <w:t>共计转增</w:t>
      </w:r>
      <w:r>
        <w:rPr>
          <w:rFonts w:ascii="Times New Roman" w:hAnsi="Times New Roman" w:cs="Times New Roman" w:eastAsia="Times New Roman" w:hint="default"/>
        </w:rPr>
        <w:t>400,010,000</w:t>
      </w:r>
      <w:r>
        <w:rPr/>
        <w:t>股，转增后总股本为</w:t>
      </w:r>
      <w:r>
        <w:rPr>
          <w:rFonts w:ascii="Times New Roman" w:hAnsi="Times New Roman" w:cs="Times New Roman" w:eastAsia="Times New Roman" w:hint="default"/>
        </w:rPr>
        <w:t>800,020,000</w:t>
      </w:r>
      <w:r>
        <w:rPr/>
        <w:t>股。该议案尚需提交股东大会审议通过。</w:t>
      </w:r>
    </w:p>
    <w:p>
      <w:pPr>
        <w:pStyle w:val="BodyText"/>
        <w:spacing w:line="240" w:lineRule="auto" w:before="53"/>
        <w:ind w:right="1133"/>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800,020,000.00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806,342,383.91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800,020,000.00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99.22%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599,491,627.18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469,643,398.63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1133"/>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4"/>
        <w:gridCol w:w="1135"/>
        <w:gridCol w:w="1128"/>
        <w:gridCol w:w="1126"/>
        <w:gridCol w:w="1126"/>
        <w:gridCol w:w="1121"/>
        <w:gridCol w:w="1106"/>
      </w:tblGrid>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7"/>
        <w:rPr>
          <w:rFonts w:ascii="宋体" w:hAnsi="宋体" w:cs="宋体" w:eastAsia="宋体" w:hint="default"/>
          <w:sz w:val="29"/>
          <w:szCs w:val="29"/>
        </w:rPr>
      </w:pPr>
      <w:r>
        <w:rPr/>
        <w:pict>
          <v:shape style="position:absolute;margin-left:480.100006pt;margin-top:72.47998pt;width:54.85pt;height:769.45pt;mso-position-horizontal-relative:page;mso-position-vertical-relative:page;z-index:-10703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3</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70320"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pStyle w:val="BodyText"/>
        <w:spacing w:line="312" w:lineRule="auto" w:before="44"/>
        <w:ind w:left="5270" w:right="3666"/>
        <w:jc w:val="left"/>
      </w:pPr>
      <w:r>
        <w:rPr>
          <w:rFonts w:ascii="Times New Roman" w:hAnsi="Times New Roman" w:cs="Times New Roman" w:eastAsia="Times New Roman" w:hint="default"/>
        </w:rPr>
        <w:t>"</w:t>
      </w:r>
      <w:r>
        <w:rPr/>
        <w:t>本次发行前 股东所持股 份的流通限 制和自愿锁 定承诺：</w:t>
      </w:r>
      <w:r>
        <w:rPr>
          <w:rFonts w:ascii="Times New Roman" w:hAnsi="Times New Roman" w:cs="Times New Roman" w:eastAsia="Times New Roman" w:hint="default"/>
        </w:rPr>
        <w:t>1</w:t>
      </w:r>
      <w:r>
        <w:rPr/>
        <w:t>、 合计持有公 司</w:t>
      </w:r>
      <w:r>
        <w:rPr>
          <w:spacing w:val="-43"/>
        </w:rPr>
        <w:t> </w:t>
      </w:r>
      <w:r>
        <w:rPr>
          <w:rFonts w:ascii="Times New Roman" w:hAnsi="Times New Roman" w:cs="Times New Roman" w:eastAsia="Times New Roman" w:hint="default"/>
        </w:rPr>
        <w:t>55.04%</w:t>
      </w:r>
      <w:r>
        <w:rPr/>
        <w:t>股</w:t>
      </w:r>
    </w:p>
    <w:p>
      <w:pPr>
        <w:pStyle w:val="BodyText"/>
        <w:spacing w:line="314" w:lineRule="auto" w:before="3"/>
        <w:ind w:left="5270" w:right="3593"/>
        <w:jc w:val="left"/>
      </w:pPr>
      <w:r>
        <w:rPr/>
        <w:t>份的主要股 东联想控股、 孙陶然、鹤鸣 永创、孙浩然 及陈江涛均 </w:t>
      </w:r>
      <w:r>
        <w:rPr>
          <w:spacing w:val="-15"/>
        </w:rPr>
        <w:t>承诺：（</w:t>
      </w:r>
      <w:r>
        <w:rPr>
          <w:rFonts w:ascii="Times New Roman" w:hAnsi="Times New Roman" w:cs="Times New Roman" w:eastAsia="Times New Roman" w:hint="default"/>
          <w:spacing w:val="-15"/>
        </w:rPr>
        <w:t>1</w:t>
      </w:r>
      <w:r>
        <w:rPr>
          <w:spacing w:val="-15"/>
        </w:rPr>
        <w:t>）自</w:t>
      </w:r>
      <w:r>
        <w:rPr>
          <w:spacing w:val="-5"/>
        </w:rPr>
        <w:t> </w:t>
      </w:r>
      <w:r>
        <w:rPr/>
        <w:t>发行人股票</w:t>
      </w:r>
      <w:r>
        <w:rPr/>
        <w:t> 上市之日起 </w:t>
      </w:r>
      <w:r>
        <w:rPr>
          <w:rFonts w:ascii="Times New Roman" w:hAnsi="Times New Roman" w:cs="Times New Roman" w:eastAsia="Times New Roman" w:hint="default"/>
        </w:rPr>
        <w:t>36</w:t>
      </w:r>
      <w:r>
        <w:rPr>
          <w:rFonts w:ascii="Times New Roman" w:hAnsi="Times New Roman" w:cs="Times New Roman" w:eastAsia="Times New Roman" w:hint="default"/>
          <w:spacing w:val="5"/>
        </w:rPr>
        <w:t> </w:t>
      </w:r>
      <w:r>
        <w:rPr>
          <w:spacing w:val="-12"/>
        </w:rPr>
        <w:t>个月内，本</w:t>
      </w:r>
      <w:r>
        <w:rPr/>
        <w:t> 公司</w:t>
      </w:r>
      <w:r>
        <w:rPr>
          <w:rFonts w:ascii="Times New Roman" w:hAnsi="Times New Roman" w:cs="Times New Roman" w:eastAsia="Times New Roman" w:hint="default"/>
        </w:rPr>
        <w:t>/</w:t>
      </w:r>
      <w:r>
        <w:rPr/>
        <w:t>本人不 转让或者委 托他人管理 本公司</w:t>
      </w:r>
      <w:r>
        <w:rPr>
          <w:rFonts w:ascii="Times New Roman" w:hAnsi="Times New Roman" w:cs="Times New Roman" w:eastAsia="Times New Roman" w:hint="default"/>
        </w:rPr>
        <w:t>/</w:t>
      </w:r>
      <w:r>
        <w:rPr/>
        <w:t>本人 直接或间接 持有的、发行 人公开发行 股票前已发 行的股份，也 不由发行人 回购该部分 </w:t>
      </w:r>
      <w:r>
        <w:rPr>
          <w:spacing w:val="-15"/>
        </w:rPr>
        <w:t>股份。（</w:t>
      </w:r>
      <w:r>
        <w:rPr>
          <w:rFonts w:ascii="Times New Roman" w:hAnsi="Times New Roman" w:cs="Times New Roman" w:eastAsia="Times New Roman" w:hint="default"/>
          <w:spacing w:val="-15"/>
        </w:rPr>
        <w:t>2</w:t>
      </w:r>
      <w:r>
        <w:rPr>
          <w:spacing w:val="-15"/>
        </w:rPr>
        <w:t>）在</w:t>
      </w:r>
      <w:r>
        <w:rPr>
          <w:spacing w:val="-5"/>
        </w:rPr>
        <w:t> </w:t>
      </w:r>
      <w:r>
        <w:rPr/>
        <w:t>上述锁定期</w:t>
      </w:r>
      <w:r>
        <w:rPr/>
        <w:t> 届满后两年 内，本公司</w:t>
      </w:r>
      <w:r>
        <w:rPr>
          <w:rFonts w:ascii="Times New Roman" w:hAnsi="Times New Roman" w:cs="Times New Roman" w:eastAsia="Times New Roman" w:hint="default"/>
        </w:rPr>
        <w:t>/ </w:t>
      </w:r>
      <w:r>
        <w:rPr/>
        <w:t>本人减持发 行人股份的， 减持价格不 低于本次发 行并上市时 发行人股票 的发行价（以 下简称</w:t>
      </w:r>
      <w:r>
        <w:rPr>
          <w:rFonts w:ascii="Times New Roman" w:hAnsi="Times New Roman" w:cs="Times New Roman" w:eastAsia="Times New Roman" w:hint="default"/>
        </w:rPr>
        <w:t>“</w:t>
      </w:r>
      <w:r>
        <w:rPr/>
        <w:t>发行 </w:t>
      </w:r>
      <w:r>
        <w:rPr>
          <w:spacing w:val="-14"/>
          <w:w w:val="100"/>
        </w:rPr>
        <w:t>价</w:t>
      </w:r>
      <w:r>
        <w:rPr>
          <w:rFonts w:ascii="Times New Roman" w:hAnsi="Times New Roman" w:cs="Times New Roman" w:eastAsia="Times New Roman" w:hint="default"/>
          <w:spacing w:val="-14"/>
          <w:w w:val="100"/>
        </w:rPr>
        <w:t>”</w:t>
      </w:r>
      <w:r>
        <w:rPr>
          <w:spacing w:val="-14"/>
          <w:w w:val="100"/>
        </w:rPr>
        <w:t>）；发行人</w:t>
      </w:r>
      <w:r>
        <w:rPr>
          <w:spacing w:val="-86"/>
          <w:w w:val="100"/>
        </w:rPr>
        <w:t> </w:t>
      </w:r>
      <w:r>
        <w:rPr>
          <w:spacing w:val="-86"/>
          <w:w w:val="100"/>
        </w:rPr>
      </w:r>
      <w:r>
        <w:rPr/>
        <w:t>上市后</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 内，如其股票 连续</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个交 易日的收盘 价均低于发</w:t>
      </w:r>
    </w:p>
    <w:p>
      <w:pPr>
        <w:pStyle w:val="BodyText"/>
        <w:tabs>
          <w:tab w:pos="9795" w:val="right" w:leader="none"/>
        </w:tabs>
        <w:spacing w:line="240" w:lineRule="auto" w:before="20"/>
        <w:ind w:left="5270" w:right="0"/>
        <w:jc w:val="left"/>
        <w:rPr>
          <w:rFonts w:ascii="Times New Roman" w:hAnsi="Times New Roman" w:cs="Times New Roman" w:eastAsia="Times New Roman" w:hint="default"/>
        </w:rPr>
      </w:pPr>
      <w:r>
        <w:rPr/>
        <w:t>行价，或者上</w:t>
      </w:r>
      <w:r>
        <w:rPr>
          <w:rFonts w:ascii="Times New Roman" w:hAnsi="Times New Roman" w:cs="Times New Roman" w:eastAsia="Times New Roman" w:hint="default"/>
          <w:position w:val="-4"/>
        </w:rPr>
        <w:tab/>
        <w:t>4</w:t>
      </w:r>
      <w:r>
        <w:rPr>
          <w:rFonts w:ascii="Times New Roman" w:hAnsi="Times New Roman" w:cs="Times New Roman" w:eastAsia="Times New Roman" w:hint="default"/>
        </w:rPr>
      </w:r>
    </w:p>
    <w:p>
      <w:pPr>
        <w:pStyle w:val="BodyText"/>
        <w:spacing w:line="309" w:lineRule="auto" w:before="13"/>
        <w:ind w:left="5270" w:right="3600"/>
        <w:jc w:val="both"/>
      </w:pPr>
      <w:r>
        <w:rPr/>
        <w:t>市后</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个月期 </w:t>
      </w:r>
      <w:r>
        <w:rPr>
          <w:spacing w:val="-2"/>
        </w:rPr>
        <w:t>末（如该日不</w:t>
      </w:r>
      <w:r>
        <w:rPr>
          <w:spacing w:val="-88"/>
        </w:rPr>
        <w:t> </w:t>
      </w:r>
      <w:r>
        <w:rPr>
          <w:spacing w:val="-88"/>
        </w:rPr>
      </w:r>
      <w:r>
        <w:rPr>
          <w:spacing w:val="-2"/>
        </w:rPr>
        <w:t>是交易日，则</w:t>
      </w:r>
    </w:p>
    <w:p>
      <w:pPr>
        <w:spacing w:after="0" w:line="309" w:lineRule="auto"/>
        <w:jc w:val="both"/>
        <w:sectPr>
          <w:headerReference w:type="default" r:id="rId12"/>
          <w:footerReference w:type="default" r:id="rId13"/>
          <w:pgSz w:w="11910" w:h="16840"/>
          <w:pgMar w:header="877" w:footer="0" w:top="1060" w:bottom="0" w:left="980" w:right="980"/>
        </w:sectPr>
      </w:pPr>
    </w:p>
    <w:p>
      <w:pPr>
        <w:spacing w:line="240" w:lineRule="auto" w:before="7"/>
        <w:rPr>
          <w:rFonts w:ascii="宋体" w:hAnsi="宋体" w:cs="宋体" w:eastAsia="宋体" w:hint="default"/>
          <w:sz w:val="29"/>
          <w:szCs w:val="29"/>
        </w:rPr>
      </w:pPr>
      <w:r>
        <w:rPr/>
        <w:pict>
          <v:shape style="position:absolute;margin-left:480.100006pt;margin-top:72.47998pt;width:54.85pt;height:769.45pt;mso-position-horizontal-relative:page;mso-position-vertical-relative:page;z-index:-10702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3</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70272"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pStyle w:val="BodyText"/>
        <w:spacing w:line="312" w:lineRule="auto" w:before="44"/>
        <w:ind w:left="5270" w:right="3620"/>
        <w:jc w:val="left"/>
      </w:pPr>
      <w:r>
        <w:rPr>
          <w:rFonts w:ascii="Times New Roman" w:hAnsi="Times New Roman" w:cs="Times New Roman" w:eastAsia="Times New Roman" w:hint="default"/>
        </w:rPr>
        <w:t>"</w:t>
      </w:r>
      <w:r>
        <w:rPr/>
        <w:t>本次发行前 股东所持股 份的流通限 制和自愿锁 定承诺</w:t>
      </w:r>
      <w:r>
        <w:rPr>
          <w:spacing w:val="-44"/>
        </w:rPr>
        <w:t> </w:t>
      </w:r>
      <w:r>
        <w:rPr>
          <w:rFonts w:ascii="Times New Roman" w:hAnsi="Times New Roman" w:cs="Times New Roman" w:eastAsia="Times New Roman" w:hint="default"/>
        </w:rPr>
        <w:t>1</w:t>
      </w:r>
      <w:r>
        <w:rPr/>
        <w:t>、合 计持有公司 </w:t>
      </w:r>
      <w:r>
        <w:rPr>
          <w:rFonts w:ascii="Times New Roman" w:hAnsi="Times New Roman" w:cs="Times New Roman" w:eastAsia="Times New Roman" w:hint="default"/>
        </w:rPr>
        <w:t>55.04%</w:t>
      </w:r>
      <w:r>
        <w:rPr/>
        <w:t>股份</w:t>
      </w:r>
    </w:p>
    <w:p>
      <w:pPr>
        <w:pStyle w:val="BodyText"/>
        <w:spacing w:line="314" w:lineRule="auto" w:before="3"/>
        <w:ind w:left="5270" w:right="3576"/>
        <w:jc w:val="left"/>
      </w:pPr>
      <w:r>
        <w:rPr/>
        <w:t>的主要股东 联想控股、孙 陶然、鹤鸣永 创、孙浩然及 陈江涛均承 </w:t>
      </w:r>
      <w:r>
        <w:rPr>
          <w:spacing w:val="-15"/>
        </w:rPr>
        <w:t>诺：（</w:t>
      </w:r>
      <w:r>
        <w:rPr>
          <w:rFonts w:ascii="Times New Roman" w:hAnsi="Times New Roman" w:cs="Times New Roman" w:eastAsia="Times New Roman" w:hint="default"/>
          <w:spacing w:val="-15"/>
        </w:rPr>
        <w:t>1</w:t>
      </w:r>
      <w:r>
        <w:rPr>
          <w:spacing w:val="-15"/>
        </w:rPr>
        <w:t>）自发</w:t>
      </w:r>
      <w:r>
        <w:rPr>
          <w:spacing w:val="-85"/>
        </w:rPr>
        <w:t> </w:t>
      </w:r>
      <w:r>
        <w:rPr>
          <w:spacing w:val="-85"/>
        </w:rPr>
      </w:r>
      <w:r>
        <w:rPr/>
        <w:t>行人股票上 市之日起</w:t>
      </w:r>
      <w:r>
        <w:rPr>
          <w:spacing w:val="-44"/>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个月内，本公 司</w:t>
      </w:r>
      <w:r>
        <w:rPr>
          <w:rFonts w:ascii="Times New Roman" w:hAnsi="Times New Roman" w:cs="Times New Roman" w:eastAsia="Times New Roman" w:hint="default"/>
        </w:rPr>
        <w:t>/</w:t>
      </w:r>
      <w:r>
        <w:rPr/>
        <w:t>本人不转 让或者委托 他人管理本 公司</w:t>
      </w:r>
      <w:r>
        <w:rPr>
          <w:rFonts w:ascii="Times New Roman" w:hAnsi="Times New Roman" w:cs="Times New Roman" w:eastAsia="Times New Roman" w:hint="default"/>
        </w:rPr>
        <w:t>/</w:t>
      </w:r>
      <w:r>
        <w:rPr/>
        <w:t>本人直 接或间接持 有的、发行人 公开发行股 票前已发行 的股份，也不 由发行人回 购该部分股 </w:t>
      </w:r>
      <w:r>
        <w:rPr>
          <w:spacing w:val="-15"/>
        </w:rPr>
        <w:t>份。（</w:t>
      </w:r>
      <w:r>
        <w:rPr>
          <w:rFonts w:ascii="Times New Roman" w:hAnsi="Times New Roman" w:cs="Times New Roman" w:eastAsia="Times New Roman" w:hint="default"/>
          <w:spacing w:val="-15"/>
        </w:rPr>
        <w:t>2</w:t>
      </w:r>
      <w:r>
        <w:rPr>
          <w:spacing w:val="-15"/>
        </w:rPr>
        <w:t>）在上</w:t>
      </w:r>
      <w:r>
        <w:rPr>
          <w:spacing w:val="-85"/>
        </w:rPr>
        <w:t> </w:t>
      </w:r>
      <w:r>
        <w:rPr>
          <w:spacing w:val="-85"/>
        </w:rPr>
      </w:r>
      <w:r>
        <w:rPr/>
        <w:t>述锁定期届 满后两年内， 本公司</w:t>
      </w:r>
      <w:r>
        <w:rPr>
          <w:rFonts w:ascii="Times New Roman" w:hAnsi="Times New Roman" w:cs="Times New Roman" w:eastAsia="Times New Roman" w:hint="default"/>
        </w:rPr>
        <w:t>/</w:t>
      </w:r>
      <w:r>
        <w:rPr/>
        <w:t>本人 减持发行人 股份的，减持 价格不低于 本次发行并 上市时发行 人股票的发 行价（以下简 </w:t>
      </w:r>
      <w:r>
        <w:rPr>
          <w:spacing w:val="-24"/>
          <w:w w:val="100"/>
        </w:rPr>
        <w:t>称</w:t>
      </w:r>
      <w:r>
        <w:rPr>
          <w:rFonts w:ascii="Times New Roman" w:hAnsi="Times New Roman" w:cs="Times New Roman" w:eastAsia="Times New Roman" w:hint="default"/>
          <w:spacing w:val="-24"/>
          <w:w w:val="100"/>
        </w:rPr>
        <w:t>“</w:t>
      </w:r>
      <w:r>
        <w:rPr>
          <w:spacing w:val="-24"/>
          <w:w w:val="100"/>
        </w:rPr>
        <w:t>发行价</w:t>
      </w:r>
      <w:r>
        <w:rPr>
          <w:rFonts w:ascii="Times New Roman" w:hAnsi="Times New Roman" w:cs="Times New Roman" w:eastAsia="Times New Roman" w:hint="default"/>
          <w:spacing w:val="-24"/>
          <w:w w:val="100"/>
        </w:rPr>
        <w:t>”</w:t>
      </w:r>
      <w:r>
        <w:rPr>
          <w:spacing w:val="-24"/>
          <w:w w:val="100"/>
        </w:rPr>
        <w:t>）；</w:t>
      </w:r>
      <w:r>
        <w:rPr>
          <w:spacing w:val="-85"/>
          <w:w w:val="100"/>
        </w:rPr>
        <w:t> </w:t>
      </w:r>
      <w:r>
        <w:rPr/>
        <w:t>发行人上市</w:t>
      </w:r>
    </w:p>
    <w:p>
      <w:pPr>
        <w:pStyle w:val="BodyText"/>
        <w:spacing w:line="300" w:lineRule="auto" w:before="20"/>
        <w:ind w:left="5270" w:right="3574"/>
        <w:jc w:val="left"/>
      </w:pPr>
      <w:r>
        <w:rPr/>
        <w:t>后</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个月内， 如其股票连</w:t>
      </w:r>
    </w:p>
    <w:p>
      <w:pPr>
        <w:pStyle w:val="BodyText"/>
        <w:spacing w:line="309" w:lineRule="auto" w:before="31"/>
        <w:ind w:left="5270" w:right="3664"/>
        <w:jc w:val="left"/>
      </w:pPr>
      <w:r>
        <w:rPr/>
        <w:t>续</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个交易 日的收盘价 均低于发行</w:t>
      </w:r>
    </w:p>
    <w:p>
      <w:pPr>
        <w:pStyle w:val="BodyText"/>
        <w:tabs>
          <w:tab w:pos="9795" w:val="right" w:leader="none"/>
        </w:tabs>
        <w:spacing w:line="240" w:lineRule="auto" w:before="24"/>
        <w:ind w:left="5270" w:right="0"/>
        <w:jc w:val="left"/>
        <w:rPr>
          <w:rFonts w:ascii="Times New Roman" w:hAnsi="Times New Roman" w:cs="Times New Roman" w:eastAsia="Times New Roman" w:hint="default"/>
        </w:rPr>
      </w:pPr>
      <w:r>
        <w:rPr/>
        <w:t>价，或者上市</w:t>
      </w:r>
      <w:r>
        <w:rPr>
          <w:rFonts w:ascii="Times New Roman" w:hAnsi="Times New Roman" w:cs="Times New Roman" w:eastAsia="Times New Roman" w:hint="default"/>
          <w:position w:val="-4"/>
        </w:rPr>
        <w:tab/>
        <w:t>5</w:t>
      </w:r>
      <w:r>
        <w:rPr>
          <w:rFonts w:ascii="Times New Roman" w:hAnsi="Times New Roman" w:cs="Times New Roman" w:eastAsia="Times New Roman" w:hint="default"/>
        </w:rPr>
      </w:r>
    </w:p>
    <w:p>
      <w:pPr>
        <w:pStyle w:val="BodyText"/>
        <w:spacing w:line="240" w:lineRule="auto" w:before="13"/>
        <w:ind w:left="5270" w:right="0"/>
        <w:jc w:val="left"/>
      </w:pPr>
      <w:r>
        <w:rPr/>
        <w:t>后</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个月期末</w:t>
      </w:r>
    </w:p>
    <w:p>
      <w:pPr>
        <w:pStyle w:val="BodyText"/>
        <w:spacing w:line="316" w:lineRule="auto" w:before="63"/>
        <w:ind w:left="5270" w:right="3588"/>
        <w:jc w:val="left"/>
      </w:pPr>
      <w:r>
        <w:rPr/>
        <w:t>（如该日不 </w:t>
      </w:r>
      <w:r>
        <w:rPr>
          <w:spacing w:val="-2"/>
        </w:rPr>
        <w:t>是交易日，则</w:t>
      </w:r>
    </w:p>
    <w:p>
      <w:pPr>
        <w:spacing w:after="0" w:line="316" w:lineRule="auto"/>
        <w:jc w:val="left"/>
        <w:sectPr>
          <w:headerReference w:type="default" r:id="rId15"/>
          <w:footerReference w:type="default" r:id="rId16"/>
          <w:pgSz w:w="11910" w:h="16840"/>
          <w:pgMar w:header="877" w:footer="0" w:top="1060" w:bottom="0" w:left="980" w:right="980"/>
        </w:sectPr>
      </w:pPr>
    </w:p>
    <w:p>
      <w:pPr>
        <w:spacing w:line="240" w:lineRule="auto" w:before="7"/>
        <w:rPr>
          <w:rFonts w:ascii="宋体" w:hAnsi="宋体" w:cs="宋体" w:eastAsia="宋体" w:hint="default"/>
          <w:sz w:val="29"/>
          <w:szCs w:val="29"/>
        </w:rPr>
      </w:pPr>
      <w:r>
        <w:rPr/>
        <w:pict>
          <v:shape style="position:absolute;margin-left:480.100006pt;margin-top:72.47998pt;width:54.85pt;height:769.45pt;mso-position-horizontal-relative:page;mso-position-vertical-relative:page;z-index:-10702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3</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70224"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pStyle w:val="BodyText"/>
        <w:spacing w:line="312" w:lineRule="auto" w:before="44"/>
        <w:ind w:left="5270" w:right="3620"/>
        <w:jc w:val="left"/>
      </w:pPr>
      <w:r>
        <w:rPr>
          <w:rFonts w:ascii="Times New Roman" w:hAnsi="Times New Roman" w:cs="Times New Roman" w:eastAsia="Times New Roman" w:hint="default"/>
        </w:rPr>
        <w:t>"</w:t>
      </w:r>
      <w:r>
        <w:rPr/>
        <w:t>本次发行前 股东所持股 份的流通限 制和自愿锁 定承诺</w:t>
      </w:r>
      <w:r>
        <w:rPr>
          <w:spacing w:val="-44"/>
        </w:rPr>
        <w:t> </w:t>
      </w:r>
      <w:r>
        <w:rPr>
          <w:rFonts w:ascii="Times New Roman" w:hAnsi="Times New Roman" w:cs="Times New Roman" w:eastAsia="Times New Roman" w:hint="default"/>
        </w:rPr>
        <w:t>1</w:t>
      </w:r>
      <w:r>
        <w:rPr/>
        <w:t>、合 计持有公司 </w:t>
      </w:r>
      <w:r>
        <w:rPr>
          <w:rFonts w:ascii="Times New Roman" w:hAnsi="Times New Roman" w:cs="Times New Roman" w:eastAsia="Times New Roman" w:hint="default"/>
        </w:rPr>
        <w:t>55.04%</w:t>
      </w:r>
      <w:r>
        <w:rPr/>
        <w:t>股份</w:t>
      </w:r>
    </w:p>
    <w:p>
      <w:pPr>
        <w:pStyle w:val="BodyText"/>
        <w:spacing w:line="314" w:lineRule="auto" w:before="3"/>
        <w:ind w:left="5270" w:right="3576"/>
        <w:jc w:val="left"/>
      </w:pPr>
      <w:r>
        <w:rPr/>
        <w:t>的主要股东 联想控股、孙 陶然、鹤鸣永 创、孙浩然及 陈江涛均承 </w:t>
      </w:r>
      <w:r>
        <w:rPr>
          <w:spacing w:val="-15"/>
        </w:rPr>
        <w:t>诺：（</w:t>
      </w:r>
      <w:r>
        <w:rPr>
          <w:rFonts w:ascii="Times New Roman" w:hAnsi="Times New Roman" w:cs="Times New Roman" w:eastAsia="Times New Roman" w:hint="default"/>
          <w:spacing w:val="-15"/>
        </w:rPr>
        <w:t>1</w:t>
      </w:r>
      <w:r>
        <w:rPr>
          <w:spacing w:val="-15"/>
        </w:rPr>
        <w:t>）自发</w:t>
      </w:r>
      <w:r>
        <w:rPr>
          <w:spacing w:val="-85"/>
        </w:rPr>
        <w:t> </w:t>
      </w:r>
      <w:r>
        <w:rPr>
          <w:spacing w:val="-85"/>
        </w:rPr>
      </w:r>
      <w:r>
        <w:rPr/>
        <w:t>行人股票上 市之日起</w:t>
      </w:r>
      <w:r>
        <w:rPr>
          <w:spacing w:val="-44"/>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个月内，本公 司</w:t>
      </w:r>
      <w:r>
        <w:rPr>
          <w:rFonts w:ascii="Times New Roman" w:hAnsi="Times New Roman" w:cs="Times New Roman" w:eastAsia="Times New Roman" w:hint="default"/>
        </w:rPr>
        <w:t>/</w:t>
      </w:r>
      <w:r>
        <w:rPr/>
        <w:t>本人不转 让或者委托 他人管理本 公司</w:t>
      </w:r>
      <w:r>
        <w:rPr>
          <w:rFonts w:ascii="Times New Roman" w:hAnsi="Times New Roman" w:cs="Times New Roman" w:eastAsia="Times New Roman" w:hint="default"/>
        </w:rPr>
        <w:t>/</w:t>
      </w:r>
      <w:r>
        <w:rPr/>
        <w:t>本人直 接或间接持 有的、发行人 公开发行股 票前已发行 的股份，也不 由发行人回 购该部分股 </w:t>
      </w:r>
      <w:r>
        <w:rPr>
          <w:spacing w:val="-15"/>
        </w:rPr>
        <w:t>份。（</w:t>
      </w:r>
      <w:r>
        <w:rPr>
          <w:rFonts w:ascii="Times New Roman" w:hAnsi="Times New Roman" w:cs="Times New Roman" w:eastAsia="Times New Roman" w:hint="default"/>
          <w:spacing w:val="-15"/>
        </w:rPr>
        <w:t>2</w:t>
      </w:r>
      <w:r>
        <w:rPr>
          <w:spacing w:val="-15"/>
        </w:rPr>
        <w:t>）在上</w:t>
      </w:r>
      <w:r>
        <w:rPr>
          <w:spacing w:val="-85"/>
        </w:rPr>
        <w:t> </w:t>
      </w:r>
      <w:r>
        <w:rPr>
          <w:spacing w:val="-85"/>
        </w:rPr>
      </w:r>
      <w:r>
        <w:rPr/>
        <w:t>述锁定期届 满后两年内， 本公司</w:t>
      </w:r>
      <w:r>
        <w:rPr>
          <w:rFonts w:ascii="Times New Roman" w:hAnsi="Times New Roman" w:cs="Times New Roman" w:eastAsia="Times New Roman" w:hint="default"/>
        </w:rPr>
        <w:t>/</w:t>
      </w:r>
      <w:r>
        <w:rPr/>
        <w:t>本人 减持发行人 股份的，减持 价格不低于 本次发行并 上市时发行 人股票的发 行价（以下简 </w:t>
      </w:r>
      <w:r>
        <w:rPr>
          <w:spacing w:val="-24"/>
          <w:w w:val="100"/>
        </w:rPr>
        <w:t>称</w:t>
      </w:r>
      <w:r>
        <w:rPr>
          <w:rFonts w:ascii="Times New Roman" w:hAnsi="Times New Roman" w:cs="Times New Roman" w:eastAsia="Times New Roman" w:hint="default"/>
          <w:spacing w:val="-24"/>
          <w:w w:val="100"/>
        </w:rPr>
        <w:t>“</w:t>
      </w:r>
      <w:r>
        <w:rPr>
          <w:spacing w:val="-24"/>
          <w:w w:val="100"/>
        </w:rPr>
        <w:t>发行价</w:t>
      </w:r>
      <w:r>
        <w:rPr>
          <w:rFonts w:ascii="Times New Roman" w:hAnsi="Times New Roman" w:cs="Times New Roman" w:eastAsia="Times New Roman" w:hint="default"/>
          <w:spacing w:val="-24"/>
          <w:w w:val="100"/>
        </w:rPr>
        <w:t>”</w:t>
      </w:r>
      <w:r>
        <w:rPr>
          <w:spacing w:val="-24"/>
          <w:w w:val="100"/>
        </w:rPr>
        <w:t>）；</w:t>
      </w:r>
      <w:r>
        <w:rPr>
          <w:spacing w:val="-85"/>
          <w:w w:val="100"/>
        </w:rPr>
        <w:t> </w:t>
      </w:r>
      <w:r>
        <w:rPr/>
        <w:t>发行人上市</w:t>
      </w:r>
    </w:p>
    <w:p>
      <w:pPr>
        <w:pStyle w:val="BodyText"/>
        <w:spacing w:line="300" w:lineRule="auto" w:before="20"/>
        <w:ind w:left="5270" w:right="3574"/>
        <w:jc w:val="left"/>
      </w:pPr>
      <w:r>
        <w:rPr/>
        <w:t>后</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个月内， 如其股票连</w:t>
      </w:r>
    </w:p>
    <w:p>
      <w:pPr>
        <w:pStyle w:val="BodyText"/>
        <w:spacing w:line="309" w:lineRule="auto" w:before="31"/>
        <w:ind w:left="5270" w:right="3664"/>
        <w:jc w:val="left"/>
      </w:pPr>
      <w:r>
        <w:rPr/>
        <w:t>续</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个交易 日的收盘价 均低于发行</w:t>
      </w:r>
    </w:p>
    <w:p>
      <w:pPr>
        <w:pStyle w:val="BodyText"/>
        <w:tabs>
          <w:tab w:pos="9795" w:val="right" w:leader="none"/>
        </w:tabs>
        <w:spacing w:line="240" w:lineRule="auto" w:before="24"/>
        <w:ind w:left="5270" w:right="0"/>
        <w:jc w:val="left"/>
        <w:rPr>
          <w:rFonts w:ascii="Times New Roman" w:hAnsi="Times New Roman" w:cs="Times New Roman" w:eastAsia="Times New Roman" w:hint="default"/>
        </w:rPr>
      </w:pPr>
      <w:r>
        <w:rPr/>
        <w:t>价，或者上市</w:t>
      </w:r>
      <w:r>
        <w:rPr>
          <w:rFonts w:ascii="Times New Roman" w:hAnsi="Times New Roman" w:cs="Times New Roman" w:eastAsia="Times New Roman" w:hint="default"/>
          <w:position w:val="-4"/>
        </w:rPr>
        <w:tab/>
        <w:t>6</w:t>
      </w:r>
      <w:r>
        <w:rPr>
          <w:rFonts w:ascii="Times New Roman" w:hAnsi="Times New Roman" w:cs="Times New Roman" w:eastAsia="Times New Roman" w:hint="default"/>
        </w:rPr>
      </w:r>
    </w:p>
    <w:p>
      <w:pPr>
        <w:pStyle w:val="BodyText"/>
        <w:spacing w:line="240" w:lineRule="auto" w:before="13"/>
        <w:ind w:left="5270" w:right="0"/>
        <w:jc w:val="left"/>
      </w:pPr>
      <w:r>
        <w:rPr/>
        <w:t>后</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个月期末</w:t>
      </w:r>
    </w:p>
    <w:p>
      <w:pPr>
        <w:pStyle w:val="BodyText"/>
        <w:spacing w:line="316" w:lineRule="auto" w:before="63"/>
        <w:ind w:left="5270" w:right="3588"/>
        <w:jc w:val="left"/>
      </w:pPr>
      <w:r>
        <w:rPr/>
        <w:t>（如该日不 </w:t>
      </w:r>
      <w:r>
        <w:rPr>
          <w:spacing w:val="-2"/>
        </w:rPr>
        <w:t>是交易日，则</w:t>
      </w:r>
    </w:p>
    <w:p>
      <w:pPr>
        <w:spacing w:after="0" w:line="316" w:lineRule="auto"/>
        <w:jc w:val="left"/>
        <w:sectPr>
          <w:headerReference w:type="default" r:id="rId17"/>
          <w:footerReference w:type="default" r:id="rId18"/>
          <w:pgSz w:w="11910" w:h="16840"/>
          <w:pgMar w:header="877" w:footer="0" w:top="1060" w:bottom="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52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9" w:lineRule="auto"/>
              <w:ind w:left="23" w:right="137"/>
              <w:jc w:val="both"/>
              <w:rPr>
                <w:rFonts w:ascii="宋体" w:hAnsi="宋体" w:cs="宋体" w:eastAsia="宋体" w:hint="default"/>
                <w:sz w:val="18"/>
                <w:szCs w:val="18"/>
              </w:rPr>
            </w:pPr>
            <w:r>
              <w:rPr>
                <w:rFonts w:ascii="宋体" w:hAnsi="宋体" w:cs="宋体" w:eastAsia="宋体" w:hint="default"/>
                <w:sz w:val="18"/>
                <w:szCs w:val="18"/>
              </w:rPr>
              <w:t>陈江涛</w:t>
            </w:r>
            <w:r>
              <w:rPr>
                <w:rFonts w:ascii="Times New Roman" w:hAnsi="Times New Roman" w:cs="Times New Roman" w:eastAsia="Times New Roman" w:hint="default"/>
                <w:sz w:val="18"/>
                <w:szCs w:val="18"/>
              </w:rPr>
              <w:t>;</w:t>
            </w:r>
            <w:r>
              <w:rPr>
                <w:rFonts w:ascii="宋体" w:hAnsi="宋体" w:cs="宋体" w:eastAsia="宋体" w:hint="default"/>
                <w:sz w:val="18"/>
                <w:szCs w:val="18"/>
              </w:rPr>
              <w:t>达孜 鹤鸣永创投 资管理中心</w:t>
            </w:r>
          </w:p>
          <w:p>
            <w:pPr>
              <w:pStyle w:val="TableParagraph"/>
              <w:spacing w:line="304" w:lineRule="auto" w:before="24"/>
              <w:ind w:left="23" w:right="17"/>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联想控股股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孙浩然</w:t>
            </w:r>
            <w:r>
              <w:rPr>
                <w:rFonts w:ascii="Times New Roman" w:hAnsi="Times New Roman" w:cs="Times New Roman" w:eastAsia="Times New Roman" w:hint="default"/>
                <w:sz w:val="18"/>
                <w:szCs w:val="18"/>
              </w:rPr>
              <w:t>;</w:t>
            </w:r>
            <w:r>
              <w:rPr>
                <w:rFonts w:ascii="宋体" w:hAnsi="宋体" w:cs="宋体" w:eastAsia="宋体" w:hint="default"/>
                <w:sz w:val="18"/>
                <w:szCs w:val="18"/>
              </w:rPr>
              <w:t>孙陶 然</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在锁定期届 满后两年内，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减持发行人 股份的，减持 价格不低于 本次发行并 上市时发行 人股票的发 行价（以下简 </w:t>
            </w:r>
            <w:r>
              <w:rPr>
                <w:rFonts w:ascii="宋体" w:hAnsi="宋体" w:cs="宋体" w:eastAsia="宋体" w:hint="default"/>
                <w:spacing w:val="-24"/>
                <w:w w:val="100"/>
                <w:sz w:val="18"/>
                <w:szCs w:val="18"/>
              </w:rPr>
              <w:t>称</w:t>
            </w:r>
            <w:r>
              <w:rPr>
                <w:rFonts w:ascii="Times New Roman" w:hAnsi="Times New Roman" w:cs="Times New Roman" w:eastAsia="Times New Roman" w:hint="default"/>
                <w:spacing w:val="-24"/>
                <w:w w:val="100"/>
                <w:sz w:val="18"/>
                <w:szCs w:val="18"/>
              </w:rPr>
              <w:t>“</w:t>
            </w:r>
            <w:r>
              <w:rPr>
                <w:rFonts w:ascii="宋体" w:hAnsi="宋体" w:cs="宋体" w:eastAsia="宋体" w:hint="default"/>
                <w:spacing w:val="-24"/>
                <w:w w:val="100"/>
                <w:sz w:val="18"/>
                <w:szCs w:val="18"/>
              </w:rPr>
              <w:t>发行价</w:t>
            </w:r>
            <w:r>
              <w:rPr>
                <w:rFonts w:ascii="Times New Roman" w:hAnsi="Times New Roman" w:cs="Times New Roman" w:eastAsia="Times New Roman" w:hint="default"/>
                <w:spacing w:val="-24"/>
                <w:w w:val="100"/>
                <w:sz w:val="18"/>
                <w:szCs w:val="18"/>
              </w:rPr>
              <w:t>”</w:t>
            </w:r>
            <w:r>
              <w:rPr>
                <w:rFonts w:ascii="宋体" w:hAnsi="宋体" w:cs="宋体" w:eastAsia="宋体" w:hint="default"/>
                <w:spacing w:val="-24"/>
                <w:w w:val="100"/>
                <w:sz w:val="18"/>
                <w:szCs w:val="18"/>
              </w:rPr>
              <w:t>）。</w:t>
            </w:r>
            <w:r>
              <w:rPr>
                <w:rFonts w:ascii="宋体" w:hAnsi="宋体" w:cs="宋体" w:eastAsia="宋体" w:hint="default"/>
                <w:w w:val="100"/>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2024-04-24</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陈杰</w:t>
            </w:r>
            <w:r>
              <w:rPr>
                <w:rFonts w:ascii="Times New Roman" w:hAnsi="Times New Roman" w:cs="Times New Roman" w:eastAsia="Times New Roman" w:hint="default"/>
                <w:sz w:val="18"/>
                <w:szCs w:val="18"/>
              </w:rPr>
              <w:t>;</w:t>
            </w:r>
            <w:r>
              <w:rPr>
                <w:rFonts w:ascii="宋体" w:hAnsi="宋体" w:cs="宋体" w:eastAsia="宋体" w:hint="default"/>
                <w:sz w:val="18"/>
                <w:szCs w:val="18"/>
              </w:rPr>
              <w:t>周钢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锁定期届满 </w:t>
            </w:r>
            <w:r>
              <w:rPr>
                <w:rFonts w:ascii="宋体" w:hAnsi="宋体" w:cs="宋体" w:eastAsia="宋体" w:hint="default"/>
                <w:spacing w:val="-2"/>
                <w:sz w:val="18"/>
                <w:szCs w:val="18"/>
              </w:rPr>
              <w:t>后两年内，本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人减持发行 </w:t>
            </w:r>
            <w:r>
              <w:rPr>
                <w:rFonts w:ascii="宋体" w:hAnsi="宋体" w:cs="宋体" w:eastAsia="宋体" w:hint="default"/>
                <w:spacing w:val="-2"/>
                <w:sz w:val="18"/>
                <w:szCs w:val="18"/>
              </w:rPr>
              <w:t>人股份的，减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持价格不低 于本次首发 上市时发行 人股票的发 行价。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2022-04-24</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76"/>
        <w:ind w:left="0" w:right="1128"/>
        <w:jc w:val="right"/>
        <w:rPr>
          <w:rFonts w:ascii="Times New Roman" w:hAnsi="Times New Roman" w:cs="Times New Roman" w:eastAsia="Times New Roman" w:hint="default"/>
        </w:rPr>
      </w:pPr>
      <w:r>
        <w:rPr/>
        <w:pict>
          <v:shape style="position:absolute;margin-left:535.634705pt;margin-top:28.746868pt;width:59.493346pt;height:26.794713pt;mso-position-horizontal-relative:page;mso-position-vertical-relative:paragraph;z-index:1432" type="#_x0000_t75" stroked="false">
            <v:imagedata r:id="rId14" o:title=""/>
          </v:shape>
        </w:pict>
      </w:r>
      <w:r>
        <w:rPr>
          <w:rFonts w:ascii="Times New Roman"/>
        </w:rPr>
        <w:t>37</w:t>
      </w:r>
    </w:p>
    <w:p>
      <w:pPr>
        <w:spacing w:after="0" w:line="240" w:lineRule="auto"/>
        <w:jc w:val="right"/>
        <w:rPr>
          <w:rFonts w:ascii="Times New Roman" w:hAnsi="Times New Roman" w:cs="Times New Roman" w:eastAsia="Times New Roman" w:hint="default"/>
        </w:rPr>
        <w:sectPr>
          <w:headerReference w:type="default" r:id="rId19"/>
          <w:footerReference w:type="default" r:id="rId20"/>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769.45pt;mso-position-horizontal-relative:page;mso-position-vertical-relative:page;z-index:-10701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pict>
          <v:shape style="position:absolute;margin-left:480.100006pt;margin-top:72.47998pt;width:54.85pt;height:769.45pt;mso-position-horizontal-relative:page;mso-position-vertical-relative:page;z-index:-10701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3</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70128"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5389" coordorigin="7353,1450" coordsize="1116,15389">
              <v:shape style="position:absolute;left:7353;top:1450;width:1116;height:15389" coordorigin="7353,1450" coordsize="1116,15389" path="m8469,16838l8469,1450,7353,1450,7353,16838,8469,16838xe" filled="true" fillcolor="#ffffff" stroked="false">
                <v:path arrowok="t"/>
                <v:fill type="solid"/>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spacing w:line="240" w:lineRule="auto" w:before="6"/>
        <w:rPr>
          <w:rFonts w:ascii="Times New Roman" w:hAnsi="Times New Roman" w:cs="Times New Roman" w:eastAsia="Times New Roman" w:hint="default"/>
          <w:sz w:val="17"/>
          <w:szCs w:val="17"/>
        </w:rPr>
      </w:pPr>
    </w:p>
    <w:p>
      <w:pPr>
        <w:pStyle w:val="BodyText"/>
        <w:spacing w:line="314" w:lineRule="auto"/>
        <w:ind w:left="5270" w:right="3588"/>
        <w:jc w:val="left"/>
      </w:pPr>
      <w:r>
        <w:rPr>
          <w:rFonts w:ascii="Times New Roman" w:hAnsi="Times New Roman" w:cs="Times New Roman" w:eastAsia="Times New Roman" w:hint="default"/>
        </w:rPr>
        <w:t>"</w:t>
      </w:r>
      <w:r>
        <w:rPr/>
        <w:t>公开发行前 持股</w:t>
      </w:r>
      <w:r>
        <w:rPr>
          <w:spacing w:val="-45"/>
        </w:rPr>
        <w:t> </w:t>
      </w:r>
      <w:r>
        <w:rPr>
          <w:rFonts w:ascii="Times New Roman" w:hAnsi="Times New Roman" w:cs="Times New Roman" w:eastAsia="Times New Roman" w:hint="default"/>
        </w:rPr>
        <w:t>5%</w:t>
      </w:r>
      <w:r>
        <w:rPr/>
        <w:t>以上 股东的持股 意向及减持 意向公司</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以上股东联 </w:t>
      </w:r>
      <w:r>
        <w:rPr>
          <w:spacing w:val="-2"/>
        </w:rPr>
        <w:t>想控股、孙陶</w:t>
      </w:r>
      <w:r>
        <w:rPr>
          <w:spacing w:val="-88"/>
        </w:rPr>
        <w:t> </w:t>
      </w:r>
      <w:r>
        <w:rPr>
          <w:spacing w:val="-88"/>
        </w:rPr>
      </w:r>
      <w:r>
        <w:rPr/>
        <w:t>然、鹤鸣永 </w:t>
      </w:r>
      <w:r>
        <w:rPr>
          <w:spacing w:val="-2"/>
        </w:rPr>
        <w:t>创、孙浩然及</w:t>
      </w:r>
      <w:r>
        <w:rPr>
          <w:spacing w:val="-88"/>
        </w:rPr>
        <w:t> </w:t>
      </w:r>
      <w:r>
        <w:rPr>
          <w:spacing w:val="-88"/>
        </w:rPr>
      </w:r>
      <w:r>
        <w:rPr/>
        <w:t>陈江涛均就 持股意向及 减持意向承 诺：</w:t>
      </w:r>
      <w:r>
        <w:rPr>
          <w:rFonts w:ascii="Times New Roman" w:hAnsi="Times New Roman" w:cs="Times New Roman" w:eastAsia="Times New Roman" w:hint="default"/>
        </w:rPr>
        <w:t>1</w:t>
      </w:r>
      <w:r>
        <w:rPr/>
        <w:t>、减持 股份的条件 本企业</w:t>
      </w:r>
      <w:r>
        <w:rPr>
          <w:rFonts w:ascii="Times New Roman" w:hAnsi="Times New Roman" w:cs="Times New Roman" w:eastAsia="Times New Roman" w:hint="default"/>
        </w:rPr>
        <w:t>/</w:t>
      </w:r>
      <w:r>
        <w:rPr/>
        <w:t>本人 作为发行人 持股</w:t>
      </w:r>
      <w:r>
        <w:rPr>
          <w:spacing w:val="-45"/>
        </w:rPr>
        <w:t> </w:t>
      </w:r>
      <w:r>
        <w:rPr>
          <w:rFonts w:ascii="Times New Roman" w:hAnsi="Times New Roman" w:cs="Times New Roman" w:eastAsia="Times New Roman" w:hint="default"/>
        </w:rPr>
        <w:t>5%</w:t>
      </w:r>
      <w:r>
        <w:rPr/>
        <w:t>以上 </w:t>
      </w:r>
      <w:r>
        <w:rPr>
          <w:spacing w:val="-2"/>
        </w:rPr>
        <w:t>的股东，严格</w:t>
      </w:r>
      <w:r>
        <w:rPr>
          <w:spacing w:val="-88"/>
        </w:rPr>
        <w:t> </w:t>
      </w:r>
      <w:r>
        <w:rPr>
          <w:spacing w:val="-88"/>
        </w:rPr>
      </w:r>
      <w:r>
        <w:rPr/>
        <w:t>按照公司首 次公开发行 股票招股说 明书及本企 业</w:t>
      </w:r>
      <w:r>
        <w:rPr>
          <w:rFonts w:ascii="Times New Roman" w:hAnsi="Times New Roman" w:cs="Times New Roman" w:eastAsia="Times New Roman" w:hint="default"/>
        </w:rPr>
        <w:t>/</w:t>
      </w:r>
      <w:r>
        <w:rPr/>
        <w:t>本人出具 的承诺载明 的各项锁定 </w:t>
      </w:r>
      <w:r>
        <w:rPr>
          <w:spacing w:val="-2"/>
        </w:rPr>
        <w:t>期限要求，并</w:t>
      </w:r>
      <w:r>
        <w:rPr>
          <w:spacing w:val="-88"/>
        </w:rPr>
        <w:t> </w:t>
      </w:r>
      <w:r>
        <w:rPr>
          <w:spacing w:val="-88"/>
        </w:rPr>
      </w:r>
      <w:r>
        <w:rPr/>
        <w:t>严格遵守相 关法律、法 </w:t>
      </w:r>
      <w:r>
        <w:rPr>
          <w:spacing w:val="-2"/>
        </w:rPr>
        <w:t>规、规范性文</w:t>
      </w:r>
      <w:r>
        <w:rPr>
          <w:spacing w:val="-88"/>
        </w:rPr>
        <w:t> </w:t>
      </w:r>
      <w:r>
        <w:rPr>
          <w:spacing w:val="-88"/>
        </w:rPr>
      </w:r>
      <w:r>
        <w:rPr/>
        <w:t>件规定及监 </w:t>
      </w:r>
      <w:r>
        <w:rPr>
          <w:spacing w:val="-2"/>
        </w:rPr>
        <w:t>管要求，在锁</w:t>
      </w:r>
      <w:r>
        <w:rPr>
          <w:spacing w:val="-88"/>
        </w:rPr>
        <w:t> </w:t>
      </w:r>
      <w:r>
        <w:rPr>
          <w:spacing w:val="-88"/>
        </w:rPr>
      </w:r>
      <w:r>
        <w:rPr/>
        <w:t>定期内不减 持直接或间 接持有公司 的股份。</w:t>
      </w:r>
      <w:r>
        <w:rPr>
          <w:rFonts w:ascii="Times New Roman" w:hAnsi="Times New Roman" w:cs="Times New Roman" w:eastAsia="Times New Roman" w:hint="default"/>
        </w:rPr>
        <w:t>2</w:t>
      </w:r>
      <w:r>
        <w:rPr/>
        <w:t>、 减持股份的 方式锁定期 </w:t>
      </w:r>
      <w:r>
        <w:rPr>
          <w:spacing w:val="-2"/>
        </w:rPr>
        <w:t>届满后，本企</w:t>
      </w:r>
      <w:r>
        <w:rPr>
          <w:spacing w:val="-88"/>
        </w:rPr>
        <w:t> </w:t>
      </w:r>
      <w:r>
        <w:rPr>
          <w:spacing w:val="-88"/>
        </w:rPr>
      </w:r>
      <w:r>
        <w:rPr/>
        <w:t>业</w:t>
      </w:r>
      <w:r>
        <w:rPr>
          <w:rFonts w:ascii="Times New Roman" w:hAnsi="Times New Roman" w:cs="Times New Roman" w:eastAsia="Times New Roman" w:hint="default"/>
        </w:rPr>
        <w:t>/</w:t>
      </w:r>
      <w:r>
        <w:rPr/>
        <w:t>本人拟通 过包括但不 限于二级市 场集中竞价 </w:t>
      </w:r>
      <w:r>
        <w:rPr>
          <w:spacing w:val="-2"/>
        </w:rPr>
        <w:t>交易、大宗交</w:t>
      </w:r>
      <w:r>
        <w:rPr>
          <w:spacing w:val="-88"/>
        </w:rPr>
        <w:t> </w:t>
      </w:r>
      <w:r>
        <w:rPr>
          <w:spacing w:val="-88"/>
        </w:rPr>
      </w:r>
      <w:r>
        <w:rPr>
          <w:spacing w:val="-2"/>
        </w:rPr>
        <w:t>易、协议转让</w:t>
      </w:r>
      <w:r>
        <w:rPr>
          <w:spacing w:val="-88"/>
        </w:rPr>
        <w:t> </w:t>
      </w:r>
      <w:r>
        <w:rPr>
          <w:spacing w:val="-88"/>
        </w:rPr>
      </w:r>
      <w:r>
        <w:rPr/>
        <w:t>等方式减持</w:t>
      </w:r>
    </w:p>
    <w:p>
      <w:pPr>
        <w:pStyle w:val="BodyText"/>
        <w:tabs>
          <w:tab w:pos="9795" w:val="right" w:leader="none"/>
        </w:tabs>
        <w:spacing w:line="240" w:lineRule="auto" w:before="20"/>
        <w:ind w:left="5270" w:right="0"/>
        <w:jc w:val="left"/>
        <w:rPr>
          <w:rFonts w:ascii="Times New Roman" w:hAnsi="Times New Roman" w:cs="Times New Roman" w:eastAsia="Times New Roman" w:hint="default"/>
        </w:rPr>
      </w:pPr>
      <w:r>
        <w:rPr/>
        <w:t>直接或间接</w:t>
      </w:r>
      <w:r>
        <w:rPr>
          <w:rFonts w:ascii="Times New Roman" w:hAnsi="Times New Roman" w:cs="Times New Roman" w:eastAsia="Times New Roman" w:hint="default"/>
          <w:position w:val="-4"/>
        </w:rPr>
        <w:tab/>
        <w:t>8</w:t>
      </w:r>
      <w:r>
        <w:rPr>
          <w:rFonts w:ascii="Times New Roman" w:hAnsi="Times New Roman" w:cs="Times New Roman" w:eastAsia="Times New Roman" w:hint="default"/>
        </w:rPr>
      </w:r>
    </w:p>
    <w:p>
      <w:pPr>
        <w:pStyle w:val="BodyText"/>
        <w:spacing w:line="309" w:lineRule="auto" w:before="13"/>
        <w:ind w:left="5270" w:right="3678"/>
        <w:jc w:val="left"/>
      </w:pPr>
      <w:r>
        <w:rPr/>
        <w:t>所持有的发 </w:t>
      </w:r>
      <w:r>
        <w:rPr>
          <w:spacing w:val="-2"/>
        </w:rPr>
        <w:t>行人股份。</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43"/>
        </w:rPr>
        <w:t> </w:t>
      </w:r>
      <w:r>
        <w:rPr/>
        <w:t>减持股份的</w:t>
      </w:r>
    </w:p>
    <w:p>
      <w:pPr>
        <w:spacing w:after="0" w:line="309" w:lineRule="auto"/>
        <w:jc w:val="left"/>
        <w:sectPr>
          <w:headerReference w:type="default" r:id="rId21"/>
          <w:footerReference w:type="default" r:id="rId22"/>
          <w:pgSz w:w="11910" w:h="16840"/>
          <w:pgMar w:header="877" w:footer="0" w:top="1060" w:bottom="0" w:left="980" w:right="980"/>
        </w:sectPr>
      </w:pPr>
    </w:p>
    <w:p>
      <w:pPr>
        <w:spacing w:line="240" w:lineRule="auto" w:before="11"/>
        <w:rPr>
          <w:rFonts w:ascii="宋体" w:hAnsi="宋体" w:cs="宋体" w:eastAsia="宋体" w:hint="default"/>
          <w:sz w:val="2"/>
          <w:szCs w:val="2"/>
        </w:rPr>
      </w:pPr>
      <w:r>
        <w:rPr/>
        <w:pict>
          <v:group style="position:absolute;margin-left:56.400002pt;margin-top:71.759964pt;width:538.75pt;height:770.4pt;mso-position-horizontal-relative:page;mso-position-vertical-relative:page;z-index:-1070056"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9602;top:15103;width:1097;height:1736" coordorigin="9602,15103" coordsize="1097,1736">
              <v:shape style="position:absolute;left:9602;top:15103;width:1097;height:1736" coordorigin="9602,15103" coordsize="1097,1736" path="m10699,16838l10699,15103,9602,15103,9602,16838,10699,16838xe" filled="true" fillcolor="#ffffff" stroked="false">
                <v:path arrowok="t"/>
                <v:fill type="solid"/>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r>
        <w:rPr/>
        <w:pict>
          <v:shape style="position:absolute;margin-left:198.289993pt;margin-top:55.559982pt;width:281.95pt;height:786.4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3"/>
                    <w:gridCol w:w="1128"/>
                    <w:gridCol w:w="1126"/>
                    <w:gridCol w:w="1126"/>
                    <w:gridCol w:w="1121"/>
                  </w:tblGrid>
                  <w:tr>
                    <w:trPr>
                      <w:trHeight w:val="334" w:hRule="exact"/>
                    </w:trPr>
                    <w:tc>
                      <w:tcPr>
                        <w:tcW w:w="112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r>
                  <w:tr>
                    <w:trPr>
                      <w:trHeight w:val="15394" w:hRule="exact"/>
                    </w:trPr>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0"/>
                          <w:ind w:left="23" w:right="87"/>
                          <w:jc w:val="left"/>
                          <w:rPr>
                            <w:rFonts w:ascii="宋体" w:hAnsi="宋体" w:cs="宋体" w:eastAsia="宋体" w:hint="default"/>
                            <w:sz w:val="18"/>
                            <w:szCs w:val="18"/>
                          </w:rPr>
                        </w:pPr>
                        <w:r>
                          <w:rPr>
                            <w:rFonts w:ascii="宋体" w:hAnsi="宋体" w:cs="宋体" w:eastAsia="宋体" w:hint="default"/>
                            <w:sz w:val="18"/>
                            <w:szCs w:val="18"/>
                          </w:rPr>
                          <w:t>陈杰</w:t>
                        </w:r>
                        <w:r>
                          <w:rPr>
                            <w:rFonts w:ascii="Times New Roman" w:hAnsi="Times New Roman" w:cs="Times New Roman" w:eastAsia="Times New Roman" w:hint="default"/>
                            <w:sz w:val="18"/>
                            <w:szCs w:val="18"/>
                          </w:rPr>
                          <w:t>;</w:t>
                        </w:r>
                        <w:r>
                          <w:rPr>
                            <w:rFonts w:ascii="宋体" w:hAnsi="宋体" w:cs="宋体" w:eastAsia="宋体" w:hint="default"/>
                            <w:sz w:val="18"/>
                            <w:szCs w:val="18"/>
                          </w:rPr>
                          <w:t>孙陶然</w:t>
                        </w:r>
                        <w:r>
                          <w:rPr>
                            <w:rFonts w:ascii="Times New Roman" w:hAnsi="Times New Roman" w:cs="Times New Roman" w:eastAsia="Times New Roman" w:hint="default"/>
                            <w:sz w:val="18"/>
                            <w:szCs w:val="18"/>
                          </w:rPr>
                          <w:t>; </w:t>
                        </w:r>
                        <w:r>
                          <w:rPr>
                            <w:rFonts w:ascii="宋体" w:hAnsi="宋体" w:cs="宋体" w:eastAsia="宋体" w:hint="default"/>
                            <w:sz w:val="18"/>
                            <w:szCs w:val="18"/>
                          </w:rPr>
                          <w:t>周钢</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4"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孙陶然作为 公司董事长 还承诺：在任 职期间每年 转让持有的 发行人股份 不超过本人 持有发行人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半年内，不转 让本人持有 的发行人股 份。如本人在 发行人本次 发行并上市 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内申报离职 的，自申报离 职之日起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 让本人直接 或间接持有 的发行人股 份；在本次发 行并上市之 日起第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p>
                        <w:pPr>
                          <w:pStyle w:val="TableParagraph"/>
                          <w:spacing w:line="314" w:lineRule="auto" w:before="1"/>
                          <w:ind w:left="23" w:right="19"/>
                          <w:jc w:val="left"/>
                          <w:rPr>
                            <w:rFonts w:ascii="宋体" w:hAnsi="宋体" w:cs="宋体" w:eastAsia="宋体" w:hint="default"/>
                            <w:sz w:val="18"/>
                            <w:szCs w:val="18"/>
                          </w:rPr>
                        </w:pPr>
                        <w:r>
                          <w:rPr>
                            <w:rFonts w:ascii="宋体" w:hAnsi="宋体" w:cs="宋体" w:eastAsia="宋体" w:hint="default"/>
                            <w:sz w:val="18"/>
                            <w:szCs w:val="18"/>
                          </w:rPr>
                          <w:t>至第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之间申报离 </w:t>
                        </w:r>
                        <w:r>
                          <w:rPr>
                            <w:rFonts w:ascii="宋体" w:hAnsi="宋体" w:cs="宋体" w:eastAsia="宋体" w:hint="default"/>
                            <w:spacing w:val="-2"/>
                            <w:sz w:val="18"/>
                            <w:szCs w:val="18"/>
                          </w:rPr>
                          <w:t>职的，自申报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离职之日起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 得转让本人 直接或间接 持有的发行 </w:t>
                        </w:r>
                        <w:r>
                          <w:rPr>
                            <w:rFonts w:ascii="宋体" w:hAnsi="宋体" w:cs="宋体" w:eastAsia="宋体" w:hint="default"/>
                            <w:spacing w:val="-2"/>
                            <w:sz w:val="18"/>
                            <w:szCs w:val="18"/>
                          </w:rPr>
                          <w:t>人股份。作为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公司董事、监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人员的股东 陈杰、朱国 海、周钢承 </w:t>
                        </w:r>
                        <w:r>
                          <w:rPr>
                            <w:rFonts w:ascii="宋体" w:hAnsi="宋体" w:cs="宋体" w:eastAsia="宋体" w:hint="default"/>
                            <w:spacing w:val="-15"/>
                            <w:sz w:val="18"/>
                            <w:szCs w:val="18"/>
                          </w:rPr>
                          <w:t>诺：（</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）自发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行人上市之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内，本人不转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让或者委托 他人管理本 次发行前持 有的发行人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sz w:val="18"/>
                          </w:rPr>
                          <w:t>9999-12-31</w:t>
                        </w:r>
                      </w:p>
                    </w:tc>
                  </w:tr>
                </w:tbl>
                <w:p>
                  <w:pPr/>
                </w:p>
              </w:txbxContent>
            </v:textbox>
            <w10:wrap type="non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139"/>
        <w:ind w:left="0" w:right="148"/>
        <w:jc w:val="right"/>
        <w:rPr>
          <w:rFonts w:ascii="Times New Roman" w:hAnsi="Times New Roman" w:cs="Times New Roman" w:eastAsia="Times New Roman" w:hint="default"/>
        </w:rPr>
      </w:pPr>
      <w:r>
        <w:rPr/>
        <w:pict>
          <v:shape style="position:absolute;margin-left:480.100006pt;margin-top:-19.693657pt;width:54.85pt;height:86.8pt;mso-position-horizontal-relative:page;mso-position-vertical-relative:paragraph;z-index:-1070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12"/>
                    <w:jc w:val="right"/>
                    <w:rPr>
                      <w:rFonts w:ascii="Times New Roman" w:hAnsi="Times New Roman" w:cs="Times New Roman" w:eastAsia="Times New Roman" w:hint="default"/>
                    </w:rPr>
                  </w:pPr>
                  <w:r>
                    <w:rPr>
                      <w:rFonts w:ascii="Times New Roman"/>
                      <w:spacing w:val="1"/>
                    </w:rPr>
                    <w:t>3</w:t>
                  </w:r>
                  <w:r>
                    <w:rPr>
                      <w:rFonts w:ascii="Times New Roman"/>
                    </w:rPr>
                  </w:r>
                </w:p>
              </w:txbxContent>
            </v:textbox>
            <w10:wrap type="none"/>
          </v:shape>
        </w:pict>
      </w:r>
      <w:r>
        <w:rPr>
          <w:rFonts w:ascii="Times New Roman"/>
          <w:spacing w:val="1"/>
        </w:rPr>
        <w:t>9</w:t>
      </w:r>
      <w:r>
        <w:rPr>
          <w:rFonts w:ascii="Times New Roman"/>
        </w:rPr>
      </w:r>
    </w:p>
    <w:p>
      <w:pPr>
        <w:spacing w:after="0" w:line="240" w:lineRule="auto"/>
        <w:jc w:val="right"/>
        <w:rPr>
          <w:rFonts w:ascii="Times New Roman" w:hAnsi="Times New Roman" w:cs="Times New Roman" w:eastAsia="Times New Roman" w:hint="default"/>
        </w:rPr>
        <w:sectPr>
          <w:headerReference w:type="default" r:id="rId23"/>
          <w:footerReference w:type="default" r:id="rId24"/>
          <w:pgSz w:w="11910" w:h="16840"/>
          <w:pgMar w:header="867" w:footer="0" w:top="1060" w:bottom="0" w:left="980" w:right="980"/>
        </w:sectPr>
      </w:pPr>
    </w:p>
    <w:p>
      <w:pPr>
        <w:spacing w:line="240" w:lineRule="auto" w:before="2"/>
        <w:rPr>
          <w:rFonts w:ascii="Times New Roman" w:hAnsi="Times New Roman" w:cs="Times New Roman" w:eastAsia="Times New Roman" w:hint="default"/>
          <w:sz w:val="3"/>
          <w:szCs w:val="3"/>
        </w:rPr>
      </w:pPr>
      <w:r>
        <w:rPr/>
        <w:pict>
          <v:shape style="position:absolute;margin-left:361.630005pt;margin-top:72.47998pt;width:61.8pt;height:769.45pt;mso-position-horizontal-relative:page;mso-position-vertical-relative:page;z-index:-10699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1"/>
                    <w:ind w:left="0" w:right="0"/>
                    <w:jc w:val="left"/>
                  </w:pPr>
                  <w:r>
                    <w:rPr/>
                    <w:t>、</w:t>
                  </w:r>
                </w:p>
              </w:txbxContent>
            </v:textbox>
            <w10:wrap type="none"/>
          </v:shape>
        </w:pict>
      </w:r>
      <w:r>
        <w:rPr/>
        <w:pict>
          <v:shape style="position:absolute;margin-left:480.100006pt;margin-top:72.47998pt;width:54.85pt;height:769.45pt;mso-position-horizontal-relative:page;mso-position-vertical-relative:page;z-index:-10699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4</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69936"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5389" coordorigin="7353,1450" coordsize="1116,15389">
              <v:shape style="position:absolute;left:7353;top:1450;width:1116;height:15389" coordorigin="7353,1450" coordsize="1116,15389" path="m8469,16838l8469,1450,7353,1450,7353,16838,8469,16838xe" filled="true" fillcolor="#ffffff" stroked="false">
                <v:path arrowok="t"/>
                <v:fill type="solid"/>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28"/>
          <w:szCs w:val="28"/>
        </w:rPr>
      </w:pPr>
    </w:p>
    <w:p>
      <w:pPr>
        <w:pStyle w:val="BodyText"/>
        <w:spacing w:line="316" w:lineRule="auto" w:before="44"/>
        <w:ind w:left="5270" w:right="3588"/>
        <w:jc w:val="left"/>
      </w:pPr>
      <w:r>
        <w:rPr>
          <w:rFonts w:ascii="Times New Roman" w:hAnsi="Times New Roman" w:cs="Times New Roman" w:eastAsia="Times New Roman" w:hint="default"/>
        </w:rPr>
        <w:t>"</w:t>
      </w:r>
      <w:r>
        <w:rPr/>
        <w:t>本次发行完 成前滚存利 润的分配计 划及本次发 行上市后的 股利分配政 </w:t>
      </w:r>
      <w:r>
        <w:rPr>
          <w:spacing w:val="-2"/>
        </w:rPr>
        <w:t>策（一）本次</w:t>
      </w:r>
      <w:r>
        <w:rPr>
          <w:spacing w:val="-88"/>
        </w:rPr>
        <w:t> </w:t>
      </w:r>
      <w:r>
        <w:rPr>
          <w:spacing w:val="-88"/>
        </w:rPr>
      </w:r>
      <w:r>
        <w:rPr/>
        <w:t>发行完成前 滚存利润的 分配计划经 公司</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 第七次临时 股东大会决 </w:t>
      </w:r>
      <w:r>
        <w:rPr>
          <w:spacing w:val="-2"/>
        </w:rPr>
        <w:t>议：公司首次</w:t>
      </w:r>
      <w:r>
        <w:rPr>
          <w:spacing w:val="-88"/>
        </w:rPr>
        <w:t> </w:t>
      </w:r>
      <w:r>
        <w:rPr>
          <w:spacing w:val="-88"/>
        </w:rPr>
      </w:r>
      <w:r>
        <w:rPr/>
        <w:t>公开发行股 票前的滚存 利润将由发 行后的新老 股东按届时 其对公司的 持股比例共 </w:t>
      </w:r>
      <w:r>
        <w:rPr>
          <w:spacing w:val="-16"/>
        </w:rPr>
        <w:t>享。（二）本</w:t>
      </w:r>
      <w:r>
        <w:rPr>
          <w:spacing w:val="-86"/>
        </w:rPr>
        <w:t> </w:t>
      </w:r>
      <w:r>
        <w:rPr>
          <w:spacing w:val="-86"/>
        </w:rPr>
      </w:r>
      <w:r>
        <w:rPr/>
        <w:t>次发行上市 后的股利分 配政策根据 本次公开发 行股票并在 创业板上市 后将生效的</w:t>
      </w:r>
    </w:p>
    <w:p>
      <w:pPr>
        <w:pStyle w:val="BodyText"/>
        <w:spacing w:line="240" w:lineRule="auto" w:before="19"/>
        <w:ind w:left="5250" w:right="3756"/>
        <w:jc w:val="center"/>
      </w:pPr>
      <w:r>
        <w:rPr/>
        <w:t>《公司章程</w:t>
      </w:r>
    </w:p>
    <w:p>
      <w:pPr>
        <w:pStyle w:val="BodyText"/>
        <w:spacing w:line="316" w:lineRule="auto" w:before="76"/>
        <w:ind w:left="5270" w:right="3576"/>
        <w:jc w:val="left"/>
      </w:pPr>
      <w:r>
        <w:rPr>
          <w:spacing w:val="-28"/>
        </w:rPr>
        <w:t>（草案）》，公</w:t>
      </w:r>
      <w:r>
        <w:rPr>
          <w:spacing w:val="-88"/>
        </w:rPr>
        <w:t> </w:t>
      </w:r>
      <w:r>
        <w:rPr>
          <w:spacing w:val="-88"/>
        </w:rPr>
      </w:r>
      <w:r>
        <w:rPr/>
        <w:t>司股利分配 政策如下：</w:t>
      </w:r>
      <w:r>
        <w:rPr>
          <w:rFonts w:ascii="Times New Roman" w:hAnsi="Times New Roman" w:cs="Times New Roman" w:eastAsia="Times New Roman" w:hint="default"/>
        </w:rPr>
        <w:t>1 </w:t>
      </w:r>
      <w:r>
        <w:rPr/>
        <w:t>公司利润分 配原则公司 实行连续、稳 定的利润分 配政策，公司 的利润分配 应重视对投 资者的合理 投资回报并 兼顾公司的 可持续发展， 公司优先采</w:t>
      </w:r>
    </w:p>
    <w:p>
      <w:pPr>
        <w:pStyle w:val="BodyText"/>
        <w:tabs>
          <w:tab w:pos="9704" w:val="left" w:leader="none"/>
        </w:tabs>
        <w:spacing w:line="240" w:lineRule="auto" w:before="19"/>
        <w:ind w:left="5270" w:right="0"/>
        <w:jc w:val="left"/>
        <w:rPr>
          <w:rFonts w:ascii="Times New Roman" w:hAnsi="Times New Roman" w:cs="Times New Roman" w:eastAsia="Times New Roman" w:hint="default"/>
        </w:rPr>
      </w:pPr>
      <w:r>
        <w:rPr/>
        <w:t>取现金分红</w:t>
      </w:r>
      <w:r>
        <w:rPr>
          <w:rFonts w:ascii="Times New Roman" w:hAnsi="Times New Roman" w:cs="Times New Roman" w:eastAsia="Times New Roman" w:hint="default"/>
          <w:position w:val="-4"/>
        </w:rPr>
        <w:tab/>
        <w:t>0</w:t>
      </w:r>
      <w:r>
        <w:rPr>
          <w:rFonts w:ascii="Times New Roman" w:hAnsi="Times New Roman" w:cs="Times New Roman" w:eastAsia="Times New Roman" w:hint="default"/>
        </w:rPr>
      </w:r>
    </w:p>
    <w:p>
      <w:pPr>
        <w:pStyle w:val="BodyText"/>
        <w:spacing w:line="309" w:lineRule="auto" w:before="13"/>
        <w:ind w:left="5270" w:right="3666"/>
        <w:jc w:val="left"/>
      </w:pPr>
      <w:r>
        <w:rPr/>
        <w:t>的利润分配 形式。</w:t>
      </w:r>
      <w:r>
        <w:rPr>
          <w:rFonts w:ascii="Times New Roman" w:hAnsi="Times New Roman" w:cs="Times New Roman" w:eastAsia="Times New Roman" w:hint="default"/>
        </w:rPr>
        <w:t>2</w:t>
      </w:r>
      <w:r>
        <w:rPr/>
        <w:t>、公 司利润分配</w:t>
      </w:r>
    </w:p>
    <w:p>
      <w:pPr>
        <w:spacing w:after="0" w:line="309" w:lineRule="auto"/>
        <w:jc w:val="left"/>
        <w:sectPr>
          <w:headerReference w:type="default" r:id="rId25"/>
          <w:footerReference w:type="default" r:id="rId26"/>
          <w:pgSz w:w="11910" w:h="16840"/>
          <w:pgMar w:header="867" w:footer="0" w:top="1060" w:bottom="0" w:left="980" w:right="980"/>
        </w:sectPr>
      </w:pPr>
    </w:p>
    <w:p>
      <w:pPr>
        <w:spacing w:line="240" w:lineRule="auto" w:before="7"/>
        <w:rPr>
          <w:rFonts w:ascii="宋体" w:hAnsi="宋体" w:cs="宋体" w:eastAsia="宋体" w:hint="default"/>
          <w:sz w:val="29"/>
          <w:szCs w:val="29"/>
        </w:rPr>
      </w:pPr>
      <w:r>
        <w:rPr/>
        <w:pict>
          <v:shape style="position:absolute;margin-left:361.630005pt;margin-top:72.47998pt;width:61.8pt;height:769.45pt;mso-position-horizontal-relative:page;mso-position-vertical-relative:page;z-index:-10699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1"/>
                    <w:ind w:left="0" w:right="0"/>
                    <w:jc w:val="left"/>
                  </w:pPr>
                  <w:r>
                    <w:rPr/>
                    <w:t>、</w:t>
                  </w:r>
                </w:p>
              </w:txbxContent>
            </v:textbox>
            <w10:wrap type="none"/>
          </v:shape>
        </w:pict>
      </w:r>
      <w:r>
        <w:rPr/>
        <w:pict>
          <v:shape style="position:absolute;margin-left:480.100006pt;margin-top:72.47998pt;width:54.85pt;height:769.45pt;mso-position-horizontal-relative:page;mso-position-vertical-relative:page;z-index:-10698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4</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69864"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5389" coordorigin="7353,1450" coordsize="1116,15389">
              <v:shape style="position:absolute;left:7353;top:1450;width:1116;height:15389" coordorigin="7353,1450" coordsize="1116,15389" path="m8469,16838l8469,1450,7353,1450,7353,16838,8469,16838xe" filled="true" fillcolor="#ffffff" stroked="false">
                <v:path arrowok="t"/>
                <v:fill type="solid"/>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pStyle w:val="BodyText"/>
        <w:spacing w:line="316" w:lineRule="auto" w:before="44"/>
        <w:ind w:left="5270" w:right="3588"/>
        <w:jc w:val="left"/>
      </w:pPr>
      <w:r>
        <w:rPr>
          <w:rFonts w:ascii="Times New Roman" w:hAnsi="Times New Roman" w:cs="Times New Roman" w:eastAsia="Times New Roman" w:hint="default"/>
        </w:rPr>
        <w:t>"</w:t>
      </w:r>
      <w:r>
        <w:rPr/>
        <w:t>本次发行完 成前滚存利 润的分配计 划及本次发 行上市后的 股利分配政 </w:t>
      </w:r>
      <w:r>
        <w:rPr>
          <w:spacing w:val="-2"/>
        </w:rPr>
        <w:t>策（一）本次</w:t>
      </w:r>
      <w:r>
        <w:rPr>
          <w:spacing w:val="-88"/>
        </w:rPr>
        <w:t> </w:t>
      </w:r>
      <w:r>
        <w:rPr>
          <w:spacing w:val="-88"/>
        </w:rPr>
      </w:r>
      <w:r>
        <w:rPr/>
        <w:t>发行完成前 滚存利润的 分配计划经 公司</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 第七次临时 股东大会决 </w:t>
      </w:r>
      <w:r>
        <w:rPr>
          <w:spacing w:val="-2"/>
        </w:rPr>
        <w:t>议：公司首次</w:t>
      </w:r>
      <w:r>
        <w:rPr>
          <w:spacing w:val="-88"/>
        </w:rPr>
        <w:t> </w:t>
      </w:r>
      <w:r>
        <w:rPr>
          <w:spacing w:val="-88"/>
        </w:rPr>
      </w:r>
      <w:r>
        <w:rPr/>
        <w:t>公开发行股 票前的滚存 利润将由发 行后的新老 股东按届时 其对公司的 持股比例共 </w:t>
      </w:r>
      <w:r>
        <w:rPr>
          <w:spacing w:val="-16"/>
        </w:rPr>
        <w:t>享。（二）本</w:t>
      </w:r>
      <w:r>
        <w:rPr>
          <w:spacing w:val="-86"/>
        </w:rPr>
        <w:t> </w:t>
      </w:r>
      <w:r>
        <w:rPr>
          <w:spacing w:val="-86"/>
        </w:rPr>
      </w:r>
      <w:r>
        <w:rPr/>
        <w:t>次发行上市 后的股利分 配政策根据 本次公开发 行股票并在 创业板上市 后将生效的</w:t>
      </w:r>
    </w:p>
    <w:p>
      <w:pPr>
        <w:pStyle w:val="BodyText"/>
        <w:spacing w:line="240" w:lineRule="auto" w:before="19"/>
        <w:ind w:left="5250" w:right="3756"/>
        <w:jc w:val="center"/>
      </w:pPr>
      <w:r>
        <w:rPr/>
        <w:t>《公司章程</w:t>
      </w:r>
    </w:p>
    <w:p>
      <w:pPr>
        <w:pStyle w:val="BodyText"/>
        <w:spacing w:line="316" w:lineRule="auto" w:before="76"/>
        <w:ind w:left="5270" w:right="3576"/>
        <w:jc w:val="left"/>
      </w:pPr>
      <w:r>
        <w:rPr>
          <w:spacing w:val="-28"/>
        </w:rPr>
        <w:t>（草案）》，公</w:t>
      </w:r>
      <w:r>
        <w:rPr>
          <w:spacing w:val="-88"/>
        </w:rPr>
        <w:t> </w:t>
      </w:r>
      <w:r>
        <w:rPr>
          <w:spacing w:val="-88"/>
        </w:rPr>
      </w:r>
      <w:r>
        <w:rPr/>
        <w:t>司股利分配 政策如下：</w:t>
      </w:r>
      <w:r>
        <w:rPr>
          <w:rFonts w:ascii="Times New Roman" w:hAnsi="Times New Roman" w:cs="Times New Roman" w:eastAsia="Times New Roman" w:hint="default"/>
        </w:rPr>
        <w:t>1 </w:t>
      </w:r>
      <w:r>
        <w:rPr/>
        <w:t>公司利润分 配原则公司 实行连续、稳 定的利润分 配政策，公司 的利润分配 应重视对投 资者的合理 投资回报并 兼顾公司的 可持续发展， 公司优先采</w:t>
      </w:r>
    </w:p>
    <w:p>
      <w:pPr>
        <w:pStyle w:val="BodyText"/>
        <w:tabs>
          <w:tab w:pos="9795" w:val="right" w:leader="none"/>
        </w:tabs>
        <w:spacing w:line="240" w:lineRule="auto" w:before="19"/>
        <w:ind w:left="5270" w:right="0"/>
        <w:jc w:val="left"/>
        <w:rPr>
          <w:rFonts w:ascii="Times New Roman" w:hAnsi="Times New Roman" w:cs="Times New Roman" w:eastAsia="Times New Roman" w:hint="default"/>
        </w:rPr>
      </w:pPr>
      <w:r>
        <w:rPr/>
        <w:t>取现金分红</w:t>
      </w:r>
      <w:r>
        <w:rPr>
          <w:rFonts w:ascii="Times New Roman" w:hAnsi="Times New Roman" w:cs="Times New Roman" w:eastAsia="Times New Roman" w:hint="default"/>
          <w:position w:val="-4"/>
        </w:rPr>
        <w:tab/>
        <w:t>1</w:t>
      </w:r>
      <w:r>
        <w:rPr>
          <w:rFonts w:ascii="Times New Roman" w:hAnsi="Times New Roman" w:cs="Times New Roman" w:eastAsia="Times New Roman" w:hint="default"/>
        </w:rPr>
      </w:r>
    </w:p>
    <w:p>
      <w:pPr>
        <w:pStyle w:val="BodyText"/>
        <w:spacing w:line="309" w:lineRule="auto" w:before="13"/>
        <w:ind w:left="5270" w:right="3666"/>
        <w:jc w:val="left"/>
      </w:pPr>
      <w:r>
        <w:rPr/>
        <w:t>的利润分配 形式。</w:t>
      </w:r>
      <w:r>
        <w:rPr>
          <w:rFonts w:ascii="Times New Roman" w:hAnsi="Times New Roman" w:cs="Times New Roman" w:eastAsia="Times New Roman" w:hint="default"/>
        </w:rPr>
        <w:t>2</w:t>
      </w:r>
      <w:r>
        <w:rPr/>
        <w:t>、公 司利润分配</w:t>
      </w:r>
    </w:p>
    <w:p>
      <w:pPr>
        <w:spacing w:after="0" w:line="309" w:lineRule="auto"/>
        <w:jc w:val="left"/>
        <w:sectPr>
          <w:headerReference w:type="default" r:id="rId27"/>
          <w:footerReference w:type="default" r:id="rId28"/>
          <w:pgSz w:w="11910" w:h="16840"/>
          <w:pgMar w:header="877" w:footer="0" w:top="1060" w:bottom="0" w:left="980" w:right="980"/>
        </w:sectPr>
      </w:pPr>
    </w:p>
    <w:p>
      <w:pPr>
        <w:spacing w:line="240" w:lineRule="auto" w:before="7"/>
        <w:rPr>
          <w:rFonts w:ascii="宋体" w:hAnsi="宋体" w:cs="宋体" w:eastAsia="宋体" w:hint="default"/>
          <w:sz w:val="29"/>
          <w:szCs w:val="29"/>
        </w:rPr>
      </w:pPr>
      <w:r>
        <w:rPr/>
        <w:pict>
          <v:shape style="position:absolute;margin-left:480.100006pt;margin-top:72.47998pt;width:54.85pt;height:769.45pt;mso-position-horizontal-relative:page;mso-position-vertical-relative:page;z-index:-1069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4</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69816"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pStyle w:val="BodyText"/>
        <w:spacing w:line="316" w:lineRule="auto" w:before="44"/>
        <w:ind w:left="5270" w:right="3576"/>
        <w:jc w:val="left"/>
      </w:pPr>
      <w:r>
        <w:rPr>
          <w:rFonts w:ascii="Times New Roman" w:hAnsi="Times New Roman" w:cs="Times New Roman" w:eastAsia="Times New Roman" w:hint="default"/>
        </w:rPr>
        <w:t>"</w:t>
      </w:r>
      <w:r>
        <w:rPr/>
        <w:t>避免同业竞 争的承诺：为 避免同业竞 争，维护公司 的利益和保 证公司的长 期稳定发展， 公司主要股 东联想控股、 孙陶然、鹤鸣 永创、孙浩 然、陈江涛均 已经出具了</w:t>
      </w:r>
    </w:p>
    <w:p>
      <w:pPr>
        <w:pStyle w:val="BodyText"/>
        <w:spacing w:line="316" w:lineRule="auto" w:before="19"/>
        <w:ind w:left="5270" w:right="3586"/>
        <w:jc w:val="left"/>
      </w:pPr>
      <w:r>
        <w:rPr/>
        <w:t>《避免同业 竞争的承诺 </w:t>
      </w:r>
      <w:r>
        <w:rPr>
          <w:spacing w:val="-16"/>
        </w:rPr>
        <w:t>函》。其中，</w:t>
      </w:r>
      <w:r>
        <w:rPr>
          <w:spacing w:val="-86"/>
        </w:rPr>
        <w:t> </w:t>
      </w:r>
      <w:r>
        <w:rPr>
          <w:spacing w:val="-86"/>
        </w:rPr>
      </w:r>
      <w:r>
        <w:rPr/>
        <w:t>联想控股承 诺：</w:t>
      </w:r>
      <w:r>
        <w:rPr>
          <w:rFonts w:ascii="Times New Roman" w:hAnsi="Times New Roman" w:cs="Times New Roman" w:eastAsia="Times New Roman" w:hint="default"/>
        </w:rPr>
        <w:t>“1</w:t>
      </w:r>
      <w:r>
        <w:rPr/>
        <w:t>、本公 </w:t>
      </w:r>
      <w:r>
        <w:rPr>
          <w:spacing w:val="-2"/>
        </w:rPr>
        <w:t>司声明，本公</w:t>
      </w:r>
      <w:r>
        <w:rPr>
          <w:spacing w:val="-88"/>
        </w:rPr>
        <w:t> </w:t>
      </w:r>
      <w:r>
        <w:rPr>
          <w:spacing w:val="-88"/>
        </w:rPr>
      </w:r>
      <w:r>
        <w:rPr/>
        <w:t>司已向拉卡 </w:t>
      </w:r>
      <w:r>
        <w:rPr>
          <w:spacing w:val="-2"/>
        </w:rPr>
        <w:t>拉准确、全面</w:t>
      </w:r>
      <w:r>
        <w:rPr>
          <w:spacing w:val="-88"/>
        </w:rPr>
        <w:t> </w:t>
      </w:r>
      <w:r>
        <w:rPr>
          <w:spacing w:val="-88"/>
        </w:rPr>
      </w:r>
      <w:r>
        <w:rPr/>
        <w:t>地披露本公 司直接或间 接持有的其 他企业和其 他经济组织</w:t>
      </w:r>
    </w:p>
    <w:p>
      <w:pPr>
        <w:pStyle w:val="BodyText"/>
        <w:spacing w:line="316" w:lineRule="auto" w:before="19"/>
        <w:ind w:left="5270" w:right="3576"/>
        <w:jc w:val="left"/>
      </w:pPr>
      <w:r>
        <w:rPr/>
        <w:t>（拉卡拉控 制的企业和 其他经济组 织除外）的股 权或权益情 况，本公司直 接或间接控 制的上述其 他企业或其 他经济组织 未以任何方 式直接或间 接从事与拉 卡拉相竞争 的业务。</w:t>
      </w:r>
      <w:r>
        <w:rPr>
          <w:rFonts w:ascii="Times New Roman" w:hAnsi="Times New Roman" w:cs="Times New Roman" w:eastAsia="Times New Roman" w:hint="default"/>
        </w:rPr>
        <w:t>2</w:t>
      </w:r>
      <w:r>
        <w:rPr/>
        <w:t>、 本公司承诺， 在本公司作 为拉卡拉的 主要股东期</w:t>
      </w:r>
    </w:p>
    <w:p>
      <w:pPr>
        <w:pStyle w:val="BodyText"/>
        <w:tabs>
          <w:tab w:pos="9795" w:val="right" w:leader="none"/>
        </w:tabs>
        <w:spacing w:line="240" w:lineRule="auto" w:before="19"/>
        <w:ind w:left="5270" w:right="0"/>
        <w:jc w:val="left"/>
        <w:rPr>
          <w:rFonts w:ascii="Times New Roman" w:hAnsi="Times New Roman" w:cs="Times New Roman" w:eastAsia="Times New Roman" w:hint="default"/>
        </w:rPr>
      </w:pPr>
      <w:r>
        <w:rPr/>
        <w:t>间，本公司及</w:t>
      </w:r>
      <w:r>
        <w:rPr>
          <w:rFonts w:ascii="Times New Roman" w:hAnsi="Times New Roman" w:cs="Times New Roman" w:eastAsia="Times New Roman" w:hint="default"/>
          <w:position w:val="-4"/>
        </w:rPr>
        <w:tab/>
        <w:t>2</w:t>
      </w:r>
      <w:r>
        <w:rPr>
          <w:rFonts w:ascii="Times New Roman" w:hAnsi="Times New Roman" w:cs="Times New Roman" w:eastAsia="Times New Roman" w:hint="default"/>
        </w:rPr>
      </w:r>
    </w:p>
    <w:p>
      <w:pPr>
        <w:pStyle w:val="BodyText"/>
        <w:spacing w:line="316" w:lineRule="auto" w:before="13"/>
        <w:ind w:left="5270" w:right="3773"/>
        <w:jc w:val="both"/>
      </w:pPr>
      <w:r>
        <w:rPr/>
        <w:t>本公司现有 或将来成立 的全资子公</w:t>
      </w:r>
    </w:p>
    <w:p>
      <w:pPr>
        <w:spacing w:after="0" w:line="316" w:lineRule="auto"/>
        <w:jc w:val="both"/>
        <w:sectPr>
          <w:headerReference w:type="default" r:id="rId29"/>
          <w:footerReference w:type="default" r:id="rId30"/>
          <w:pgSz w:w="11910" w:h="16840"/>
          <w:pgMar w:header="877" w:footer="0" w:top="1060" w:bottom="0" w:left="980" w:right="980"/>
        </w:sectPr>
      </w:pPr>
    </w:p>
    <w:p>
      <w:pPr>
        <w:spacing w:line="240" w:lineRule="auto" w:before="7"/>
        <w:rPr>
          <w:rFonts w:ascii="宋体" w:hAnsi="宋体" w:cs="宋体" w:eastAsia="宋体" w:hint="default"/>
          <w:sz w:val="29"/>
          <w:szCs w:val="29"/>
        </w:rPr>
      </w:pPr>
      <w:r>
        <w:rPr/>
        <w:pict>
          <v:shape style="position:absolute;margin-left:361.630005pt;margin-top:72.47998pt;width:61.8pt;height:769.45pt;mso-position-horizontal-relative:page;mso-position-vertical-relative:page;z-index:-10697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7"/>
                    <w:ind w:left="0" w:right="0"/>
                    <w:jc w:val="left"/>
                  </w:pPr>
                  <w:r>
                    <w:rPr/>
                    <w:t>、</w:t>
                  </w:r>
                </w:p>
              </w:txbxContent>
            </v:textbox>
            <w10:wrap type="none"/>
          </v:shape>
        </w:pict>
      </w:r>
      <w:r>
        <w:rPr/>
        <w:pict>
          <v:shape style="position:absolute;margin-left:480.100006pt;margin-top:72.47998pt;width:54.85pt;height:769.45pt;mso-position-horizontal-relative:page;mso-position-vertical-relative:page;z-index:-10697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4</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69744"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5389" coordorigin="7353,1450" coordsize="1116,15389">
              <v:shape style="position:absolute;left:7353;top:1450;width:1116;height:15389" coordorigin="7353,1450" coordsize="1116,15389" path="m8469,16838l8469,1450,7353,1450,7353,16838,8469,16838xe" filled="true" fillcolor="#ffffff" stroked="false">
                <v:path arrowok="t"/>
                <v:fill type="solid"/>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pStyle w:val="BodyText"/>
        <w:spacing w:line="316" w:lineRule="auto" w:before="44"/>
        <w:ind w:left="5270" w:right="3576"/>
        <w:jc w:val="left"/>
      </w:pPr>
      <w:r>
        <w:rPr>
          <w:rFonts w:ascii="Times New Roman" w:hAnsi="Times New Roman" w:cs="Times New Roman" w:eastAsia="Times New Roman" w:hint="default"/>
        </w:rPr>
        <w:t>"</w:t>
      </w:r>
      <w:r>
        <w:rPr/>
        <w:t>为减少和规 范关联交易， 发行人的主 要股东均已 出具《关于减 少和规范关 联交易的承 </w:t>
      </w:r>
      <w:r>
        <w:rPr>
          <w:spacing w:val="-16"/>
        </w:rPr>
        <w:t>诺函》，其主</w:t>
      </w:r>
      <w:r>
        <w:rPr>
          <w:spacing w:val="-86"/>
        </w:rPr>
        <w:t> </w:t>
      </w:r>
      <w:r>
        <w:rPr>
          <w:spacing w:val="-86"/>
        </w:rPr>
      </w:r>
      <w:r>
        <w:rPr/>
        <w:t>要内容如下： </w:t>
      </w:r>
      <w:r>
        <w:rPr>
          <w:rFonts w:ascii="Times New Roman" w:hAnsi="Times New Roman" w:cs="Times New Roman" w:eastAsia="Times New Roman" w:hint="default"/>
          <w:spacing w:val="-7"/>
        </w:rPr>
        <w:t>“1</w:t>
      </w:r>
      <w:r>
        <w:rPr>
          <w:spacing w:val="-7"/>
        </w:rPr>
        <w:t>、本人</w:t>
      </w:r>
      <w:r>
        <w:rPr>
          <w:rFonts w:ascii="Times New Roman" w:hAnsi="Times New Roman" w:cs="Times New Roman" w:eastAsia="Times New Roman" w:hint="default"/>
          <w:spacing w:val="-7"/>
        </w:rPr>
        <w:t>/</w:t>
      </w:r>
      <w:r>
        <w:rPr>
          <w:spacing w:val="-7"/>
        </w:rPr>
        <w:t>本单</w:t>
      </w:r>
      <w:r>
        <w:rPr>
          <w:spacing w:val="-85"/>
        </w:rPr>
        <w:t> </w:t>
      </w:r>
      <w:r>
        <w:rPr/>
        <w:t>位将善意履 行作为拉卡 拉股东的义 务，充分尊重</w:t>
      </w:r>
      <w:r>
        <w:rPr/>
        <w:t> 拉卡拉的独 立法人地位， 保障拉卡拉 独立经营、自 主决策。本人</w:t>
      </w:r>
    </w:p>
    <w:p>
      <w:pPr>
        <w:pStyle w:val="BodyText"/>
        <w:spacing w:line="312" w:lineRule="auto" w:before="19"/>
        <w:ind w:left="5270" w:right="3588"/>
        <w:jc w:val="left"/>
      </w:pPr>
      <w:r>
        <w:rPr>
          <w:rFonts w:ascii="Times New Roman" w:hAnsi="Times New Roman" w:cs="Times New Roman" w:eastAsia="Times New Roman" w:hint="default"/>
        </w:rPr>
        <w:t>/</w:t>
      </w:r>
      <w:r>
        <w:rPr/>
        <w:t>本单位将严 </w:t>
      </w:r>
      <w:r>
        <w:rPr>
          <w:spacing w:val="-2"/>
        </w:rPr>
        <w:t>格按照《公司</w:t>
      </w:r>
      <w:r>
        <w:rPr>
          <w:spacing w:val="-88"/>
        </w:rPr>
        <w:t> </w:t>
      </w:r>
      <w:r>
        <w:rPr>
          <w:spacing w:val="-88"/>
        </w:rPr>
      </w:r>
      <w:r>
        <w:rPr>
          <w:spacing w:val="-2"/>
        </w:rPr>
        <w:t>法》以及拉卡</w:t>
      </w:r>
      <w:r>
        <w:rPr>
          <w:spacing w:val="-88"/>
        </w:rPr>
        <w:t> </w:t>
      </w:r>
      <w:r>
        <w:rPr>
          <w:spacing w:val="-88"/>
        </w:rPr>
      </w:r>
      <w:r>
        <w:rPr/>
        <w:t>拉公司章程 </w:t>
      </w:r>
      <w:r>
        <w:rPr>
          <w:spacing w:val="-2"/>
        </w:rPr>
        <w:t>的规定，促使</w:t>
      </w:r>
      <w:r>
        <w:rPr>
          <w:spacing w:val="-88"/>
        </w:rPr>
        <w:t> </w:t>
      </w:r>
      <w:r>
        <w:rPr>
          <w:spacing w:val="-88"/>
        </w:rPr>
      </w:r>
      <w:r>
        <w:rPr/>
        <w:t>经本人</w:t>
      </w:r>
      <w:r>
        <w:rPr>
          <w:rFonts w:ascii="Times New Roman" w:hAnsi="Times New Roman" w:cs="Times New Roman" w:eastAsia="Times New Roman" w:hint="default"/>
        </w:rPr>
        <w:t>/</w:t>
      </w:r>
      <w:r>
        <w:rPr/>
        <w:t>本单 位提名的拉 卡拉董事依 法履行其应 尽的诚信和 勤勉责任。</w:t>
      </w:r>
      <w:r>
        <w:rPr>
          <w:rFonts w:ascii="Times New Roman" w:hAnsi="Times New Roman" w:cs="Times New Roman" w:eastAsia="Times New Roman" w:hint="default"/>
        </w:rPr>
        <w:t>2 </w:t>
      </w:r>
      <w:r>
        <w:rPr/>
        <w:t>截止本承诺 </w:t>
      </w:r>
      <w:r>
        <w:rPr>
          <w:spacing w:val="-2"/>
        </w:rPr>
        <w:t>出具日，除已</w:t>
      </w:r>
      <w:r>
        <w:rPr>
          <w:spacing w:val="-88"/>
        </w:rPr>
        <w:t> </w:t>
      </w:r>
      <w:r>
        <w:rPr>
          <w:spacing w:val="-88"/>
        </w:rPr>
      </w:r>
      <w:r>
        <w:rPr/>
        <w:t>经招股说明 书披露的情 形外，本人</w:t>
      </w:r>
      <w:r>
        <w:rPr>
          <w:rFonts w:ascii="Times New Roman" w:hAnsi="Times New Roman" w:cs="Times New Roman" w:eastAsia="Times New Roman" w:hint="default"/>
        </w:rPr>
        <w:t>/ </w:t>
      </w:r>
      <w:r>
        <w:rPr/>
        <w:t>本单位及本 人</w:t>
      </w:r>
      <w:r>
        <w:rPr>
          <w:rFonts w:ascii="Times New Roman" w:hAnsi="Times New Roman" w:cs="Times New Roman" w:eastAsia="Times New Roman" w:hint="default"/>
        </w:rPr>
        <w:t>/</w:t>
      </w:r>
      <w:r>
        <w:rPr/>
        <w:t>本单位投 资或控制的 企业与发行 人不存在其 他重大关联 交易 。</w:t>
      </w:r>
      <w:r>
        <w:rPr>
          <w:spacing w:val="2"/>
        </w:rPr>
        <w:t> </w:t>
      </w:r>
      <w:r>
        <w:rPr>
          <w:rFonts w:ascii="Times New Roman" w:hAnsi="Times New Roman" w:cs="Times New Roman" w:eastAsia="Times New Roman" w:hint="default"/>
        </w:rPr>
        <w:t>3</w:t>
      </w:r>
      <w:r>
        <w:rPr/>
        <w:t>、 保证本人</w:t>
      </w:r>
      <w:r>
        <w:rPr>
          <w:rFonts w:ascii="Times New Roman" w:hAnsi="Times New Roman" w:cs="Times New Roman" w:eastAsia="Times New Roman" w:hint="default"/>
        </w:rPr>
        <w:t>/</w:t>
      </w:r>
      <w:r>
        <w:rPr/>
        <w:t>本 单位以及本 人</w:t>
      </w:r>
      <w:r>
        <w:rPr>
          <w:rFonts w:ascii="Times New Roman" w:hAnsi="Times New Roman" w:cs="Times New Roman" w:eastAsia="Times New Roman" w:hint="default"/>
        </w:rPr>
        <w:t>/</w:t>
      </w:r>
      <w:r>
        <w:rPr/>
        <w:t>本单位直</w:t>
      </w:r>
    </w:p>
    <w:p>
      <w:pPr>
        <w:pStyle w:val="BodyText"/>
        <w:tabs>
          <w:tab w:pos="9795" w:val="right" w:leader="none"/>
        </w:tabs>
        <w:spacing w:line="240" w:lineRule="auto" w:before="3"/>
        <w:ind w:left="5270" w:right="0"/>
        <w:jc w:val="left"/>
        <w:rPr>
          <w:rFonts w:ascii="Times New Roman" w:hAnsi="Times New Roman" w:cs="Times New Roman" w:eastAsia="Times New Roman" w:hint="default"/>
        </w:rPr>
      </w:pPr>
      <w:r>
        <w:rPr/>
        <w:t>接或间接的</w:t>
      </w:r>
      <w:r>
        <w:rPr>
          <w:rFonts w:ascii="Times New Roman" w:hAnsi="Times New Roman" w:cs="Times New Roman" w:eastAsia="Times New Roman" w:hint="default"/>
          <w:position w:val="-4"/>
        </w:rPr>
        <w:tab/>
        <w:t>3</w:t>
      </w:r>
      <w:r>
        <w:rPr>
          <w:rFonts w:ascii="Times New Roman" w:hAnsi="Times New Roman" w:cs="Times New Roman" w:eastAsia="Times New Roman" w:hint="default"/>
        </w:rPr>
      </w:r>
    </w:p>
    <w:p>
      <w:pPr>
        <w:pStyle w:val="BodyText"/>
        <w:spacing w:line="316" w:lineRule="auto" w:before="13"/>
        <w:ind w:left="5270" w:right="3588"/>
        <w:jc w:val="left"/>
      </w:pPr>
      <w:r>
        <w:rPr/>
        <w:t>公司或者其 他企业或经 </w:t>
      </w:r>
      <w:r>
        <w:rPr>
          <w:spacing w:val="-2"/>
        </w:rPr>
        <w:t>济组织（以下</w:t>
      </w:r>
    </w:p>
    <w:p>
      <w:pPr>
        <w:spacing w:after="0" w:line="316" w:lineRule="auto"/>
        <w:jc w:val="left"/>
        <w:sectPr>
          <w:headerReference w:type="default" r:id="rId31"/>
          <w:footerReference w:type="default" r:id="rId32"/>
          <w:pgSz w:w="11910" w:h="16840"/>
          <w:pgMar w:header="877" w:footer="0" w:top="1060" w:bottom="0" w:left="980" w:right="980"/>
        </w:sectPr>
      </w:pPr>
    </w:p>
    <w:p>
      <w:pPr>
        <w:spacing w:line="240" w:lineRule="auto" w:before="7"/>
        <w:rPr>
          <w:rFonts w:ascii="宋体" w:hAnsi="宋体" w:cs="宋体" w:eastAsia="宋体" w:hint="default"/>
          <w:sz w:val="29"/>
          <w:szCs w:val="29"/>
        </w:rPr>
      </w:pPr>
      <w:r>
        <w:rPr/>
        <w:pict>
          <v:shape style="position:absolute;margin-left:480.100006pt;margin-top:72.47998pt;width:54.85pt;height:769.45pt;mso-position-horizontal-relative:page;mso-position-vertical-relative:page;z-index:-1069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4</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69696"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pStyle w:val="BodyText"/>
        <w:spacing w:line="314" w:lineRule="auto" w:before="44"/>
        <w:ind w:left="5270" w:right="3576"/>
        <w:jc w:val="left"/>
      </w:pPr>
      <w:r>
        <w:rPr>
          <w:rFonts w:ascii="Times New Roman" w:hAnsi="Times New Roman" w:cs="Times New Roman" w:eastAsia="Times New Roman" w:hint="default"/>
        </w:rPr>
        <w:t>"1</w:t>
      </w:r>
      <w:r>
        <w:rPr/>
        <w:t>、启动股价 稳定措施的 具体条件和 顺序本公司 上市后</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年内 股票收盘价 连续</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个交 易日低于最 近一期经审 计的每股净 资产，且同时 满足相关回 购、增持公司 股份等行为 的法律、法规 和规范性文 件的规定，则 触发本公司 履行稳定公 司股价的义 务（以下简称 </w:t>
      </w:r>
      <w:r>
        <w:rPr>
          <w:rFonts w:ascii="Times New Roman" w:hAnsi="Times New Roman" w:cs="Times New Roman" w:eastAsia="Times New Roman" w:hint="default"/>
        </w:rPr>
        <w:t>“</w:t>
      </w:r>
      <w:r>
        <w:rPr/>
        <w:t>触发稳定股 </w:t>
      </w:r>
      <w:r>
        <w:rPr>
          <w:spacing w:val="-14"/>
          <w:w w:val="100"/>
        </w:rPr>
        <w:t>价义务</w:t>
      </w:r>
      <w:r>
        <w:rPr>
          <w:rFonts w:ascii="Times New Roman" w:hAnsi="Times New Roman" w:cs="Times New Roman" w:eastAsia="Times New Roman" w:hint="default"/>
          <w:spacing w:val="-14"/>
          <w:w w:val="100"/>
        </w:rPr>
        <w:t>”</w:t>
      </w:r>
      <w:r>
        <w:rPr>
          <w:spacing w:val="-14"/>
          <w:w w:val="100"/>
        </w:rPr>
        <w:t>）。稳</w:t>
      </w:r>
      <w:r>
        <w:rPr>
          <w:spacing w:val="-86"/>
          <w:w w:val="100"/>
        </w:rPr>
        <w:t> </w:t>
      </w:r>
      <w:r>
        <w:rPr>
          <w:spacing w:val="-86"/>
          <w:w w:val="100"/>
        </w:rPr>
      </w:r>
      <w:r>
        <w:rPr/>
        <w:t>定股价措施 的实施顺序 </w:t>
      </w:r>
      <w:r>
        <w:rPr>
          <w:spacing w:val="-15"/>
        </w:rPr>
        <w:t>如下：（</w:t>
      </w:r>
      <w:r>
        <w:rPr>
          <w:rFonts w:ascii="Times New Roman" w:hAnsi="Times New Roman" w:cs="Times New Roman" w:eastAsia="Times New Roman" w:hint="default"/>
          <w:spacing w:val="-15"/>
        </w:rPr>
        <w:t>1</w:t>
      </w:r>
      <w:r>
        <w:rPr>
          <w:spacing w:val="-15"/>
        </w:rPr>
        <w:t>）公</w:t>
      </w:r>
      <w:r>
        <w:rPr>
          <w:spacing w:val="-5"/>
        </w:rPr>
        <w:t> </w:t>
      </w:r>
      <w:r>
        <w:rPr/>
        <w:t>司回购股份；</w:t>
      </w:r>
    </w:p>
    <w:p>
      <w:pPr>
        <w:pStyle w:val="BodyText"/>
        <w:spacing w:line="314" w:lineRule="auto" w:before="20"/>
        <w:ind w:left="5270" w:right="3576"/>
        <w:jc w:val="left"/>
      </w:pPr>
      <w:r>
        <w:rPr/>
        <w:t>（</w:t>
      </w:r>
      <w:r>
        <w:rPr>
          <w:rFonts w:ascii="Times New Roman" w:hAnsi="Times New Roman" w:cs="Times New Roman" w:eastAsia="Times New Roman" w:hint="default"/>
        </w:rPr>
        <w:t>2</w:t>
      </w:r>
      <w:r>
        <w:rPr/>
        <w:t>）合计持 有公司</w:t>
      </w:r>
      <w:r>
        <w:rPr>
          <w:spacing w:val="-44"/>
        </w:rPr>
        <w:t> </w:t>
      </w:r>
      <w:r>
        <w:rPr>
          <w:rFonts w:ascii="Times New Roman" w:hAnsi="Times New Roman" w:cs="Times New Roman" w:eastAsia="Times New Roman" w:hint="default"/>
        </w:rPr>
        <w:t>51%</w:t>
      </w:r>
      <w:r>
        <w:rPr>
          <w:rFonts w:ascii="Times New Roman" w:hAnsi="Times New Roman" w:cs="Times New Roman" w:eastAsia="Times New Roman" w:hint="default"/>
          <w:spacing w:val="-43"/>
        </w:rPr>
        <w:t> </w:t>
      </w:r>
      <w:r>
        <w:rPr/>
        <w:t>以上股份的 主要股东（依 持股比例由 高到低合计 计算，即公司 前五大股东 联想控股股 份有限公司、 孙陶然、达孜 鹤鸣永创投 资管理中心</w:t>
      </w:r>
    </w:p>
    <w:p>
      <w:pPr>
        <w:pStyle w:val="BodyText"/>
        <w:spacing w:line="316" w:lineRule="auto" w:before="20"/>
        <w:ind w:left="5270" w:right="3576"/>
        <w:jc w:val="left"/>
      </w:pPr>
      <w:r>
        <w:rPr/>
        <w:t>（有限合 </w:t>
      </w:r>
      <w:r>
        <w:rPr>
          <w:spacing w:val="-16"/>
        </w:rPr>
        <w:t>伙）、孙浩然</w:t>
      </w:r>
      <w:r>
        <w:rPr>
          <w:spacing w:val="-86"/>
        </w:rPr>
        <w:t> </w:t>
      </w:r>
      <w:r>
        <w:rPr>
          <w:spacing w:val="-86"/>
        </w:rPr>
      </w:r>
      <w:r>
        <w:rPr/>
        <w:t>和陈江涛）增</w:t>
      </w:r>
      <w:r>
        <w:rPr/>
        <w:t> 持公司股份；</w:t>
      </w:r>
    </w:p>
    <w:p>
      <w:pPr>
        <w:pStyle w:val="BodyText"/>
        <w:spacing w:line="240" w:lineRule="auto" w:before="19"/>
        <w:ind w:left="5270" w:right="0"/>
        <w:jc w:val="left"/>
      </w:pPr>
      <w:r>
        <w:rPr/>
        <w:t>（</w:t>
      </w:r>
      <w:r>
        <w:rPr>
          <w:rFonts w:ascii="Times New Roman" w:hAnsi="Times New Roman" w:cs="Times New Roman" w:eastAsia="Times New Roman" w:hint="default"/>
        </w:rPr>
        <w:t>3</w:t>
      </w:r>
      <w:r>
        <w:rPr/>
        <w:t>）非独立</w:t>
      </w:r>
    </w:p>
    <w:p>
      <w:pPr>
        <w:pStyle w:val="BodyText"/>
        <w:tabs>
          <w:tab w:pos="9795" w:val="right" w:leader="none"/>
        </w:tabs>
        <w:spacing w:line="240" w:lineRule="auto" w:before="63"/>
        <w:ind w:left="5270" w:right="0"/>
        <w:jc w:val="left"/>
        <w:rPr>
          <w:rFonts w:ascii="Times New Roman" w:hAnsi="Times New Roman" w:cs="Times New Roman" w:eastAsia="Times New Roman" w:hint="default"/>
        </w:rPr>
      </w:pPr>
      <w:r>
        <w:rPr/>
        <w:t>董事、高级管</w:t>
      </w:r>
      <w:r>
        <w:rPr>
          <w:rFonts w:ascii="Times New Roman" w:hAnsi="Times New Roman" w:cs="Times New Roman" w:eastAsia="Times New Roman" w:hint="default"/>
          <w:position w:val="-4"/>
        </w:rPr>
        <w:tab/>
        <w:t>4</w:t>
      </w:r>
      <w:r>
        <w:rPr>
          <w:rFonts w:ascii="Times New Roman" w:hAnsi="Times New Roman" w:cs="Times New Roman" w:eastAsia="Times New Roman" w:hint="default"/>
        </w:rPr>
      </w:r>
    </w:p>
    <w:p>
      <w:pPr>
        <w:pStyle w:val="BodyText"/>
        <w:spacing w:line="316" w:lineRule="auto" w:before="13"/>
        <w:ind w:left="5270" w:right="3588"/>
        <w:jc w:val="left"/>
      </w:pPr>
      <w:r>
        <w:rPr/>
        <w:t>理人员增持 </w:t>
      </w:r>
      <w:r>
        <w:rPr>
          <w:spacing w:val="-2"/>
        </w:rPr>
        <w:t>公司股份。前</w:t>
      </w:r>
      <w:r>
        <w:rPr>
          <w:spacing w:val="-88"/>
        </w:rPr>
        <w:t> </w:t>
      </w:r>
      <w:r>
        <w:rPr>
          <w:spacing w:val="-88"/>
        </w:rPr>
      </w:r>
      <w:r>
        <w:rPr/>
        <w:t>述措施中的</w:t>
      </w:r>
    </w:p>
    <w:p>
      <w:pPr>
        <w:spacing w:after="0" w:line="316" w:lineRule="auto"/>
        <w:jc w:val="left"/>
        <w:sectPr>
          <w:headerReference w:type="default" r:id="rId33"/>
          <w:footerReference w:type="default" r:id="rId34"/>
          <w:pgSz w:w="11910" w:h="16840"/>
          <w:pgMar w:header="877" w:footer="0" w:top="1060" w:bottom="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14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09" w:lineRule="auto"/>
              <w:ind w:left="23" w:right="17"/>
              <w:jc w:val="left"/>
              <w:rPr>
                <w:rFonts w:ascii="宋体" w:hAnsi="宋体" w:cs="宋体" w:eastAsia="宋体" w:hint="default"/>
                <w:sz w:val="18"/>
                <w:szCs w:val="18"/>
              </w:rPr>
            </w:pPr>
            <w:r>
              <w:rPr>
                <w:rFonts w:ascii="宋体" w:hAnsi="宋体" w:cs="宋体" w:eastAsia="宋体" w:hint="default"/>
                <w:sz w:val="18"/>
                <w:szCs w:val="18"/>
              </w:rPr>
              <w:t>陈江涛</w:t>
            </w:r>
            <w:r>
              <w:rPr>
                <w:rFonts w:ascii="Times New Roman" w:hAnsi="Times New Roman" w:cs="Times New Roman" w:eastAsia="Times New Roman" w:hint="default"/>
                <w:sz w:val="18"/>
                <w:szCs w:val="18"/>
              </w:rPr>
              <w:t>;</w:t>
            </w:r>
            <w:r>
              <w:rPr>
                <w:rFonts w:ascii="宋体" w:hAnsi="宋体" w:cs="宋体" w:eastAsia="宋体" w:hint="default"/>
                <w:sz w:val="18"/>
                <w:szCs w:val="18"/>
              </w:rPr>
              <w:t>陈杰</w:t>
            </w:r>
            <w:r>
              <w:rPr>
                <w:rFonts w:ascii="Times New Roman" w:hAnsi="Times New Roman" w:cs="Times New Roman" w:eastAsia="Times New Roman" w:hint="default"/>
                <w:sz w:val="18"/>
                <w:szCs w:val="18"/>
              </w:rPr>
              <w:t>; </w:t>
            </w:r>
            <w:r>
              <w:rPr>
                <w:rFonts w:ascii="宋体" w:hAnsi="宋体" w:cs="宋体" w:eastAsia="宋体" w:hint="default"/>
                <w:sz w:val="18"/>
                <w:szCs w:val="18"/>
              </w:rPr>
              <w:t>达孜鹤鸣永 创投资管理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联想控股</w:t>
            </w:r>
            <w:r>
              <w:rPr>
                <w:rFonts w:ascii="宋体" w:hAnsi="宋体" w:cs="宋体" w:eastAsia="宋体" w:hint="default"/>
                <w:spacing w:val="-87"/>
                <w:sz w:val="18"/>
                <w:szCs w:val="18"/>
              </w:rPr>
              <w:t> </w:t>
            </w:r>
            <w:r>
              <w:rPr>
                <w:rFonts w:ascii="宋体" w:hAnsi="宋体" w:cs="宋体" w:eastAsia="宋体" w:hint="default"/>
                <w:sz w:val="18"/>
                <w:szCs w:val="18"/>
              </w:rPr>
              <w:t>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孙浩然</w:t>
            </w:r>
            <w:r>
              <w:rPr>
                <w:rFonts w:ascii="Times New Roman" w:hAnsi="Times New Roman" w:cs="Times New Roman" w:eastAsia="Times New Roman" w:hint="default"/>
                <w:sz w:val="18"/>
                <w:szCs w:val="18"/>
              </w:rPr>
              <w:t>;</w:t>
            </w:r>
            <w:r>
              <w:rPr>
                <w:rFonts w:ascii="宋体" w:hAnsi="宋体" w:cs="宋体" w:eastAsia="宋体" w:hint="default"/>
                <w:sz w:val="18"/>
                <w:szCs w:val="18"/>
              </w:rPr>
              <w:t>孙 陶然</w:t>
            </w:r>
            <w:r>
              <w:rPr>
                <w:rFonts w:ascii="Times New Roman" w:hAnsi="Times New Roman" w:cs="Times New Roman" w:eastAsia="Times New Roman" w:hint="default"/>
                <w:sz w:val="18"/>
                <w:szCs w:val="18"/>
              </w:rPr>
              <w:t>;</w:t>
            </w:r>
            <w:r>
              <w:rPr>
                <w:rFonts w:ascii="宋体" w:hAnsi="宋体" w:cs="宋体" w:eastAsia="宋体" w:hint="default"/>
                <w:sz w:val="18"/>
                <w:szCs w:val="18"/>
              </w:rPr>
              <w:t>周钢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发行人上市</w:t>
            </w:r>
          </w:p>
          <w:p>
            <w:pPr>
              <w:pStyle w:val="TableParagraph"/>
              <w:spacing w:line="300" w:lineRule="auto" w:before="77"/>
              <w:ind w:left="23" w:right="7"/>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如其股票连</w:t>
            </w:r>
          </w:p>
          <w:p>
            <w:pPr>
              <w:pStyle w:val="TableParagraph"/>
              <w:spacing w:line="314" w:lineRule="auto" w:before="31"/>
              <w:ind w:left="23" w:right="17"/>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价，或者上市 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w:t>
            </w:r>
          </w:p>
          <w:p>
            <w:pPr>
              <w:pStyle w:val="TableParagraph"/>
              <w:spacing w:line="316" w:lineRule="auto" w:before="1"/>
              <w:ind w:left="23" w:right="10"/>
              <w:jc w:val="left"/>
              <w:rPr>
                <w:rFonts w:ascii="宋体" w:hAnsi="宋体" w:cs="宋体" w:eastAsia="宋体" w:hint="default"/>
                <w:sz w:val="18"/>
                <w:szCs w:val="18"/>
              </w:rPr>
            </w:pPr>
            <w:r>
              <w:rPr>
                <w:rFonts w:ascii="宋体" w:hAnsi="宋体" w:cs="宋体" w:eastAsia="宋体" w:hint="default"/>
                <w:sz w:val="18"/>
                <w:szCs w:val="18"/>
              </w:rPr>
              <w:t>（如该日不 是交易日，则 为该日后第 一个交易日） 收盘价低于 发行价，本公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 的发行人股 份的锁定期 限将自动延</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个月。若</w:t>
            </w:r>
            <w:r>
              <w:rPr>
                <w:rFonts w:ascii="宋体" w:hAnsi="宋体" w:cs="宋体" w:eastAsia="宋体" w:hint="default"/>
                <w:sz w:val="18"/>
                <w:szCs w:val="18"/>
              </w:rPr>
              <w:t> 发行人在本 次发行并上 市后有派息、 送股、资本公 积转增股本 等除权除息 事项的，应对 发行价进行 除权除息处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2019-10-24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承诺期内未 触达承诺事 </w:t>
            </w:r>
            <w:r>
              <w:rPr>
                <w:rFonts w:ascii="宋体" w:hAnsi="宋体" w:cs="宋体" w:eastAsia="宋体" w:hint="default"/>
                <w:spacing w:val="-5"/>
                <w:sz w:val="18"/>
                <w:szCs w:val="18"/>
              </w:rPr>
              <w:t>项标准，承诺</w:t>
            </w:r>
            <w:r>
              <w:rPr>
                <w:rFonts w:ascii="宋体" w:hAnsi="宋体" w:cs="宋体" w:eastAsia="宋体" w:hint="default"/>
                <w:sz w:val="18"/>
                <w:szCs w:val="18"/>
              </w:rPr>
              <w:t> 履行完毕</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76"/>
        <w:ind w:left="0" w:right="1128"/>
        <w:jc w:val="right"/>
        <w:rPr>
          <w:rFonts w:ascii="Times New Roman" w:hAnsi="Times New Roman" w:cs="Times New Roman" w:eastAsia="Times New Roman" w:hint="default"/>
        </w:rPr>
      </w:pPr>
      <w:r>
        <w:rPr/>
        <w:pict>
          <v:shape style="position:absolute;margin-left:535.634705pt;margin-top:28.746868pt;width:59.493346pt;height:26.794713pt;mso-position-horizontal-relative:page;mso-position-vertical-relative:paragraph;z-index:1960" type="#_x0000_t75" stroked="false">
            <v:imagedata r:id="rId14" o:title=""/>
          </v:shape>
        </w:pict>
      </w:r>
      <w:r>
        <w:rPr>
          <w:rFonts w:ascii="Times New Roman"/>
        </w:rPr>
        <w:t>45</w:t>
      </w:r>
    </w:p>
    <w:p>
      <w:pPr>
        <w:spacing w:after="0" w:line="240" w:lineRule="auto"/>
        <w:jc w:val="right"/>
        <w:rPr>
          <w:rFonts w:ascii="Times New Roman" w:hAnsi="Times New Roman" w:cs="Times New Roman" w:eastAsia="Times New Roman" w:hint="default"/>
        </w:rPr>
        <w:sectPr>
          <w:headerReference w:type="default" r:id="rId35"/>
          <w:footerReference w:type="default" r:id="rId3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769.45pt;mso-position-horizontal-relative:page;mso-position-vertical-relative:page;z-index:-1069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left="0" w:right="0"/>
                    <w:jc w:val="left"/>
                  </w:pPr>
                  <w:r>
                    <w:rPr/>
                    <w:t>，</w:t>
                  </w:r>
                </w:p>
              </w:txbxContent>
            </v:textbox>
            <w10:wrap type="none"/>
          </v:shape>
        </w:pict>
      </w:r>
      <w:r>
        <w:rPr/>
        <w:pict>
          <v:shape style="position:absolute;margin-left:480.100006pt;margin-top:72.47998pt;width:54.85pt;height:769.45pt;mso-position-horizontal-relative:page;mso-position-vertical-relative:page;z-index:-10696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4</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69600"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5389" coordorigin="7353,1450" coordsize="1116,15389">
              <v:shape style="position:absolute;left:7353;top:1450;width:1116;height:15389" coordorigin="7353,1450" coordsize="1116,15389" path="m8469,16838l8469,1450,7353,1450,7353,16838,8469,16838xe" filled="true" fillcolor="#ffffff" stroked="false">
                <v:path arrowok="t"/>
                <v:fill type="solid"/>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spacing w:line="240" w:lineRule="auto" w:before="6"/>
        <w:rPr>
          <w:rFonts w:ascii="Times New Roman" w:hAnsi="Times New Roman" w:cs="Times New Roman" w:eastAsia="Times New Roman" w:hint="default"/>
          <w:sz w:val="17"/>
          <w:szCs w:val="17"/>
        </w:rPr>
      </w:pPr>
    </w:p>
    <w:p>
      <w:pPr>
        <w:pStyle w:val="BodyText"/>
        <w:spacing w:line="316" w:lineRule="auto"/>
        <w:ind w:left="5270" w:right="3576"/>
        <w:jc w:val="left"/>
      </w:pPr>
      <w:r>
        <w:rPr>
          <w:rFonts w:ascii="Times New Roman" w:hAnsi="Times New Roman" w:cs="Times New Roman" w:eastAsia="Times New Roman" w:hint="default"/>
        </w:rPr>
        <w:t>"</w:t>
      </w:r>
      <w:r>
        <w:rPr/>
        <w:t>主要股东关 于未来不谋 求发行人控 制权的声明 承诺：发行人 的主要股东 联想控股、孙 陶然、达孜鹤 鸣永创、孙浩 然和陈江涛 均已出具了 关于不谋求 对发行人控 制权的声明 和承诺函，其 主要内容如 下：①</w:t>
      </w:r>
      <w:r>
        <w:rPr>
          <w:spacing w:val="1"/>
        </w:rPr>
        <w:t> </w:t>
      </w:r>
      <w:r>
        <w:rPr/>
        <w:t>本企</w:t>
      </w:r>
      <w:r>
        <w:rPr/>
        <w:t> 业</w:t>
      </w:r>
      <w:r>
        <w:rPr>
          <w:rFonts w:ascii="Times New Roman" w:hAnsi="Times New Roman" w:cs="Times New Roman" w:eastAsia="Times New Roman" w:hint="default"/>
        </w:rPr>
        <w:t>/</w:t>
      </w:r>
      <w:r>
        <w:rPr/>
        <w:t>本人与发 行人的其他 主要股东之 间不存在有 关发行人的 任何书面的、 口头的、实际 的或其他形 式的一致行 动关系、行 为、事实或安 排（不含孙陶 然和孙浩然 为兄弟关系 </w:t>
      </w:r>
      <w:r>
        <w:rPr>
          <w:spacing w:val="-16"/>
        </w:rPr>
        <w:t>的情况）。②</w:t>
      </w:r>
      <w:r>
        <w:rPr>
          <w:spacing w:val="-86"/>
        </w:rPr>
        <w:t> </w:t>
      </w:r>
      <w:r>
        <w:rPr>
          <w:spacing w:val="-86"/>
        </w:rPr>
      </w:r>
      <w:r>
        <w:rPr/>
        <w:t>本企业</w:t>
      </w:r>
      <w:r>
        <w:rPr>
          <w:rFonts w:ascii="Times New Roman" w:hAnsi="Times New Roman" w:cs="Times New Roman" w:eastAsia="Times New Roman" w:hint="default"/>
        </w:rPr>
        <w:t>/</w:t>
      </w:r>
      <w:r>
        <w:rPr/>
        <w:t>本人 目前不存在 单独或与发 行人任何其 他股东联合 谋求对发行 人实施直接 或间接控制 的安排或计 划。③</w:t>
      </w:r>
      <w:r>
        <w:rPr>
          <w:spacing w:val="1"/>
        </w:rPr>
        <w:t> </w:t>
      </w:r>
      <w:r>
        <w:rPr/>
        <w:t>自本</w:t>
      </w:r>
      <w:r>
        <w:rPr/>
        <w:t> 函件出具之 日起至发行 人首发上市</w:t>
      </w:r>
    </w:p>
    <w:p>
      <w:pPr>
        <w:pStyle w:val="BodyText"/>
        <w:tabs>
          <w:tab w:pos="9795" w:val="right" w:leader="none"/>
        </w:tabs>
        <w:spacing w:line="240" w:lineRule="auto" w:before="19"/>
        <w:ind w:left="5270" w:right="0"/>
        <w:jc w:val="left"/>
        <w:rPr>
          <w:rFonts w:ascii="Times New Roman" w:hAnsi="Times New Roman" w:cs="Times New Roman" w:eastAsia="Times New Roman" w:hint="default"/>
        </w:rPr>
      </w:pPr>
      <w:r>
        <w:rPr/>
        <w:t>后</w:t>
      </w:r>
      <w:r>
        <w:rPr>
          <w:spacing w:val="-49"/>
        </w:rPr>
        <w:t> </w:t>
      </w:r>
      <w:r>
        <w:rPr>
          <w:rFonts w:ascii="Times New Roman" w:hAnsi="Times New Roman" w:cs="Times New Roman" w:eastAsia="Times New Roman" w:hint="default"/>
        </w:rPr>
        <w:t>36</w:t>
      </w:r>
      <w:r>
        <w:rPr>
          <w:rFonts w:ascii="Times New Roman" w:hAnsi="Times New Roman" w:cs="Times New Roman" w:eastAsia="Times New Roman" w:hint="default"/>
          <w:spacing w:val="-3"/>
        </w:rPr>
        <w:t> </w:t>
      </w:r>
      <w:r>
        <w:rPr/>
        <w:t>个月内</w:t>
      </w:r>
      <w:r>
        <w:rPr>
          <w:rFonts w:ascii="Times New Roman" w:hAnsi="Times New Roman" w:cs="Times New Roman" w:eastAsia="Times New Roman" w:hint="default"/>
          <w:position w:val="-4"/>
        </w:rPr>
        <w:tab/>
        <w:t>6</w:t>
      </w:r>
      <w:r>
        <w:rPr>
          <w:rFonts w:ascii="Times New Roman" w:hAnsi="Times New Roman" w:cs="Times New Roman" w:eastAsia="Times New Roman" w:hint="default"/>
        </w:rPr>
      </w:r>
    </w:p>
    <w:p>
      <w:pPr>
        <w:pStyle w:val="BodyText"/>
        <w:spacing w:line="309" w:lineRule="auto" w:before="13"/>
        <w:ind w:left="5270" w:right="3576"/>
        <w:jc w:val="left"/>
      </w:pPr>
      <w:r>
        <w:rPr/>
        <w:t>本企业</w:t>
      </w:r>
      <w:r>
        <w:rPr>
          <w:rFonts w:ascii="Times New Roman" w:hAnsi="Times New Roman" w:cs="Times New Roman" w:eastAsia="Times New Roman" w:hint="default"/>
        </w:rPr>
        <w:t>/</w:t>
      </w:r>
      <w:r>
        <w:rPr/>
        <w:t>本人 将不以直接、 间接、单独或</w:t>
      </w:r>
    </w:p>
    <w:p>
      <w:pPr>
        <w:spacing w:after="0" w:line="309" w:lineRule="auto"/>
        <w:jc w:val="left"/>
        <w:sectPr>
          <w:headerReference w:type="default" r:id="rId37"/>
          <w:footerReference w:type="default" r:id="rId38"/>
          <w:pgSz w:w="11910" w:h="16840"/>
          <w:pgMar w:header="877" w:footer="0" w:top="1060" w:bottom="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76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公司董事长、 主要股东之 一孙陶然出 </w:t>
            </w:r>
            <w:r>
              <w:rPr>
                <w:rFonts w:ascii="宋体" w:hAnsi="宋体" w:cs="宋体" w:eastAsia="宋体" w:hint="default"/>
                <w:spacing w:val="-13"/>
                <w:w w:val="100"/>
                <w:sz w:val="18"/>
                <w:szCs w:val="18"/>
              </w:rPr>
              <w:t>具承诺：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如拉</w:t>
            </w:r>
            <w:r>
              <w:rPr>
                <w:rFonts w:ascii="宋体" w:hAnsi="宋体" w:cs="宋体" w:eastAsia="宋体" w:hint="default"/>
                <w:sz w:val="18"/>
                <w:szCs w:val="18"/>
              </w:rPr>
              <w:t> 卡拉及其合 并报表范围 内的公司因 其在拉卡拉 首发上市完 成前未能依 法开立社会 保险和住房 公积金账户， 或者未能足 额为员工缴 纳社会保险 和住房公积 金等，而受到</w:t>
            </w:r>
            <w:r>
              <w:rPr>
                <w:rFonts w:ascii="宋体" w:hAnsi="宋体" w:cs="宋体" w:eastAsia="宋体" w:hint="default"/>
                <w:sz w:val="18"/>
                <w:szCs w:val="18"/>
              </w:rPr>
              <w:t> 监管部门处 罚、被监管部 门要求补缴 或者遭受其 他损失，并导 致拉卡拉受 到损失的，本 人将在该等 损失确定之 日起三十日 内向拉卡拉 做出足额补 偿。</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1910" w:h="16840"/>
          <w:pgMar w:footer="980" w:header="877" w:top="1060" w:bottom="1160" w:left="980" w:right="0"/>
          <w:pgNumType w:start="47"/>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95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发行人的主 </w:t>
            </w:r>
            <w:r>
              <w:rPr>
                <w:rFonts w:ascii="宋体" w:hAnsi="宋体" w:cs="宋体" w:eastAsia="宋体" w:hint="default"/>
                <w:spacing w:val="-2"/>
                <w:sz w:val="18"/>
                <w:szCs w:val="18"/>
              </w:rPr>
              <w:t>要股东、董事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长孙陶然已 </w:t>
            </w:r>
            <w:r>
              <w:rPr>
                <w:rFonts w:ascii="宋体" w:hAnsi="宋体" w:cs="宋体" w:eastAsia="宋体" w:hint="default"/>
                <w:spacing w:val="-2"/>
                <w:sz w:val="18"/>
                <w:szCs w:val="18"/>
              </w:rPr>
              <w:t>出具承诺：如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发行人及其 合并报表范 围内的公司 因租赁的房 屋未取得权 </w:t>
            </w:r>
            <w:r>
              <w:rPr>
                <w:rFonts w:ascii="宋体" w:hAnsi="宋体" w:cs="宋体" w:eastAsia="宋体" w:hint="default"/>
                <w:spacing w:val="-2"/>
                <w:sz w:val="18"/>
                <w:szCs w:val="18"/>
              </w:rPr>
              <w:t>属证书、未办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理租赁登记 备案手续或 其他瑕疵而 无法继续使 </w:t>
            </w:r>
            <w:r>
              <w:rPr>
                <w:rFonts w:ascii="宋体" w:hAnsi="宋体" w:cs="宋体" w:eastAsia="宋体" w:hint="default"/>
                <w:spacing w:val="-2"/>
                <w:sz w:val="18"/>
                <w:szCs w:val="18"/>
              </w:rPr>
              <w:t>用、必须搬迁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的，本人将以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现金方式补 偿由此给相 关主体造成 </w:t>
            </w:r>
            <w:r>
              <w:rPr>
                <w:rFonts w:ascii="宋体" w:hAnsi="宋体" w:cs="宋体" w:eastAsia="宋体" w:hint="default"/>
                <w:spacing w:val="-2"/>
                <w:sz w:val="18"/>
                <w:szCs w:val="18"/>
              </w:rPr>
              <w:t>的搬迁、装修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等方面的损 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7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3" w:right="187"/>
              <w:jc w:val="both"/>
              <w:rPr>
                <w:rFonts w:ascii="宋体" w:hAnsi="宋体" w:cs="宋体" w:eastAsia="宋体" w:hint="default"/>
                <w:sz w:val="18"/>
                <w:szCs w:val="18"/>
              </w:rPr>
            </w:pPr>
            <w:r>
              <w:rPr>
                <w:rFonts w:ascii="宋体" w:hAnsi="宋体" w:cs="宋体" w:eastAsia="宋体" w:hint="default"/>
                <w:sz w:val="18"/>
                <w:szCs w:val="18"/>
              </w:rPr>
              <w:t>拉卡拉支付 股份有限公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5"/>
              <w:ind w:left="23" w:right="17"/>
              <w:jc w:val="left"/>
              <w:rPr>
                <w:rFonts w:ascii="宋体" w:hAnsi="宋体" w:cs="宋体" w:eastAsia="宋体" w:hint="default"/>
                <w:sz w:val="18"/>
                <w:szCs w:val="18"/>
              </w:rPr>
            </w:pPr>
            <w:r>
              <w:rPr>
                <w:rFonts w:ascii="宋体" w:hAnsi="宋体" w:cs="宋体" w:eastAsia="宋体" w:hint="default"/>
                <w:sz w:val="18"/>
                <w:szCs w:val="18"/>
              </w:rPr>
              <w:t>公司承诺，将 促使拉卡拉 基金、拉卡拉 信用管理于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个月内，旋极 拉卡拉于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月内在相应 主管市场监 督管理部门 完成各自企 业名称的变 更（变更后公 司名称不再 包含</w:t>
            </w:r>
            <w:r>
              <w:rPr>
                <w:rFonts w:ascii="Times New Roman" w:hAnsi="Times New Roman" w:cs="Times New Roman" w:eastAsia="Times New Roman" w:hint="default"/>
                <w:sz w:val="18"/>
                <w:szCs w:val="18"/>
              </w:rPr>
              <w:t>“</w:t>
            </w:r>
            <w:r>
              <w:rPr>
                <w:rFonts w:ascii="宋体" w:hAnsi="宋体" w:cs="宋体" w:eastAsia="宋体" w:hint="default"/>
                <w:sz w:val="18"/>
                <w:szCs w:val="18"/>
              </w:rPr>
              <w:t>拉卡 拉</w:t>
            </w:r>
            <w:r>
              <w:rPr>
                <w:rFonts w:ascii="Times New Roman" w:hAnsi="Times New Roman" w:cs="Times New Roman" w:eastAsia="Times New Roman" w:hint="default"/>
                <w:sz w:val="18"/>
                <w:szCs w:val="18"/>
              </w:rPr>
              <w:t>”</w:t>
            </w:r>
            <w:r>
              <w:rPr>
                <w:rFonts w:ascii="宋体" w:hAnsi="宋体" w:cs="宋体" w:eastAsia="宋体" w:hint="default"/>
                <w:sz w:val="18"/>
                <w:szCs w:val="18"/>
              </w:rPr>
              <w:t>）手续。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2019-07-24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、北京拉卡</w:t>
            </w:r>
            <w:r>
              <w:rPr>
                <w:rFonts w:ascii="宋体" w:hAnsi="宋体" w:cs="宋体" w:eastAsia="宋体" w:hint="default"/>
                <w:sz w:val="18"/>
                <w:szCs w:val="18"/>
              </w:rPr>
              <w:t> 拉互联网产 业投资基金</w:t>
            </w:r>
          </w:p>
          <w:p>
            <w:pPr>
              <w:pStyle w:val="TableParagraph"/>
              <w:spacing w:line="316" w:lineRule="auto" w:before="24"/>
              <w:ind w:left="23" w:right="-5"/>
              <w:jc w:val="left"/>
              <w:rPr>
                <w:rFonts w:ascii="宋体" w:hAnsi="宋体" w:cs="宋体" w:eastAsia="宋体" w:hint="default"/>
                <w:sz w:val="18"/>
                <w:szCs w:val="18"/>
              </w:rPr>
            </w:pPr>
            <w:r>
              <w:rPr>
                <w:rFonts w:ascii="宋体" w:hAnsi="宋体" w:cs="宋体" w:eastAsia="宋体" w:hint="default"/>
                <w:sz w:val="18"/>
                <w:szCs w:val="18"/>
              </w:rPr>
              <w:t>（有限合伙）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ind w:left="23"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日完 成企业名称 </w:t>
            </w:r>
            <w:r>
              <w:rPr>
                <w:rFonts w:ascii="宋体" w:hAnsi="宋体" w:cs="宋体" w:eastAsia="宋体" w:hint="default"/>
                <w:spacing w:val="-5"/>
                <w:sz w:val="18"/>
                <w:szCs w:val="18"/>
              </w:rPr>
              <w:t>变更，变更后</w:t>
            </w:r>
            <w:r>
              <w:rPr>
                <w:rFonts w:ascii="宋体" w:hAnsi="宋体" w:cs="宋体" w:eastAsia="宋体" w:hint="default"/>
                <w:sz w:val="18"/>
                <w:szCs w:val="18"/>
              </w:rPr>
              <w:t> 的名称为北 京考拉昆略 互联网产业 </w:t>
            </w:r>
            <w:r>
              <w:rPr>
                <w:rFonts w:ascii="宋体" w:hAnsi="宋体" w:cs="宋体" w:eastAsia="宋体" w:hint="default"/>
                <w:spacing w:val="-5"/>
                <w:sz w:val="18"/>
                <w:szCs w:val="18"/>
              </w:rPr>
              <w:t>投资基金（有</w:t>
            </w:r>
            <w:r>
              <w:rPr>
                <w:rFonts w:ascii="宋体" w:hAnsi="宋体" w:cs="宋体" w:eastAsia="宋体" w:hint="default"/>
                <w:sz w:val="18"/>
                <w:szCs w:val="18"/>
              </w:rPr>
              <w:t> </w:t>
            </w:r>
            <w:r>
              <w:rPr>
                <w:rFonts w:ascii="宋体" w:hAnsi="宋体" w:cs="宋体" w:eastAsia="宋体" w:hint="default"/>
                <w:spacing w:val="-13"/>
                <w:sz w:val="18"/>
                <w:szCs w:val="18"/>
              </w:rPr>
              <w:t>限合伙）；</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拉卡拉信用 管理有限公 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14" w:lineRule="auto" w:before="1"/>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完成企业名 </w:t>
            </w:r>
            <w:r>
              <w:rPr>
                <w:rFonts w:ascii="宋体" w:hAnsi="宋体" w:cs="宋体" w:eastAsia="宋体" w:hint="default"/>
                <w:spacing w:val="-5"/>
                <w:sz w:val="18"/>
                <w:szCs w:val="18"/>
              </w:rPr>
              <w:t>称变更，变更</w:t>
            </w:r>
            <w:r>
              <w:rPr>
                <w:rFonts w:ascii="宋体" w:hAnsi="宋体" w:cs="宋体" w:eastAsia="宋体" w:hint="default"/>
                <w:sz w:val="18"/>
                <w:szCs w:val="18"/>
              </w:rPr>
              <w:t> 后的名称为 考拉昆仑信 用管理有限 公司；</w:t>
            </w:r>
            <w:r>
              <w:rPr>
                <w:rFonts w:ascii="Times New Roman" w:hAnsi="Times New Roman" w:cs="Times New Roman" w:eastAsia="Times New Roman" w:hint="default"/>
                <w:sz w:val="18"/>
                <w:szCs w:val="18"/>
              </w:rPr>
              <w:t>3</w:t>
            </w:r>
            <w:r>
              <w:rPr>
                <w:rFonts w:ascii="宋体" w:hAnsi="宋体" w:cs="宋体" w:eastAsia="宋体" w:hint="default"/>
                <w:sz w:val="18"/>
                <w:szCs w:val="18"/>
              </w:rPr>
              <w:t>、北 京旋极拉卡 拉信息技术 有限公司已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4" w:lineRule="auto" w:before="1"/>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 企业名称变 </w:t>
            </w:r>
            <w:r>
              <w:rPr>
                <w:rFonts w:ascii="宋体" w:hAnsi="宋体" w:cs="宋体" w:eastAsia="宋体" w:hint="default"/>
                <w:spacing w:val="-5"/>
                <w:sz w:val="18"/>
                <w:szCs w:val="18"/>
              </w:rPr>
              <w:t>更，变更后的</w:t>
            </w:r>
            <w:r>
              <w:rPr>
                <w:rFonts w:ascii="宋体" w:hAnsi="宋体" w:cs="宋体" w:eastAsia="宋体" w:hint="default"/>
                <w:sz w:val="18"/>
                <w:szCs w:val="18"/>
              </w:rPr>
              <w:t> 名称为北京 考拉昆仑信 息技术有限 公司。</w:t>
            </w:r>
            <w:r>
              <w:rPr>
                <w:rFonts w:ascii="Times New Roman" w:hAnsi="Times New Roman" w:cs="Times New Roman" w:eastAsia="Times New Roman" w:hint="default"/>
                <w:sz w:val="18"/>
                <w:szCs w:val="18"/>
              </w:rPr>
              <w:t>"</w:t>
            </w:r>
          </w:p>
        </w:tc>
      </w:tr>
    </w:tbl>
    <w:p>
      <w:pPr>
        <w:spacing w:after="0" w:line="314"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82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蔡曙涛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公司独立董 事蔡曙涛在 公司发行上 市时出具承 诺：本人现担 任拉卡拉支 付股份有限 公司的独立 董事。本人承 诺：在公司挂 牌上市后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月内取得深 圳证券交易 所认可的独 立董事资格 证书，并将持 续参加深圳 证券交易所 认可的独立 董事资格培 训并取得相 应任职资格， 否则，除非该 等情形获得 监管机构认 可，将辞去公 司独立董事 职务。</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2019-10-24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6"/>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公司独立董 事蔡曙涛女 士已于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6" w:lineRule="auto" w:before="63"/>
              <w:ind w:left="23" w:right="-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日参加 了由深圳证 券交易所举 办的上市公 司独立董事 培训班学习， 并取得上市 公司独立董 事资格证书。</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80.100006pt;margin-top:72.47998pt;width:54.85pt;height:769.45pt;mso-position-horizontal-relative:page;mso-position-vertical-relative:page;z-index:-10695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5</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69552"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spacing w:line="240" w:lineRule="auto" w:before="6"/>
        <w:rPr>
          <w:rFonts w:ascii="Times New Roman" w:hAnsi="Times New Roman" w:cs="Times New Roman" w:eastAsia="Times New Roman" w:hint="default"/>
          <w:sz w:val="17"/>
          <w:szCs w:val="17"/>
        </w:rPr>
      </w:pPr>
    </w:p>
    <w:p>
      <w:pPr>
        <w:pStyle w:val="BodyText"/>
        <w:spacing w:line="316" w:lineRule="auto"/>
        <w:ind w:left="5270" w:right="3576"/>
        <w:jc w:val="left"/>
      </w:pPr>
      <w:r>
        <w:rPr>
          <w:rFonts w:ascii="Times New Roman" w:hAnsi="Times New Roman" w:cs="Times New Roman" w:eastAsia="Times New Roman" w:hint="default"/>
        </w:rPr>
        <w:t>"</w:t>
      </w:r>
      <w:r>
        <w:rPr/>
        <w:t>关于信息披 露的承诺及 相应的约束 措施</w:t>
      </w:r>
      <w:r>
        <w:rPr>
          <w:spacing w:val="-44"/>
        </w:rPr>
        <w:t> </w:t>
      </w:r>
      <w:r>
        <w:rPr>
          <w:rFonts w:ascii="Times New Roman" w:hAnsi="Times New Roman" w:cs="Times New Roman" w:eastAsia="Times New Roman" w:hint="default"/>
        </w:rPr>
        <w:t>1</w:t>
      </w:r>
      <w:r>
        <w:rPr/>
        <w:t>、发行 人、公司主要 股东、董事、 监事、高级管 理人员关于 公司招股说 明书不存在 虚假记载、误 导性陈述或 者重大遗漏 的承诺公司 承诺：本公司 确认，本公司 本次发行并 上市的招股 说明书不存 在虚假记载、 误导性陈述 或重大遗漏， 并对其真实 性、准确性和 完整性承担 个别和连带 的法律责任。 若在本公司 投资者缴纳 股票申购款 后且股票尚 未上市交易 前，中国证监 会、证券交易 所或有权司 法机构认定 本公司本次 发行并上市 的招股说明 书有虚假记 载、误导性陈 述或者重大 遗漏，对判断 本公司是否 符合法律规</w:t>
      </w:r>
    </w:p>
    <w:p>
      <w:pPr>
        <w:pStyle w:val="BodyText"/>
        <w:tabs>
          <w:tab w:pos="9795" w:val="right" w:leader="none"/>
        </w:tabs>
        <w:spacing w:line="240" w:lineRule="auto" w:before="19"/>
        <w:ind w:left="5270" w:right="0"/>
        <w:jc w:val="left"/>
        <w:rPr>
          <w:rFonts w:ascii="Times New Roman" w:hAnsi="Times New Roman" w:cs="Times New Roman" w:eastAsia="Times New Roman" w:hint="default"/>
        </w:rPr>
      </w:pPr>
      <w:r>
        <w:rPr/>
        <w:t>定的发行条</w:t>
      </w:r>
      <w:r>
        <w:rPr>
          <w:rFonts w:ascii="Times New Roman" w:hAnsi="Times New Roman" w:cs="Times New Roman" w:eastAsia="Times New Roman" w:hint="default"/>
          <w:position w:val="-4"/>
        </w:rPr>
        <w:tab/>
        <w:t>1</w:t>
      </w:r>
      <w:r>
        <w:rPr>
          <w:rFonts w:ascii="Times New Roman" w:hAnsi="Times New Roman" w:cs="Times New Roman" w:eastAsia="Times New Roman" w:hint="default"/>
        </w:rPr>
      </w:r>
    </w:p>
    <w:p>
      <w:pPr>
        <w:pStyle w:val="BodyText"/>
        <w:spacing w:line="316" w:lineRule="auto" w:before="13"/>
        <w:ind w:left="5270" w:right="3593"/>
        <w:jc w:val="both"/>
      </w:pPr>
      <w:r>
        <w:rPr/>
        <w:t>件构成重大、 实质影响的， 本公司将停</w:t>
      </w:r>
    </w:p>
    <w:p>
      <w:pPr>
        <w:spacing w:after="0" w:line="316" w:lineRule="auto"/>
        <w:jc w:val="both"/>
        <w:sectPr>
          <w:headerReference w:type="default" r:id="rId40"/>
          <w:footerReference w:type="default" r:id="rId41"/>
          <w:pgSz w:w="11910" w:h="16840"/>
          <w:pgMar w:header="877" w:footer="0" w:top="1060" w:bottom="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194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09" w:lineRule="auto"/>
              <w:ind w:left="23" w:right="137"/>
              <w:jc w:val="both"/>
              <w:rPr>
                <w:rFonts w:ascii="宋体" w:hAnsi="宋体" w:cs="宋体" w:eastAsia="宋体" w:hint="default"/>
                <w:sz w:val="18"/>
                <w:szCs w:val="18"/>
              </w:rPr>
            </w:pPr>
            <w:r>
              <w:rPr>
                <w:rFonts w:ascii="宋体" w:hAnsi="宋体" w:cs="宋体" w:eastAsia="宋体" w:hint="default"/>
                <w:sz w:val="18"/>
                <w:szCs w:val="18"/>
              </w:rPr>
              <w:t>陈江涛</w:t>
            </w:r>
            <w:r>
              <w:rPr>
                <w:rFonts w:ascii="Times New Roman" w:hAnsi="Times New Roman" w:cs="Times New Roman" w:eastAsia="Times New Roman" w:hint="default"/>
                <w:sz w:val="18"/>
                <w:szCs w:val="18"/>
              </w:rPr>
              <w:t>;</w:t>
            </w:r>
            <w:r>
              <w:rPr>
                <w:rFonts w:ascii="宋体" w:hAnsi="宋体" w:cs="宋体" w:eastAsia="宋体" w:hint="default"/>
                <w:sz w:val="18"/>
                <w:szCs w:val="18"/>
              </w:rPr>
              <w:t>达孜 鹤鸣永创投 资管理中心</w:t>
            </w:r>
          </w:p>
          <w:p>
            <w:pPr>
              <w:pStyle w:val="TableParagraph"/>
              <w:spacing w:line="304" w:lineRule="auto" w:before="24"/>
              <w:ind w:left="23" w:right="17"/>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联想控股股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孙浩然</w:t>
            </w:r>
            <w:r>
              <w:rPr>
                <w:rFonts w:ascii="Times New Roman" w:hAnsi="Times New Roman" w:cs="Times New Roman" w:eastAsia="Times New Roman" w:hint="default"/>
                <w:sz w:val="18"/>
                <w:szCs w:val="18"/>
              </w:rPr>
              <w:t>;</w:t>
            </w:r>
            <w:r>
              <w:rPr>
                <w:rFonts w:ascii="宋体" w:hAnsi="宋体" w:cs="宋体" w:eastAsia="宋体" w:hint="default"/>
                <w:sz w:val="18"/>
                <w:szCs w:val="18"/>
              </w:rPr>
              <w:t>孙陶 然</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减持股份的 期限本企业</w:t>
            </w:r>
            <w:r>
              <w:rPr>
                <w:rFonts w:ascii="Times New Roman" w:hAnsi="Times New Roman" w:cs="Times New Roman" w:eastAsia="Times New Roman" w:hint="default"/>
                <w:sz w:val="18"/>
                <w:szCs w:val="18"/>
              </w:rPr>
              <w:t>/ </w:t>
            </w:r>
            <w:r>
              <w:rPr>
                <w:rFonts w:ascii="宋体" w:hAnsi="宋体" w:cs="宋体" w:eastAsia="宋体" w:hint="default"/>
                <w:sz w:val="18"/>
                <w:szCs w:val="18"/>
              </w:rPr>
              <w:t>本人直接或 间接持有的 发行人股份 的锁定期限</w:t>
            </w:r>
          </w:p>
          <w:p>
            <w:pPr>
              <w:pStyle w:val="TableParagraph"/>
              <w:spacing w:line="316" w:lineRule="auto" w:before="22"/>
              <w:ind w:left="23" w:right="19"/>
              <w:jc w:val="left"/>
              <w:rPr>
                <w:rFonts w:ascii="宋体" w:hAnsi="宋体" w:cs="宋体" w:eastAsia="宋体" w:hint="default"/>
                <w:sz w:val="18"/>
                <w:szCs w:val="18"/>
              </w:rPr>
            </w:pPr>
            <w:r>
              <w:rPr>
                <w:rFonts w:ascii="宋体" w:hAnsi="宋体" w:cs="宋体" w:eastAsia="宋体" w:hint="default"/>
                <w:sz w:val="18"/>
                <w:szCs w:val="18"/>
              </w:rPr>
              <w:t>（包括延长 </w:t>
            </w:r>
            <w:r>
              <w:rPr>
                <w:rFonts w:ascii="宋体" w:hAnsi="宋体" w:cs="宋体" w:eastAsia="宋体" w:hint="default"/>
                <w:spacing w:val="-2"/>
                <w:sz w:val="18"/>
                <w:szCs w:val="18"/>
              </w:rPr>
              <w:t>的锁定期）届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满后，本企业</w:t>
            </w:r>
          </w:p>
          <w:p>
            <w:pPr>
              <w:pStyle w:val="TableParagraph"/>
              <w:spacing w:line="314" w:lineRule="auto" w:before="19"/>
              <w:ind w:left="23" w:right="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本人减持直 接或间接所 持发行人股 份时，应提前 将减持意向 和拟减持数 量等信息以 书面方式通 知发行人，并 由发行人及 时予以公告， 自发行人公 告之日起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交易日后，本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本人方 可减持发行 人股份，自公 告之日起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月内完成，并 按照证券交 易所的规则 及时、准确地 履行信息披 露义务。本企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本人违反 上述减持承 诺的，违规操 作收益归发 行人所有。</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76"/>
        <w:ind w:left="0" w:right="1128"/>
        <w:jc w:val="right"/>
        <w:rPr>
          <w:rFonts w:ascii="Times New Roman" w:hAnsi="Times New Roman" w:cs="Times New Roman" w:eastAsia="Times New Roman" w:hint="default"/>
        </w:rPr>
      </w:pPr>
      <w:r>
        <w:rPr/>
        <w:pict>
          <v:shape style="position:absolute;margin-left:535.634705pt;margin-top:28.746868pt;width:59.493346pt;height:26.794713pt;mso-position-horizontal-relative:page;mso-position-vertical-relative:paragraph;z-index:2104" type="#_x0000_t75" stroked="false">
            <v:imagedata r:id="rId14" o:title=""/>
          </v:shape>
        </w:pict>
      </w:r>
      <w:r>
        <w:rPr>
          <w:rFonts w:ascii="Times New Roman"/>
        </w:rPr>
        <w:t>52</w:t>
      </w:r>
    </w:p>
    <w:p>
      <w:pPr>
        <w:spacing w:after="0" w:line="240" w:lineRule="auto"/>
        <w:jc w:val="right"/>
        <w:rPr>
          <w:rFonts w:ascii="Times New Roman" w:hAnsi="Times New Roman" w:cs="Times New Roman" w:eastAsia="Times New Roman" w:hint="default"/>
        </w:rPr>
        <w:sectPr>
          <w:headerReference w:type="default" r:id="rId42"/>
          <w:footerReference w:type="default" r:id="rId4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80.100006pt;margin-top:72.47998pt;width:54.85pt;height:769.45pt;mso-position-horizontal-relative:page;mso-position-vertical-relative:page;z-index:-10695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5</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69480"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spacing w:line="240" w:lineRule="auto" w:before="6"/>
        <w:rPr>
          <w:rFonts w:ascii="Times New Roman" w:hAnsi="Times New Roman" w:cs="Times New Roman" w:eastAsia="Times New Roman" w:hint="default"/>
          <w:sz w:val="17"/>
          <w:szCs w:val="17"/>
        </w:rPr>
      </w:pPr>
    </w:p>
    <w:p>
      <w:pPr>
        <w:pStyle w:val="BodyText"/>
        <w:spacing w:line="316" w:lineRule="auto"/>
        <w:ind w:left="5270" w:right="3576"/>
        <w:jc w:val="left"/>
      </w:pPr>
      <w:r>
        <w:rPr>
          <w:rFonts w:ascii="Times New Roman" w:hAnsi="Times New Roman" w:cs="Times New Roman" w:eastAsia="Times New Roman" w:hint="default"/>
        </w:rPr>
        <w:t>"</w:t>
      </w:r>
      <w:r>
        <w:rPr/>
        <w:t>填补被摊薄 即期回报的 措施及承诺 本次公开发 行后，募集资 金用于投资 项目，至该等 项目产生效 益需要一定 周期，为降低 本次公开发 行摊薄即期 回报的影响， 公司承诺将 采取如下措 施实现业务 可持续发展 从而增厚未 来收益并加 强投资者回 报，以填补被 摊薄即期回 报：</w:t>
      </w:r>
      <w:r>
        <w:rPr>
          <w:rFonts w:ascii="Times New Roman" w:hAnsi="Times New Roman" w:cs="Times New Roman" w:eastAsia="Times New Roman" w:hint="default"/>
        </w:rPr>
        <w:t>1</w:t>
      </w:r>
      <w:r>
        <w:rPr/>
        <w:t>、迅速 提升公司整 体实力，扩大 公司业务规 模公司首次 公开发行股 票并上市完 成后，公司的 总资产将得 到进一步提 升，抗风险能 力和综合实 力明显增强， 市场价值明 显提升。公司 将借助资本 市场和良好 的发展机遇， 不断拓展公 司主营业务 规模，充分发 挥公司在第 三方支付服</w:t>
      </w:r>
    </w:p>
    <w:p>
      <w:pPr>
        <w:pStyle w:val="BodyText"/>
        <w:tabs>
          <w:tab w:pos="9795" w:val="right" w:leader="none"/>
        </w:tabs>
        <w:spacing w:line="240" w:lineRule="auto" w:before="19"/>
        <w:ind w:left="5270" w:right="0"/>
        <w:jc w:val="left"/>
        <w:rPr>
          <w:rFonts w:ascii="Times New Roman" w:hAnsi="Times New Roman" w:cs="Times New Roman" w:eastAsia="Times New Roman" w:hint="default"/>
        </w:rPr>
      </w:pPr>
      <w:r>
        <w:rPr/>
        <w:t>务领域的优</w:t>
      </w:r>
      <w:r>
        <w:rPr>
          <w:rFonts w:ascii="Times New Roman" w:hAnsi="Times New Roman" w:cs="Times New Roman" w:eastAsia="Times New Roman" w:hint="default"/>
          <w:position w:val="-4"/>
        </w:rPr>
        <w:tab/>
        <w:t>3</w:t>
      </w:r>
      <w:r>
        <w:rPr>
          <w:rFonts w:ascii="Times New Roman" w:hAnsi="Times New Roman" w:cs="Times New Roman" w:eastAsia="Times New Roman" w:hint="default"/>
        </w:rPr>
      </w:r>
    </w:p>
    <w:p>
      <w:pPr>
        <w:pStyle w:val="BodyText"/>
        <w:spacing w:line="316" w:lineRule="auto" w:before="13"/>
        <w:ind w:left="5270" w:right="3603"/>
        <w:jc w:val="both"/>
      </w:pPr>
      <w:r>
        <w:rPr>
          <w:spacing w:val="-2"/>
        </w:rPr>
        <w:t>势地位，推动</w:t>
      </w:r>
      <w:r>
        <w:rPr>
          <w:spacing w:val="-88"/>
        </w:rPr>
        <w:t> </w:t>
      </w:r>
      <w:r>
        <w:rPr>
          <w:spacing w:val="-88"/>
        </w:rPr>
      </w:r>
      <w:r>
        <w:rPr>
          <w:spacing w:val="-2"/>
        </w:rPr>
        <w:t>公司持续、健</w:t>
      </w:r>
      <w:r>
        <w:rPr>
          <w:spacing w:val="-88"/>
        </w:rPr>
        <w:t> </w:t>
      </w:r>
      <w:r>
        <w:rPr>
          <w:spacing w:val="-88"/>
        </w:rPr>
      </w:r>
      <w:r>
        <w:rPr>
          <w:spacing w:val="-2"/>
        </w:rPr>
        <w:t>康、稳定的发</w:t>
      </w:r>
    </w:p>
    <w:p>
      <w:pPr>
        <w:spacing w:after="0" w:line="316" w:lineRule="auto"/>
        <w:jc w:val="both"/>
        <w:sectPr>
          <w:headerReference w:type="default" r:id="rId44"/>
          <w:footerReference w:type="default" r:id="rId45"/>
          <w:pgSz w:w="11910" w:h="16840"/>
          <w:pgMar w:header="877" w:footer="0" w:top="1060" w:bottom="0" w:left="980" w:right="980"/>
        </w:sectPr>
      </w:pPr>
    </w:p>
    <w:p>
      <w:pPr>
        <w:spacing w:line="240" w:lineRule="auto" w:before="7"/>
        <w:rPr>
          <w:rFonts w:ascii="宋体" w:hAnsi="宋体" w:cs="宋体" w:eastAsia="宋体" w:hint="default"/>
          <w:sz w:val="29"/>
          <w:szCs w:val="29"/>
        </w:rPr>
      </w:pPr>
      <w:r>
        <w:rPr/>
        <w:pict>
          <v:shape style="position:absolute;margin-left:480.100006pt;margin-top:72.47998pt;width:54.85pt;height:769.45pt;mso-position-horizontal-relative:page;mso-position-vertical-relative:page;z-index:-10694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12"/>
                    <w:jc w:val="right"/>
                    <w:rPr>
                      <w:rFonts w:ascii="Times New Roman" w:hAnsi="Times New Roman" w:cs="Times New Roman" w:eastAsia="Times New Roman" w:hint="default"/>
                    </w:rPr>
                  </w:pPr>
                  <w:r>
                    <w:rPr>
                      <w:rFonts w:ascii="Times New Roman"/>
                      <w:spacing w:val="1"/>
                    </w:rPr>
                    <w:t>5</w:t>
                  </w:r>
                  <w:r>
                    <w:rPr>
                      <w:rFonts w:ascii="Times New Roman"/>
                    </w:rPr>
                  </w:r>
                </w:p>
              </w:txbxContent>
            </v:textbox>
            <w10:wrap type="none"/>
          </v:shape>
        </w:pict>
      </w:r>
      <w:r>
        <w:rPr/>
        <w:pict>
          <v:group style="position:absolute;margin-left:56.400002pt;margin-top:71.759964pt;width:538.75pt;height:770.4pt;mso-position-horizontal-relative:page;mso-position-vertical-relative:page;z-index:-1069432" coordorigin="1128,1435" coordsize="10775,15408">
            <v:group style="position:absolute;left:1140;top:1450;width:2826;height:15389" coordorigin="1140,1450" coordsize="2826,15389">
              <v:shape style="position:absolute;left:1140;top:1450;width:2826;height:15389" coordorigin="1140,1450" coordsize="2826,15389" path="m3966,16838l3966,1450,1140,1450,1140,16838,3966,16838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9602;top:1450;width:1097;height:15389" coordorigin="9602,1450" coordsize="1097,15389">
              <v:shape style="position:absolute;left:9602;top:1450;width:1097;height:15389" coordorigin="9602,1450" coordsize="1097,15389" path="m10699,16838l10699,1450,9602,1450,9602,16838,10699,16838xe" filled="true" fillcolor="#ffffff" stroked="false">
                <v:path arrowok="t"/>
                <v:fill type="solid"/>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5399" coordorigin="1133,1440" coordsize="2,15399">
              <v:shape style="position:absolute;left:1133;top:1440;width:2;height:15399" coordorigin="1133,1440" coordsize="0,15399" path="m1133,1440l1133,16838e" filled="false" stroked="true" strokeweight=".48pt" strokecolor="#000000">
                <v:path arrowok="t"/>
              </v:shape>
            </v:group>
            <v:group style="position:absolute;left:3971;top:1440;width:2;height:15399" coordorigin="3971,1440" coordsize="2,15399">
              <v:shape style="position:absolute;left:3971;top:1440;width:2;height:15399" coordorigin="3971,1440" coordsize="0,15399" path="m3971,1440l3971,16838e" filled="false" stroked="true" strokeweight=".48001pt" strokecolor="#000000">
                <v:path arrowok="t"/>
              </v:shape>
            </v:group>
            <v:group style="position:absolute;left:5094;top:1440;width:2;height:15399" coordorigin="5094,1440" coordsize="2,15399">
              <v:shape style="position:absolute;left:5094;top:1440;width:2;height:15399" coordorigin="5094,1440" coordsize="0,15399" path="m5094,1440l5094,16838e" filled="false" stroked="true" strokeweight=".48001pt" strokecolor="#000000">
                <v:path arrowok="t"/>
              </v:shape>
            </v:group>
            <v:group style="position:absolute;left:6222;top:1440;width:2;height:15399" coordorigin="6222,1440" coordsize="2,15399">
              <v:shape style="position:absolute;left:6222;top:1440;width:2;height:15399" coordorigin="6222,1440" coordsize="0,15399" path="m6222,1440l6222,16838e" filled="false" stroked="true" strokeweight=".48001pt" strokecolor="#000000">
                <v:path arrowok="t"/>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v:group style="position:absolute;left:8473;top:1440;width:2;height:15399" coordorigin="8473,1440" coordsize="2,15399">
              <v:shape style="position:absolute;left:8473;top:1440;width:2;height:15399" coordorigin="8473,1440" coordsize="0,15399" path="m8473,1440l8473,16838e" filled="false" stroked="true" strokeweight=".48001pt" strokecolor="#000000">
                <v:path arrowok="t"/>
              </v:shape>
            </v:group>
            <v:group style="position:absolute;left:9595;top:1440;width:2;height:15399" coordorigin="9595,1440" coordsize="2,15399">
              <v:shape style="position:absolute;left:9595;top:1440;width:2;height:15399" coordorigin="9595,1440" coordsize="0,15399" path="m9595,1440l9595,16838e" filled="false" stroked="true" strokeweight=".48001pt" strokecolor="#000000">
                <v:path arrowok="t"/>
              </v:shape>
            </v:group>
            <v:group style="position:absolute;left:10701;top:1440;width:2;height:15399" coordorigin="10701,1440" coordsize="2,15399">
              <v:shape style="position:absolute;left:10701;top:1440;width:2;height:15399" coordorigin="10701,1440" coordsize="0,15399" path="m10701,1440l10701,16838e" filled="false" stroked="true" strokeweight=".48004pt" strokecolor="#000000">
                <v:path arrowok="t"/>
              </v:shape>
              <v:shape style="position:absolute;left:10713;top:16134;width:1190;height:536" type="#_x0000_t75" stroked="false">
                <v:imagedata r:id="rId14" o:title=""/>
              </v:shape>
            </v:group>
            <w10:wrap type="none"/>
          </v:group>
        </w:pict>
      </w:r>
    </w:p>
    <w:p>
      <w:pPr>
        <w:pStyle w:val="BodyText"/>
        <w:spacing w:line="316" w:lineRule="auto" w:before="44"/>
        <w:ind w:left="5270" w:right="3576"/>
        <w:jc w:val="left"/>
      </w:pPr>
      <w:r>
        <w:rPr>
          <w:rFonts w:ascii="Times New Roman" w:hAnsi="Times New Roman" w:cs="Times New Roman" w:eastAsia="Times New Roman" w:hint="default"/>
        </w:rPr>
        <w:t>"</w:t>
      </w:r>
      <w:r>
        <w:rPr/>
        <w:t>关于承诺履 行的约束措 施公司、公司 </w:t>
      </w:r>
      <w:r>
        <w:rPr>
          <w:rFonts w:ascii="Times New Roman" w:hAnsi="Times New Roman" w:cs="Times New Roman" w:eastAsia="Times New Roman" w:hint="default"/>
        </w:rPr>
        <w:t>5%</w:t>
      </w:r>
      <w:r>
        <w:rPr/>
        <w:t>以上主要 股东（联想控 股、孙陶然、 鹤鸣永创、孙 浩然及陈江 </w:t>
      </w:r>
      <w:r>
        <w:rPr>
          <w:spacing w:val="-16"/>
        </w:rPr>
        <w:t>涛）、全体董</w:t>
      </w:r>
      <w:r>
        <w:rPr>
          <w:spacing w:val="-86"/>
        </w:rPr>
        <w:t> </w:t>
      </w:r>
      <w:r>
        <w:rPr>
          <w:spacing w:val="-86"/>
        </w:rPr>
      </w:r>
      <w:r>
        <w:rPr/>
        <w:t>事、监事及高</w:t>
      </w:r>
      <w:r>
        <w:rPr/>
        <w:t> 级管理人员 您公开承诺 事项已承诺 了未履行有 关承诺的约 束措施，承诺 将按照该等 承诺的约束 措施采取相 应补救措施； 若采取相应 补救措施仍 无法弥补未 履行相关承 诺造成的损 失，则将采取 本承诺项下 的约束措施 直至相应损 失得以弥补 或降低到最 小。具体如 下：</w:t>
      </w:r>
      <w:r>
        <w:rPr>
          <w:rFonts w:ascii="Times New Roman" w:hAnsi="Times New Roman" w:cs="Times New Roman" w:eastAsia="Times New Roman" w:hint="default"/>
        </w:rPr>
        <w:t>1</w:t>
      </w:r>
      <w:r>
        <w:rPr/>
        <w:t>、如非 因不可抗力 等原因导致 未能履行公 开承诺事项 的，发行人、 公司主要股 东、全体董 事、监事及高 级管理人员 将接受如下 约束措施，直 至相应补救</w:t>
      </w:r>
    </w:p>
    <w:p>
      <w:pPr>
        <w:pStyle w:val="BodyText"/>
        <w:tabs>
          <w:tab w:pos="9795" w:val="right" w:leader="none"/>
        </w:tabs>
        <w:spacing w:line="240" w:lineRule="auto" w:before="19"/>
        <w:ind w:left="5270" w:right="0"/>
        <w:jc w:val="left"/>
        <w:rPr>
          <w:rFonts w:ascii="Times New Roman" w:hAnsi="Times New Roman" w:cs="Times New Roman" w:eastAsia="Times New Roman" w:hint="default"/>
        </w:rPr>
      </w:pPr>
      <w:r>
        <w:rPr/>
        <w:t>措施实施完</w:t>
      </w:r>
      <w:r>
        <w:rPr>
          <w:rFonts w:ascii="Times New Roman" w:hAnsi="Times New Roman" w:cs="Times New Roman" w:eastAsia="Times New Roman" w:hint="default"/>
          <w:position w:val="-4"/>
        </w:rPr>
        <w:tab/>
        <w:t>4</w:t>
      </w:r>
      <w:r>
        <w:rPr>
          <w:rFonts w:ascii="Times New Roman" w:hAnsi="Times New Roman" w:cs="Times New Roman" w:eastAsia="Times New Roman" w:hint="default"/>
        </w:rPr>
      </w:r>
    </w:p>
    <w:p>
      <w:pPr>
        <w:pStyle w:val="BodyText"/>
        <w:spacing w:line="309" w:lineRule="auto" w:before="13"/>
        <w:ind w:left="5270" w:right="3588"/>
        <w:jc w:val="left"/>
      </w:pPr>
      <w:r>
        <w:rPr/>
        <w:t>毕（</w:t>
      </w:r>
      <w:r>
        <w:rPr>
          <w:rFonts w:ascii="Times New Roman" w:hAnsi="Times New Roman" w:cs="Times New Roman" w:eastAsia="Times New Roman" w:hint="default"/>
        </w:rPr>
        <w:t>1</w:t>
      </w:r>
      <w:r>
        <w:rPr/>
        <w:t>）发行 </w:t>
      </w:r>
      <w:r>
        <w:rPr>
          <w:spacing w:val="-2"/>
        </w:rPr>
        <w:t>人：在本公司</w:t>
      </w:r>
      <w:r>
        <w:rPr>
          <w:spacing w:val="-88"/>
        </w:rPr>
        <w:t> </w:t>
      </w:r>
      <w:r>
        <w:rPr>
          <w:spacing w:val="-88"/>
        </w:rPr>
      </w:r>
      <w:r>
        <w:rPr/>
        <w:t>股东大会及</w:t>
      </w:r>
    </w:p>
    <w:p>
      <w:pPr>
        <w:spacing w:after="0" w:line="309" w:lineRule="auto"/>
        <w:jc w:val="left"/>
        <w:sectPr>
          <w:headerReference w:type="default" r:id="rId46"/>
          <w:footerReference w:type="default" r:id="rId47"/>
          <w:pgSz w:w="11910" w:h="16840"/>
          <w:pgMar w:header="877" w:footer="0" w:top="1060" w:bottom="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25"/>
        <w:gridCol w:w="1135"/>
        <w:gridCol w:w="1128"/>
        <w:gridCol w:w="1126"/>
        <w:gridCol w:w="1126"/>
        <w:gridCol w:w="1121"/>
        <w:gridCol w:w="1106"/>
      </w:tblGrid>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43"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4"/>
        <w:spacing w:line="256" w:lineRule="auto" w:before="36"/>
        <w:ind w:right="1133"/>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6"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日，国家财政部印发了《关于修订印发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[2019]6</w:t>
      </w:r>
      <w:r>
        <w:rPr/>
        <w:t>号），</w:t>
      </w:r>
      <w:r>
        <w:rPr>
          <w:spacing w:val="2"/>
        </w:rPr>
        <w:t> </w:t>
      </w:r>
      <w:r>
        <w:rPr/>
        <w:t>要求执行企业会计准则的非金融企业按照企业会计准则和财会</w:t>
      </w:r>
      <w:r>
        <w:rPr>
          <w:rFonts w:ascii="Times New Roman" w:hAnsi="Times New Roman" w:cs="Times New Roman" w:eastAsia="Times New Roman" w:hint="default"/>
        </w:rPr>
        <w:t>[2019]6</w:t>
      </w:r>
      <w:r>
        <w:rPr/>
        <w:t>号的规定编制财务报表，公司</w:t>
      </w:r>
      <w:r>
        <w:rPr>
          <w:rFonts w:ascii="Times New Roman" w:hAnsi="Times New Roman" w:cs="Times New Roman" w:eastAsia="Times New Roman" w:hint="default"/>
        </w:rPr>
        <w:t>2019</w:t>
      </w:r>
      <w:r>
        <w:rPr/>
        <w:t>年度中期财务报表</w:t>
      </w:r>
      <w:r>
        <w:rPr>
          <w:spacing w:val="-28"/>
        </w:rPr>
        <w:t> </w:t>
      </w:r>
      <w:r>
        <w:rPr>
          <w:spacing w:val="-28"/>
        </w:rPr>
      </w:r>
      <w:r>
        <w:rPr/>
        <w:t>和年度财务报表及以后期间的财务报表均按照财会</w:t>
      </w:r>
      <w:r>
        <w:rPr>
          <w:rFonts w:ascii="Times New Roman" w:hAnsi="Times New Roman" w:cs="Times New Roman" w:eastAsia="Times New Roman" w:hint="default"/>
        </w:rPr>
        <w:t>[2019]6</w:t>
      </w:r>
      <w:r>
        <w:rPr/>
        <w:t>号的规定编制执行。</w:t>
      </w:r>
    </w:p>
    <w:p>
      <w:pPr>
        <w:pStyle w:val="BodyText"/>
        <w:spacing w:line="300" w:lineRule="auto" w:before="13"/>
        <w:ind w:right="1128" w:firstLine="360"/>
        <w:jc w:val="both"/>
      </w:pPr>
      <w:r>
        <w:rPr>
          <w:rFonts w:ascii="Times New Roman" w:hAnsi="Times New Roman" w:cs="Times New Roman" w:eastAsia="Times New Roman" w:hint="default"/>
        </w:rPr>
        <w:t>2</w:t>
      </w:r>
      <w:r>
        <w:rPr/>
        <w:t>、财政部于</w:t>
      </w:r>
      <w:r>
        <w:rPr>
          <w:spacing w:val="-3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年陆续修订并发布了《企业会计准则第</w:t>
      </w:r>
      <w:r>
        <w:rPr>
          <w:spacing w:val="-30"/>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金融工具确认和计量》、《企业会计准则第</w:t>
      </w:r>
      <w:r>
        <w:rPr>
          <w:spacing w:val="-30"/>
        </w:rPr>
        <w:t> </w:t>
      </w:r>
      <w:r>
        <w:rPr>
          <w:rFonts w:ascii="Times New Roman" w:hAnsi="Times New Roman" w:cs="Times New Roman" w:eastAsia="Times New Roman" w:hint="default"/>
        </w:rPr>
        <w:t>23</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 </w:t>
      </w:r>
      <w:r>
        <w:rPr/>
        <w:t>金融资产转移》、《企业会计准则第</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套期会计》、《企业会计准则第 </w:t>
      </w:r>
      <w:r>
        <w:rPr>
          <w:rFonts w:ascii="Times New Roman" w:hAnsi="Times New Roman" w:cs="Times New Roman" w:eastAsia="Times New Roman" w:hint="default"/>
        </w:rPr>
        <w:t>37 </w:t>
      </w:r>
      <w:r>
        <w:rPr/>
        <w:t>号</w:t>
      </w:r>
      <w:r>
        <w:rPr>
          <w:rFonts w:ascii="Times New Roman" w:hAnsi="Times New Roman" w:cs="Times New Roman" w:eastAsia="Times New Roman" w:hint="default"/>
        </w:rPr>
        <w:t>—</w:t>
      </w:r>
      <w:r>
        <w:rPr/>
        <w:t>金融工具列报》等四项金融工具相关</w:t>
      </w:r>
      <w:r>
        <w:rPr>
          <w:spacing w:val="-87"/>
        </w:rPr>
        <w:t> </w:t>
      </w:r>
      <w:r>
        <w:rPr>
          <w:spacing w:val="-87"/>
        </w:rPr>
      </w:r>
      <w:r>
        <w:rPr/>
        <w:t>会计准则，自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日起在境内外同时上市的企业，以及在境外上市并采用国际财务报告准则或企业会计准则编 制财务报告的企业施行，自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日起在其他境内上市企业施行。 根据上述会计准则的修订及执行期限要求，公司对</w:t>
      </w:r>
      <w:r>
        <w:rPr>
          <w:spacing w:val="-87"/>
        </w:rPr>
        <w:t> </w:t>
      </w:r>
      <w:r>
        <w:rPr>
          <w:spacing w:val="-87"/>
        </w:rPr>
      </w:r>
      <w:r>
        <w:rPr/>
        <w:t>会计政策相关内容进行调整。</w:t>
      </w:r>
    </w:p>
    <w:p>
      <w:pPr>
        <w:pStyle w:val="BodyText"/>
        <w:spacing w:line="319" w:lineRule="auto" w:before="31"/>
        <w:ind w:right="1130" w:firstLine="360"/>
        <w:jc w:val="both"/>
      </w:pPr>
      <w:r>
        <w:rPr>
          <w:spacing w:val="-2"/>
        </w:rPr>
        <w:t>除上述会计政策变更外，其他未变更部分，公司仍按以前颁布的政策执行。本次会计政策变更仅对财务报表格式和部分</w:t>
      </w:r>
      <w:r>
        <w:rPr/>
        <w:t> 科目列示产生影响，不影响相关财务指标。</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1133"/>
        <w:jc w:val="left"/>
      </w:pPr>
      <w:r>
        <w:rPr>
          <w:rFonts w:ascii="Times New Roman" w:hAnsi="Times New Roman" w:cs="Times New Roman" w:eastAsia="Times New Roman" w:hint="default"/>
        </w:rPr>
        <w:t>1</w:t>
      </w:r>
      <w:r>
        <w:rPr/>
        <w:t>、本期发生的非同一控制下企业合并的情况</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527"/>
        <w:gridCol w:w="1417"/>
        <w:gridCol w:w="1502"/>
        <w:gridCol w:w="972"/>
        <w:gridCol w:w="754"/>
        <w:gridCol w:w="1169"/>
        <w:gridCol w:w="1191"/>
      </w:tblGrid>
      <w:tr>
        <w:trPr>
          <w:trHeight w:val="739"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被购买方名称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134" w:right="27" w:hanging="106"/>
              <w:jc w:val="left"/>
              <w:rPr>
                <w:rFonts w:ascii="宋体" w:hAnsi="宋体" w:cs="宋体" w:eastAsia="宋体" w:hint="default"/>
                <w:sz w:val="18"/>
                <w:szCs w:val="18"/>
              </w:rPr>
            </w:pPr>
            <w:r>
              <w:rPr>
                <w:rFonts w:ascii="宋体" w:hAnsi="宋体" w:cs="宋体" w:eastAsia="宋体" w:hint="default"/>
                <w:sz w:val="18"/>
                <w:szCs w:val="18"/>
              </w:rPr>
              <w:t>股权取得比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189" w:right="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08" w:right="46" w:hanging="361"/>
              <w:jc w:val="left"/>
              <w:rPr>
                <w:rFonts w:ascii="宋体" w:hAnsi="宋体" w:cs="宋体" w:eastAsia="宋体" w:hint="default"/>
                <w:sz w:val="18"/>
                <w:szCs w:val="18"/>
              </w:rPr>
            </w:pPr>
            <w:r>
              <w:rPr>
                <w:rFonts w:ascii="宋体" w:hAnsi="宋体" w:cs="宋体" w:eastAsia="宋体" w:hint="default"/>
                <w:sz w:val="18"/>
                <w:szCs w:val="18"/>
              </w:rPr>
              <w:t>购买日的确定 依据</w:t>
            </w:r>
          </w:p>
        </w:tc>
      </w:tr>
      <w:tr>
        <w:trPr>
          <w:trHeight w:val="430"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0"/>
              <w:jc w:val="center"/>
              <w:rPr>
                <w:rFonts w:ascii="宋体" w:hAnsi="宋体" w:cs="宋体" w:eastAsia="宋体" w:hint="default"/>
                <w:sz w:val="18"/>
                <w:szCs w:val="18"/>
              </w:rPr>
            </w:pPr>
            <w:r>
              <w:rPr>
                <w:rFonts w:ascii="宋体" w:hAnsi="宋体" w:cs="宋体" w:eastAsia="宋体" w:hint="default"/>
                <w:sz w:val="18"/>
                <w:szCs w:val="18"/>
              </w:rPr>
              <w:t>北京大树保险经纪</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2019/12/30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80,000,000.00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30" w:right="0"/>
              <w:jc w:val="left"/>
              <w:rPr>
                <w:rFonts w:ascii="Times New Roman" w:hAnsi="Times New Roman" w:cs="Times New Roman" w:eastAsia="Times New Roman" w:hint="default"/>
                <w:sz w:val="18"/>
                <w:szCs w:val="18"/>
              </w:rPr>
            </w:pPr>
            <w:r>
              <w:rPr>
                <w:rFonts w:ascii="Times New Roman"/>
                <w:sz w:val="18"/>
              </w:rPr>
              <w:t>100.00</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9"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2019/12/30</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工商完成变更</w:t>
            </w:r>
          </w:p>
        </w:tc>
      </w:tr>
    </w:tbl>
    <w:p>
      <w:pPr>
        <w:spacing w:after="0" w:line="240" w:lineRule="auto"/>
        <w:jc w:val="left"/>
        <w:rPr>
          <w:rFonts w:ascii="宋体" w:hAnsi="宋体" w:cs="宋体" w:eastAsia="宋体" w:hint="default"/>
          <w:sz w:val="18"/>
          <w:szCs w:val="18"/>
        </w:rPr>
        <w:sectPr>
          <w:footerReference w:type="default" r:id="rId48"/>
          <w:pgSz w:w="11910" w:h="16840"/>
          <w:pgMar w:footer="980" w:header="877" w:top="1060" w:bottom="1160" w:left="980" w:right="0"/>
          <w:pgNumType w:start="55"/>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27"/>
        <w:gridCol w:w="1417"/>
        <w:gridCol w:w="1502"/>
        <w:gridCol w:w="972"/>
        <w:gridCol w:w="754"/>
        <w:gridCol w:w="1169"/>
        <w:gridCol w:w="1191"/>
      </w:tblGrid>
      <w:tr>
        <w:trPr>
          <w:trHeight w:val="699"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41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92"/>
              <w:jc w:val="left"/>
              <w:rPr>
                <w:rFonts w:ascii="宋体" w:hAnsi="宋体" w:cs="宋体" w:eastAsia="宋体" w:hint="default"/>
                <w:sz w:val="18"/>
                <w:szCs w:val="18"/>
              </w:rPr>
            </w:pPr>
            <w:r>
              <w:rPr>
                <w:rFonts w:ascii="宋体" w:hAnsi="宋体" w:cs="宋体" w:eastAsia="宋体" w:hint="default"/>
                <w:sz w:val="18"/>
                <w:szCs w:val="18"/>
              </w:rPr>
              <w:t>且已支付全部 价款</w:t>
            </w:r>
          </w:p>
        </w:tc>
      </w:tr>
    </w:tbl>
    <w:p>
      <w:pPr>
        <w:pStyle w:val="BodyText"/>
        <w:spacing w:line="240" w:lineRule="auto" w:before="8"/>
        <w:ind w:left="513" w:right="1133"/>
        <w:jc w:val="left"/>
      </w:pPr>
      <w:r>
        <w:rPr>
          <w:rFonts w:ascii="Times New Roman" w:hAnsi="Times New Roman" w:cs="Times New Roman" w:eastAsia="Times New Roman" w:hint="default"/>
        </w:rPr>
        <w:t>2</w:t>
      </w:r>
      <w:r>
        <w:rPr/>
        <w:t>、新设子公司</w:t>
      </w:r>
    </w:p>
    <w:p>
      <w:pPr>
        <w:pStyle w:val="BodyText"/>
        <w:spacing w:line="300" w:lineRule="auto" w:before="63"/>
        <w:ind w:right="1129" w:firstLine="360"/>
        <w:jc w:val="both"/>
      </w:pPr>
      <w:r>
        <w:rPr/>
        <w:t>（</w:t>
      </w:r>
      <w:r>
        <w:rPr>
          <w:rFonts w:ascii="Times New Roman" w:hAnsi="Times New Roman" w:cs="Times New Roman" w:eastAsia="Times New Roman" w:hint="default"/>
        </w:rPr>
        <w:t>1</w:t>
      </w:r>
      <w:r>
        <w:rPr/>
        <w:t>）四川拉卡拉汇积天下技术服务有限公司由拉卡拉子公司拉卡拉汇积天下技术服务（北京）有限公司认缴设立，于 </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06</w:t>
      </w:r>
      <w:r>
        <w:rPr>
          <w:spacing w:val="-1"/>
        </w:rPr>
        <w:t>月</w:t>
      </w:r>
      <w:r>
        <w:rPr>
          <w:rFonts w:ascii="Times New Roman" w:hAnsi="Times New Roman" w:cs="Times New Roman" w:eastAsia="Times New Roman" w:hint="default"/>
          <w:spacing w:val="-1"/>
        </w:rPr>
        <w:t>06</w:t>
      </w:r>
      <w:r>
        <w:rPr>
          <w:spacing w:val="-1"/>
        </w:rPr>
        <w:t>日成立，取得仁寿县市场监督管理局核发《企业法人营业执照》，注册资本</w:t>
      </w:r>
      <w:r>
        <w:rPr>
          <w:rFonts w:ascii="Times New Roman" w:hAnsi="Times New Roman" w:cs="Times New Roman" w:eastAsia="Times New Roman" w:hint="default"/>
          <w:spacing w:val="-1"/>
        </w:rPr>
        <w:t>500.00</w:t>
      </w:r>
      <w:r>
        <w:rPr>
          <w:spacing w:val="-1"/>
        </w:rPr>
        <w:t>万元，注册地址：仁寿县视</w:t>
      </w:r>
      <w:r>
        <w:rPr>
          <w:spacing w:val="-73"/>
        </w:rPr>
        <w:t> </w:t>
      </w:r>
      <w:r>
        <w:rPr>
          <w:spacing w:val="-73"/>
        </w:rPr>
      </w:r>
      <w:r>
        <w:rPr/>
        <w:t>高镇中建大道一段</w:t>
      </w:r>
      <w:r>
        <w:rPr>
          <w:rFonts w:ascii="Times New Roman" w:hAnsi="Times New Roman" w:cs="Times New Roman" w:eastAsia="Times New Roman" w:hint="default"/>
        </w:rPr>
        <w:t>2</w:t>
      </w:r>
      <w:r>
        <w:rPr/>
        <w:t>号。</w:t>
      </w:r>
    </w:p>
    <w:p>
      <w:pPr>
        <w:pStyle w:val="BodyText"/>
        <w:spacing w:line="300" w:lineRule="auto" w:before="13"/>
        <w:ind w:right="1130" w:firstLine="360"/>
        <w:jc w:val="both"/>
      </w:pPr>
      <w:r>
        <w:rPr>
          <w:spacing w:val="-4"/>
        </w:rPr>
        <w:t>（</w:t>
      </w:r>
      <w:r>
        <w:rPr>
          <w:rFonts w:ascii="Times New Roman" w:hAnsi="Times New Roman" w:cs="Times New Roman" w:eastAsia="Times New Roman" w:hint="default"/>
          <w:spacing w:val="-4"/>
        </w:rPr>
        <w:t>2</w:t>
      </w:r>
      <w:r>
        <w:rPr>
          <w:spacing w:val="-4"/>
        </w:rPr>
        <w:t>）汇积天下科技服务（厦门）有限公司由拉卡拉子公司拉卡拉汇积天下技术服务（北京）有限公司认缴设立，于</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16</w:t>
      </w:r>
      <w:r>
        <w:rPr/>
        <w:t>日成立，取得厦门市翔安区市场监督管理局核发《企业法人营业执照》，注册资本</w:t>
      </w:r>
      <w:r>
        <w:rPr>
          <w:rFonts w:ascii="Times New Roman" w:hAnsi="Times New Roman" w:cs="Times New Roman" w:eastAsia="Times New Roman" w:hint="default"/>
        </w:rPr>
        <w:t>1,000.00</w:t>
      </w:r>
      <w:r>
        <w:rPr/>
        <w:t>万元，注册地址：厦门</w:t>
      </w:r>
      <w:r>
        <w:rPr>
          <w:spacing w:val="-85"/>
        </w:rPr>
        <w:t> </w:t>
      </w:r>
      <w:r>
        <w:rPr>
          <w:spacing w:val="-85"/>
        </w:rPr>
      </w:r>
      <w:r>
        <w:rPr/>
        <w:t>市翔安区莲亭路</w:t>
      </w:r>
      <w:r>
        <w:rPr>
          <w:rFonts w:ascii="Times New Roman" w:hAnsi="Times New Roman" w:cs="Times New Roman" w:eastAsia="Times New Roman" w:hint="default"/>
        </w:rPr>
        <w:t>843</w:t>
      </w:r>
      <w:r>
        <w:rPr/>
        <w:t>号</w:t>
      </w:r>
      <w:r>
        <w:rPr>
          <w:rFonts w:ascii="Times New Roman" w:hAnsi="Times New Roman" w:cs="Times New Roman" w:eastAsia="Times New Roman" w:hint="default"/>
        </w:rPr>
        <w:t>40#</w:t>
      </w:r>
      <w:r>
        <w:rPr/>
        <w:t>楼</w:t>
      </w:r>
      <w:r>
        <w:rPr>
          <w:rFonts w:ascii="Times New Roman" w:hAnsi="Times New Roman" w:cs="Times New Roman" w:eastAsia="Times New Roman" w:hint="default"/>
        </w:rPr>
        <w:t>401</w:t>
      </w:r>
      <w:r>
        <w:rPr/>
        <w:t>单元</w:t>
      </w:r>
      <w:r>
        <w:rPr>
          <w:rFonts w:ascii="Times New Roman" w:hAnsi="Times New Roman" w:cs="Times New Roman" w:eastAsia="Times New Roman" w:hint="default"/>
        </w:rPr>
        <w:t>A3</w:t>
      </w:r>
      <w:r>
        <w:rPr/>
        <w:t>室。</w:t>
      </w:r>
    </w:p>
    <w:p>
      <w:pPr>
        <w:pStyle w:val="BodyText"/>
        <w:spacing w:line="300" w:lineRule="auto" w:before="13"/>
        <w:ind w:right="1130" w:firstLine="360"/>
        <w:jc w:val="both"/>
      </w:pPr>
      <w:r>
        <w:rPr>
          <w:spacing w:val="-4"/>
        </w:rPr>
        <w:t>（</w:t>
      </w:r>
      <w:r>
        <w:rPr>
          <w:rFonts w:ascii="Times New Roman" w:hAnsi="Times New Roman" w:cs="Times New Roman" w:eastAsia="Times New Roman" w:hint="default"/>
          <w:spacing w:val="-4"/>
        </w:rPr>
        <w:t>3</w:t>
      </w:r>
      <w:r>
        <w:rPr>
          <w:spacing w:val="-4"/>
        </w:rPr>
        <w:t>）汇聚天下科技服务（海南）有限公司由拉卡拉子公司拉卡拉汇积天下技术服务（北京）有限公司认缴设立，于</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日成立，取得海南省市场监督管理局核发《企业法人营业执照》，注册资本</w:t>
      </w:r>
      <w:r>
        <w:rPr>
          <w:rFonts w:ascii="Times New Roman" w:hAnsi="Times New Roman" w:cs="Times New Roman" w:eastAsia="Times New Roman" w:hint="default"/>
        </w:rPr>
        <w:t>1,000.00</w:t>
      </w:r>
      <w:r>
        <w:rPr/>
        <w:t>万元，注册地址：海南省澄迈</w:t>
      </w:r>
      <w:r>
        <w:rPr>
          <w:spacing w:val="-85"/>
        </w:rPr>
        <w:t> </w:t>
      </w:r>
      <w:r>
        <w:rPr/>
        <w:t>县老城高新技术产业示范区海南生态软件园</w:t>
      </w:r>
      <w:r>
        <w:rPr>
          <w:rFonts w:ascii="Times New Roman" w:hAnsi="Times New Roman" w:cs="Times New Roman" w:eastAsia="Times New Roman" w:hint="default"/>
        </w:rPr>
        <w:t>A17</w:t>
      </w:r>
      <w:r>
        <w:rPr/>
        <w:t>幢二层</w:t>
      </w:r>
      <w:r>
        <w:rPr>
          <w:rFonts w:ascii="Times New Roman" w:hAnsi="Times New Roman" w:cs="Times New Roman" w:eastAsia="Times New Roman" w:hint="default"/>
        </w:rPr>
        <w:t>2001</w:t>
      </w:r>
      <w:r>
        <w:rPr/>
        <w:t>。</w:t>
      </w:r>
    </w:p>
    <w:p>
      <w:pPr>
        <w:pStyle w:val="BodyText"/>
        <w:spacing w:line="300" w:lineRule="auto" w:before="13"/>
        <w:ind w:right="1128" w:firstLine="360"/>
        <w:jc w:val="both"/>
      </w:pPr>
      <w:r>
        <w:rPr/>
        <w:t>（</w:t>
      </w:r>
      <w:r>
        <w:rPr>
          <w:rFonts w:ascii="Times New Roman" w:hAnsi="Times New Roman" w:cs="Times New Roman" w:eastAsia="Times New Roman" w:hint="default"/>
        </w:rPr>
        <w:t>4</w:t>
      </w:r>
      <w:r>
        <w:rPr/>
        <w:t>）拉卡拉科技投资有限公司由拉卡拉子公司海南云商互联科技有限公司认缴设立，于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日成立，取得香 港特别行政区公司注册处公司注册证明书。</w:t>
      </w:r>
    </w:p>
    <w:p>
      <w:pPr>
        <w:pStyle w:val="BodyText"/>
        <w:spacing w:line="240" w:lineRule="auto" w:before="31"/>
        <w:ind w:left="513" w:right="0"/>
        <w:jc w:val="left"/>
      </w:pPr>
      <w:r>
        <w:rPr/>
        <w:t>（</w:t>
      </w:r>
      <w:r>
        <w:rPr>
          <w:rFonts w:ascii="Times New Roman" w:hAnsi="Times New Roman" w:cs="Times New Roman" w:eastAsia="Times New Roman" w:hint="default"/>
        </w:rPr>
        <w:t>5</w:t>
      </w:r>
      <w:r>
        <w:rPr/>
        <w:t>）北京腾祥商务服务有限公司由拉卡拉认缴设立，于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29</w:t>
      </w:r>
      <w:r>
        <w:rPr/>
        <w:t>日成立，取得北京市海淀区市场监督管理局核发</w:t>
      </w:r>
    </w:p>
    <w:p>
      <w:pPr>
        <w:pStyle w:val="BodyText"/>
        <w:spacing w:line="240" w:lineRule="auto" w:before="63"/>
        <w:ind w:right="1133"/>
        <w:jc w:val="left"/>
      </w:pPr>
      <w:r>
        <w:rPr/>
        <w:t>《企业法人营业执照》，注册资本</w:t>
      </w:r>
      <w:r>
        <w:rPr>
          <w:rFonts w:ascii="Times New Roman" w:hAnsi="Times New Roman" w:cs="Times New Roman" w:eastAsia="Times New Roman" w:hint="default"/>
        </w:rPr>
        <w:t>3,000.00</w:t>
      </w:r>
      <w:r>
        <w:rPr/>
        <w:t>万元，注册地址：北京市海淀区北清路中关村壹号</w:t>
      </w:r>
      <w:r>
        <w:rPr>
          <w:rFonts w:ascii="Times New Roman" w:hAnsi="Times New Roman" w:cs="Times New Roman" w:eastAsia="Times New Roman" w:hint="default"/>
        </w:rPr>
        <w:t>D1</w:t>
      </w:r>
      <w:r>
        <w:rPr/>
        <w:t>座</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610</w:t>
      </w:r>
      <w:r>
        <w:rPr/>
        <w:t>。</w:t>
      </w:r>
    </w:p>
    <w:p>
      <w:pPr>
        <w:pStyle w:val="BodyText"/>
        <w:spacing w:line="240" w:lineRule="auto" w:before="63"/>
        <w:ind w:left="513" w:right="0"/>
        <w:jc w:val="left"/>
      </w:pPr>
      <w:r>
        <w:rPr/>
        <w:t>（</w:t>
      </w:r>
      <w:r>
        <w:rPr>
          <w:rFonts w:ascii="Times New Roman" w:hAnsi="Times New Roman" w:cs="Times New Roman" w:eastAsia="Times New Roman" w:hint="default"/>
        </w:rPr>
        <w:t>6</w:t>
      </w:r>
      <w:r>
        <w:rPr/>
        <w:t>）广州赢达信息咨询有限公司由拉卡拉认缴设立，于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15</w:t>
      </w:r>
      <w:r>
        <w:rPr/>
        <w:t>日成立，取得广州市天河区工商行政管理局核发</w:t>
      </w:r>
    </w:p>
    <w:p>
      <w:pPr>
        <w:pStyle w:val="BodyText"/>
        <w:spacing w:line="240" w:lineRule="auto" w:before="63"/>
        <w:ind w:right="1133"/>
        <w:jc w:val="left"/>
      </w:pPr>
      <w:r>
        <w:rPr/>
        <w:t>《企业法人营业执照》，注册资本</w:t>
      </w:r>
      <w:r>
        <w:rPr>
          <w:rFonts w:ascii="Times New Roman" w:hAnsi="Times New Roman" w:cs="Times New Roman" w:eastAsia="Times New Roman" w:hint="default"/>
        </w:rPr>
        <w:t>32,000.00</w:t>
      </w:r>
      <w:r>
        <w:rPr/>
        <w:t>万元，注册地址：广州市天河区华夏路</w:t>
      </w:r>
      <w:r>
        <w:rPr>
          <w:rFonts w:ascii="Times New Roman" w:hAnsi="Times New Roman" w:cs="Times New Roman" w:eastAsia="Times New Roman" w:hint="default"/>
        </w:rPr>
        <w:t>26</w:t>
      </w:r>
      <w:r>
        <w:rPr/>
        <w:t>号雅居乐中心第</w:t>
      </w:r>
      <w:r>
        <w:rPr>
          <w:rFonts w:ascii="Times New Roman" w:hAnsi="Times New Roman" w:cs="Times New Roman" w:eastAsia="Times New Roman" w:hint="default"/>
        </w:rPr>
        <w:t>22</w:t>
      </w:r>
      <w:r>
        <w:rPr/>
        <w:t>层。</w:t>
      </w:r>
    </w:p>
    <w:p>
      <w:pPr>
        <w:pStyle w:val="BodyText"/>
        <w:spacing w:line="300" w:lineRule="auto" w:before="63"/>
        <w:ind w:right="1131" w:firstLine="360"/>
        <w:jc w:val="both"/>
      </w:pPr>
      <w:r>
        <w:rPr/>
        <w:t>（</w:t>
      </w:r>
      <w:r>
        <w:rPr>
          <w:rFonts w:ascii="Times New Roman" w:hAnsi="Times New Roman" w:cs="Times New Roman" w:eastAsia="Times New Roman" w:hint="default"/>
        </w:rPr>
        <w:t>7</w:t>
      </w:r>
      <w:r>
        <w:rPr/>
        <w:t>）广州拉卡拉信息技术有限公司由拉卡拉认缴设立，于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日成立，取得广州市黄埔区市场监督管理局核 发《企业法人营业执照》，注册资本</w:t>
      </w:r>
      <w:r>
        <w:rPr>
          <w:rFonts w:ascii="Times New Roman" w:hAnsi="Times New Roman" w:cs="Times New Roman" w:eastAsia="Times New Roman" w:hint="default"/>
        </w:rPr>
        <w:t>6,000.00</w:t>
      </w:r>
      <w:r>
        <w:rPr/>
        <w:t>万元，注册地址：广州市黄埔区中新广州知识城亿创街</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406</w:t>
      </w:r>
      <w:r>
        <w:rPr/>
        <w:t>房之</w:t>
      </w:r>
      <w:r>
        <w:rPr>
          <w:rFonts w:ascii="Times New Roman" w:hAnsi="Times New Roman" w:cs="Times New Roman" w:eastAsia="Times New Roman" w:hint="default"/>
        </w:rPr>
        <w:t>37</w:t>
      </w:r>
      <w:r>
        <w:rPr/>
        <w:t>。</w:t>
      </w:r>
    </w:p>
    <w:p>
      <w:pPr>
        <w:pStyle w:val="BodyText"/>
        <w:spacing w:line="240" w:lineRule="auto" w:before="13"/>
        <w:ind w:left="513" w:right="0"/>
        <w:jc w:val="left"/>
      </w:pPr>
      <w:r>
        <w:rPr/>
        <w:t>（</w:t>
      </w:r>
      <w:r>
        <w:rPr>
          <w:rFonts w:ascii="Times New Roman" w:hAnsi="Times New Roman" w:cs="Times New Roman" w:eastAsia="Times New Roman" w:hint="default"/>
        </w:rPr>
        <w:t>8</w:t>
      </w:r>
      <w:r>
        <w:rPr/>
        <w:t>）拉卡拉國際有限公司由拉卡拉认缴设立，于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日成立，取得香港特别行政区公司注册处公司注册证明书。</w:t>
      </w:r>
    </w:p>
    <w:p>
      <w:pPr>
        <w:pStyle w:val="BodyText"/>
        <w:spacing w:line="300" w:lineRule="auto" w:before="63"/>
        <w:ind w:right="1040" w:firstLine="360"/>
        <w:jc w:val="both"/>
      </w:pPr>
      <w:r>
        <w:rPr/>
        <w:t>（</w:t>
      </w:r>
      <w:r>
        <w:rPr>
          <w:rFonts w:ascii="Times New Roman" w:hAnsi="Times New Roman" w:cs="Times New Roman" w:eastAsia="Times New Roman" w:hint="default"/>
        </w:rPr>
        <w:t>9</w:t>
      </w:r>
      <w:r>
        <w:rPr/>
        <w:t>）海南泛泰科技发展有限公司由拉卡拉认缴设立，于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03</w:t>
      </w:r>
      <w:r>
        <w:rPr/>
        <w:t>日成立，取得海南省市场监督管理局核发《企业 </w:t>
      </w:r>
      <w:r>
        <w:rPr>
          <w:spacing w:val="-4"/>
        </w:rPr>
        <w:t>法人营业执照》，注册资本</w:t>
      </w:r>
      <w:r>
        <w:rPr>
          <w:rFonts w:ascii="Times New Roman" w:hAnsi="Times New Roman" w:cs="Times New Roman" w:eastAsia="Times New Roman" w:hint="default"/>
          <w:spacing w:val="-4"/>
        </w:rPr>
        <w:t>2,000.00</w:t>
      </w:r>
      <w:r>
        <w:rPr>
          <w:spacing w:val="-4"/>
        </w:rPr>
        <w:t>万元，注册地址：海南省澄迈县老城高新技术产业示范区海南生态软件园</w:t>
      </w:r>
      <w:r>
        <w:rPr>
          <w:rFonts w:ascii="Times New Roman" w:hAnsi="Times New Roman" w:cs="Times New Roman" w:eastAsia="Times New Roman" w:hint="default"/>
          <w:spacing w:val="-4"/>
        </w:rPr>
        <w:t>A17</w:t>
      </w:r>
      <w:r>
        <w:rPr>
          <w:spacing w:val="-4"/>
        </w:rPr>
        <w:t>幢二层</w:t>
      </w:r>
      <w:r>
        <w:rPr>
          <w:rFonts w:ascii="Times New Roman" w:hAnsi="Times New Roman" w:cs="Times New Roman" w:eastAsia="Times New Roman" w:hint="default"/>
          <w:spacing w:val="-4"/>
        </w:rPr>
        <w:t>2001</w:t>
      </w:r>
      <w:r>
        <w:rPr>
          <w:spacing w:val="-4"/>
        </w:rPr>
        <w:t>。</w:t>
      </w:r>
    </w:p>
    <w:p>
      <w:pPr>
        <w:pStyle w:val="BodyText"/>
        <w:spacing w:line="300" w:lineRule="auto" w:before="13"/>
        <w:ind w:right="1040" w:firstLine="360"/>
        <w:jc w:val="both"/>
      </w:pPr>
      <w:r>
        <w:rPr>
          <w:spacing w:val="-2"/>
        </w:rPr>
        <w:t>（</w:t>
      </w:r>
      <w:r>
        <w:rPr>
          <w:rFonts w:ascii="Times New Roman" w:hAnsi="Times New Roman" w:cs="Times New Roman" w:eastAsia="Times New Roman" w:hint="default"/>
          <w:spacing w:val="-2"/>
        </w:rPr>
        <w:t>10</w:t>
      </w:r>
      <w:r>
        <w:rPr>
          <w:spacing w:val="-2"/>
        </w:rPr>
        <w:t>）海南嘉驰科技发展有限公司由拉卡拉认缴设立，于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日成立，取得海南省市场监督管理局核发《企业</w:t>
      </w:r>
      <w:r>
        <w:rPr/>
        <w:t> </w:t>
      </w:r>
      <w:r>
        <w:rPr>
          <w:spacing w:val="-4"/>
        </w:rPr>
        <w:t>法人营业执照》，注册资本</w:t>
      </w:r>
      <w:r>
        <w:rPr>
          <w:rFonts w:ascii="Times New Roman" w:hAnsi="Times New Roman" w:cs="Times New Roman" w:eastAsia="Times New Roman" w:hint="default"/>
          <w:spacing w:val="-4"/>
        </w:rPr>
        <w:t>1,000.00</w:t>
      </w:r>
      <w:r>
        <w:rPr>
          <w:spacing w:val="-4"/>
        </w:rPr>
        <w:t>万元，注册地址：海南省澄迈县老城高新技术产业示范区海南生态软件园</w:t>
      </w:r>
      <w:r>
        <w:rPr>
          <w:rFonts w:ascii="Times New Roman" w:hAnsi="Times New Roman" w:cs="Times New Roman" w:eastAsia="Times New Roman" w:hint="default"/>
          <w:spacing w:val="-4"/>
        </w:rPr>
        <w:t>A17</w:t>
      </w:r>
      <w:r>
        <w:rPr>
          <w:spacing w:val="-4"/>
        </w:rPr>
        <w:t>幢二层</w:t>
      </w:r>
      <w:r>
        <w:rPr>
          <w:rFonts w:ascii="Times New Roman" w:hAnsi="Times New Roman" w:cs="Times New Roman" w:eastAsia="Times New Roman" w:hint="default"/>
          <w:spacing w:val="-4"/>
        </w:rPr>
        <w:t>2001</w:t>
      </w:r>
      <w:r>
        <w:rPr>
          <w:spacing w:val="-4"/>
        </w:rPr>
        <w:t>。</w:t>
      </w:r>
    </w:p>
    <w:p>
      <w:pPr>
        <w:pStyle w:val="BodyText"/>
        <w:spacing w:line="300" w:lineRule="auto" w:before="13"/>
        <w:ind w:right="1131" w:firstLine="360"/>
        <w:jc w:val="both"/>
      </w:pPr>
      <w:r>
        <w:rPr>
          <w:spacing w:val="-2"/>
        </w:rPr>
        <w:t>（</w:t>
      </w:r>
      <w:r>
        <w:rPr>
          <w:rFonts w:ascii="Times New Roman" w:hAnsi="Times New Roman" w:cs="Times New Roman" w:eastAsia="Times New Roman" w:hint="default"/>
          <w:spacing w:val="-2"/>
        </w:rPr>
        <w:t>11</w:t>
      </w:r>
      <w:r>
        <w:rPr>
          <w:spacing w:val="-2"/>
        </w:rPr>
        <w:t>）北京考拉鲲鹏科技成长基金合伙企业（有限合伙）由拉卡拉认缴设立，于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日成立，取得北京市海淀</w:t>
      </w:r>
      <w:r>
        <w:rPr/>
        <w:t> </w:t>
      </w:r>
      <w:r>
        <w:rPr>
          <w:spacing w:val="-1"/>
        </w:rPr>
        <w:t>区市场监督管理局核发《企业法人营业执照》，注册地址：海南省澄迈县老城高新技术产业示范区海南生态软件园</w:t>
      </w:r>
      <w:r>
        <w:rPr>
          <w:rFonts w:ascii="Times New Roman" w:hAnsi="Times New Roman" w:cs="Times New Roman" w:eastAsia="Times New Roman" w:hint="default"/>
          <w:spacing w:val="-1"/>
        </w:rPr>
        <w:t>A17</w:t>
      </w:r>
      <w:r>
        <w:rPr>
          <w:spacing w:val="-1"/>
        </w:rPr>
        <w:t>幢二</w:t>
      </w:r>
      <w:r>
        <w:rPr>
          <w:spacing w:val="-69"/>
        </w:rPr>
        <w:t> </w:t>
      </w:r>
      <w:r>
        <w:rPr/>
        <w:t>层</w:t>
      </w:r>
      <w:r>
        <w:rPr>
          <w:rFonts w:ascii="Times New Roman" w:hAnsi="Times New Roman" w:cs="Times New Roman" w:eastAsia="Times New Roman" w:hint="default"/>
        </w:rPr>
        <w:t>2001</w:t>
      </w:r>
      <w:r>
        <w:rPr/>
        <w:t>。</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徐继凯、周军</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1133"/>
        <w:jc w:val="left"/>
      </w:pPr>
      <w:r>
        <w:rPr/>
        <w:t>是否改聘会计师事务所</w:t>
      </w:r>
    </w:p>
    <w:p>
      <w:pPr>
        <w:pStyle w:val="BodyText"/>
        <w:spacing w:line="338"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713"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9" w:right="86"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6"/>
                <w:sz w:val="18"/>
                <w:szCs w:val="18"/>
              </w:rPr>
              <w:t>公司（含合并报表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中子公司）作为原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告未达重大诉讼 披露标准的其他 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97"/>
              <w:jc w:val="both"/>
              <w:rPr>
                <w:rFonts w:ascii="宋体" w:hAnsi="宋体" w:cs="宋体" w:eastAsia="宋体" w:hint="default"/>
                <w:sz w:val="18"/>
                <w:szCs w:val="18"/>
              </w:rPr>
            </w:pPr>
            <w:r>
              <w:rPr>
                <w:rFonts w:ascii="宋体" w:hAnsi="宋体" w:cs="宋体" w:eastAsia="宋体" w:hint="default"/>
                <w:sz w:val="18"/>
                <w:szCs w:val="18"/>
              </w:rPr>
              <w:t>公司严格 按进度推 进各案件</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4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6"/>
                <w:sz w:val="18"/>
                <w:szCs w:val="18"/>
              </w:rPr>
              <w:t>公司（含合并报表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中子公司）作为被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告未达重大诉讼 披露标准的其他 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7"/>
              <w:jc w:val="both"/>
              <w:rPr>
                <w:rFonts w:ascii="宋体" w:hAnsi="宋体" w:cs="宋体" w:eastAsia="宋体" w:hint="default"/>
                <w:sz w:val="18"/>
                <w:szCs w:val="18"/>
              </w:rPr>
            </w:pPr>
            <w:r>
              <w:rPr>
                <w:rFonts w:ascii="宋体" w:hAnsi="宋体" w:cs="宋体" w:eastAsia="宋体" w:hint="default"/>
                <w:sz w:val="18"/>
                <w:szCs w:val="18"/>
              </w:rPr>
              <w:t>公司严格 按进度推 进各案件</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1"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6"/>
                <w:sz w:val="18"/>
                <w:szCs w:val="18"/>
              </w:rPr>
              <w:t>公司（含合并报表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中子公司）作为第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三人未达重大诉 讼披露标准的其 他诉讼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97"/>
              <w:jc w:val="both"/>
              <w:rPr>
                <w:rFonts w:ascii="宋体" w:hAnsi="宋体" w:cs="宋体" w:eastAsia="宋体" w:hint="default"/>
                <w:sz w:val="18"/>
                <w:szCs w:val="18"/>
              </w:rPr>
            </w:pPr>
            <w:r>
              <w:rPr>
                <w:rFonts w:ascii="宋体" w:hAnsi="宋体" w:cs="宋体" w:eastAsia="宋体" w:hint="default"/>
                <w:sz w:val="18"/>
                <w:szCs w:val="18"/>
              </w:rPr>
              <w:t>公司严格 按进度推 进各案件</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71"/>
        <w:gridCol w:w="1366"/>
        <w:gridCol w:w="1368"/>
        <w:gridCol w:w="1366"/>
        <w:gridCol w:w="1366"/>
        <w:gridCol w:w="1366"/>
        <w:gridCol w:w="1370"/>
      </w:tblGrid>
      <w:tr>
        <w:trPr>
          <w:trHeight w:val="404"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75"/>
              <w:jc w:val="both"/>
              <w:rPr>
                <w:rFonts w:ascii="宋体" w:hAnsi="宋体" w:cs="宋体" w:eastAsia="宋体" w:hint="default"/>
                <w:sz w:val="18"/>
                <w:szCs w:val="18"/>
              </w:rPr>
            </w:pPr>
            <w:r>
              <w:rPr>
                <w:rFonts w:ascii="宋体" w:hAnsi="宋体" w:cs="宋体" w:eastAsia="宋体" w:hint="default"/>
                <w:sz w:val="18"/>
                <w:szCs w:val="18"/>
              </w:rPr>
              <w:t>拉卡拉支付股份 有限公司江苏分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71"/>
              <w:jc w:val="both"/>
              <w:rPr>
                <w:rFonts w:ascii="宋体" w:hAnsi="宋体" w:cs="宋体" w:eastAsia="宋体" w:hint="default"/>
                <w:sz w:val="18"/>
                <w:szCs w:val="18"/>
              </w:rPr>
            </w:pPr>
            <w:r>
              <w:rPr>
                <w:rFonts w:ascii="宋体" w:hAnsi="宋体" w:cs="宋体" w:eastAsia="宋体" w:hint="default"/>
                <w:sz w:val="18"/>
                <w:szCs w:val="18"/>
              </w:rPr>
              <w:t>未按规定开展商 户巡检和管理外 包服务机构。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中国人民银行南 京分行对拉卡拉 支付股份有限公 司江苏分公司处 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万元罚款。</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73"/>
        <w:gridCol w:w="1366"/>
        <w:gridCol w:w="1368"/>
        <w:gridCol w:w="1366"/>
        <w:gridCol w:w="1366"/>
        <w:gridCol w:w="1366"/>
        <w:gridCol w:w="1370"/>
      </w:tblGrid>
      <w:tr>
        <w:trPr>
          <w:trHeight w:val="196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拉卡拉支付股份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6"/>
              <w:ind w:left="26" w:right="17"/>
              <w:jc w:val="left"/>
              <w:rPr>
                <w:rFonts w:ascii="宋体" w:hAnsi="宋体" w:cs="宋体" w:eastAsia="宋体" w:hint="default"/>
                <w:sz w:val="18"/>
                <w:szCs w:val="18"/>
              </w:rPr>
            </w:pPr>
            <w:r>
              <w:rPr>
                <w:rFonts w:ascii="宋体" w:hAnsi="宋体" w:cs="宋体" w:eastAsia="宋体" w:hint="default"/>
                <w:sz w:val="18"/>
                <w:szCs w:val="18"/>
              </w:rPr>
              <w:t>违反</w:t>
            </w:r>
            <w:r>
              <w:rPr>
                <w:rFonts w:ascii="Times New Roman" w:hAnsi="Times New Roman" w:cs="Times New Roman" w:eastAsia="Times New Roman" w:hint="default"/>
                <w:sz w:val="18"/>
                <w:szCs w:val="18"/>
              </w:rPr>
              <w:t>“</w:t>
            </w:r>
            <w:r>
              <w:rPr>
                <w:rFonts w:ascii="宋体" w:hAnsi="宋体" w:cs="宋体" w:eastAsia="宋体" w:hint="default"/>
                <w:sz w:val="18"/>
                <w:szCs w:val="18"/>
              </w:rPr>
              <w:t>单笔交易 金额不得超过等 值</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w:t>
            </w:r>
            <w:r>
              <w:rPr>
                <w:rFonts w:ascii="宋体" w:hAnsi="宋体" w:cs="宋体" w:eastAsia="宋体" w:hint="default"/>
                <w:sz w:val="18"/>
                <w:szCs w:val="18"/>
              </w:rPr>
              <w:t>的规 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国家外汇管理局 北京外汇管理部 对拉卡拉支付股 份有限公司处以 </w:t>
            </w:r>
            <w:r>
              <w:rPr>
                <w:rFonts w:ascii="Times New Roman" w:hAnsi="Times New Roman" w:cs="Times New Roman" w:eastAsia="Times New Roman" w:hint="default"/>
                <w:sz w:val="18"/>
                <w:szCs w:val="18"/>
              </w:rPr>
              <w:t>838,779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 币罚款。</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董事、监事、高级管理人员、持股</w:t>
      </w:r>
      <w:r>
        <w:rPr>
          <w:spacing w:val="-45"/>
        </w:rPr>
        <w:t> </w:t>
      </w:r>
      <w:r>
        <w:rPr>
          <w:rFonts w:ascii="Times New Roman" w:hAnsi="Times New Roman" w:cs="Times New Roman" w:eastAsia="Times New Roman" w:hint="default"/>
        </w:rPr>
        <w:t>5%</w:t>
      </w:r>
      <w:r>
        <w:rPr/>
        <w:t>以上的股东违规买卖公司股票情况</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75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公司不存在控股股东和实际控制人。</w:t>
      </w:r>
    </w:p>
    <w:p>
      <w:pPr>
        <w:pStyle w:val="BodyText"/>
        <w:spacing w:line="316" w:lineRule="auto" w:before="2"/>
        <w:ind w:right="0" w:firstLine="360"/>
        <w:jc w:val="left"/>
      </w:pPr>
      <w:r>
        <w:rPr>
          <w:spacing w:val="-2"/>
        </w:rPr>
        <w:t>公司第一大股东为联想控股股份有限公司，截止报告期末，其不存在未履行法院生效判决的情况，也不存在所负数额较</w:t>
      </w:r>
      <w:r>
        <w:rPr/>
        <w:t> 大的债务到期未清偿等情况。</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677"/>
        <w:gridCol w:w="677"/>
        <w:gridCol w:w="704"/>
        <w:gridCol w:w="679"/>
        <w:gridCol w:w="674"/>
        <w:gridCol w:w="676"/>
        <w:gridCol w:w="674"/>
        <w:gridCol w:w="674"/>
        <w:gridCol w:w="674"/>
        <w:gridCol w:w="672"/>
        <w:gridCol w:w="675"/>
        <w:gridCol w:w="670"/>
        <w:gridCol w:w="646"/>
      </w:tblGrid>
      <w:tr>
        <w:trPr>
          <w:trHeight w:val="1339"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2"/>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601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西藏考拉 科技发展 有限公司</w:t>
            </w:r>
          </w:p>
          <w:p>
            <w:pPr>
              <w:pStyle w:val="TableParagraph"/>
              <w:spacing w:line="316" w:lineRule="auto" w:before="19"/>
              <w:ind w:left="24" w:right="44"/>
              <w:jc w:val="both"/>
              <w:rPr>
                <w:rFonts w:ascii="宋体" w:hAnsi="宋体" w:cs="宋体" w:eastAsia="宋体" w:hint="default"/>
                <w:sz w:val="18"/>
                <w:szCs w:val="18"/>
              </w:rPr>
            </w:pPr>
            <w:r>
              <w:rPr>
                <w:rFonts w:ascii="宋体" w:hAnsi="宋体" w:cs="宋体" w:eastAsia="宋体" w:hint="default"/>
                <w:sz w:val="18"/>
                <w:szCs w:val="18"/>
              </w:rPr>
              <w:t>（及子公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公司董 事长孙 陶然先 生担任 西藏考 拉科技 发展有 限公司 董事 长，公 司董事 李蓬先 生担任 西藏考 拉科技 发展有 限公司 的董 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提供引 流推广 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参考市 场价格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7,645.6</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99.98%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8,985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7600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39</w:t>
            </w:r>
          </w:p>
        </w:tc>
      </w:tr>
      <w:tr>
        <w:trPr>
          <w:trHeight w:val="602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西藏考拉 科技发展 有限公司</w:t>
            </w:r>
          </w:p>
          <w:p>
            <w:pPr>
              <w:pStyle w:val="TableParagraph"/>
              <w:spacing w:line="316" w:lineRule="auto" w:before="19"/>
              <w:ind w:left="24" w:right="44"/>
              <w:jc w:val="both"/>
              <w:rPr>
                <w:rFonts w:ascii="宋体" w:hAnsi="宋体" w:cs="宋体" w:eastAsia="宋体" w:hint="default"/>
                <w:sz w:val="18"/>
                <w:szCs w:val="18"/>
              </w:rPr>
            </w:pPr>
            <w:r>
              <w:rPr>
                <w:rFonts w:ascii="宋体" w:hAnsi="宋体" w:cs="宋体" w:eastAsia="宋体" w:hint="default"/>
                <w:sz w:val="18"/>
                <w:szCs w:val="18"/>
              </w:rPr>
              <w:t>（及子公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公司董 事长孙 陶然先 生担任 西藏考 拉科技 发展有 限公司 董事 长，公 司董事 李蓬先 生担任 西藏考 拉科技 发展有 限公司 的董 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4"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提供支 付结算 服</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参考市 场价格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119.96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119.96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76.00%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4" w:lineRule="auto"/>
              <w:ind w:left="23" w:right="96"/>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601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西藏考拉 科技发展 有限公司</w:t>
            </w:r>
          </w:p>
          <w:p>
            <w:pPr>
              <w:pStyle w:val="TableParagraph"/>
              <w:spacing w:line="316" w:lineRule="auto" w:before="19"/>
              <w:ind w:left="24" w:right="44"/>
              <w:jc w:val="both"/>
              <w:rPr>
                <w:rFonts w:ascii="宋体" w:hAnsi="宋体" w:cs="宋体" w:eastAsia="宋体" w:hint="default"/>
                <w:sz w:val="18"/>
                <w:szCs w:val="18"/>
              </w:rPr>
            </w:pPr>
            <w:r>
              <w:rPr>
                <w:rFonts w:ascii="宋体" w:hAnsi="宋体" w:cs="宋体" w:eastAsia="宋体" w:hint="default"/>
                <w:sz w:val="18"/>
                <w:szCs w:val="18"/>
              </w:rPr>
              <w:t>（及子公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公司董 事长孙 陶然先 生担任 西藏考 拉科技 发展有 限公司 董事 长，公 司董事 李蓬先 生担任 西藏考 拉科技 发展有 限公司 的董 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接受服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接受引 流推广 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参考市 场价格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0" w:lineRule="auto"/>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7.94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7.94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0" w:lineRule="auto"/>
              <w:ind w:left="23" w:right="96"/>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39</w:t>
            </w:r>
          </w:p>
        </w:tc>
      </w:tr>
      <w:tr>
        <w:trPr>
          <w:trHeight w:val="602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西藏考拉 科技发展 有限公司</w:t>
            </w:r>
          </w:p>
          <w:p>
            <w:pPr>
              <w:pStyle w:val="TableParagraph"/>
              <w:spacing w:line="316" w:lineRule="auto" w:before="19"/>
              <w:ind w:left="24" w:right="44"/>
              <w:jc w:val="both"/>
              <w:rPr>
                <w:rFonts w:ascii="宋体" w:hAnsi="宋体" w:cs="宋体" w:eastAsia="宋体" w:hint="default"/>
                <w:sz w:val="18"/>
                <w:szCs w:val="18"/>
              </w:rPr>
            </w:pPr>
            <w:r>
              <w:rPr>
                <w:rFonts w:ascii="宋体" w:hAnsi="宋体" w:cs="宋体" w:eastAsia="宋体" w:hint="default"/>
                <w:sz w:val="18"/>
                <w:szCs w:val="18"/>
              </w:rPr>
              <w:t>（及子公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公司董 事长孙 陶然先 生担任 西藏考 拉科技 发展有 限公司 董事 长，公 司董事 李蓬先 生担任 西藏考 拉科技 发展有 限公司 的董 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4" w:lineRule="auto"/>
              <w:ind w:left="23" w:right="128"/>
              <w:jc w:val="left"/>
              <w:rPr>
                <w:rFonts w:ascii="宋体" w:hAnsi="宋体" w:cs="宋体" w:eastAsia="宋体" w:hint="default"/>
                <w:sz w:val="18"/>
                <w:szCs w:val="18"/>
              </w:rPr>
            </w:pPr>
            <w:r>
              <w:rPr>
                <w:rFonts w:ascii="宋体" w:hAnsi="宋体" w:cs="宋体" w:eastAsia="宋体" w:hint="default"/>
                <w:sz w:val="18"/>
                <w:szCs w:val="18"/>
              </w:rPr>
              <w:t>出租办 公房屋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参考市 场价格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2,051.7</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2,051.7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95.94%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4" w:lineRule="auto"/>
              <w:ind w:left="23" w:right="96"/>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39</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11,635</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2"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56"/>
        <w:gridCol w:w="6714"/>
      </w:tblGrid>
      <w:tr>
        <w:trPr>
          <w:trHeight w:val="1025"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both"/>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4"/>
        <w:spacing w:line="240" w:lineRule="auto"/>
        <w:ind w:right="0"/>
        <w:jc w:val="both"/>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4"/>
        <w:spacing w:line="240" w:lineRule="auto"/>
        <w:ind w:right="0"/>
        <w:jc w:val="both"/>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4"/>
        <w:spacing w:line="240" w:lineRule="auto"/>
        <w:ind w:right="0"/>
        <w:jc w:val="both"/>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513" w:right="1213"/>
        <w:jc w:val="left"/>
      </w:pPr>
      <w:r>
        <w:rPr/>
        <w:t>（</w:t>
      </w:r>
      <w:r>
        <w:rPr>
          <w:rFonts w:ascii="Times New Roman" w:hAnsi="Times New Roman" w:cs="Times New Roman" w:eastAsia="Times New Roman" w:hint="default"/>
        </w:rPr>
        <w:t>1</w:t>
      </w:r>
      <w:r>
        <w:rPr/>
        <w:t>）公司子公司购买房产暨关联交易 公司子公司北京腾祥商务服务有限公司购买关联方北京今久广告传播有限责任公司坐落于北京市朝阳区崔各庄乡大望</w:t>
      </w:r>
    </w:p>
    <w:p>
      <w:pPr>
        <w:pStyle w:val="BodyText"/>
        <w:spacing w:line="300" w:lineRule="auto" w:before="31"/>
        <w:ind w:right="1131"/>
        <w:jc w:val="both"/>
      </w:pPr>
      <w:r>
        <w:rPr/>
        <w:t>京村环境整治土地储备项目</w:t>
      </w:r>
      <w:r>
        <w:rPr>
          <w:rFonts w:ascii="Times New Roman" w:hAnsi="Times New Roman" w:cs="Times New Roman" w:eastAsia="Times New Roman" w:hint="default"/>
        </w:rPr>
        <w:t>3</w:t>
      </w:r>
      <w:r>
        <w:rPr/>
        <w:t>号地</w:t>
      </w:r>
      <w:r>
        <w:rPr>
          <w:rFonts w:ascii="Times New Roman" w:hAnsi="Times New Roman" w:cs="Times New Roman" w:eastAsia="Times New Roman" w:hint="default"/>
        </w:rPr>
        <w:t>1008-627</w:t>
      </w:r>
      <w:r>
        <w:rPr/>
        <w:t>地块商业金融项目用地四号商务办公楼（中国锦）</w:t>
      </w:r>
      <w:r>
        <w:rPr>
          <w:rFonts w:ascii="Times New Roman" w:hAnsi="Times New Roman" w:cs="Times New Roman" w:eastAsia="Times New Roman" w:hint="default"/>
        </w:rPr>
        <w:t>47</w:t>
      </w:r>
      <w:r>
        <w:rPr/>
        <w:t>层</w:t>
      </w:r>
      <w:r>
        <w:rPr>
          <w:rFonts w:ascii="Times New Roman" w:hAnsi="Times New Roman" w:cs="Times New Roman" w:eastAsia="Times New Roman" w:hint="default"/>
        </w:rPr>
        <w:t>4706</w:t>
      </w:r>
      <w:r>
        <w:rPr/>
        <w:t>室的房屋，作为办公 场所使用。本次拟购买房产面积共</w:t>
      </w:r>
      <w:r>
        <w:rPr>
          <w:rFonts w:ascii="Times New Roman" w:hAnsi="Times New Roman" w:cs="Times New Roman" w:eastAsia="Times New Roman" w:hint="default"/>
        </w:rPr>
        <w:t>347.7</w:t>
      </w:r>
      <w:r>
        <w:rPr/>
        <w:t>平方米，交易总价为购房款及向有关部门支付房屋买卖过程中买方相关税费合计金 额上限为人民币</w:t>
      </w:r>
      <w:r>
        <w:rPr>
          <w:rFonts w:ascii="Times New Roman" w:hAnsi="Times New Roman" w:cs="Times New Roman" w:eastAsia="Times New Roman" w:hint="default"/>
        </w:rPr>
        <w:t>2,500.00</w:t>
      </w:r>
      <w:r>
        <w:rPr/>
        <w:t>万元，上述事项经公司第二届董事会第十次会议审议通过，公司独立董事发表了事先认可意见和同 </w:t>
      </w:r>
      <w:r>
        <w:rPr>
          <w:spacing w:val="-2"/>
        </w:rPr>
        <w:t>意的独立意见，公司保荐机构中信建投证券股份有限公司发表了对相关事项无异议的核查意见。公司已于</w:t>
      </w:r>
      <w:r>
        <w:rPr>
          <w:rFonts w:ascii="Times New Roman" w:hAnsi="Times New Roman" w:cs="Times New Roman" w:eastAsia="Times New Roman" w:hint="default"/>
          <w:spacing w:val="-2"/>
        </w:rPr>
        <w:t>2019</w:t>
      </w:r>
      <w:r>
        <w:rPr>
          <w:spacing w:val="-2"/>
        </w:rPr>
        <w:t>年度已支付购</w:t>
      </w:r>
      <w:r>
        <w:rPr>
          <w:spacing w:val="-60"/>
        </w:rPr>
        <w:t> </w:t>
      </w:r>
      <w:r>
        <w:rPr>
          <w:spacing w:val="-60"/>
        </w:rPr>
      </w:r>
      <w:r>
        <w:rPr/>
        <w:t>房款与契税</w:t>
      </w:r>
      <w:r>
        <w:rPr>
          <w:rFonts w:ascii="Times New Roman" w:hAnsi="Times New Roman" w:cs="Times New Roman" w:eastAsia="Times New Roman" w:hint="default"/>
        </w:rPr>
        <w:t>2,266.00</w:t>
      </w:r>
      <w:r>
        <w:rPr/>
        <w:t>万元，并于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日办理完房屋产权变更。</w:t>
      </w:r>
    </w:p>
    <w:p>
      <w:pPr>
        <w:pStyle w:val="BodyText"/>
        <w:spacing w:line="300" w:lineRule="auto" w:before="13"/>
        <w:ind w:left="513" w:right="1127"/>
        <w:jc w:val="left"/>
      </w:pPr>
      <w:r>
        <w:rPr/>
        <w:t>（</w:t>
      </w:r>
      <w:r>
        <w:rPr>
          <w:rFonts w:ascii="Times New Roman" w:hAnsi="Times New Roman" w:cs="Times New Roman" w:eastAsia="Times New Roman" w:hint="default"/>
        </w:rPr>
        <w:t>2</w:t>
      </w:r>
      <w:r>
        <w:rPr/>
        <w:t>）公司与关联方共同对外投资暨关联交易 </w:t>
      </w:r>
      <w:r>
        <w:rPr>
          <w:spacing w:val="-1"/>
        </w:rPr>
        <w:t>公司与联想控股股份有限公司（以下简称</w:t>
      </w:r>
      <w:r>
        <w:rPr>
          <w:rFonts w:ascii="Times New Roman" w:hAnsi="Times New Roman" w:cs="Times New Roman" w:eastAsia="Times New Roman" w:hint="default"/>
          <w:spacing w:val="-1"/>
        </w:rPr>
        <w:t>“</w:t>
      </w:r>
      <w:r>
        <w:rPr>
          <w:spacing w:val="-1"/>
        </w:rPr>
        <w:t>联想控股</w:t>
      </w:r>
      <w:r>
        <w:rPr>
          <w:rFonts w:ascii="Times New Roman" w:hAnsi="Times New Roman" w:cs="Times New Roman" w:eastAsia="Times New Roman" w:hint="default"/>
          <w:spacing w:val="-1"/>
        </w:rPr>
        <w:t>”</w:t>
      </w:r>
      <w:r>
        <w:rPr>
          <w:spacing w:val="-1"/>
        </w:rPr>
        <w:t>）以及鼎珮证券有限公司（以下简称</w:t>
      </w:r>
      <w:r>
        <w:rPr>
          <w:rFonts w:ascii="Times New Roman" w:hAnsi="Times New Roman" w:cs="Times New Roman" w:eastAsia="Times New Roman" w:hint="default"/>
          <w:spacing w:val="-1"/>
        </w:rPr>
        <w:t>“</w:t>
      </w:r>
      <w:r>
        <w:rPr>
          <w:spacing w:val="-1"/>
        </w:rPr>
        <w:t>鼎珮证券</w:t>
      </w:r>
      <w:r>
        <w:rPr>
          <w:rFonts w:ascii="Times New Roman" w:hAnsi="Times New Roman" w:cs="Times New Roman" w:eastAsia="Times New Roman" w:hint="default"/>
          <w:spacing w:val="-1"/>
        </w:rPr>
        <w:t>”</w:t>
      </w:r>
      <w:r>
        <w:rPr>
          <w:spacing w:val="-1"/>
        </w:rPr>
        <w:t>）等签署《联信证</w:t>
      </w:r>
    </w:p>
    <w:p>
      <w:pPr>
        <w:pStyle w:val="BodyText"/>
        <w:spacing w:line="307" w:lineRule="auto" w:before="13"/>
        <w:ind w:right="1130"/>
        <w:jc w:val="both"/>
      </w:pPr>
      <w:r>
        <w:rPr/>
        <w:t>券股份有限公司发起人协议》，公司将以自筹资金认缴出资人民币叁亿陆仟万元整（￥</w:t>
      </w:r>
      <w:r>
        <w:rPr>
          <w:rFonts w:ascii="Times New Roman" w:hAnsi="Times New Roman" w:cs="Times New Roman" w:eastAsia="Times New Roman" w:hint="default"/>
        </w:rPr>
        <w:t>360,000,000.00</w:t>
      </w:r>
      <w:r>
        <w:rPr/>
        <w:t>），于中关村国家自 </w:t>
      </w:r>
      <w:r>
        <w:rPr>
          <w:spacing w:val="-2"/>
        </w:rPr>
        <w:t>主创新示范区（以市场监督管理部门最终核准的地址为准）与前述发起人共同投资发起设立联信证券股份有限公司（以下简</w:t>
      </w:r>
      <w:r>
        <w:rPr>
          <w:spacing w:val="-63"/>
        </w:rPr>
        <w:t> </w:t>
      </w:r>
      <w:r>
        <w:rPr>
          <w:spacing w:val="-63"/>
        </w:rPr>
      </w:r>
      <w:r>
        <w:rPr>
          <w:spacing w:val="-2"/>
        </w:rPr>
        <w:t>称</w:t>
      </w:r>
      <w:r>
        <w:rPr>
          <w:rFonts w:ascii="Times New Roman" w:hAnsi="Times New Roman" w:cs="Times New Roman" w:eastAsia="Times New Roman" w:hint="default"/>
          <w:spacing w:val="-2"/>
        </w:rPr>
        <w:t>“</w:t>
      </w:r>
      <w:r>
        <w:rPr>
          <w:spacing w:val="-2"/>
        </w:rPr>
        <w:t>联信证券</w:t>
      </w:r>
      <w:r>
        <w:rPr>
          <w:rFonts w:ascii="Times New Roman" w:hAnsi="Times New Roman" w:cs="Times New Roman" w:eastAsia="Times New Roman" w:hint="default"/>
          <w:spacing w:val="-2"/>
        </w:rPr>
        <w:t>”</w:t>
      </w:r>
      <w:r>
        <w:rPr>
          <w:spacing w:val="-2"/>
        </w:rPr>
        <w:t>，暂定名，最终以市场监督管理部门核准登记为准），从事证券承销与保荐、证券经纪、证券资产管理、证券</w:t>
      </w:r>
      <w:r>
        <w:rPr>
          <w:spacing w:val="-47"/>
        </w:rPr>
        <w:t> </w:t>
      </w:r>
      <w:r>
        <w:rPr>
          <w:spacing w:val="-47"/>
        </w:rPr>
      </w:r>
      <w:r>
        <w:rPr>
          <w:spacing w:val="-2"/>
        </w:rPr>
        <w:t>自营等业务（以证券监督管理机构核准和在市场监督管理部门登记的内容为准）。上述投资事项已经公司第二届董事会第十</w:t>
      </w:r>
      <w:r>
        <w:rPr>
          <w:spacing w:val="-66"/>
        </w:rPr>
        <w:t> </w:t>
      </w:r>
      <w:r>
        <w:rPr>
          <w:spacing w:val="-66"/>
        </w:rPr>
      </w:r>
      <w:r>
        <w:rPr>
          <w:spacing w:val="-2"/>
        </w:rPr>
        <w:t>一次会议及</w:t>
      </w:r>
      <w:r>
        <w:rPr>
          <w:rFonts w:ascii="Times New Roman" w:hAnsi="Times New Roman" w:cs="Times New Roman" w:eastAsia="Times New Roman" w:hint="default"/>
          <w:spacing w:val="-2"/>
        </w:rPr>
        <w:t>2018</w:t>
      </w:r>
      <w:r>
        <w:rPr>
          <w:spacing w:val="-2"/>
        </w:rPr>
        <w:t>年年度股东大会审议通过，公司独立董事发表了事先认可意见和同意的独立意见，公司保荐机构中信建投证</w:t>
      </w:r>
      <w:r>
        <w:rPr>
          <w:spacing w:val="-61"/>
        </w:rPr>
        <w:t> </w:t>
      </w:r>
      <w:r>
        <w:rPr>
          <w:spacing w:val="-61"/>
        </w:rPr>
      </w:r>
      <w:r>
        <w:rPr/>
        <w:t>券股份有限公司发表了对相关事项无异议的核查意见。尚需取得中国证券监督管理委员会的核准同意。</w:t>
      </w:r>
    </w:p>
    <w:p>
      <w:pPr>
        <w:pStyle w:val="BodyText"/>
        <w:spacing w:line="304" w:lineRule="auto" w:before="26"/>
        <w:ind w:right="0" w:firstLine="360"/>
        <w:jc w:val="left"/>
      </w:pPr>
      <w:r>
        <w:rPr>
          <w:spacing w:val="-2"/>
        </w:rPr>
        <w:t>公司与北京市科技创新基金（有限合伙）、中关村科技园区海淀园创业服务中心、北京昆仑南山投资管理中心（有限合</w:t>
      </w:r>
      <w:r>
        <w:rPr/>
        <w:t> 伙）等共同投资设立北京考拉鲲鹏科技成长基金（有限合伙）（暂定名，以市场监督管理部门最终核定为准，以下简称</w:t>
      </w:r>
      <w:r>
        <w:rPr>
          <w:rFonts w:ascii="Times New Roman" w:hAnsi="Times New Roman" w:cs="Times New Roman" w:eastAsia="Times New Roman" w:hint="default"/>
        </w:rPr>
        <w:t>“</w:t>
      </w:r>
      <w:r>
        <w:rPr/>
        <w:t>考 </w:t>
      </w:r>
      <w:r>
        <w:rPr>
          <w:spacing w:val="-2"/>
        </w:rPr>
        <w:t>拉鲲鹏基金</w:t>
      </w:r>
      <w:r>
        <w:rPr>
          <w:rFonts w:ascii="Times New Roman" w:hAnsi="Times New Roman" w:cs="Times New Roman" w:eastAsia="Times New Roman" w:hint="default"/>
          <w:spacing w:val="-2"/>
        </w:rPr>
        <w:t>”</w:t>
      </w:r>
      <w:r>
        <w:rPr>
          <w:spacing w:val="-2"/>
        </w:rPr>
        <w:t>），专注于投资金融科技（主要是围绕新技术与金融的融合，包括人工智能、大数据、互联技术、分布式技术、</w:t>
      </w:r>
      <w:r>
        <w:rPr>
          <w:spacing w:val="-54"/>
        </w:rPr>
        <w:t> </w:t>
      </w:r>
      <w:r>
        <w:rPr>
          <w:spacing w:val="-54"/>
        </w:rPr>
      </w:r>
      <w:r>
        <w:rPr/>
        <w:t>安全技术等方面）成果转化阶段的私募股权项目，上市公司本次以自有资金认缴考拉鲲鹏基金人民币</w:t>
      </w:r>
      <w:r>
        <w:rPr>
          <w:rFonts w:ascii="Times New Roman" w:hAnsi="Times New Roman" w:cs="Times New Roman" w:eastAsia="Times New Roman" w:hint="default"/>
        </w:rPr>
        <w:t>3</w:t>
      </w:r>
      <w:r>
        <w:rPr/>
        <w:t>亿元的份额。上述投 资事项已经公司第二届董事会第十六次会议及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2</w:t>
      </w:r>
      <w:r>
        <w:rPr/>
        <w:t>次临时股东大会审议通过，公司独立董事发表了事先认可意见和同</w:t>
      </w:r>
    </w:p>
    <w:p>
      <w:pPr>
        <w:spacing w:after="0" w:line="304"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8"/>
        <w:jc w:val="both"/>
      </w:pPr>
      <w:r>
        <w:rPr/>
        <w:t>意的独立意见，公司保荐机构中信建投证券股份有限公司发表了对相关事项无异议的核查意见。该基金已于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 在中国证券投资基金业协会完成基金的备案手续，并取得《私募投资基金备案证明》。</w:t>
      </w:r>
    </w:p>
    <w:p>
      <w:pPr>
        <w:pStyle w:val="BodyText"/>
        <w:spacing w:line="309" w:lineRule="auto" w:before="31"/>
        <w:ind w:right="0" w:firstLine="360"/>
        <w:jc w:val="left"/>
      </w:pPr>
      <w:r>
        <w:rPr/>
        <w:t>公司拟按照原持股比例使用自有资金人民币</w:t>
      </w:r>
      <w:r>
        <w:rPr>
          <w:rFonts w:ascii="Times New Roman" w:hAnsi="Times New Roman" w:cs="Times New Roman" w:eastAsia="Times New Roman" w:hint="default"/>
        </w:rPr>
        <w:t>2,592</w:t>
      </w:r>
      <w:r>
        <w:rPr/>
        <w:t>万元向考拉昆仑信用管理有限公司（以下简称</w:t>
      </w:r>
      <w:r>
        <w:rPr>
          <w:rFonts w:ascii="Times New Roman" w:hAnsi="Times New Roman" w:cs="Times New Roman" w:eastAsia="Times New Roman" w:hint="default"/>
        </w:rPr>
        <w:t>“</w:t>
      </w:r>
      <w:r>
        <w:rPr/>
        <w:t>考拉昆仑</w:t>
      </w:r>
      <w:r>
        <w:rPr>
          <w:rFonts w:ascii="Times New Roman" w:hAnsi="Times New Roman" w:cs="Times New Roman" w:eastAsia="Times New Roman" w:hint="default"/>
        </w:rPr>
        <w:t>”</w:t>
      </w:r>
      <w:r>
        <w:rPr/>
        <w:t>）增资，用 </w:t>
      </w:r>
      <w:r>
        <w:rPr>
          <w:spacing w:val="-1"/>
        </w:rPr>
        <w:t>于向百行征信进行第二批注册资本认缴额出资，增资完成后，公司持有考拉昆仑股权比例为</w:t>
      </w:r>
      <w:r>
        <w:rPr>
          <w:rFonts w:ascii="Times New Roman" w:hAnsi="Times New Roman" w:cs="Times New Roman" w:eastAsia="Times New Roman" w:hint="default"/>
          <w:spacing w:val="-1"/>
        </w:rPr>
        <w:t>32.4%</w:t>
      </w:r>
      <w:r>
        <w:rPr>
          <w:spacing w:val="-1"/>
        </w:rPr>
        <w:t>，持股比例不变。北京蓝</w:t>
      </w:r>
      <w:r>
        <w:rPr>
          <w:spacing w:val="-46"/>
        </w:rPr>
        <w:t> </w:t>
      </w:r>
      <w:r>
        <w:rPr>
          <w:spacing w:val="-46"/>
        </w:rPr>
      </w:r>
      <w:r>
        <w:rPr>
          <w:spacing w:val="-2"/>
        </w:rPr>
        <w:t>色光标数据科技股份有限公司、拉萨经济技术开发区随缘创业投资中心（有限合伙）、北京旋极信息技术股份有限公司为公</w:t>
      </w:r>
      <w:r>
        <w:rPr>
          <w:spacing w:val="-66"/>
        </w:rPr>
        <w:t> </w:t>
      </w:r>
      <w:r>
        <w:rPr>
          <w:spacing w:val="-66"/>
        </w:rPr>
      </w:r>
      <w:r>
        <w:rPr>
          <w:spacing w:val="-2"/>
        </w:rPr>
        <w:t>司关联方同时为本次增资的共同投资方。上述投资事项已经公司第二届董事会第二十次会议审议通过，公司独立董事发表了</w:t>
      </w:r>
      <w:r>
        <w:rPr>
          <w:spacing w:val="-64"/>
        </w:rPr>
        <w:t> </w:t>
      </w:r>
      <w:r>
        <w:rPr>
          <w:spacing w:val="-64"/>
        </w:rPr>
      </w:r>
      <w:r>
        <w:rPr/>
        <w:t>事先认可意见和同意的独立意见，公司保荐机构中信建投证券股份有限公司发表了对相关事项无异议的核查意见。</w:t>
      </w:r>
    </w:p>
    <w:p>
      <w:pPr>
        <w:pStyle w:val="BodyText"/>
        <w:spacing w:line="240" w:lineRule="auto" w:before="24"/>
        <w:ind w:left="513" w:right="1133"/>
        <w:jc w:val="left"/>
      </w:pPr>
      <w:r>
        <w:rPr/>
        <w:t>（</w:t>
      </w:r>
      <w:r>
        <w:rPr>
          <w:rFonts w:ascii="Times New Roman" w:hAnsi="Times New Roman" w:cs="Times New Roman" w:eastAsia="Times New Roman" w:hint="default"/>
        </w:rPr>
        <w:t>3</w:t>
      </w:r>
      <w:r>
        <w:rPr/>
        <w:t>）公司收购大树保险经纪</w:t>
      </w:r>
      <w:r>
        <w:rPr>
          <w:rFonts w:ascii="Times New Roman" w:hAnsi="Times New Roman" w:cs="Times New Roman" w:eastAsia="Times New Roman" w:hint="default"/>
        </w:rPr>
        <w:t>100%</w:t>
      </w:r>
      <w:r>
        <w:rPr/>
        <w:t>股权暨关联交易</w:t>
      </w:r>
    </w:p>
    <w:p>
      <w:pPr>
        <w:pStyle w:val="BodyText"/>
        <w:spacing w:line="307" w:lineRule="auto" w:before="63"/>
        <w:ind w:right="1128"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月，公司与拉卡拉网络技术有限公司签署了《大树保险股权转让协议》，以人民币</w:t>
      </w:r>
      <w:r>
        <w:rPr>
          <w:rFonts w:ascii="Times New Roman" w:hAnsi="Times New Roman" w:cs="Times New Roman" w:eastAsia="Times New Roman" w:hint="default"/>
          <w:spacing w:val="-2"/>
        </w:rPr>
        <w:t>8,000.00</w:t>
      </w:r>
      <w:r>
        <w:rPr>
          <w:spacing w:val="-2"/>
        </w:rPr>
        <w:t>万元的价格收购北京</w:t>
      </w:r>
      <w:r>
        <w:rPr/>
        <w:t> 大树保险经纪有限责任公司</w:t>
      </w:r>
      <w:r>
        <w:rPr>
          <w:rFonts w:ascii="Times New Roman" w:hAnsi="Times New Roman" w:cs="Times New Roman" w:eastAsia="Times New Roman" w:hint="default"/>
        </w:rPr>
        <w:t>100%</w:t>
      </w:r>
      <w:r>
        <w:rPr/>
        <w:t>的股权。上述投资事项已经公司第二届董事会第十五次会议审议通过，公司独立董事发表 </w:t>
      </w:r>
      <w:r>
        <w:rPr>
          <w:spacing w:val="-2"/>
        </w:rPr>
        <w:t>了事先认可意见和同意的独立意见，公司保荐机构中信建投证券股份有限公司发表了对相关事项无异议的核查意见。公司于</w:t>
      </w:r>
      <w:r>
        <w:rPr>
          <w:spacing w:val="-64"/>
        </w:rPr>
        <w:t> </w:t>
      </w:r>
      <w:r>
        <w:rPr>
          <w:spacing w:val="-64"/>
        </w:rPr>
      </w:r>
      <w:r>
        <w:rPr>
          <w:rFonts w:ascii="Times New Roman" w:hAnsi="Times New Roman" w:cs="Times New Roman" w:eastAsia="Times New Roman" w:hint="default"/>
        </w:rPr>
        <w:t>2019</w:t>
      </w:r>
      <w:r>
        <w:rPr/>
        <w:t>年度已支付收购价款</w:t>
      </w:r>
      <w:r>
        <w:rPr>
          <w:rFonts w:ascii="Times New Roman" w:hAnsi="Times New Roman" w:cs="Times New Roman" w:eastAsia="Times New Roman" w:hint="default"/>
        </w:rPr>
        <w:t>8,000,00</w:t>
      </w:r>
      <w:r>
        <w:rPr/>
        <w:t>万元，并与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日办理完成工商变更。</w:t>
      </w:r>
    </w:p>
    <w:p>
      <w:pPr>
        <w:pStyle w:val="BodyText"/>
        <w:spacing w:line="300" w:lineRule="auto" w:before="7"/>
        <w:ind w:left="513" w:right="1033"/>
        <w:jc w:val="left"/>
      </w:pPr>
      <w:r>
        <w:rPr/>
        <w:t>（</w:t>
      </w: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2019</w:t>
      </w:r>
      <w:r>
        <w:rPr/>
        <w:t>年度日常关联交易预计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日召开第二届董事会第十次会议，审议通过了《关于审议公司</w:t>
      </w:r>
      <w:r>
        <w:rPr>
          <w:rFonts w:ascii="Times New Roman" w:hAnsi="Times New Roman" w:cs="Times New Roman" w:eastAsia="Times New Roman" w:hint="default"/>
        </w:rPr>
        <w:t>2019</w:t>
      </w:r>
      <w:r>
        <w:rPr/>
        <w:t>年度预计日常关联交易的议案》，</w:t>
      </w:r>
    </w:p>
    <w:p>
      <w:pPr>
        <w:pStyle w:val="BodyText"/>
        <w:spacing w:line="309" w:lineRule="auto" w:before="13"/>
        <w:ind w:right="1093"/>
        <w:jc w:val="both"/>
      </w:pPr>
      <w:r>
        <w:rPr/>
        <w:t>预计在</w:t>
      </w:r>
      <w:r>
        <w:rPr>
          <w:rFonts w:ascii="Times New Roman" w:hAnsi="Times New Roman" w:cs="Times New Roman" w:eastAsia="Times New Roman" w:hint="default"/>
        </w:rPr>
        <w:t>2019</w:t>
      </w:r>
      <w:r>
        <w:rPr/>
        <w:t>年度与关联方之间的关联交易总金额不超过</w:t>
      </w:r>
      <w:r>
        <w:rPr>
          <w:rFonts w:ascii="Times New Roman" w:hAnsi="Times New Roman" w:cs="Times New Roman" w:eastAsia="Times New Roman" w:hint="default"/>
        </w:rPr>
        <w:t>10,800</w:t>
      </w:r>
      <w:r>
        <w:rPr/>
        <w:t>万元。关联董事孙陶然、李蓬针对相关议案进行了回避表决， </w:t>
      </w:r>
      <w:r>
        <w:rPr>
          <w:spacing w:val="-2"/>
        </w:rPr>
        <w:t>公司独立董事予以事前认可并发表了独立意见，公司保荐机构中信建投证券股份有限公司发表了对相关事项无异议的核查意</w:t>
      </w:r>
      <w:r>
        <w:rPr>
          <w:spacing w:val="-64"/>
        </w:rPr>
        <w:t> </w:t>
      </w:r>
      <w:r>
        <w:rPr>
          <w:spacing w:val="-64"/>
        </w:rPr>
      </w:r>
      <w:r>
        <w:rPr/>
        <w:t>见。</w:t>
      </w:r>
    </w:p>
    <w:p>
      <w:pPr>
        <w:pStyle w:val="BodyText"/>
        <w:spacing w:line="307" w:lineRule="auto" w:before="24"/>
        <w:ind w:right="1129" w:firstLine="360"/>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日公司第二届董事会第十八次会议以及</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日第</w:t>
      </w:r>
      <w:r>
        <w:rPr>
          <w:rFonts w:ascii="Times New Roman" w:hAnsi="Times New Roman" w:cs="Times New Roman" w:eastAsia="Times New Roman" w:hint="default"/>
          <w:spacing w:val="-2"/>
        </w:rPr>
        <w:t>3</w:t>
      </w:r>
      <w:r>
        <w:rPr>
          <w:spacing w:val="-2"/>
        </w:rPr>
        <w:t>次临时股东大会审议通过了《关于审议增</w:t>
      </w:r>
      <w:r>
        <w:rPr/>
        <w:t> </w:t>
      </w:r>
      <w:r>
        <w:rPr>
          <w:spacing w:val="-2"/>
        </w:rPr>
        <w:t>加公司</w:t>
      </w:r>
      <w:r>
        <w:rPr>
          <w:rFonts w:ascii="Times New Roman" w:hAnsi="Times New Roman" w:cs="Times New Roman" w:eastAsia="Times New Roman" w:hint="default"/>
          <w:spacing w:val="-2"/>
        </w:rPr>
        <w:t>2019</w:t>
      </w:r>
      <w:r>
        <w:rPr>
          <w:spacing w:val="-2"/>
        </w:rPr>
        <w:t>年度日常关联交易预计的议案》，预计</w:t>
      </w:r>
      <w:r>
        <w:rPr>
          <w:rFonts w:ascii="Times New Roman" w:hAnsi="Times New Roman" w:cs="Times New Roman" w:eastAsia="Times New Roman" w:hint="default"/>
          <w:spacing w:val="-2"/>
        </w:rPr>
        <w:t>2019</w:t>
      </w:r>
      <w:r>
        <w:rPr>
          <w:spacing w:val="-2"/>
        </w:rPr>
        <w:t>年的日常关联交易金额会增加不超过</w:t>
      </w:r>
      <w:r>
        <w:rPr>
          <w:rFonts w:ascii="Times New Roman" w:hAnsi="Times New Roman" w:cs="Times New Roman" w:eastAsia="Times New Roman" w:hint="default"/>
          <w:spacing w:val="-2"/>
        </w:rPr>
        <w:t>4,690</w:t>
      </w:r>
      <w:r>
        <w:rPr>
          <w:spacing w:val="-2"/>
        </w:rPr>
        <w:t>万元，总金额不超过</w:t>
      </w:r>
      <w:r>
        <w:rPr>
          <w:rFonts w:ascii="Times New Roman" w:hAnsi="Times New Roman" w:cs="Times New Roman" w:eastAsia="Times New Roman" w:hint="default"/>
          <w:spacing w:val="-2"/>
        </w:rPr>
        <w:t>15,490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万元。关联董事孙陶然、李蓬针对相关议案进行了回避表决，公司独立董事予以事前认可并发表了独立意见，公司保荐机构</w:t>
      </w:r>
      <w:r>
        <w:rPr>
          <w:spacing w:val="-63"/>
        </w:rPr>
        <w:t> </w:t>
      </w:r>
      <w:r>
        <w:rPr>
          <w:spacing w:val="-63"/>
        </w:rPr>
      </w:r>
      <w:r>
        <w:rPr/>
        <w:t>中信建投证券股份有限公司发表了对相关事项无异议的核查意见。</w:t>
      </w:r>
    </w:p>
    <w:p>
      <w:pPr>
        <w:spacing w:line="240" w:lineRule="auto" w:before="0"/>
        <w:rPr>
          <w:rFonts w:ascii="宋体" w:hAnsi="宋体" w:cs="宋体" w:eastAsia="宋体" w:hint="default"/>
          <w:sz w:val="18"/>
          <w:szCs w:val="18"/>
        </w:rPr>
      </w:pPr>
    </w:p>
    <w:p>
      <w:pPr>
        <w:pStyle w:val="BodyText"/>
        <w:spacing w:line="240" w:lineRule="auto" w:before="143"/>
        <w:ind w:right="1133"/>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4"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拉卡拉支付股份有限公司关于公司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日常关联交易预测的公告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459"/>
              <w:jc w:val="left"/>
              <w:rPr>
                <w:rFonts w:ascii="宋体" w:hAnsi="宋体" w:cs="宋体" w:eastAsia="宋体" w:hint="default"/>
                <w:sz w:val="18"/>
                <w:szCs w:val="18"/>
              </w:rPr>
            </w:pP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2019-008</w:t>
            </w:r>
            <w:r>
              <w:rPr>
                <w:rFonts w:ascii="宋体" w:hAnsi="宋体" w:cs="宋体" w:eastAsia="宋体" w:hint="default"/>
                <w:sz w:val="18"/>
                <w:szCs w:val="18"/>
              </w:rPr>
              <w:t>）</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拉卡拉支付股份有限公司关于公司子公司 购买房产暨关联交易的公告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459"/>
              <w:jc w:val="left"/>
              <w:rPr>
                <w:rFonts w:ascii="宋体" w:hAnsi="宋体" w:cs="宋体" w:eastAsia="宋体" w:hint="default"/>
                <w:sz w:val="18"/>
                <w:szCs w:val="18"/>
              </w:rPr>
            </w:pP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2019-007</w:t>
            </w:r>
            <w:r>
              <w:rPr>
                <w:rFonts w:ascii="宋体" w:hAnsi="宋体" w:cs="宋体" w:eastAsia="宋体" w:hint="default"/>
                <w:sz w:val="18"/>
                <w:szCs w:val="18"/>
              </w:rPr>
              <w:t>）</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拉卡拉支付股份有限公司对外投资暨关联 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459"/>
              <w:jc w:val="left"/>
              <w:rPr>
                <w:rFonts w:ascii="宋体" w:hAnsi="宋体" w:cs="宋体" w:eastAsia="宋体" w:hint="default"/>
                <w:sz w:val="18"/>
                <w:szCs w:val="18"/>
              </w:rPr>
            </w:pP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2019-012</w:t>
            </w:r>
            <w:r>
              <w:rPr>
                <w:rFonts w:ascii="宋体" w:hAnsi="宋体" w:cs="宋体" w:eastAsia="宋体" w:hint="default"/>
                <w:sz w:val="18"/>
                <w:szCs w:val="18"/>
              </w:rPr>
              <w:t>）</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拉卡拉支付股份有限公司收购大树保险经 纪股权暨关联交易公告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459"/>
              <w:jc w:val="left"/>
              <w:rPr>
                <w:rFonts w:ascii="宋体" w:hAnsi="宋体" w:cs="宋体" w:eastAsia="宋体" w:hint="default"/>
                <w:sz w:val="18"/>
                <w:szCs w:val="18"/>
              </w:rPr>
            </w:pP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2019-029</w:t>
            </w:r>
            <w:r>
              <w:rPr>
                <w:rFonts w:ascii="宋体" w:hAnsi="宋体" w:cs="宋体" w:eastAsia="宋体" w:hint="default"/>
                <w:sz w:val="18"/>
                <w:szCs w:val="18"/>
              </w:rPr>
              <w:t>）</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拉卡拉支付股份有限公司关于参与投资设 立北京考拉鲲鹏科技成长基金暨关联交易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6" w:right="459"/>
              <w:jc w:val="left"/>
              <w:rPr>
                <w:rFonts w:ascii="宋体" w:hAnsi="宋体" w:cs="宋体" w:eastAsia="宋体" w:hint="default"/>
                <w:sz w:val="18"/>
                <w:szCs w:val="18"/>
              </w:rPr>
            </w:pP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2019-032</w:t>
            </w:r>
            <w:r>
              <w:rPr>
                <w:rFonts w:ascii="宋体" w:hAnsi="宋体" w:cs="宋体" w:eastAsia="宋体" w:hint="default"/>
                <w:sz w:val="18"/>
                <w:szCs w:val="18"/>
              </w:rPr>
              <w:t>）</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拉卡拉支付股份有限公司关于公司增加</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年日常关联交易预计的公告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459"/>
              <w:jc w:val="left"/>
              <w:rPr>
                <w:rFonts w:ascii="宋体" w:hAnsi="宋体" w:cs="宋体" w:eastAsia="宋体" w:hint="default"/>
                <w:sz w:val="18"/>
                <w:szCs w:val="18"/>
              </w:rPr>
            </w:pP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2019-039</w:t>
            </w:r>
            <w:r>
              <w:rPr>
                <w:rFonts w:ascii="宋体" w:hAnsi="宋体" w:cs="宋体" w:eastAsia="宋体" w:hint="default"/>
                <w:sz w:val="18"/>
                <w:szCs w:val="18"/>
              </w:rPr>
              <w:t>）</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拉卡拉支付股份有限公司增资考拉昆仑信 用管理有限公司暨关联交易公告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459"/>
              <w:jc w:val="left"/>
              <w:rPr>
                <w:rFonts w:ascii="宋体" w:hAnsi="宋体" w:cs="宋体" w:eastAsia="宋体" w:hint="default"/>
                <w:sz w:val="18"/>
                <w:szCs w:val="18"/>
              </w:rPr>
            </w:pP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2019-045</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39"/>
        <w:ind w:right="1133"/>
        <w:jc w:val="left"/>
      </w:pPr>
      <w:r>
        <w:rPr/>
        <w:t>报告期内，公司发生的租赁事项主要为对外出租闲置办公用房以及公司、子公司及分支机构租赁办公用房和库房。</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3"/>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28"/>
        <w:gridCol w:w="923"/>
        <w:gridCol w:w="1296"/>
        <w:gridCol w:w="1064"/>
        <w:gridCol w:w="1034"/>
        <w:gridCol w:w="1049"/>
        <w:gridCol w:w="792"/>
        <w:gridCol w:w="780"/>
      </w:tblGrid>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4"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10"/>
        <w:gridCol w:w="917"/>
        <w:gridCol w:w="925"/>
        <w:gridCol w:w="1309"/>
        <w:gridCol w:w="1044"/>
        <w:gridCol w:w="1046"/>
        <w:gridCol w:w="1057"/>
        <w:gridCol w:w="784"/>
        <w:gridCol w:w="784"/>
      </w:tblGrid>
      <w:tr>
        <w:trPr>
          <w:trHeight w:val="227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53"/>
              <w:jc w:val="both"/>
              <w:rPr>
                <w:rFonts w:ascii="宋体" w:hAnsi="宋体" w:cs="宋体" w:eastAsia="宋体" w:hint="default"/>
                <w:sz w:val="18"/>
                <w:szCs w:val="18"/>
              </w:rPr>
            </w:pPr>
            <w:r>
              <w:rPr>
                <w:rFonts w:ascii="宋体" w:hAnsi="宋体" w:cs="宋体" w:eastAsia="宋体" w:hint="default"/>
                <w:sz w:val="18"/>
                <w:szCs w:val="18"/>
              </w:rPr>
              <w:t>拉卡拉汇积天下技术 服务（北京）有限公 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5,000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7" w:right="117"/>
              <w:jc w:val="both"/>
              <w:rPr>
                <w:rFonts w:ascii="宋体" w:hAnsi="宋体" w:cs="宋体" w:eastAsia="宋体" w:hint="default"/>
                <w:sz w:val="18"/>
                <w:szCs w:val="18"/>
              </w:rPr>
            </w:pPr>
            <w:r>
              <w:rPr>
                <w:rFonts w:ascii="宋体" w:hAnsi="宋体" w:cs="宋体" w:eastAsia="宋体" w:hint="default"/>
                <w:sz w:val="18"/>
                <w:szCs w:val="18"/>
              </w:rPr>
              <w:t>担保合同生 效之日起至 主合同项下 债务到期</w:t>
            </w:r>
          </w:p>
          <w:p>
            <w:pPr>
              <w:pStyle w:val="TableParagraph"/>
              <w:spacing w:line="316" w:lineRule="auto" w:before="17"/>
              <w:ind w:left="27" w:right="117"/>
              <w:jc w:val="both"/>
              <w:rPr>
                <w:rFonts w:ascii="宋体" w:hAnsi="宋体" w:cs="宋体" w:eastAsia="宋体" w:hint="default"/>
                <w:sz w:val="18"/>
                <w:szCs w:val="18"/>
              </w:rPr>
            </w:pPr>
            <w:r>
              <w:rPr>
                <w:rFonts w:ascii="宋体" w:hAnsi="宋体" w:cs="宋体" w:eastAsia="宋体" w:hint="default"/>
                <w:sz w:val="18"/>
                <w:szCs w:val="18"/>
              </w:rPr>
              <w:t>（包括展期 到期）后满 两年之日止</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0"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3"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09" w:type="dxa"/>
            <w:vMerge w:val="restart"/>
            <w:tcBorders>
              <w:top w:val="single" w:sz="4" w:space="0" w:color="000000"/>
              <w:left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0"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09"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3"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0"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09" w:type="dxa"/>
            <w:vMerge w:val="restart"/>
            <w:tcBorders>
              <w:top w:val="nil" w:sz="6" w:space="0" w:color="auto"/>
              <w:left w:val="single" w:sz="4" w:space="0" w:color="000000"/>
              <w:right w:val="single" w:sz="4" w:space="0" w:color="000000"/>
            </w:tcBorders>
            <w:shd w:val="clear" w:color="auto" w:fill="D2D2D2"/>
          </w:tcPr>
          <w:p>
            <w:pPr/>
          </w:p>
        </w:tc>
        <w:tc>
          <w:tcPr>
            <w:tcW w:w="104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10"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09" w:type="dxa"/>
            <w:vMerge/>
            <w:tcBorders>
              <w:left w:val="single" w:sz="4" w:space="0" w:color="000000"/>
              <w:bottom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9"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0"/>
        <w:ind w:right="1133"/>
        <w:jc w:val="left"/>
      </w:pPr>
      <w:r>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after="0" w:line="338"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both"/>
      </w:pPr>
      <w:r>
        <w:rPr>
          <w:spacing w:val="-2"/>
        </w:rPr>
        <w:t>拉卡拉十几年来，以为客户创造价值为企业使命，以成为行业数一数二、可持续发展并受人尊重的企业为发展愿景，积</w:t>
      </w:r>
      <w:r>
        <w:rPr/>
        <w:t> 极承担对股东、员工、客户以及社会公益等方面的责任。</w:t>
      </w:r>
    </w:p>
    <w:p>
      <w:pPr>
        <w:pStyle w:val="BodyText"/>
        <w:spacing w:line="319" w:lineRule="auto" w:before="19"/>
        <w:ind w:right="1129" w:firstLine="360"/>
        <w:jc w:val="both"/>
      </w:pPr>
      <w:r>
        <w:rPr>
          <w:spacing w:val="-2"/>
        </w:rPr>
        <w:t>在保障股东权益方面，公司严格按照《公司法》、《证券法》等有关法律、法规及规范性文件的要求，不断提升和完善</w:t>
      </w:r>
      <w:r>
        <w:rPr/>
        <w:t> </w:t>
      </w:r>
      <w:r>
        <w:rPr>
          <w:spacing w:val="-2"/>
        </w:rPr>
        <w:t>法人治理结构，强化规范运作；真实、准确、完整、及时地进行信息披露，充分保障股东权益；严格落实关于利润分配的相</w:t>
      </w:r>
      <w:r>
        <w:rPr>
          <w:spacing w:val="-71"/>
        </w:rPr>
        <w:t> </w:t>
      </w:r>
      <w:r>
        <w:rPr>
          <w:spacing w:val="-71"/>
        </w:rPr>
      </w:r>
      <w:r>
        <w:rPr/>
        <w:t>关规定，使股东切实共享公司发展的经营成果。</w:t>
      </w:r>
    </w:p>
    <w:p>
      <w:pPr>
        <w:pStyle w:val="BodyText"/>
        <w:spacing w:line="309" w:lineRule="auto" w:before="17"/>
        <w:ind w:right="1129" w:firstLine="432"/>
        <w:jc w:val="both"/>
      </w:pPr>
      <w:r>
        <w:rPr/>
        <w:t>在保障员工权益方面，公司一直坚持以人为本的人才理念，严格遵守《劳动法》、《劳动合同法》等相关法律法规， </w:t>
      </w:r>
      <w:r>
        <w:rPr>
          <w:spacing w:val="-2"/>
        </w:rPr>
        <w:t>与员工签订劳动合同，为员工购买</w:t>
      </w:r>
      <w:r>
        <w:rPr>
          <w:rFonts w:ascii="Times New Roman" w:hAnsi="Times New Roman" w:cs="Times New Roman" w:eastAsia="Times New Roman" w:hint="default"/>
          <w:spacing w:val="-2"/>
        </w:rPr>
        <w:t>“</w:t>
      </w:r>
      <w:r>
        <w:rPr>
          <w:spacing w:val="-2"/>
        </w:rPr>
        <w:t>五险一金</w:t>
      </w:r>
      <w:r>
        <w:rPr>
          <w:rFonts w:ascii="Times New Roman" w:hAnsi="Times New Roman" w:cs="Times New Roman" w:eastAsia="Times New Roman" w:hint="default"/>
          <w:spacing w:val="-2"/>
        </w:rPr>
        <w:t>”</w:t>
      </w:r>
      <w:r>
        <w:rPr>
          <w:spacing w:val="-2"/>
        </w:rPr>
        <w:t>，依法保护职工的合法权益；建立和完善薪酬激励制度，提供有竞争力的薪酬</w:t>
      </w:r>
      <w:r>
        <w:rPr>
          <w:spacing w:val="-41"/>
        </w:rPr>
        <w:t> </w:t>
      </w:r>
      <w:r>
        <w:rPr>
          <w:spacing w:val="-41"/>
        </w:rPr>
      </w:r>
      <w:r>
        <w:rPr/>
        <w:t>福利待遇；着力改善员工工作和生活环境，切实保障员工在劳动过程中的健康与安全。</w:t>
      </w:r>
    </w:p>
    <w:p>
      <w:pPr>
        <w:pStyle w:val="BodyText"/>
        <w:spacing w:line="300" w:lineRule="auto" w:before="24"/>
        <w:ind w:right="1050" w:firstLine="360"/>
        <w:jc w:val="both"/>
      </w:pPr>
      <w:r>
        <w:rPr>
          <w:spacing w:val="-2"/>
        </w:rPr>
        <w:t>在保障客户权益方面，公司坚持产品创新，以支付为切入，融合</w:t>
      </w:r>
      <w:r>
        <w:rPr>
          <w:rFonts w:ascii="Times New Roman" w:hAnsi="Times New Roman" w:cs="Times New Roman" w:eastAsia="Times New Roman" w:hint="default"/>
          <w:spacing w:val="-2"/>
        </w:rPr>
        <w:t>“</w:t>
      </w:r>
      <w:r>
        <w:rPr>
          <w:spacing w:val="-2"/>
        </w:rPr>
        <w:t>支付、金融、电商、信息</w:t>
      </w:r>
      <w:r>
        <w:rPr>
          <w:rFonts w:ascii="Times New Roman" w:hAnsi="Times New Roman" w:cs="Times New Roman" w:eastAsia="Times New Roman" w:hint="default"/>
          <w:spacing w:val="-2"/>
        </w:rPr>
        <w:t>”</w:t>
      </w:r>
      <w:r>
        <w:rPr>
          <w:spacing w:val="-2"/>
        </w:rPr>
        <w:t>四大科技业务板块，线上线</w:t>
      </w:r>
      <w:r>
        <w:rPr/>
        <w:t> 下全维度服务中小微商户，解决其经营痛点，持续提升客户对公司产品和服务的满意度，加强客户粘性，与客户共同成长。</w:t>
      </w:r>
    </w:p>
    <w:p>
      <w:pPr>
        <w:pStyle w:val="BodyText"/>
        <w:spacing w:line="307" w:lineRule="auto" w:before="31"/>
        <w:ind w:right="1130" w:firstLine="360"/>
        <w:jc w:val="both"/>
      </w:pPr>
      <w:r>
        <w:rPr>
          <w:spacing w:val="-2"/>
        </w:rPr>
        <w:t>在社会公益方面，公司自成立以来一直积极投身公益，多年来在助学、扶贫、文化事业、健康医疗、创新创业、教育事</w:t>
      </w:r>
      <w:r>
        <w:rPr/>
        <w:t> 业等多个领域持续回馈社会。报告期内，公司大力支持教育事业的发展，向海淀教育基金会捐资</w:t>
      </w:r>
      <w:r>
        <w:rPr>
          <w:rFonts w:ascii="Times New Roman" w:hAnsi="Times New Roman" w:cs="Times New Roman" w:eastAsia="Times New Roman" w:hint="default"/>
        </w:rPr>
        <w:t>200</w:t>
      </w:r>
      <w:r>
        <w:rPr/>
        <w:t>万元；向河北省张家口</w:t>
      </w:r>
      <w:r>
        <w:rPr>
          <w:spacing w:val="-83"/>
        </w:rPr>
        <w:t> </w:t>
      </w:r>
      <w:r>
        <w:rPr>
          <w:spacing w:val="-83"/>
        </w:rPr>
      </w:r>
      <w:r>
        <w:rPr>
          <w:spacing w:val="-2"/>
        </w:rPr>
        <w:t>地区赤城县镇宁堡九年一贯制学校、云南省广南县那洒镇贵马小学捐赠科普类、文化类、儿童文学各类爱心图书；向郑洞国</w:t>
      </w:r>
      <w:r>
        <w:rPr>
          <w:spacing w:val="-64"/>
        </w:rPr>
        <w:t> </w:t>
      </w:r>
      <w:r>
        <w:rPr>
          <w:spacing w:val="-64"/>
        </w:rPr>
      </w:r>
      <w:r>
        <w:rPr>
          <w:spacing w:val="-2"/>
        </w:rPr>
        <w:t>教育基金会捐赠</w:t>
      </w:r>
      <w:r>
        <w:rPr>
          <w:rFonts w:ascii="Times New Roman" w:hAnsi="Times New Roman" w:cs="Times New Roman" w:eastAsia="Times New Roman" w:hint="default"/>
          <w:spacing w:val="-2"/>
        </w:rPr>
        <w:t>50</w:t>
      </w:r>
      <w:r>
        <w:rPr>
          <w:spacing w:val="-2"/>
        </w:rPr>
        <w:t>万元，支持抗日爱国将领郑洞国将军家乡教育事业发展。公司同时在河北省赤城县茨营子乡、河北省保定</w:t>
      </w:r>
      <w:r>
        <w:rPr>
          <w:spacing w:val="-62"/>
        </w:rPr>
        <w:t> </w:t>
      </w:r>
      <w:r>
        <w:rPr>
          <w:spacing w:val="-62"/>
        </w:rPr>
      </w:r>
      <w:r>
        <w:rPr>
          <w:spacing w:val="-2"/>
        </w:rPr>
        <w:t>市易县桥家河乡等贫困地区开展公益捐赠，助力扶贫。公司荣获</w:t>
      </w:r>
      <w:r>
        <w:rPr>
          <w:rFonts w:ascii="Times New Roman" w:hAnsi="Times New Roman" w:cs="Times New Roman" w:eastAsia="Times New Roman" w:hint="default"/>
          <w:spacing w:val="-2"/>
        </w:rPr>
        <w:t>“2019</w:t>
      </w:r>
      <w:r>
        <w:rPr>
          <w:spacing w:val="-2"/>
        </w:rPr>
        <w:t>胡润新金融最具社会责任企业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2019</w:t>
      </w:r>
      <w:r>
        <w:rPr>
          <w:spacing w:val="-2"/>
        </w:rPr>
        <w:t>第八届中国上市</w:t>
      </w:r>
      <w:r>
        <w:rPr>
          <w:spacing w:val="-38"/>
        </w:rPr>
        <w:t> </w:t>
      </w:r>
      <w:r>
        <w:rPr>
          <w:spacing w:val="-38"/>
        </w:rPr>
      </w:r>
      <w:r>
        <w:rPr/>
        <w:t>公司高峰论坛</w:t>
      </w:r>
      <w:r>
        <w:rPr>
          <w:rFonts w:ascii="Times New Roman" w:hAnsi="Times New Roman" w:cs="Times New Roman" w:eastAsia="Times New Roman" w:hint="default"/>
        </w:rPr>
        <w:t>“</w:t>
      </w:r>
      <w:r>
        <w:rPr/>
        <w:t>最具社会责任上市公司</w:t>
      </w:r>
      <w:r>
        <w:rPr>
          <w:rFonts w:ascii="Times New Roman" w:hAnsi="Times New Roman" w:cs="Times New Roman" w:eastAsia="Times New Roman" w:hint="default"/>
        </w:rPr>
        <w:t>”</w:t>
      </w:r>
      <w:r>
        <w:rPr/>
        <w:t>等荣誉，并荣登</w:t>
      </w:r>
      <w:r>
        <w:rPr>
          <w:rFonts w:ascii="Times New Roman" w:hAnsi="Times New Roman" w:cs="Times New Roman" w:eastAsia="Times New Roman" w:hint="default"/>
        </w:rPr>
        <w:t>“2019</w:t>
      </w:r>
      <w:r>
        <w:rPr/>
        <w:t>北京民营企业百强、科技创新百强和社会责任百强</w:t>
      </w:r>
      <w:r>
        <w:rPr>
          <w:rFonts w:ascii="Times New Roman" w:hAnsi="Times New Roman" w:cs="Times New Roman" w:eastAsia="Times New Roman" w:hint="default"/>
        </w:rPr>
        <w:t>”</w:t>
      </w:r>
      <w:r>
        <w:rPr/>
        <w:t>榜单。</w:t>
      </w:r>
    </w:p>
    <w:p>
      <w:pPr>
        <w:spacing w:line="240" w:lineRule="auto" w:before="12"/>
        <w:rPr>
          <w:rFonts w:ascii="宋体" w:hAnsi="宋体" w:cs="宋体" w:eastAsia="宋体" w:hint="default"/>
          <w:sz w:val="21"/>
          <w:szCs w:val="21"/>
        </w:rPr>
      </w:pPr>
    </w:p>
    <w:p>
      <w:pPr>
        <w:pStyle w:val="Heading4"/>
        <w:spacing w:line="240" w:lineRule="auto"/>
        <w:ind w:right="1133"/>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13" w:right="1133"/>
        <w:jc w:val="left"/>
      </w:pPr>
      <w:r>
        <w:rPr/>
        <w:t>公司积极响应政府精准扶贫号召，报告期内从事的精准扶贫工作如下： </w:t>
      </w:r>
      <w:r>
        <w:rPr>
          <w:rFonts w:ascii="Times New Roman" w:hAnsi="Times New Roman" w:cs="Times New Roman" w:eastAsia="Times New Roman" w:hint="default"/>
        </w:rPr>
        <w:t>1</w:t>
      </w:r>
      <w:r>
        <w:rPr/>
        <w:t>、向河北省赤城县茨营子乡人民政府捐赠</w:t>
      </w:r>
      <w:r>
        <w:rPr>
          <w:rFonts w:ascii="Times New Roman" w:hAnsi="Times New Roman" w:cs="Times New Roman" w:eastAsia="Times New Roman" w:hint="default"/>
        </w:rPr>
        <w:t>3</w:t>
      </w:r>
      <w:r>
        <w:rPr/>
        <w:t>万元，对口帮扶贫困户购置过冬棉衣。 为落实《海淀区东西部扶贫和对口支援工作实施方案》要求，助力受帮扶地区打赢脱贫攻坚战，紧紧围绕</w:t>
      </w:r>
      <w:r>
        <w:rPr>
          <w:rFonts w:ascii="Times New Roman" w:hAnsi="Times New Roman" w:cs="Times New Roman" w:eastAsia="Times New Roman" w:hint="default"/>
        </w:rPr>
        <w:t>’</w:t>
      </w:r>
      <w:r>
        <w:rPr/>
        <w:t>聚焦精准、</w:t>
      </w:r>
    </w:p>
    <w:p>
      <w:pPr>
        <w:pStyle w:val="BodyText"/>
        <w:spacing w:line="300" w:lineRule="auto" w:before="5"/>
        <w:ind w:right="1133"/>
        <w:jc w:val="left"/>
      </w:pPr>
      <w:r>
        <w:rPr>
          <w:spacing w:val="-2"/>
        </w:rPr>
        <w:t>关注民生</w:t>
      </w:r>
      <w:r>
        <w:rPr>
          <w:rFonts w:ascii="Times New Roman" w:hAnsi="Times New Roman" w:cs="Times New Roman" w:eastAsia="Times New Roman" w:hint="default"/>
          <w:spacing w:val="-2"/>
        </w:rPr>
        <w:t>”</w:t>
      </w:r>
      <w:r>
        <w:rPr>
          <w:spacing w:val="-2"/>
        </w:rPr>
        <w:t>的原则，精准瞄准建档立卡贫困人口，拉卡拉通过公益捐赠的方式，一次性捐赠资金</w:t>
      </w:r>
      <w:r>
        <w:rPr>
          <w:rFonts w:ascii="Times New Roman" w:hAnsi="Times New Roman" w:cs="Times New Roman" w:eastAsia="Times New Roman" w:hint="default"/>
          <w:spacing w:val="-2"/>
        </w:rPr>
        <w:t>3</w:t>
      </w:r>
      <w:r>
        <w:rPr>
          <w:spacing w:val="-2"/>
        </w:rPr>
        <w:t>万元整，增强河北省赤城县</w:t>
      </w:r>
      <w:r>
        <w:rPr>
          <w:spacing w:val="-52"/>
        </w:rPr>
        <w:t> </w:t>
      </w:r>
      <w:r>
        <w:rPr>
          <w:spacing w:val="-52"/>
        </w:rPr>
      </w:r>
      <w:r>
        <w:rPr/>
        <w:t>受帮扶村内生动力，助力受帮扶村和贫困人口按计划实现稳定脱贫。</w:t>
      </w:r>
    </w:p>
    <w:p>
      <w:pPr>
        <w:pStyle w:val="BodyText"/>
        <w:spacing w:line="300" w:lineRule="auto" w:before="31"/>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、向密云区燕落村捐赠</w:t>
      </w:r>
      <w:r>
        <w:rPr>
          <w:rFonts w:ascii="Times New Roman" w:hAnsi="Times New Roman" w:cs="Times New Roman" w:eastAsia="Times New Roman" w:hint="default"/>
        </w:rPr>
        <w:t>1000</w:t>
      </w:r>
      <w:r>
        <w:rPr/>
        <w:t>元。</w:t>
      </w:r>
      <w:r>
        <w:rPr>
          <w:spacing w:val="-3"/>
        </w:rPr>
        <w:t> </w:t>
      </w:r>
      <w:r>
        <w:rPr>
          <w:spacing w:val="-5"/>
          <w:w w:val="100"/>
        </w:rPr>
        <w:t>为贯彻十九大报告精神，落实精准扶贫，积极落实北京市工商联</w:t>
      </w:r>
      <w:r>
        <w:rPr>
          <w:rFonts w:ascii="Times New Roman" w:hAnsi="Times New Roman" w:cs="Times New Roman" w:eastAsia="Times New Roman" w:hint="default"/>
          <w:spacing w:val="-5"/>
          <w:w w:val="100"/>
        </w:rPr>
        <w:t>“</w:t>
      </w:r>
      <w:r>
        <w:rPr>
          <w:spacing w:val="-5"/>
          <w:w w:val="100"/>
        </w:rPr>
        <w:t>一企扶一组</w:t>
      </w:r>
      <w:r>
        <w:rPr>
          <w:rFonts w:ascii="Times New Roman" w:hAnsi="Times New Roman" w:cs="Times New Roman" w:eastAsia="Times New Roman" w:hint="default"/>
          <w:spacing w:val="-5"/>
          <w:w w:val="100"/>
        </w:rPr>
        <w:t>”</w:t>
      </w:r>
      <w:r>
        <w:rPr>
          <w:spacing w:val="-5"/>
          <w:w w:val="100"/>
        </w:rPr>
        <w:t>的倡导，中关村民营科技企业家协会自</w:t>
      </w:r>
      <w:r>
        <w:rPr>
          <w:rFonts w:ascii="Times New Roman" w:hAnsi="Times New Roman" w:cs="Times New Roman" w:eastAsia="Times New Roman" w:hint="default"/>
          <w:spacing w:val="-5"/>
          <w:w w:val="100"/>
        </w:rPr>
        <w:t>2018</w:t>
      </w:r>
    </w:p>
    <w:p>
      <w:pPr>
        <w:pStyle w:val="BodyText"/>
        <w:spacing w:line="300" w:lineRule="auto" w:before="13"/>
        <w:ind w:right="1124"/>
        <w:jc w:val="left"/>
      </w:pPr>
      <w:r>
        <w:rPr/>
        <w:t>年</w:t>
      </w:r>
      <w:r>
        <w:rPr>
          <w:rFonts w:ascii="Times New Roman" w:hAnsi="Times New Roman" w:cs="Times New Roman" w:eastAsia="Times New Roman" w:hint="default"/>
        </w:rPr>
        <w:t>7</w:t>
      </w:r>
      <w:r>
        <w:rPr/>
        <w:t>月与密云区燕落村第二村民小组结成帮扶小组，充分利用自身资源及平台优势，为燕落村提供精准帮扶。拉卡拉支付股</w:t>
      </w:r>
      <w:r>
        <w:rPr>
          <w:spacing w:val="-84"/>
        </w:rPr>
        <w:t> </w:t>
      </w:r>
      <w:r>
        <w:rPr>
          <w:spacing w:val="-84"/>
        </w:rPr>
      </w:r>
      <w:r>
        <w:rPr/>
        <w:t>份有限公司作为民协常务副会长单位，在民协党建办公室带领下，前往燕落村给二组村民带去节日的问候。</w:t>
      </w:r>
    </w:p>
    <w:p>
      <w:pPr>
        <w:pStyle w:val="BodyText"/>
        <w:spacing w:line="300" w:lineRule="auto" w:before="31"/>
        <w:ind w:left="513" w:right="1114"/>
        <w:jc w:val="left"/>
      </w:pPr>
      <w:r>
        <w:rPr>
          <w:rFonts w:ascii="Times New Roman" w:hAnsi="Times New Roman" w:cs="Times New Roman" w:eastAsia="Times New Roman" w:hint="default"/>
        </w:rPr>
        <w:t>3</w:t>
      </w:r>
      <w:r>
        <w:rPr/>
        <w:t>、通过北京市慈善协会向西北旺镇政府捐赠</w:t>
      </w:r>
      <w:r>
        <w:rPr>
          <w:rFonts w:ascii="Times New Roman" w:hAnsi="Times New Roman" w:cs="Times New Roman" w:eastAsia="Times New Roman" w:hint="default"/>
        </w:rPr>
        <w:t>1</w:t>
      </w:r>
      <w:r>
        <w:rPr/>
        <w:t>万元扶贫款。 为响应西北旺镇人民政府关于开展</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扶贫济困基金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春风送暖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春雨行动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博爱在京城</w:t>
      </w:r>
      <w:r>
        <w:rPr>
          <w:rFonts w:ascii="Times New Roman" w:hAnsi="Times New Roman" w:cs="Times New Roman" w:eastAsia="Times New Roman" w:hint="default"/>
        </w:rPr>
        <w:t>”</w:t>
      </w:r>
      <w:r>
        <w:rPr/>
        <w:t>社会捐助活动，，</w:t>
      </w:r>
    </w:p>
    <w:p>
      <w:pPr>
        <w:pStyle w:val="BodyText"/>
        <w:spacing w:line="316" w:lineRule="auto" w:before="13"/>
        <w:ind w:right="0"/>
        <w:jc w:val="left"/>
      </w:pPr>
      <w:r>
        <w:rPr>
          <w:spacing w:val="-2"/>
        </w:rPr>
        <w:t>弘扬中华民族传统美德和社会主义核心价值观，使公益慈善事业在扶贫济困、改善民生等方面形成发展新格局。为贫困地区</w:t>
      </w:r>
      <w:r>
        <w:rPr>
          <w:spacing w:val="-63"/>
        </w:rPr>
        <w:t> </w:t>
      </w:r>
      <w:r>
        <w:rPr>
          <w:spacing w:val="-63"/>
        </w:rPr>
      </w:r>
      <w:r>
        <w:rPr>
          <w:spacing w:val="-2"/>
        </w:rPr>
        <w:t>群众及本地群众募集衣物和资金。按照《西北旺镇</w:t>
      </w:r>
      <w:r>
        <w:rPr>
          <w:rFonts w:ascii="Times New Roman" w:hAnsi="Times New Roman" w:cs="Times New Roman" w:eastAsia="Times New Roman" w:hint="default"/>
          <w:spacing w:val="-2"/>
        </w:rPr>
        <w:t>“</w:t>
      </w:r>
      <w:r>
        <w:rPr>
          <w:spacing w:val="-2"/>
        </w:rPr>
        <w:t>扶贫济困基金</w:t>
      </w:r>
      <w:r>
        <w:rPr>
          <w:rFonts w:ascii="Times New Roman" w:hAnsi="Times New Roman" w:cs="Times New Roman" w:eastAsia="Times New Roman" w:hint="default"/>
          <w:spacing w:val="-2"/>
        </w:rPr>
        <w:t>”</w:t>
      </w:r>
      <w:r>
        <w:rPr>
          <w:spacing w:val="-2"/>
        </w:rPr>
        <w:t>管理办法》的规定，对因特殊原因致贫、致困人员及家庭</w:t>
      </w:r>
    </w:p>
    <w:p>
      <w:pPr>
        <w:spacing w:after="0" w:line="316"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51"/>
        <w:jc w:val="both"/>
      </w:pPr>
      <w:r>
        <w:rPr/>
        <w:t>实施医疗救助、教育救助、特困救助等；对海淀区对口灾区、贫困地区困难群众进行爱心捐助。本次活动以募集资金为主， 所募集资金主要用于补充西北旺镇扶贫济困基金以及救灾、救济、助困、助老、助残、助医、助学等公益项目。</w:t>
      </w:r>
    </w:p>
    <w:p>
      <w:pPr>
        <w:pStyle w:val="BodyText"/>
        <w:spacing w:line="300" w:lineRule="auto" w:before="17"/>
        <w:ind w:left="513" w:right="0"/>
        <w:jc w:val="left"/>
      </w:pPr>
      <w:r>
        <w:rPr>
          <w:rFonts w:ascii="Times New Roman" w:hAnsi="Times New Roman" w:cs="Times New Roman" w:eastAsia="Times New Roman" w:hint="default"/>
        </w:rPr>
        <w:t>4</w:t>
      </w:r>
      <w:r>
        <w:rPr/>
        <w:t>、向河北省保定市易县桥家河乡人民政府捐赠</w:t>
      </w:r>
      <w:r>
        <w:rPr>
          <w:rFonts w:ascii="Times New Roman" w:hAnsi="Times New Roman" w:cs="Times New Roman" w:eastAsia="Times New Roman" w:hint="default"/>
        </w:rPr>
        <w:t>8</w:t>
      </w:r>
      <w:r>
        <w:rPr/>
        <w:t>万元扶贫款。 </w:t>
      </w:r>
      <w:r>
        <w:rPr>
          <w:spacing w:val="-2"/>
        </w:rPr>
        <w:t>河北省保定市易县桥家河乡地处易县与涞源县交界处，位于太行山脉北端的深山区，由于地处山区，自然资源贫乏，当</w:t>
      </w:r>
    </w:p>
    <w:p>
      <w:pPr>
        <w:pStyle w:val="BodyText"/>
        <w:spacing w:line="314" w:lineRule="auto" w:before="31"/>
        <w:ind w:right="1130"/>
        <w:jc w:val="both"/>
      </w:pPr>
      <w:r>
        <w:rPr>
          <w:spacing w:val="-2"/>
        </w:rPr>
        <w:t>地缺乏富民产业，贫困发生率较高，经近年来脱贫攻坚，全乡整体脱贫，但由于基础薄弱，尚未形成持续稳定富民产业，贫</w:t>
      </w:r>
      <w:r>
        <w:rPr>
          <w:spacing w:val="-70"/>
        </w:rPr>
        <w:t> </w:t>
      </w:r>
      <w:r>
        <w:rPr>
          <w:spacing w:val="-70"/>
        </w:rPr>
      </w:r>
      <w:r>
        <w:rPr>
          <w:spacing w:val="-2"/>
        </w:rPr>
        <w:t>困人口普遍缺乏劳力，持续巩固脱贫成果难度较大，也是彻底打赢脱贫攻坚战的重点难点所在。经中关村科技园区海淀园管</w:t>
      </w:r>
      <w:r>
        <w:rPr>
          <w:spacing w:val="-63"/>
        </w:rPr>
        <w:t> </w:t>
      </w:r>
      <w:r>
        <w:rPr>
          <w:spacing w:val="-63"/>
        </w:rPr>
      </w:r>
      <w:r>
        <w:rPr>
          <w:spacing w:val="-2"/>
        </w:rPr>
        <w:t>理委员会推荐，拉卡拉向河北省保定市易县桥家河乡人民政府捐款人民币八万元整。捐赠款项用于河北省保定市易县桥家河</w:t>
      </w:r>
      <w:r>
        <w:rPr>
          <w:spacing w:val="-63"/>
        </w:rPr>
        <w:t> </w:t>
      </w:r>
      <w:r>
        <w:rPr>
          <w:spacing w:val="-63"/>
        </w:rPr>
      </w:r>
      <w:r>
        <w:rPr/>
        <w:t>乡以下方面扶贫工作：</w:t>
      </w:r>
      <w:r>
        <w:rPr>
          <w:rFonts w:ascii="Times New Roman" w:hAnsi="Times New Roman" w:cs="Times New Roman" w:eastAsia="Times New Roman" w:hint="default"/>
        </w:rPr>
        <w:t>1</w:t>
      </w:r>
      <w:r>
        <w:rPr/>
        <w:t>、建档立卡贫困户（含脱贫户）、贫困边缘户和非建档立卡人口中因自然灾害、疾病、意外等原因</w:t>
      </w:r>
      <w:r>
        <w:rPr>
          <w:spacing w:val="-84"/>
        </w:rPr>
        <w:t> </w:t>
      </w:r>
      <w:r>
        <w:rPr>
          <w:spacing w:val="-84"/>
        </w:rPr>
      </w:r>
      <w:r>
        <w:rPr/>
        <w:t>造成生活困难的人员救助；</w:t>
      </w:r>
      <w:r>
        <w:rPr>
          <w:rFonts w:ascii="Times New Roman" w:hAnsi="Times New Roman" w:cs="Times New Roman" w:eastAsia="Times New Roman" w:hint="default"/>
        </w:rPr>
        <w:t>2</w:t>
      </w:r>
      <w:r>
        <w:rPr/>
        <w:t>、改善贫困户家庭道路、饮水、住房安全、取暖等基础设施建设补助。</w:t>
      </w:r>
    </w:p>
    <w:p>
      <w:pPr>
        <w:pStyle w:val="BodyText"/>
        <w:spacing w:line="300" w:lineRule="auto" w:before="1"/>
        <w:ind w:left="513" w:right="1133"/>
        <w:jc w:val="left"/>
      </w:pPr>
      <w:r>
        <w:rPr>
          <w:rFonts w:ascii="Times New Roman" w:hAnsi="Times New Roman" w:cs="Times New Roman" w:eastAsia="Times New Roman" w:hint="default"/>
        </w:rPr>
        <w:t>5</w:t>
      </w:r>
      <w:r>
        <w:rPr/>
        <w:t>、拉卡拉工会</w:t>
      </w:r>
      <w:r>
        <w:rPr>
          <w:rFonts w:ascii="Times New Roman" w:hAnsi="Times New Roman" w:cs="Times New Roman" w:eastAsia="Times New Roman" w:hint="default"/>
        </w:rPr>
        <w:t>:</w:t>
      </w:r>
      <w:r>
        <w:rPr/>
        <w:t>捐书助学献爱心</w:t>
      </w:r>
      <w:r>
        <w:rPr>
          <w:spacing w:val="-44"/>
        </w:rPr>
        <w:t> </w:t>
      </w:r>
      <w:r>
        <w:rPr/>
        <w:t>践行拉卡拉社会责任</w:t>
      </w:r>
      <w:r>
        <w:rPr/>
        <w:t> </w:t>
      </w:r>
      <w:r>
        <w:rPr>
          <w:spacing w:val="-2"/>
        </w:rPr>
        <w:t>书香溢满园，悦读伴成长。为更好地履行企业社会责任，积极响应国家精准扶贫号召，传递社会正能量，同时也为丰富</w:t>
      </w:r>
    </w:p>
    <w:p>
      <w:pPr>
        <w:pStyle w:val="BodyText"/>
        <w:spacing w:line="304" w:lineRule="auto" w:before="31"/>
        <w:ind w:right="1130"/>
        <w:jc w:val="both"/>
      </w:pPr>
      <w:r>
        <w:rPr>
          <w:spacing w:val="-2"/>
        </w:rPr>
        <w:t>贫困地区青少年儿童的精神文化生活，享受悦读时光，助力成长。拉卡拉工会于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月向全体工会会员发起</w:t>
      </w:r>
      <w:r>
        <w:rPr>
          <w:rFonts w:ascii="Times New Roman" w:hAnsi="Times New Roman" w:cs="Times New Roman" w:eastAsia="Times New Roman" w:hint="default"/>
          <w:spacing w:val="-2"/>
        </w:rPr>
        <w:t>“</w:t>
      </w:r>
      <w:r>
        <w:rPr>
          <w:spacing w:val="-2"/>
        </w:rPr>
        <w:t>爱心捐书</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
        </w:rPr>
        <w:t> </w:t>
      </w:r>
      <w:r>
        <w:rPr>
          <w:spacing w:val="-2"/>
        </w:rPr>
        <w:t>活动号召，为河北省张家口地区赤城县镇宁堡九年一贯制学校捐赠科普类、文化类、儿童文学等各类爱心图书</w:t>
      </w:r>
      <w:r>
        <w:rPr>
          <w:rFonts w:ascii="Times New Roman" w:hAnsi="Times New Roman" w:cs="Times New Roman" w:eastAsia="Times New Roman" w:hint="default"/>
          <w:spacing w:val="-2"/>
        </w:rPr>
        <w:t>1000</w:t>
      </w:r>
      <w:r>
        <w:rPr>
          <w:spacing w:val="-2"/>
        </w:rPr>
        <w:t>余册，为</w:t>
      </w:r>
      <w:r>
        <w:rPr>
          <w:spacing w:val="-62"/>
        </w:rPr>
        <w:t> </w:t>
      </w:r>
      <w:r>
        <w:rPr>
          <w:spacing w:val="-62"/>
        </w:rPr>
      </w:r>
      <w:r>
        <w:rPr/>
        <w:t>学校图书室注入新鲜</w:t>
      </w:r>
      <w:r>
        <w:rPr>
          <w:rFonts w:ascii="Times New Roman" w:hAnsi="Times New Roman" w:cs="Times New Roman" w:eastAsia="Times New Roman" w:hint="default"/>
        </w:rPr>
        <w:t>“</w:t>
      </w:r>
      <w:r>
        <w:rPr/>
        <w:t>血液</w:t>
      </w:r>
      <w:r>
        <w:rPr>
          <w:rFonts w:ascii="Times New Roman" w:hAnsi="Times New Roman" w:cs="Times New Roman" w:eastAsia="Times New Roman" w:hint="default"/>
        </w:rPr>
        <w:t>”</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日，学校举行了捐赠仪式，将包含浓浓爱意的图书分发给各班级同学。孩子们对</w:t>
      </w:r>
      <w:r>
        <w:rPr>
          <w:spacing w:val="-68"/>
        </w:rPr>
        <w:t> </w:t>
      </w:r>
      <w:r>
        <w:rPr>
          <w:spacing w:val="-68"/>
        </w:rPr>
      </w:r>
      <w:r>
        <w:rPr>
          <w:spacing w:val="-2"/>
        </w:rPr>
        <w:t>于拉卡拉的爱心举动充满感激与感谢，校长表示一定不辜负拉卡拉的爱心关护，督促全校学生努力学习，以良好的成绩回报</w:t>
      </w:r>
      <w:r>
        <w:rPr>
          <w:spacing w:val="-63"/>
        </w:rPr>
        <w:t> </w:t>
      </w:r>
      <w:r>
        <w:rPr>
          <w:spacing w:val="-63"/>
        </w:rPr>
      </w:r>
      <w:r>
        <w:rPr/>
        <w:t>社会关爱。</w:t>
      </w:r>
    </w:p>
    <w:p>
      <w:pPr>
        <w:pStyle w:val="BodyText"/>
        <w:spacing w:line="300" w:lineRule="auto" w:before="28"/>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6</w:t>
      </w:r>
      <w:r>
        <w:rPr/>
        <w:t>、拉卡拉向湖南省郑洞国教育基金会爱心捐款</w:t>
      </w:r>
      <w:r>
        <w:rPr>
          <w:rFonts w:ascii="Times New Roman" w:hAnsi="Times New Roman" w:cs="Times New Roman" w:eastAsia="Times New Roman" w:hint="default"/>
        </w:rPr>
        <w:t>50</w:t>
      </w:r>
      <w:r>
        <w:rPr/>
        <w:t>万元</w:t>
      </w:r>
      <w:r>
        <w:rPr>
          <w:spacing w:val="-87"/>
        </w:rPr>
        <w:t> </w:t>
      </w:r>
      <w:r>
        <w:rPr/>
        <w:t>拉卡拉为扶助湖南省石门县贫困山区的教育事业发展，并救助部分在湘居住的抗日老兵，向郑洞国教育基金会捐赠</w:t>
      </w:r>
      <w:r>
        <w:rPr>
          <w:rFonts w:ascii="Times New Roman" w:hAnsi="Times New Roman" w:cs="Times New Roman" w:eastAsia="Times New Roman" w:hint="default"/>
        </w:rPr>
        <w:t>50</w:t>
      </w:r>
    </w:p>
    <w:p>
      <w:pPr>
        <w:pStyle w:val="BodyText"/>
        <w:spacing w:line="309" w:lineRule="auto" w:before="13"/>
        <w:ind w:right="1051"/>
        <w:jc w:val="both"/>
      </w:pPr>
      <w:r>
        <w:rPr/>
        <w:t>万元，支持抗日爱国将领郑洞国将军家乡教育事业发展。每年资助</w:t>
      </w:r>
      <w:r>
        <w:rPr>
          <w:rFonts w:ascii="Times New Roman" w:hAnsi="Times New Roman" w:cs="Times New Roman" w:eastAsia="Times New Roman" w:hint="default"/>
        </w:rPr>
        <w:t>“</w:t>
      </w:r>
      <w:r>
        <w:rPr/>
        <w:t>石门一中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洞国学校</w:t>
      </w:r>
      <w:r>
        <w:rPr>
          <w:rFonts w:ascii="Times New Roman" w:hAnsi="Times New Roman" w:cs="Times New Roman" w:eastAsia="Times New Roman" w:hint="default"/>
        </w:rPr>
        <w:t>”</w:t>
      </w:r>
      <w:r>
        <w:rPr/>
        <w:t>校园建设和困难家庭子弟完成学 </w:t>
      </w:r>
      <w:r>
        <w:rPr>
          <w:spacing w:val="-2"/>
        </w:rPr>
        <w:t>业，扶助寒门学子及困难抗战老兵。已对近千名困难家庭学生进行了援助。资金用于：资助湖南省石门县第一中学；资助石</w:t>
      </w:r>
      <w:r>
        <w:rPr>
          <w:spacing w:val="-67"/>
        </w:rPr>
        <w:t> </w:t>
      </w:r>
      <w:r>
        <w:rPr>
          <w:spacing w:val="-67"/>
        </w:rPr>
      </w:r>
      <w:r>
        <w:rPr/>
        <w:t>门县洞国学校贫困学生及教师；救助部分在湘居住的抗日老兵；郑洞国教育基金会章程规定的其他支持扶助教育事业事宜。</w:t>
      </w:r>
    </w:p>
    <w:p>
      <w:pPr>
        <w:spacing w:line="240" w:lineRule="auto" w:before="3"/>
        <w:rPr>
          <w:rFonts w:ascii="宋体" w:hAnsi="宋体" w:cs="宋体" w:eastAsia="宋体" w:hint="default"/>
          <w:sz w:val="23"/>
          <w:szCs w:val="23"/>
        </w:rPr>
      </w:pPr>
    </w:p>
    <w:p>
      <w:pPr>
        <w:pStyle w:val="Heading4"/>
        <w:spacing w:line="240" w:lineRule="auto"/>
        <w:ind w:right="0"/>
        <w:jc w:val="both"/>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614"/>
        <w:gridCol w:w="1553"/>
        <w:gridCol w:w="4392"/>
      </w:tblGrid>
      <w:tr>
        <w:trPr>
          <w:trHeight w:val="401"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 </w:t>
            </w:r>
            <w:r>
              <w:rPr>
                <w:rFonts w:ascii="宋体" w:hAnsi="宋体" w:cs="宋体" w:eastAsia="宋体" w:hint="default"/>
                <w:sz w:val="18"/>
                <w:szCs w:val="18"/>
              </w:rPr>
              <w:t>产业发展脱贫项目类型</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农林产业扶贫</w:t>
            </w:r>
          </w:p>
        </w:tc>
      </w:tr>
      <w:tr>
        <w:trPr>
          <w:trHeight w:val="401"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产业发展脱贫项目个数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产业发展脱贫项目投入金额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帮助建档立卡贫困人口脱贫数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2" w:hRule="exact"/>
        </w:trPr>
        <w:tc>
          <w:tcPr>
            <w:tcW w:w="36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 </w:t>
            </w:r>
            <w:r>
              <w:rPr>
                <w:rFonts w:ascii="宋体" w:hAnsi="宋体" w:cs="宋体" w:eastAsia="宋体" w:hint="default"/>
                <w:sz w:val="18"/>
                <w:szCs w:val="18"/>
              </w:rPr>
              <w:t>改善贫困地区教育资源投入金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2"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r>
      <w:tr>
        <w:trPr>
          <w:trHeight w:val="391" w:hRule="exact"/>
        </w:trPr>
        <w:tc>
          <w:tcPr>
            <w:tcW w:w="3614" w:type="dxa"/>
            <w:vMerge/>
            <w:tcBorders>
              <w:left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2" w:type="dxa"/>
            <w:vMerge/>
            <w:tcBorders>
              <w:left w:val="single" w:sz="9" w:space="0" w:color="D2D2D2"/>
              <w:right w:val="single" w:sz="4" w:space="0" w:color="000000"/>
            </w:tcBorders>
          </w:tcPr>
          <w:p>
            <w:pPr/>
          </w:p>
        </w:tc>
      </w:tr>
      <w:tr>
        <w:trPr>
          <w:trHeight w:val="161" w:hRule="exact"/>
        </w:trPr>
        <w:tc>
          <w:tcPr>
            <w:tcW w:w="3614"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392" w:type="dxa"/>
            <w:vMerge/>
            <w:tcBorders>
              <w:left w:val="single" w:sz="9" w:space="0" w:color="D2D2D2"/>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614"/>
        <w:gridCol w:w="1541"/>
        <w:gridCol w:w="4404"/>
      </w:tblGrid>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240" w:lineRule="auto" w:before="29"/>
        <w:ind w:right="1133"/>
        <w:jc w:val="left"/>
      </w:pPr>
      <w:r>
        <w:rPr/>
        <w:t>公司及子公司不属于环境保护部门公布的重点排污单位。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4"/>
          <w:szCs w:val="24"/>
        </w:rPr>
      </w:pPr>
    </w:p>
    <w:p>
      <w:pPr>
        <w:pStyle w:val="Heading2"/>
        <w:spacing w:line="240" w:lineRule="auto"/>
        <w:ind w:right="1133"/>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513" w:right="0"/>
        <w:jc w:val="left"/>
      </w:pPr>
      <w:r>
        <w:rPr>
          <w:rFonts w:ascii="Times New Roman" w:hAnsi="Times New Roman" w:cs="Times New Roman" w:eastAsia="Times New Roman" w:hint="default"/>
        </w:rPr>
        <w:t>1</w:t>
      </w:r>
      <w:r>
        <w:rPr/>
        <w:t>、公司募集资金置换前期投入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日召开第二届董事会第十四次会议、第二届监事会第六次会议，分别审议通过了《关于使用募集资金</w:t>
      </w:r>
    </w:p>
    <w:p>
      <w:pPr>
        <w:pStyle w:val="BodyText"/>
        <w:spacing w:line="300" w:lineRule="auto" w:before="13"/>
        <w:ind w:right="1042"/>
        <w:jc w:val="left"/>
      </w:pPr>
      <w:r>
        <w:rPr>
          <w:spacing w:val="-3"/>
        </w:rPr>
        <w:t>置换预先投入募投项目和已支付发行费用自筹资金的议案》，同意公司以募集资金置换预先投入募投项目金额</w:t>
      </w:r>
      <w:r>
        <w:rPr>
          <w:rFonts w:ascii="Times New Roman" w:hAnsi="Times New Roman" w:cs="Times New Roman" w:eastAsia="Times New Roman" w:hint="default"/>
          <w:spacing w:val="-3"/>
        </w:rPr>
        <w:t>67,004.30</w:t>
      </w:r>
      <w:r>
        <w:rPr>
          <w:spacing w:val="-3"/>
        </w:rPr>
        <w:t>万元、</w:t>
      </w:r>
      <w:r>
        <w:rPr>
          <w:spacing w:val="-85"/>
        </w:rPr>
        <w:t> </w:t>
      </w:r>
      <w:r>
        <w:rPr>
          <w:spacing w:val="-85"/>
        </w:rPr>
      </w:r>
      <w:r>
        <w:rPr/>
        <w:t>已支付发行费用</w:t>
      </w:r>
      <w:r>
        <w:rPr>
          <w:rFonts w:ascii="Times New Roman" w:hAnsi="Times New Roman" w:cs="Times New Roman" w:eastAsia="Times New Roman" w:hint="default"/>
        </w:rPr>
        <w:t>1,699.84</w:t>
      </w:r>
      <w:r>
        <w:rPr/>
        <w:t>万元，共计人民币</w:t>
      </w:r>
      <w:r>
        <w:rPr>
          <w:rFonts w:ascii="Times New Roman" w:hAnsi="Times New Roman" w:cs="Times New Roman" w:eastAsia="Times New Roman" w:hint="default"/>
        </w:rPr>
        <w:t>68,704.14</w:t>
      </w:r>
      <w:r>
        <w:rPr/>
        <w:t>万元。具体内容详见于巨潮资讯网（</w:t>
      </w:r>
      <w:hyperlink r:id="rId11">
        <w:r>
          <w:rPr>
            <w:rFonts w:ascii="Times New Roman" w:hAnsi="Times New Roman" w:cs="Times New Roman" w:eastAsia="Times New Roman" w:hint="default"/>
          </w:rPr>
          <w:t>http://www.cninfo.com.cn</w:t>
        </w:r>
      </w:hyperlink>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8</w:t>
      </w:r>
      <w:r>
        <w:rPr/>
        <w:t>日披露的《关于使用募集资金置换预先投入募投项目和已支付发行费用自筹资金的公告》（公告编号：</w:t>
      </w:r>
      <w:r>
        <w:rPr>
          <w:rFonts w:ascii="Times New Roman" w:hAnsi="Times New Roman" w:cs="Times New Roman" w:eastAsia="Times New Roman" w:hint="default"/>
        </w:rPr>
        <w:t>2019-019</w:t>
      </w:r>
      <w:r>
        <w:rPr/>
        <w:t>）。</w:t>
      </w:r>
    </w:p>
    <w:p>
      <w:pPr>
        <w:pStyle w:val="BodyText"/>
        <w:spacing w:line="300" w:lineRule="auto" w:before="13"/>
        <w:ind w:left="513" w:right="0"/>
        <w:jc w:val="left"/>
      </w:pPr>
      <w:r>
        <w:rPr>
          <w:rFonts w:ascii="Times New Roman" w:hAnsi="Times New Roman" w:cs="Times New Roman" w:eastAsia="Times New Roman" w:hint="default"/>
        </w:rPr>
        <w:t>2</w:t>
      </w:r>
      <w:r>
        <w:rPr/>
        <w:t>、公司持续督导保荐代保人变更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日收到中信建投证券股份有限公司（以下简称</w:t>
      </w:r>
      <w:r>
        <w:rPr>
          <w:rFonts w:ascii="Times New Roman" w:hAnsi="Times New Roman" w:cs="Times New Roman" w:eastAsia="Times New Roman" w:hint="default"/>
        </w:rPr>
        <w:t>“</w:t>
      </w:r>
      <w:r>
        <w:rPr/>
        <w:t>中信建投</w:t>
      </w:r>
      <w:r>
        <w:rPr>
          <w:rFonts w:ascii="Times New Roman" w:hAnsi="Times New Roman" w:cs="Times New Roman" w:eastAsia="Times New Roman" w:hint="default"/>
        </w:rPr>
        <w:t>”</w:t>
      </w:r>
      <w:r>
        <w:rPr/>
        <w:t>）出具的《关于变更拉卡拉支付股份有限</w:t>
      </w:r>
    </w:p>
    <w:p>
      <w:pPr>
        <w:pStyle w:val="BodyText"/>
        <w:spacing w:line="314" w:lineRule="auto" w:before="13"/>
        <w:ind w:right="1044"/>
        <w:jc w:val="left"/>
      </w:pPr>
      <w:r>
        <w:rPr>
          <w:spacing w:val="-2"/>
        </w:rPr>
        <w:t>公司首次公开发行并在创业板上市保荐代表人的说明》。保荐代表人徐炯炜先生因个人工作内部调动原因，无法继续履行保</w:t>
      </w:r>
      <w:r>
        <w:rPr>
          <w:spacing w:val="-66"/>
        </w:rPr>
        <w:t> </w:t>
      </w:r>
      <w:r>
        <w:rPr>
          <w:spacing w:val="-66"/>
        </w:rPr>
      </w:r>
      <w:r>
        <w:rPr>
          <w:spacing w:val="-4"/>
        </w:rPr>
        <w:t>荐代表人职责。为保证持续督导工作的有序进行，中信建投决定由翁子涵先生（简历附后）接替徐炯炜先生的持续督导工作，</w:t>
      </w:r>
      <w:r>
        <w:rPr>
          <w:spacing w:val="-46"/>
        </w:rPr>
        <w:t> </w:t>
      </w:r>
      <w:r>
        <w:rPr>
          <w:spacing w:val="-46"/>
        </w:rPr>
      </w:r>
      <w:r>
        <w:rPr>
          <w:spacing w:val="-2"/>
        </w:rPr>
        <w:t>继续履行保荐代表人职责。本次保荐代表人变更后，公司首次公开发行股票并上市项目的持续督导保荐代表人为张铁先生和</w:t>
      </w:r>
      <w:r>
        <w:rPr>
          <w:spacing w:val="-64"/>
        </w:rPr>
        <w:t> </w:t>
      </w:r>
      <w:r>
        <w:rPr>
          <w:spacing w:val="-64"/>
        </w:rPr>
      </w:r>
      <w:r>
        <w:rPr>
          <w:spacing w:val="-2"/>
        </w:rPr>
        <w:t>翁子涵先生，持续督导期限至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日止。具体内容详见于巨潮资讯网（</w:t>
      </w:r>
      <w:hyperlink r:id="rId11">
        <w:r>
          <w:rPr>
            <w:rFonts w:ascii="Times New Roman" w:hAnsi="Times New Roman" w:cs="Times New Roman" w:eastAsia="Times New Roman" w:hint="default"/>
            <w:spacing w:val="-2"/>
          </w:rPr>
          <w:t>http://www.cninfo.com.cn</w:t>
        </w:r>
      </w:hyperlink>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日披</w:t>
      </w:r>
      <w:r>
        <w:rPr>
          <w:spacing w:val="-36"/>
        </w:rPr>
        <w:t> </w:t>
      </w:r>
      <w:r>
        <w:rPr/>
        <w:t>露的《关于更换持续督导保荐代表人的公告》（公告编号：</w:t>
      </w:r>
      <w:r>
        <w:rPr>
          <w:rFonts w:ascii="Times New Roman" w:hAnsi="Times New Roman" w:cs="Times New Roman" w:eastAsia="Times New Roman" w:hint="default"/>
        </w:rPr>
        <w:t>2019-030</w:t>
      </w:r>
      <w:r>
        <w:rPr/>
        <w:t>）。</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六节股份变动及股东情况" w:id="107"/>
      <w:bookmarkEnd w:id="107"/>
      <w:r>
        <w:rPr>
          <w:b w:val="0"/>
          <w:bCs w:val="0"/>
        </w:rPr>
      </w:r>
      <w:bookmarkStart w:name="_bookmark5" w:id="108"/>
      <w:bookmarkEnd w:id="108"/>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股份变动情况" w:id="109"/>
      <w:bookmarkEnd w:id="109"/>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248,287,8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68.98%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248,287,8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62.07%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111,712,1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31.02%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111,712,1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27.93%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400,010,0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340" w:lineRule="auto" w:before="115"/>
        <w:ind w:right="1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报告期内，经中国证券监督管理委员会证监许可</w:t>
      </w:r>
      <w:r>
        <w:rPr>
          <w:rFonts w:ascii="Times New Roman" w:hAnsi="Times New Roman" w:cs="Times New Roman" w:eastAsia="Times New Roman" w:hint="default"/>
        </w:rPr>
        <w:t>[2019]646</w:t>
      </w:r>
      <w:r>
        <w:rPr/>
        <w:t>号文核准，公司首次公开发行人民币普通股</w:t>
      </w:r>
      <w:r>
        <w:rPr>
          <w:spacing w:val="-20"/>
        </w:rPr>
        <w:t> </w:t>
      </w:r>
      <w:r>
        <w:rPr>
          <w:rFonts w:ascii="Times New Roman" w:hAnsi="Times New Roman" w:cs="Times New Roman" w:eastAsia="Times New Roman" w:hint="default"/>
        </w:rPr>
        <w:t>4,001</w:t>
      </w:r>
      <w:r>
        <w:rPr/>
        <w:t>万股。 股份变动的批准情况</w:t>
      </w:r>
    </w:p>
    <w:p>
      <w:pPr>
        <w:spacing w:after="0" w:line="3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left="513" w:right="11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经中国证券监督管理委员会证监许可</w:t>
      </w:r>
      <w:r>
        <w:rPr>
          <w:rFonts w:ascii="Times New Roman" w:hAnsi="Times New Roman" w:cs="Times New Roman" w:eastAsia="Times New Roman" w:hint="default"/>
        </w:rPr>
        <w:t>[2019]646</w:t>
      </w:r>
      <w:r>
        <w:rPr/>
        <w:t>号文核准，本公司公开发行股票不超过</w:t>
      </w:r>
      <w:r>
        <w:rPr>
          <w:rFonts w:ascii="Times New Roman" w:hAnsi="Times New Roman" w:cs="Times New Roman" w:eastAsia="Times New Roman" w:hint="default"/>
        </w:rPr>
        <w:t>4,001</w:t>
      </w:r>
      <w:r>
        <w:rPr/>
        <w:t>万股。本次发行采用网下向</w:t>
      </w:r>
    </w:p>
    <w:p>
      <w:pPr>
        <w:pStyle w:val="BodyText"/>
        <w:spacing w:line="228" w:lineRule="exact"/>
        <w:ind w:right="0"/>
        <w:jc w:val="left"/>
      </w:pPr>
      <w:r>
        <w:rPr/>
        <w:t>投资者询价配售（以下简称</w:t>
      </w:r>
      <w:r>
        <w:rPr>
          <w:rFonts w:ascii="Times New Roman" w:hAnsi="Times New Roman" w:cs="Times New Roman" w:eastAsia="Times New Roman" w:hint="default"/>
        </w:rPr>
        <w:t>“</w:t>
      </w:r>
      <w:r>
        <w:rPr/>
        <w:t>网下配售</w:t>
      </w:r>
      <w:r>
        <w:rPr>
          <w:rFonts w:ascii="Times New Roman" w:hAnsi="Times New Roman" w:cs="Times New Roman" w:eastAsia="Times New Roman" w:hint="default"/>
        </w:rPr>
        <w:t>”</w:t>
      </w:r>
      <w:r>
        <w:rPr/>
        <w:t>）和网上按市值申购向公众投资者定价发行（以下简称</w:t>
      </w:r>
      <w:r>
        <w:rPr>
          <w:rFonts w:ascii="Times New Roman" w:hAnsi="Times New Roman" w:cs="Times New Roman" w:eastAsia="Times New Roman" w:hint="default"/>
        </w:rPr>
        <w:t>“</w:t>
      </w:r>
      <w:r>
        <w:rPr/>
        <w:t>网上发行</w:t>
      </w:r>
      <w:r>
        <w:rPr>
          <w:rFonts w:ascii="Times New Roman" w:hAnsi="Times New Roman" w:cs="Times New Roman" w:eastAsia="Times New Roman" w:hint="default"/>
        </w:rPr>
        <w:t>”</w:t>
      </w:r>
      <w:r>
        <w:rPr/>
        <w:t>）相结合的方式，</w:t>
      </w:r>
    </w:p>
    <w:p>
      <w:pPr>
        <w:pStyle w:val="BodyText"/>
        <w:spacing w:line="300" w:lineRule="auto" w:before="63"/>
        <w:ind w:right="1128"/>
        <w:jc w:val="left"/>
      </w:pPr>
      <w:r>
        <w:rPr/>
        <w:t>本次发行股票数量</w:t>
      </w:r>
      <w:r>
        <w:rPr>
          <w:rFonts w:ascii="Times New Roman" w:hAnsi="Times New Roman" w:cs="Times New Roman" w:eastAsia="Times New Roman" w:hint="default"/>
        </w:rPr>
        <w:t>40,010,000</w:t>
      </w:r>
      <w:r>
        <w:rPr/>
        <w:t>股，本次发行全部为新股，无老股转让。网下最终发行数量为</w:t>
      </w:r>
      <w:r>
        <w:rPr>
          <w:spacing w:val="1"/>
        </w:rPr>
        <w:t> </w:t>
      </w:r>
      <w:r>
        <w:rPr>
          <w:rFonts w:ascii="Times New Roman" w:hAnsi="Times New Roman" w:cs="Times New Roman" w:eastAsia="Times New Roman" w:hint="default"/>
        </w:rPr>
        <w:t>4,001,000</w:t>
      </w:r>
      <w:r>
        <w:rPr>
          <w:rFonts w:ascii="Times New Roman" w:hAnsi="Times New Roman" w:cs="Times New Roman" w:eastAsia="Times New Roman" w:hint="default"/>
          <w:spacing w:val="40"/>
        </w:rPr>
        <w:t> </w:t>
      </w:r>
      <w:r>
        <w:rPr/>
        <w:t>股，占本次发行数量</w:t>
      </w:r>
      <w:r>
        <w:rPr>
          <w:spacing w:val="-88"/>
        </w:rPr>
        <w:t> </w:t>
      </w:r>
      <w:r>
        <w:rPr>
          <w:spacing w:val="-88"/>
        </w:rPr>
      </w:r>
      <w:r>
        <w:rPr/>
        <w:t>的 </w:t>
      </w:r>
      <w:r>
        <w:rPr>
          <w:rFonts w:ascii="Times New Roman" w:hAnsi="Times New Roman" w:cs="Times New Roman" w:eastAsia="Times New Roman" w:hint="default"/>
        </w:rPr>
        <w:t>10.00%</w:t>
      </w:r>
      <w:r>
        <w:rPr/>
        <w:t>，网上最终发行</w:t>
      </w:r>
      <w:r>
        <w:rPr>
          <w:rFonts w:ascii="Times New Roman" w:hAnsi="Times New Roman" w:cs="Times New Roman" w:eastAsia="Times New Roman" w:hint="default"/>
        </w:rPr>
        <w:t>36,009,000 </w:t>
      </w:r>
      <w:r>
        <w:rPr/>
        <w:t>股，占本次发行数量的 </w:t>
      </w:r>
      <w:r>
        <w:rPr>
          <w:rFonts w:ascii="Times New Roman" w:hAnsi="Times New Roman" w:cs="Times New Roman" w:eastAsia="Times New Roman" w:hint="default"/>
        </w:rPr>
        <w:t>90%</w:t>
      </w:r>
      <w:r>
        <w:rPr/>
        <w:t>，发行价格为 </w:t>
      </w:r>
      <w:r>
        <w:rPr>
          <w:rFonts w:ascii="Times New Roman" w:hAnsi="Times New Roman" w:cs="Times New Roman" w:eastAsia="Times New Roman" w:hint="default"/>
        </w:rPr>
        <w:t>33.28</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w:t>
      </w:r>
    </w:p>
    <w:p>
      <w:pPr>
        <w:pStyle w:val="BodyText"/>
        <w:spacing w:line="300" w:lineRule="auto" w:before="13"/>
        <w:ind w:right="1128" w:firstLine="360"/>
        <w:jc w:val="both"/>
      </w:pPr>
      <w:r>
        <w:rPr/>
        <w:t>经深圳证券交易所《关于拉卡拉支付股份有限公司人民币普通股股票在创业板上市的通知》（深证上</w:t>
      </w:r>
      <w:r>
        <w:rPr>
          <w:rFonts w:ascii="Times New Roman" w:hAnsi="Times New Roman" w:cs="Times New Roman" w:eastAsia="Times New Roman" w:hint="default"/>
        </w:rPr>
        <w:t>[2019]232</w:t>
      </w:r>
      <w:r>
        <w:rPr>
          <w:rFonts w:ascii="Times New Roman" w:hAnsi="Times New Roman" w:cs="Times New Roman" w:eastAsia="Times New Roman" w:hint="default"/>
          <w:spacing w:val="22"/>
        </w:rPr>
        <w:t> </w:t>
      </w:r>
      <w:r>
        <w:rPr/>
        <w:t>号）同 </w:t>
      </w:r>
      <w:r>
        <w:rPr>
          <w:spacing w:val="-1"/>
        </w:rPr>
        <w:t>意，本公司发行的人民币普通股股票在深圳证券交易所上市，股票简称</w:t>
      </w:r>
      <w:r>
        <w:rPr>
          <w:rFonts w:ascii="Times New Roman" w:hAnsi="Times New Roman" w:cs="Times New Roman" w:eastAsia="Times New Roman" w:hint="default"/>
          <w:spacing w:val="-1"/>
        </w:rPr>
        <w:t>“</w:t>
      </w:r>
      <w:r>
        <w:rPr>
          <w:spacing w:val="-1"/>
        </w:rPr>
        <w:t>拉卡拉</w:t>
      </w:r>
      <w:r>
        <w:rPr>
          <w:rFonts w:ascii="Times New Roman" w:hAnsi="Times New Roman" w:cs="Times New Roman" w:eastAsia="Times New Roman" w:hint="default"/>
          <w:spacing w:val="-1"/>
        </w:rPr>
        <w:t>”</w:t>
      </w:r>
      <w:r>
        <w:rPr>
          <w:spacing w:val="-1"/>
        </w:rPr>
        <w:t>，股票代码</w:t>
      </w:r>
      <w:r>
        <w:rPr>
          <w:rFonts w:ascii="Times New Roman" w:hAnsi="Times New Roman" w:cs="Times New Roman" w:eastAsia="Times New Roman" w:hint="default"/>
          <w:spacing w:val="-1"/>
        </w:rPr>
        <w:t>“300773”</w:t>
      </w:r>
      <w:r>
        <w:rPr>
          <w:spacing w:val="-1"/>
        </w:rPr>
        <w:t>。本公司首次公开发行</w:t>
      </w:r>
      <w:r>
        <w:rPr>
          <w:spacing w:val="-77"/>
        </w:rPr>
        <w:t> </w:t>
      </w:r>
      <w:r>
        <w:rPr>
          <w:spacing w:val="-77"/>
        </w:rPr>
      </w:r>
      <w:r>
        <w:rPr/>
        <w:t>的 </w:t>
      </w:r>
      <w:r>
        <w:rPr>
          <w:rFonts w:ascii="Times New Roman" w:hAnsi="Times New Roman" w:cs="Times New Roman" w:eastAsia="Times New Roman" w:hint="default"/>
        </w:rPr>
        <w:t>40,010,000 </w:t>
      </w:r>
      <w:r>
        <w:rPr/>
        <w:t>股股票将于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32"/>
        </w:rPr>
        <w:t> </w:t>
      </w:r>
      <w:r>
        <w:rPr/>
        <w:t>日起上市交易。</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1133"/>
        <w:jc w:val="left"/>
      </w:pPr>
      <w:r>
        <w:rPr/>
        <w:t>股份变动的过户情况</w:t>
      </w:r>
    </w:p>
    <w:p>
      <w:pPr>
        <w:pStyle w:val="BodyText"/>
        <w:spacing w:line="338" w:lineRule="auto" w:before="117"/>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4"/>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28" w:lineRule="auto" w:before="41"/>
        <w:ind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股份变动对最近一年和最近一期基本每股收益和稀释每股收益、归属于公司普通股股东的每股净资产等财务指标的影响，详</w:t>
      </w:r>
      <w:r>
        <w:rPr>
          <w:spacing w:val="-64"/>
        </w:rPr>
        <w:t> </w:t>
      </w:r>
      <w:r>
        <w:rPr>
          <w:spacing w:val="-64"/>
        </w:rPr>
      </w:r>
      <w:r>
        <w:rPr/>
        <w:t>见第二节</w:t>
      </w:r>
      <w:r>
        <w:rPr>
          <w:spacing w:val="-18"/>
        </w:rPr>
        <w:t> </w:t>
      </w:r>
      <w:r>
        <w:rPr/>
        <w:t>五、主要会计数据和财务指标。</w:t>
      </w:r>
    </w:p>
    <w:p>
      <w:pPr>
        <w:pStyle w:val="BodyText"/>
        <w:spacing w:line="240" w:lineRule="auto" w:before="50"/>
        <w:ind w:right="1133"/>
        <w:jc w:val="left"/>
      </w:pPr>
      <w:r>
        <w:rPr/>
        <w:t>公司认为必要或证券监管机构要求披露的其他内容</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境内上市人民币 普通股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33.28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40,010,000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40,010,000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0"/>
        <w:ind w:right="1133"/>
        <w:jc w:val="left"/>
      </w:pPr>
      <w:r>
        <w:rPr/>
        <w:t>报告期内证券发行（不含优先股）情况的说明</w:t>
      </w:r>
    </w:p>
    <w:p>
      <w:pPr>
        <w:pStyle w:val="BodyText"/>
        <w:spacing w:line="300" w:lineRule="auto" w:before="114"/>
        <w:ind w:right="1120"/>
        <w:jc w:val="left"/>
      </w:pPr>
      <w:r>
        <w:rPr/>
        <w:t>经中国证券监督管理委员会证监许可</w:t>
      </w:r>
      <w:r>
        <w:rPr>
          <w:rFonts w:ascii="Times New Roman" w:hAnsi="Times New Roman" w:cs="Times New Roman" w:eastAsia="Times New Roman" w:hint="default"/>
        </w:rPr>
        <w:t>[2019]646</w:t>
      </w:r>
      <w:r>
        <w:rPr>
          <w:rFonts w:ascii="Times New Roman" w:hAnsi="Times New Roman" w:cs="Times New Roman" w:eastAsia="Times New Roman" w:hint="default"/>
          <w:spacing w:val="41"/>
        </w:rPr>
        <w:t> </w:t>
      </w:r>
      <w:r>
        <w:rPr>
          <w:spacing w:val="-3"/>
        </w:rPr>
        <w:t>号文核准，报告期内，本公司采用网下向投资者询价配售（以下简称</w:t>
      </w:r>
      <w:r>
        <w:rPr>
          <w:rFonts w:ascii="Times New Roman" w:hAnsi="Times New Roman" w:cs="Times New Roman" w:eastAsia="Times New Roman" w:hint="default"/>
          <w:spacing w:val="-3"/>
        </w:rPr>
        <w:t>“</w:t>
      </w:r>
      <w:r>
        <w:rPr>
          <w:spacing w:val="-3"/>
        </w:rPr>
        <w:t>网下配</w:t>
      </w:r>
      <w:r>
        <w:rPr/>
        <w:t> 售</w:t>
      </w:r>
      <w:r>
        <w:rPr>
          <w:rFonts w:ascii="Times New Roman" w:hAnsi="Times New Roman" w:cs="Times New Roman" w:eastAsia="Times New Roman" w:hint="default"/>
        </w:rPr>
        <w:t>”</w:t>
      </w:r>
      <w:r>
        <w:rPr/>
        <w:t>）和网上按市值申购向公众投资者定价发行（以下简称</w:t>
      </w:r>
      <w:r>
        <w:rPr>
          <w:rFonts w:ascii="Times New Roman" w:hAnsi="Times New Roman" w:cs="Times New Roman" w:eastAsia="Times New Roman" w:hint="default"/>
        </w:rPr>
        <w:t>“</w:t>
      </w:r>
      <w:r>
        <w:rPr/>
        <w:t>网上发行</w:t>
      </w:r>
      <w:r>
        <w:rPr>
          <w:rFonts w:ascii="Times New Roman" w:hAnsi="Times New Roman" w:cs="Times New Roman" w:eastAsia="Times New Roman" w:hint="default"/>
        </w:rPr>
        <w:t>”</w:t>
      </w:r>
      <w:r>
        <w:rPr/>
        <w:t>）相结合的方式，共发行境内上市人民币普通股股票</w:t>
      </w:r>
    </w:p>
    <w:p>
      <w:pPr>
        <w:spacing w:after="0" w:line="30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7"/>
        </w:rPr>
        <w:t>数量</w:t>
      </w:r>
      <w:r>
        <w:rPr>
          <w:rFonts w:ascii="Times New Roman" w:hAnsi="Times New Roman" w:cs="Times New Roman" w:eastAsia="Times New Roman" w:hint="default"/>
          <w:spacing w:val="-7"/>
        </w:rPr>
        <w:t>40,010,000</w:t>
      </w:r>
      <w:r>
        <w:rPr>
          <w:spacing w:val="-7"/>
        </w:rPr>
        <w:t>股，本次发行全部为新股，无老股转让。其中：网下最终发行数量为</w:t>
      </w:r>
      <w:r>
        <w:rPr>
          <w:spacing w:val="-6"/>
        </w:rPr>
        <w:t> </w:t>
      </w:r>
      <w:r>
        <w:rPr>
          <w:rFonts w:ascii="Times New Roman" w:hAnsi="Times New Roman" w:cs="Times New Roman" w:eastAsia="Times New Roman" w:hint="default"/>
        </w:rPr>
        <w:t>4,001,000</w:t>
      </w:r>
      <w:r>
        <w:rPr>
          <w:rFonts w:ascii="Times New Roman" w:hAnsi="Times New Roman" w:cs="Times New Roman" w:eastAsia="Times New Roman" w:hint="default"/>
          <w:spacing w:val="38"/>
        </w:rPr>
        <w:t> </w:t>
      </w:r>
      <w:r>
        <w:rPr>
          <w:spacing w:val="-7"/>
        </w:rPr>
        <w:t>股，占本次发行数量的</w:t>
      </w:r>
      <w:r>
        <w:rPr>
          <w:spacing w:val="-6"/>
        </w:rPr>
        <w:t> </w:t>
      </w:r>
      <w:r>
        <w:rPr>
          <w:rFonts w:ascii="Times New Roman" w:hAnsi="Times New Roman" w:cs="Times New Roman" w:eastAsia="Times New Roman" w:hint="default"/>
        </w:rPr>
        <w:t>10.00%</w:t>
      </w:r>
      <w:r>
        <w:rPr/>
        <w:t>，</w:t>
      </w:r>
      <w:r>
        <w:rPr>
          <w:spacing w:val="-87"/>
        </w:rPr>
        <w:t> </w:t>
      </w:r>
      <w:r>
        <w:rPr/>
        <w:t>网上最终发行</w:t>
      </w:r>
      <w:r>
        <w:rPr>
          <w:rFonts w:ascii="Times New Roman" w:hAnsi="Times New Roman" w:cs="Times New Roman" w:eastAsia="Times New Roman" w:hint="default"/>
        </w:rPr>
        <w:t>36,009,000 </w:t>
      </w:r>
      <w:r>
        <w:rPr/>
        <w:t>股，占本次发行数量的</w:t>
      </w:r>
      <w:r>
        <w:rPr>
          <w:rFonts w:ascii="Times New Roman" w:hAnsi="Times New Roman" w:cs="Times New Roman" w:eastAsia="Times New Roman" w:hint="default"/>
        </w:rPr>
        <w:t>90%</w:t>
      </w:r>
      <w:r>
        <w:rPr/>
        <w:t>，发行价格为</w:t>
      </w:r>
      <w:r>
        <w:rPr>
          <w:rFonts w:ascii="Times New Roman" w:hAnsi="Times New Roman" w:cs="Times New Roman" w:eastAsia="Times New Roman" w:hint="default"/>
        </w:rPr>
        <w:t>33.28</w:t>
      </w:r>
      <w:r>
        <w:rPr>
          <w:rFonts w:ascii="Times New Roman" w:hAnsi="Times New Roman" w:cs="Times New Roman" w:eastAsia="Times New Roman" w:hint="default"/>
          <w:spacing w:val="38"/>
        </w:rPr>
        <w:t> </w:t>
      </w:r>
      <w:r>
        <w:rPr/>
        <w:t>元</w:t>
      </w:r>
      <w:r>
        <w:rPr>
          <w:rFonts w:ascii="Times New Roman" w:hAnsi="Times New Roman" w:cs="Times New Roman" w:eastAsia="Times New Roman" w:hint="default"/>
        </w:rPr>
        <w:t>/</w:t>
      </w:r>
      <w:r>
        <w:rPr/>
        <w:t>股。经深圳证券交易所《关于拉卡拉支付股份有 限公司人民币普通股股票在创业板上市的通知》（深证上</w:t>
      </w:r>
      <w:r>
        <w:rPr>
          <w:rFonts w:ascii="Times New Roman" w:hAnsi="Times New Roman" w:cs="Times New Roman" w:eastAsia="Times New Roman" w:hint="default"/>
        </w:rPr>
        <w:t>[2019]232</w:t>
      </w:r>
      <w:r>
        <w:rPr/>
        <w:t>号）同意，本公司首次公开发行的 </w:t>
      </w:r>
      <w:r>
        <w:rPr>
          <w:rFonts w:ascii="Times New Roman" w:hAnsi="Times New Roman" w:cs="Times New Roman" w:eastAsia="Times New Roman" w:hint="default"/>
        </w:rPr>
        <w:t>40,010,000</w:t>
      </w:r>
      <w:r>
        <w:rPr>
          <w:rFonts w:ascii="Times New Roman" w:hAnsi="Times New Roman" w:cs="Times New Roman" w:eastAsia="Times New Roman" w:hint="default"/>
          <w:spacing w:val="20"/>
        </w:rPr>
        <w:t> </w:t>
      </w:r>
      <w:r>
        <w:rPr/>
        <w:t>股人民币</w:t>
      </w:r>
    </w:p>
    <w:p>
      <w:pPr>
        <w:pStyle w:val="BodyText"/>
        <w:spacing w:line="240" w:lineRule="auto" w:before="13"/>
        <w:ind w:right="1133"/>
        <w:jc w:val="left"/>
      </w:pPr>
      <w:r>
        <w:rPr/>
        <w:t>普通股股票于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5"/>
        </w:rPr>
        <w:t> </w:t>
      </w:r>
      <w:r>
        <w:rPr/>
        <w:t>日起在深圳证券交易所上市交易，股票简称</w:t>
      </w:r>
      <w:r>
        <w:rPr>
          <w:rFonts w:ascii="Times New Roman" w:hAnsi="Times New Roman" w:cs="Times New Roman" w:eastAsia="Times New Roman" w:hint="default"/>
        </w:rPr>
        <w:t>“</w:t>
      </w:r>
      <w:r>
        <w:rPr/>
        <w:t>拉卡拉</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“300773”</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1133"/>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pict>
          <v:group style="position:absolute;margin-left:329.709991pt;margin-top:68.467705pt;width:52.6pt;height:31.25pt;mso-position-horizontal-relative:page;mso-position-vertical-relative:paragraph;z-index:-1069408" coordorigin="6594,1369" coordsize="1052,625">
            <v:shape style="position:absolute;left:6594;top:1369;width:1052;height:625" coordorigin="6594,1369" coordsize="1052,625" path="m6594,1994l7645,1994,7645,1369,6594,1369,6594,1994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5"/>
        <w:gridCol w:w="920"/>
        <w:gridCol w:w="1063"/>
        <w:gridCol w:w="106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26,236</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22,382</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40"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联想控股股份 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28.24%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112,978,800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112,978,800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8" w:space="0" w:color="D2D2D2"/>
              <w:left w:val="single" w:sz="4" w:space="0" w:color="000000"/>
              <w:bottom w:val="single" w:sz="4" w:space="0" w:color="000000"/>
              <w:right w:val="single" w:sz="4" w:space="0" w:color="000000"/>
            </w:tcBorders>
          </w:tcPr>
          <w:p>
            <w:pPr/>
          </w:p>
        </w:tc>
        <w:tc>
          <w:tcPr>
            <w:tcW w:w="1064" w:type="dxa"/>
            <w:tcBorders>
              <w:top w:val="single" w:sz="48" w:space="0" w:color="D2D2D2"/>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6.91%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27,626,400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27,626,400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达孜鹤鸣永创 投资管理中心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20,073,600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20,073,600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孙浩然</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4.85%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19,418,400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19,418,400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8,713,000</w:t>
            </w:r>
          </w:p>
        </w:tc>
      </w:tr>
      <w:tr>
        <w:trPr>
          <w:trHeight w:val="403"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4.51%</w:t>
            </w: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18,036,000</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0</w:t>
            </w: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18,036,000</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14,878,918</w:t>
            </w:r>
          </w:p>
        </w:tc>
      </w:tr>
      <w:tr>
        <w:trPr>
          <w:trHeight w:val="401" w:hRule="exact"/>
        </w:trPr>
        <w:tc>
          <w:tcPr>
            <w:tcW w:w="1200"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18,036,000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3"/>
        <w:gridCol w:w="1064"/>
        <w:gridCol w:w="1063"/>
        <w:gridCol w:w="926"/>
        <w:gridCol w:w="1069"/>
        <w:gridCol w:w="1058"/>
      </w:tblGrid>
      <w:tr>
        <w:trPr>
          <w:trHeight w:val="16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拉萨经济技术 开发区台宝南 山创业投资管 理中心（有限 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14,749,200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14,749,200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达孜昆仑新正 创业投资中心</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14,425,079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14,425,079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天津众英桥投 资管理企业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13,212,000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戴启军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11,660,400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11,660,400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中国大地财产 保险股份有限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10,335,600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10,335,600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314" w:lineRule="auto" w:before="51"/>
              <w:ind w:left="13" w:right="21"/>
              <w:jc w:val="left"/>
              <w:rPr>
                <w:rFonts w:ascii="宋体" w:hAnsi="宋体" w:cs="宋体" w:eastAsia="宋体" w:hint="default"/>
                <w:sz w:val="18"/>
                <w:szCs w:val="18"/>
              </w:rPr>
            </w:pPr>
            <w:r>
              <w:rPr>
                <w:rFonts w:ascii="宋体" w:hAnsi="宋体" w:cs="宋体" w:eastAsia="宋体" w:hint="default"/>
                <w:spacing w:val="-3"/>
                <w:sz w:val="18"/>
                <w:szCs w:val="18"/>
              </w:rPr>
              <w:t>根据《上市公司收购管理办法》第八十三条第二款的规定，孙陶然与其兄弟孙浩然同时持有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公司股份，为一致行动人。除此之外，上述股东之间不存在其他一致行动情形。</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中国工商银行股份有限公司－ 易方达科翔混合型证券投资基 金</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1,168,800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1,168,800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汇添富基金管理股份有限公司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－社保基金四二三组合</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700,082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700,082</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基本养老保险基金一二零五组 合</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548,019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548,019</w:t>
            </w: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中国工商银行股份有限公司－ 汇添富移动互联股票型证券投 资基金</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537,943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537,943</w:t>
            </w:r>
          </w:p>
        </w:tc>
      </w:tr>
      <w:tr>
        <w:trPr>
          <w:trHeight w:val="1028"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中国工商银行股份有限公司－ 易方达新经济灵活配置混合型 证券投资基金</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524,400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524,400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易方达基金管理有限公司－社 保基金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组合</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491,000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中国银行－易方达平稳增长证 券投资基金</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487,500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8"/>
        <w:gridCol w:w="5046"/>
        <w:gridCol w:w="1069"/>
        <w:gridCol w:w="1058"/>
      </w:tblGrid>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中国工商银行股份有限公司－ 易方达创业板交易型开放式指 数证券投资基金</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461,508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461,508</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交通银行股份有限公司－易方 达科讯混合型证券投资基金</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437,597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437,597</w:t>
            </w: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中国工商银行股份有限公司－ 汇添富科技创新灵活配置混合 型证券投资基金</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370,900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370,900</w:t>
            </w:r>
          </w:p>
        </w:tc>
      </w:tr>
      <w:tr>
        <w:trPr>
          <w:trHeight w:val="1340"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6"/>
              <w:ind w:left="23" w:right="17"/>
              <w:jc w:val="left"/>
              <w:rPr>
                <w:rFonts w:ascii="宋体" w:hAnsi="宋体" w:cs="宋体" w:eastAsia="宋体" w:hint="default"/>
                <w:sz w:val="18"/>
                <w:szCs w:val="18"/>
              </w:rPr>
            </w:pPr>
            <w:r>
              <w:rPr>
                <w:rFonts w:ascii="宋体" w:hAnsi="宋体" w:cs="宋体" w:eastAsia="宋体" w:hint="default"/>
                <w:sz w:val="18"/>
                <w:szCs w:val="18"/>
              </w:rPr>
              <w:t>公司未知前 </w:t>
            </w:r>
            <w:r>
              <w:rPr>
                <w:rFonts w:ascii="Times New Roman" w:hAnsi="Times New Roman" w:cs="Times New Roman" w:eastAsia="Times New Roman" w:hint="default"/>
                <w:sz w:val="18"/>
                <w:szCs w:val="18"/>
              </w:rPr>
              <w:t>10 </w:t>
            </w:r>
            <w:r>
              <w:rPr>
                <w:rFonts w:ascii="宋体" w:hAnsi="宋体" w:cs="宋体" w:eastAsia="宋体" w:hint="default"/>
                <w:spacing w:val="-7"/>
                <w:sz w:val="18"/>
                <w:szCs w:val="18"/>
              </w:rPr>
              <w:t>名无限售条件股东之间，以及前</w:t>
            </w:r>
            <w:r>
              <w:rPr>
                <w:rFonts w:ascii="宋体" w:hAnsi="宋体" w:cs="宋体" w:eastAsia="宋体" w:hint="default"/>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1"/>
                <w:sz w:val="18"/>
                <w:szCs w:val="18"/>
              </w:rPr>
              <w:t>名无限售流通股股东和前</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名股东之 间是否存在关联关系，也未知是否属于《上市公司收购管理办法》规定的一致行动人。</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名普通股股东与前</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名无限售条件流通股股东均不存在通过信用账户持有公司股 份情况。</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234"/>
        <w:jc w:val="left"/>
      </w:pPr>
      <w:r>
        <w:rPr/>
        <w:t>控股股东性质：无控股主体 控股股东类型：不存在 公司不存在控股股东情况的说明</w:t>
      </w:r>
    </w:p>
    <w:p>
      <w:pPr>
        <w:pStyle w:val="Heading3"/>
        <w:spacing w:line="290" w:lineRule="exact"/>
        <w:ind w:right="1133"/>
        <w:jc w:val="left"/>
        <w:rPr>
          <w:rFonts w:ascii="宋体" w:hAnsi="宋体" w:cs="宋体" w:eastAsia="宋体" w:hint="default"/>
        </w:rPr>
      </w:pPr>
      <w:r>
        <w:rPr>
          <w:rFonts w:ascii="宋体" w:hAnsi="宋体" w:cs="宋体" w:eastAsia="宋体" w:hint="default"/>
        </w:rPr>
        <w:t>本公司无控股股东。</w:t>
      </w:r>
    </w:p>
    <w:p>
      <w:pPr>
        <w:pStyle w:val="BodyText"/>
        <w:spacing w:line="240" w:lineRule="auto" w:before="87"/>
        <w:ind w:right="1133"/>
        <w:jc w:val="left"/>
      </w:pPr>
      <w:r>
        <w:rPr/>
        <w:t>控股股东报告期内变更</w:t>
      </w:r>
    </w:p>
    <w:p>
      <w:pPr>
        <w:pStyle w:val="BodyText"/>
        <w:spacing w:line="338" w:lineRule="auto" w:before="117"/>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3、公司实际控制人及其一致行动人" w:id="119"/>
      <w:bookmarkEnd w:id="119"/>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54"/>
        <w:jc w:val="left"/>
      </w:pPr>
      <w:r>
        <w:rPr/>
        <w:t>实际控制人性质：无实际控制人 实际控制人类型：不存在 公司不存在实际控制人情况的说明</w:t>
      </w:r>
    </w:p>
    <w:p>
      <w:pPr>
        <w:pStyle w:val="BodyText"/>
        <w:spacing w:line="300" w:lineRule="auto" w:before="29"/>
        <w:ind w:right="1133" w:firstLine="360"/>
        <w:jc w:val="both"/>
      </w:pPr>
      <w:r>
        <w:rPr/>
        <w:t>公司的股权结构相对分散，第一大股东联想控股持股比例为</w:t>
      </w:r>
      <w:r>
        <w:rPr>
          <w:rFonts w:ascii="Times New Roman" w:hAnsi="Times New Roman" w:cs="Times New Roman" w:eastAsia="Times New Roman" w:hint="default"/>
        </w:rPr>
        <w:t>31.38%</w:t>
      </w:r>
      <w:r>
        <w:rPr/>
        <w:t>，任何单一股东均无法通过直接持有公司股份或通 过投资关系对公司形成实际控制，因此本公司无实际控制人。具体原因如下：</w:t>
      </w:r>
    </w:p>
    <w:p>
      <w:pPr>
        <w:pStyle w:val="BodyText"/>
        <w:spacing w:line="314" w:lineRule="auto" w:before="31"/>
        <w:ind w:right="1130" w:firstLine="360"/>
        <w:jc w:val="both"/>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1</w:t>
      </w:r>
      <w:r>
        <w:rPr>
          <w:spacing w:val="-2"/>
        </w:rPr>
        <w:t>）根据联想控股出具《关于未对拉卡拉支付股份有限公司实施控制的声明函》，说明</w:t>
      </w:r>
      <w:r>
        <w:rPr>
          <w:rFonts w:ascii="Times New Roman" w:hAnsi="Times New Roman" w:cs="Times New Roman" w:eastAsia="Times New Roman" w:hint="default"/>
          <w:spacing w:val="-2"/>
        </w:rPr>
        <w:t>“</w:t>
      </w:r>
      <w:r>
        <w:rPr>
          <w:spacing w:val="-2"/>
        </w:rPr>
        <w:t>①截至声明函出具之日，联想</w:t>
      </w:r>
      <w:r>
        <w:rPr/>
        <w:t> </w:t>
      </w:r>
      <w:r>
        <w:rPr>
          <w:spacing w:val="-2"/>
        </w:rPr>
        <w:t>控股与公司的任何其他股东之间不存在任何书面、口头或实际的一致行动关系；②公司董事会的现有成员中，仅李蓬为联想</w:t>
      </w:r>
      <w:r>
        <w:rPr>
          <w:spacing w:val="-63"/>
        </w:rPr>
        <w:t> </w:t>
      </w:r>
      <w:r>
        <w:rPr>
          <w:spacing w:val="-63"/>
        </w:rPr>
      </w:r>
      <w:r>
        <w:rPr>
          <w:spacing w:val="-2"/>
        </w:rPr>
        <w:t>控股提名的董事；公司现有高级管理人员中不存在联想控股推荐的人员，且联想控股从未向公司推荐过任何高级管理人员候</w:t>
      </w:r>
      <w:r>
        <w:rPr>
          <w:spacing w:val="-64"/>
        </w:rPr>
        <w:t> </w:t>
      </w:r>
      <w:r>
        <w:rPr>
          <w:spacing w:val="-64"/>
        </w:rPr>
      </w:r>
      <w:r>
        <w:rPr>
          <w:spacing w:val="-2"/>
        </w:rPr>
        <w:t>选人；③联想控股对公司仅为财务性投资入股，以获取投资收益为目的，不单独或联合谋求对公司的控制。联想控股自投资</w:t>
      </w:r>
      <w:r>
        <w:rPr>
          <w:spacing w:val="-65"/>
        </w:rPr>
        <w:t> </w:t>
      </w:r>
      <w:r>
        <w:rPr>
          <w:spacing w:val="-65"/>
        </w:rPr>
      </w:r>
      <w:r>
        <w:rPr/>
        <w:t>入股公司以来，从未将公司纳入合并财务报表范围。</w:t>
      </w:r>
      <w:r>
        <w:rPr>
          <w:rFonts w:ascii="Times New Roman" w:hAnsi="Times New Roman" w:cs="Times New Roman" w:eastAsia="Times New Roman" w:hint="default"/>
        </w:rPr>
        <w:t>”</w:t>
      </w:r>
    </w:p>
    <w:p>
      <w:pPr>
        <w:pStyle w:val="BodyText"/>
        <w:spacing w:line="240" w:lineRule="auto" w:before="1"/>
        <w:ind w:left="513" w:right="1133"/>
        <w:jc w:val="left"/>
      </w:pPr>
      <w:r>
        <w:rPr/>
        <w:t>（</w:t>
      </w:r>
      <w:r>
        <w:rPr>
          <w:rFonts w:ascii="Times New Roman" w:hAnsi="Times New Roman" w:cs="Times New Roman" w:eastAsia="Times New Roman" w:hint="default"/>
        </w:rPr>
        <w:t>2</w:t>
      </w:r>
      <w:r>
        <w:rPr/>
        <w:t>）公司股权结构相对分散，且主要股东之间不存在一致行动安排，故无关联股东能实际支配公司经营；</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1" w:firstLine="360"/>
        <w:jc w:val="both"/>
      </w:pPr>
      <w:r>
        <w:rPr>
          <w:spacing w:val="-1"/>
        </w:rPr>
        <w:t>（</w:t>
      </w:r>
      <w:r>
        <w:rPr>
          <w:rFonts w:ascii="Times New Roman" w:hAnsi="Times New Roman" w:cs="Times New Roman" w:eastAsia="Times New Roman" w:hint="default"/>
          <w:spacing w:val="-1"/>
        </w:rPr>
        <w:t>3</w:t>
      </w:r>
      <w:r>
        <w:rPr>
          <w:spacing w:val="-1"/>
        </w:rPr>
        <w:t>）公司主要股东中的孙陶然和孙浩然为兄弟关系，其对公司的合计直接持股比例为</w:t>
      </w:r>
      <w:r>
        <w:rPr>
          <w:rFonts w:ascii="Times New Roman" w:hAnsi="Times New Roman" w:cs="Times New Roman" w:eastAsia="Times New Roman" w:hint="default"/>
          <w:spacing w:val="-1"/>
        </w:rPr>
        <w:t>13.07%</w:t>
      </w:r>
      <w:r>
        <w:rPr>
          <w:spacing w:val="-1"/>
        </w:rPr>
        <w:t>，不足以达到单独决定公</w:t>
      </w:r>
      <w:r>
        <w:rPr/>
        <w:t> </w:t>
      </w:r>
      <w:r>
        <w:rPr>
          <w:spacing w:val="-2"/>
        </w:rPr>
        <w:t>司的经营方针和重大事项或能够实际支配公司的公司行为的程度。除该等亲属关系外，公司的主要股东之间不存在一致行动</w:t>
      </w:r>
      <w:r>
        <w:rPr>
          <w:spacing w:val="-64"/>
        </w:rPr>
        <w:t> </w:t>
      </w:r>
      <w:r>
        <w:rPr>
          <w:spacing w:val="-64"/>
        </w:rPr>
      </w:r>
      <w:r>
        <w:rPr/>
        <w:t>协议或类似安排；</w:t>
      </w:r>
    </w:p>
    <w:p>
      <w:pPr>
        <w:pStyle w:val="BodyText"/>
        <w:spacing w:line="309" w:lineRule="auto" w:before="24"/>
        <w:ind w:right="1133" w:firstLine="360"/>
        <w:jc w:val="both"/>
      </w:pPr>
      <w:r>
        <w:rPr>
          <w:spacing w:val="-2"/>
        </w:rPr>
        <w:t>（</w:t>
      </w:r>
      <w:r>
        <w:rPr>
          <w:rFonts w:ascii="Times New Roman" w:hAnsi="Times New Roman" w:cs="Times New Roman" w:eastAsia="Times New Roman" w:hint="default"/>
          <w:spacing w:val="-2"/>
        </w:rPr>
        <w:t>4</w:t>
      </w:r>
      <w:r>
        <w:rPr>
          <w:spacing w:val="-2"/>
        </w:rPr>
        <w:t>）在公司的现任</w:t>
      </w:r>
      <w:r>
        <w:rPr>
          <w:rFonts w:ascii="Times New Roman" w:hAnsi="Times New Roman" w:cs="Times New Roman" w:eastAsia="Times New Roman" w:hint="default"/>
          <w:spacing w:val="-2"/>
        </w:rPr>
        <w:t>4</w:t>
      </w:r>
      <w:r>
        <w:rPr>
          <w:spacing w:val="-2"/>
        </w:rPr>
        <w:t>名非独立董事中，孙陶然、舒世忠由孙陶然提名、张双喜由陈江涛提名、李蓬由联想控股提名，包</w:t>
      </w:r>
      <w:r>
        <w:rPr/>
        <w:t> </w:t>
      </w:r>
      <w:r>
        <w:rPr>
          <w:spacing w:val="-2"/>
        </w:rPr>
        <w:t>括联想控股在内的任何单一股东均无法通过董事会决议单独决定公司的经营方针和重大事项，或能够实际支配公司的公司行</w:t>
      </w:r>
      <w:r>
        <w:rPr>
          <w:spacing w:val="-64"/>
        </w:rPr>
        <w:t> </w:t>
      </w:r>
      <w:r>
        <w:rPr>
          <w:spacing w:val="-64"/>
        </w:rPr>
      </w:r>
      <w:r>
        <w:rPr/>
        <w:t>为。</w:t>
      </w:r>
    </w:p>
    <w:p>
      <w:pPr>
        <w:pStyle w:val="BodyText"/>
        <w:spacing w:line="340" w:lineRule="auto" w:before="24"/>
        <w:ind w:right="5444" w:firstLine="360"/>
        <w:jc w:val="left"/>
      </w:pPr>
      <w:r>
        <w:rPr/>
        <w:t>（</w:t>
      </w:r>
      <w:r>
        <w:rPr>
          <w:rFonts w:ascii="Times New Roman" w:hAnsi="Times New Roman" w:cs="Times New Roman" w:eastAsia="Times New Roman" w:hint="default"/>
        </w:rPr>
        <w:t>5</w:t>
      </w:r>
      <w:r>
        <w:rPr/>
        <w:t>）公司未通过认定不存在实际控制人规避发行条件或监管。 公司最终控制层面是否存在持股比例在</w:t>
      </w:r>
      <w:r>
        <w:rPr>
          <w:spacing w:val="-44"/>
        </w:rPr>
        <w:t> </w:t>
      </w:r>
      <w:r>
        <w:rPr>
          <w:rFonts w:ascii="Times New Roman" w:hAnsi="Times New Roman" w:cs="Times New Roman" w:eastAsia="Times New Roman" w:hint="default"/>
        </w:rPr>
        <w:t>10%</w:t>
      </w:r>
      <w:r>
        <w:rPr/>
        <w:t>以上的股东情况</w:t>
      </w:r>
    </w:p>
    <w:p>
      <w:pPr>
        <w:pStyle w:val="BodyText"/>
        <w:spacing w:line="240" w:lineRule="auto" w:before="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40" w:lineRule="auto" w:before="103"/>
        <w:ind w:right="7049"/>
        <w:jc w:val="left"/>
      </w:pPr>
      <w:r>
        <w:rPr/>
        <w:t>公司最终控制层面持股比例</w:t>
      </w:r>
      <w:r>
        <w:rPr>
          <w:spacing w:val="-45"/>
        </w:rPr>
        <w:t> </w:t>
      </w:r>
      <w:r>
        <w:rPr>
          <w:rFonts w:ascii="Times New Roman" w:hAnsi="Times New Roman" w:cs="Times New Roman" w:eastAsia="Times New Roman" w:hint="default"/>
        </w:rPr>
        <w:t>5%</w:t>
      </w:r>
      <w:r>
        <w:rPr/>
        <w:t>以上的股东情况 法人</w:t>
      </w:r>
    </w:p>
    <w:p>
      <w:pPr>
        <w:pStyle w:val="BodyText"/>
        <w:spacing w:line="240" w:lineRule="auto" w:before="39"/>
        <w:ind w:right="1133"/>
        <w:jc w:val="left"/>
      </w:pPr>
      <w:r>
        <w:rPr/>
        <w:t>最终控制层面持股情况</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2"/>
        <w:gridCol w:w="1762"/>
        <w:gridCol w:w="1724"/>
        <w:gridCol w:w="1567"/>
        <w:gridCol w:w="2355"/>
      </w:tblGrid>
      <w:tr>
        <w:trPr>
          <w:trHeight w:val="713"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85" w:right="38" w:hanging="7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76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17"/>
          <w:szCs w:val="17"/>
        </w:rPr>
      </w:pPr>
    </w:p>
    <w:p>
      <w:pPr>
        <w:spacing w:line="3366" w:lineRule="exact"/>
        <w:ind w:left="2562"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075085" cy="213788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49" cstate="print"/>
                    <a:stretch>
                      <a:fillRect/>
                    </a:stretch>
                  </pic:blipFill>
                  <pic:spPr>
                    <a:xfrm>
                      <a:off x="0" y="0"/>
                      <a:ext cx="3075085" cy="2137886"/>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0"/>
        <w:rPr>
          <w:rFonts w:ascii="宋体" w:hAnsi="宋体" w:cs="宋体" w:eastAsia="宋体" w:hint="default"/>
          <w:sz w:val="18"/>
          <w:szCs w:val="18"/>
        </w:rPr>
      </w:pPr>
    </w:p>
    <w:p>
      <w:pPr>
        <w:pStyle w:val="Heading3"/>
        <w:spacing w:line="240" w:lineRule="auto" w:before="120"/>
        <w:ind w:right="1133"/>
        <w:jc w:val="left"/>
      </w:pPr>
      <w:r>
        <w:rPr/>
        <w:t>实际控制人通过信托或其他资产管理方式控制公司</w:t>
      </w:r>
    </w:p>
    <w:p>
      <w:pPr>
        <w:spacing w:line="240" w:lineRule="auto" w:before="11"/>
        <w:rPr>
          <w:rFonts w:ascii="宋体" w:hAnsi="宋体" w:cs="宋体" w:eastAsia="宋体" w:hint="default"/>
          <w:sz w:val="29"/>
          <w:szCs w:val="29"/>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79"/>
        <w:gridCol w:w="1815"/>
        <w:gridCol w:w="1414"/>
        <w:gridCol w:w="1634"/>
        <w:gridCol w:w="2127"/>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14"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44"/>
        <w:ind w:left="0" w:right="1139"/>
        <w:jc w:val="right"/>
      </w:pPr>
      <w:r>
        <w:rPr/>
        <w:pict>
          <v:shape style="position:absolute;margin-left:56.400002pt;margin-top:-31.948271pt;width:479.3pt;height:176.7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0"/>
                    <w:gridCol w:w="1815"/>
                    <w:gridCol w:w="1414"/>
                    <w:gridCol w:w="1634"/>
                    <w:gridCol w:w="2127"/>
                  </w:tblGrid>
                  <w:tr>
                    <w:trPr>
                      <w:trHeight w:val="352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联想控股股份有限公司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宁旻</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00" w:lineRule="auto"/>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235623.09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 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项目投资；投资管理；资 产管理；经济贸易咨询； 投资咨询；企业管理咨询 技术开发、技术转让、技 术推广；物业管理；销售 化工产品（不含危险化学 </w:t>
                        </w:r>
                        <w:r>
                          <w:rPr>
                            <w:rFonts w:ascii="宋体" w:hAnsi="宋体" w:cs="宋体" w:eastAsia="宋体" w:hint="default"/>
                            <w:spacing w:val="-8"/>
                            <w:sz w:val="18"/>
                            <w:szCs w:val="18"/>
                          </w:rPr>
                          <w:t>品及一类易制毒化学品）、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矿产品；货物进出口、技 术进出口、代理进出口； 计算机系统服务；数据处 理。</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4"/>
        <w:spacing w:line="240" w:lineRule="auto" w:before="36"/>
        <w:ind w:right="1133"/>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第七节优先股相关情况" w:id="122"/>
      <w:bookmarkEnd w:id="122"/>
      <w:r>
        <w:rPr>
          <w:b w:val="0"/>
          <w:bCs w:val="0"/>
        </w:rPr>
      </w:r>
      <w:bookmarkStart w:name="_bookmark6" w:id="123"/>
      <w:bookmarkEnd w:id="123"/>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第八节可转换公司债券相关情况" w:id="124"/>
      <w:bookmarkEnd w:id="124"/>
      <w:r>
        <w:rPr>
          <w:b w:val="0"/>
          <w:bCs w:val="0"/>
        </w:rPr>
      </w:r>
      <w:bookmarkStart w:name="_bookmark7" w:id="125"/>
      <w:bookmarkEnd w:id="125"/>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第九节董事、监事、高级管理人员和员工情况" w:id="126"/>
      <w:bookmarkEnd w:id="126"/>
      <w:r>
        <w:rPr>
          <w:b w:val="0"/>
          <w:bCs w:val="0"/>
        </w:rPr>
      </w:r>
      <w:bookmarkStart w:name="_bookmark8" w:id="127"/>
      <w:bookmarkEnd w:id="127"/>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27,626,40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27,626,40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舒世忠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张双喜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蔡曙涛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1,054,800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1,054,800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牛芹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寇莹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朱国海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1,054,800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1,054,800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舒世忠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月原董事戴启军先生辞去公司董事及董事</w:t>
            </w:r>
          </w:p>
          <w:p>
            <w:pPr>
              <w:pStyle w:val="TableParagraph"/>
              <w:spacing w:line="309" w:lineRule="auto" w:before="60"/>
              <w:ind w:left="23" w:right="71"/>
              <w:jc w:val="both"/>
              <w:rPr>
                <w:rFonts w:ascii="宋体" w:hAnsi="宋体" w:cs="宋体" w:eastAsia="宋体" w:hint="default"/>
                <w:sz w:val="18"/>
                <w:szCs w:val="18"/>
              </w:rPr>
            </w:pPr>
            <w:r>
              <w:rPr>
                <w:rFonts w:ascii="宋体" w:hAnsi="宋体" w:cs="宋体" w:eastAsia="宋体" w:hint="default"/>
                <w:sz w:val="18"/>
                <w:szCs w:val="18"/>
              </w:rPr>
              <w:t>会专业委员会相关职务，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年第一次临时股东大会增补选举舒世忠先生担任公司 董事</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任职情况" w:id="130"/>
      <w:bookmarkEnd w:id="130"/>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spacing w:line="319" w:lineRule="auto" w:before="115"/>
        <w:ind w:left="513" w:right="8586" w:firstLine="0"/>
        <w:jc w:val="left"/>
        <w:rPr>
          <w:rFonts w:ascii="宋体" w:hAnsi="宋体" w:cs="宋体" w:eastAsia="宋体" w:hint="default"/>
          <w:sz w:val="18"/>
          <w:szCs w:val="18"/>
        </w:rPr>
      </w:pPr>
      <w:r>
        <w:rPr>
          <w:rFonts w:ascii="宋体" w:hAnsi="宋体" w:cs="宋体" w:eastAsia="宋体" w:hint="default"/>
          <w:b/>
          <w:bCs/>
          <w:sz w:val="18"/>
          <w:szCs w:val="18"/>
        </w:rPr>
        <w:t>（一）董事会成员简介</w:t>
      </w:r>
      <w:r>
        <w:rPr>
          <w:rFonts w:ascii="宋体" w:hAnsi="宋体" w:cs="宋体" w:eastAsia="宋体" w:hint="default"/>
          <w:b/>
          <w:bCs/>
          <w:w w:val="99"/>
          <w:sz w:val="18"/>
          <w:szCs w:val="18"/>
        </w:rPr>
        <w:t> </w:t>
      </w:r>
      <w:r>
        <w:rPr>
          <w:rFonts w:ascii="宋体" w:hAnsi="宋体" w:cs="宋体" w:eastAsia="宋体" w:hint="default"/>
          <w:sz w:val="18"/>
          <w:szCs w:val="18"/>
        </w:rPr>
        <w:t>本公司董事简历如下：</w:t>
      </w:r>
    </w:p>
    <w:p>
      <w:pPr>
        <w:pStyle w:val="BodyText"/>
        <w:spacing w:line="300" w:lineRule="auto" w:before="17"/>
        <w:ind w:right="1128" w:firstLine="360"/>
        <w:jc w:val="both"/>
      </w:pPr>
      <w:r>
        <w:rPr>
          <w:spacing w:val="-2"/>
        </w:rPr>
        <w:t>孙陶然先生，</w:t>
      </w:r>
      <w:r>
        <w:rPr>
          <w:rFonts w:ascii="Times New Roman" w:hAnsi="Times New Roman" w:cs="Times New Roman" w:eastAsia="Times New Roman" w:hint="default"/>
          <w:spacing w:val="-2"/>
        </w:rPr>
        <w:t>1969</w:t>
      </w:r>
      <w:r>
        <w:rPr>
          <w:spacing w:val="-2"/>
        </w:rPr>
        <w:t>年出生，中国国籍，无境外永久居留权，本科学历。</w:t>
      </w:r>
      <w:r>
        <w:rPr>
          <w:rFonts w:ascii="Times New Roman" w:hAnsi="Times New Roman" w:cs="Times New Roman" w:eastAsia="Times New Roman" w:hint="default"/>
          <w:spacing w:val="-2"/>
        </w:rPr>
        <w:t>2005</w:t>
      </w:r>
      <w:r>
        <w:rPr>
          <w:spacing w:val="-2"/>
        </w:rPr>
        <w:t>年创办拉卡拉公司。自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月至至今任</w:t>
      </w:r>
      <w:r>
        <w:rPr/>
        <w:t> 公司董事会董事长。</w:t>
      </w:r>
    </w:p>
    <w:p>
      <w:pPr>
        <w:pStyle w:val="BodyText"/>
        <w:spacing w:line="300" w:lineRule="auto" w:before="31"/>
        <w:ind w:right="1132" w:firstLine="360"/>
        <w:jc w:val="both"/>
      </w:pPr>
      <w:r>
        <w:rPr>
          <w:spacing w:val="-2"/>
        </w:rPr>
        <w:t>舒世忠先生，</w:t>
      </w:r>
      <w:r>
        <w:rPr>
          <w:rFonts w:ascii="Times New Roman" w:hAnsi="Times New Roman" w:cs="Times New Roman" w:eastAsia="Times New Roman" w:hint="default"/>
          <w:spacing w:val="-2"/>
        </w:rPr>
        <w:t>1966</w:t>
      </w:r>
      <w:r>
        <w:rPr>
          <w:spacing w:val="-2"/>
        </w:rPr>
        <w:t>年出生，中国国籍，无境外永久居留权，硕士学历。历任中国银联助理总裁、证通股份有限公司常务</w:t>
      </w:r>
      <w:r>
        <w:rPr/>
        <w:t> 副总裁。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月至今任公司总经理，自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月起任公司第二届董事会董事。</w:t>
      </w:r>
    </w:p>
    <w:p>
      <w:pPr>
        <w:pStyle w:val="BodyText"/>
        <w:spacing w:line="300" w:lineRule="auto" w:before="13"/>
        <w:ind w:right="1130" w:firstLine="360"/>
        <w:jc w:val="both"/>
      </w:pPr>
      <w:r>
        <w:rPr>
          <w:spacing w:val="-2"/>
        </w:rPr>
        <w:t>李蓬先生，</w:t>
      </w:r>
      <w:r>
        <w:rPr>
          <w:rFonts w:ascii="Times New Roman" w:hAnsi="Times New Roman" w:cs="Times New Roman" w:eastAsia="Times New Roman" w:hint="default"/>
          <w:spacing w:val="-2"/>
        </w:rPr>
        <w:t>1971</w:t>
      </w:r>
      <w:r>
        <w:rPr>
          <w:spacing w:val="-2"/>
        </w:rPr>
        <w:t>年出生，中国国籍，无境外永久居留权，硕士学历。</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2019</w:t>
      </w:r>
      <w:r>
        <w:rPr>
          <w:spacing w:val="-2"/>
        </w:rPr>
        <w:t>年任联想控股股份有限公司任高级副</w:t>
      </w:r>
      <w:r>
        <w:rPr/>
        <w:t> 总裁。现任联想控股股份有限公司执行董事、首席执行官。自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月任公司第一届董事会董事，自</w:t>
      </w:r>
      <w:r>
        <w:rPr>
          <w:rFonts w:ascii="Times New Roman" w:hAnsi="Times New Roman" w:cs="Times New Roman" w:eastAsia="Times New Roman" w:hint="default"/>
        </w:rPr>
        <w:t>2018</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rFonts w:ascii="Times New Roman" w:hAnsi="Times New Roman" w:cs="Times New Roman" w:eastAsia="Times New Roman" w:hint="default"/>
        </w:rPr>
        <w:t>11</w:t>
      </w:r>
      <w:r>
        <w:rPr/>
        <w:t>月至今任公司第二届董事会董事。</w:t>
      </w:r>
    </w:p>
    <w:p>
      <w:pPr>
        <w:pStyle w:val="BodyText"/>
        <w:spacing w:line="300" w:lineRule="auto" w:before="13"/>
        <w:ind w:right="1128" w:firstLine="360"/>
        <w:jc w:val="both"/>
      </w:pPr>
      <w:r>
        <w:rPr>
          <w:spacing w:val="-2"/>
        </w:rPr>
        <w:t>张双喜先生，</w:t>
      </w:r>
      <w:r>
        <w:rPr>
          <w:rFonts w:ascii="Times New Roman" w:hAnsi="Times New Roman" w:cs="Times New Roman" w:eastAsia="Times New Roman" w:hint="default"/>
          <w:spacing w:val="-2"/>
        </w:rPr>
        <w:t>1979</w:t>
      </w:r>
      <w:r>
        <w:rPr>
          <w:spacing w:val="-2"/>
        </w:rPr>
        <w:t>年出生，中国国籍，无境外永久居留权，硕士学历。历任平安信托有限公司直接投资事业部董事总经</w:t>
      </w:r>
      <w:r>
        <w:rPr/>
        <w:t> </w:t>
      </w:r>
      <w:r>
        <w:rPr>
          <w:spacing w:val="-2"/>
        </w:rPr>
        <w:t>理、太平资产管理有限公司股权投资总监，现任太平创新投资管理有限公司总经理。自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月任公司第一</w:t>
      </w:r>
      <w:r>
        <w:rPr>
          <w:spacing w:val="-55"/>
        </w:rPr>
        <w:t> </w:t>
      </w:r>
      <w:r>
        <w:rPr>
          <w:spacing w:val="-55"/>
        </w:rPr>
      </w:r>
      <w:r>
        <w:rPr/>
        <w:t>届董事会董事，自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月至今任公司第二届董事会董事。</w:t>
      </w:r>
    </w:p>
    <w:p>
      <w:pPr>
        <w:pStyle w:val="BodyText"/>
        <w:spacing w:line="300" w:lineRule="auto" w:before="13"/>
        <w:ind w:right="1131" w:firstLine="360"/>
        <w:jc w:val="both"/>
      </w:pPr>
      <w:r>
        <w:rPr>
          <w:spacing w:val="-2"/>
        </w:rPr>
        <w:t>王小兰女士，</w:t>
      </w:r>
      <w:r>
        <w:rPr>
          <w:rFonts w:ascii="Times New Roman" w:hAnsi="Times New Roman" w:cs="Times New Roman" w:eastAsia="Times New Roman" w:hint="default"/>
          <w:spacing w:val="-2"/>
        </w:rPr>
        <w:t>1954</w:t>
      </w:r>
      <w:r>
        <w:rPr>
          <w:spacing w:val="-2"/>
        </w:rPr>
        <w:t>年出生，中国国籍，无境外永久居留权，本科学历。</w:t>
      </w:r>
      <w:r>
        <w:rPr>
          <w:rFonts w:ascii="Times New Roman" w:hAnsi="Times New Roman" w:cs="Times New Roman" w:eastAsia="Times New Roman" w:hint="default"/>
          <w:spacing w:val="-2"/>
        </w:rPr>
        <w:t>1985</w:t>
      </w:r>
      <w:r>
        <w:rPr>
          <w:spacing w:val="-2"/>
        </w:rPr>
        <w:t>年至今于时代集团公司任总裁。自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 </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月任公司第一届董事会独立董事，自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月至今任公司第二届董事会独立董事。</w:t>
      </w:r>
    </w:p>
    <w:p>
      <w:pPr>
        <w:pStyle w:val="BodyText"/>
        <w:spacing w:line="300" w:lineRule="auto" w:before="13"/>
        <w:ind w:right="1025" w:firstLine="360"/>
        <w:jc w:val="left"/>
      </w:pPr>
      <w:r>
        <w:rPr>
          <w:spacing w:val="-4"/>
        </w:rPr>
        <w:t>李焰女士，</w:t>
      </w:r>
      <w:r>
        <w:rPr>
          <w:rFonts w:ascii="Times New Roman" w:hAnsi="Times New Roman" w:cs="Times New Roman" w:eastAsia="Times New Roman" w:hint="default"/>
          <w:spacing w:val="-4"/>
        </w:rPr>
        <w:t>1956</w:t>
      </w:r>
      <w:r>
        <w:rPr>
          <w:spacing w:val="-4"/>
        </w:rPr>
        <w:t>年出生，中国国籍，无境外永久居留权，博士学历。历任中国人民大学商学院任教授、财务金融系主任；</w:t>
      </w:r>
      <w:r>
        <w:rPr/>
        <w:t> </w:t>
      </w:r>
      <w:r>
        <w:rPr>
          <w:rFonts w:ascii="Times New Roman" w:hAnsi="Times New Roman" w:cs="Times New Roman" w:eastAsia="Times New Roman" w:hint="default"/>
        </w:rPr>
        <w:t>2014</w:t>
      </w:r>
      <w:r>
        <w:rPr/>
        <w:t>年至今任职中国人民大学商学院任教授、中国人民大学小微金融研究中心任主任、中国普惠金融研究院任 理事会秘书</w:t>
      </w:r>
      <w:r>
        <w:rPr>
          <w:spacing w:val="-82"/>
        </w:rPr>
        <w:t> </w:t>
      </w:r>
      <w:r>
        <w:rPr>
          <w:spacing w:val="-82"/>
        </w:rPr>
      </w:r>
      <w:r>
        <w:rPr/>
        <w:t>长；历任数知科技独立董事；</w:t>
      </w:r>
      <w:r>
        <w:rPr>
          <w:rFonts w:ascii="Times New Roman" w:hAnsi="Times New Roman" w:cs="Times New Roman" w:eastAsia="Times New Roman" w:hint="default"/>
        </w:rPr>
        <w:t>2015</w:t>
      </w:r>
      <w:r>
        <w:rPr/>
        <w:t>年至今于海兰信股份有限公司任独</w:t>
      </w:r>
      <w:r>
        <w:rPr>
          <w:spacing w:val="-8"/>
        </w:rPr>
        <w:t> </w:t>
      </w:r>
      <w:r>
        <w:rPr/>
        <w:t>立董事，</w:t>
      </w:r>
      <w:r>
        <w:rPr>
          <w:rFonts w:ascii="Times New Roman" w:hAnsi="Times New Roman" w:cs="Times New Roman" w:eastAsia="Times New Roman" w:hint="default"/>
        </w:rPr>
        <w:t>2018</w:t>
      </w:r>
      <w:r>
        <w:rPr/>
        <w:t>年至今于赤峰吉隆黄金矿业股份有限公</w:t>
      </w:r>
      <w:r>
        <w:rPr>
          <w:spacing w:val="-80"/>
        </w:rPr>
        <w:t> </w:t>
      </w:r>
      <w:r>
        <w:rPr>
          <w:spacing w:val="-80"/>
        </w:rPr>
      </w:r>
      <w:r>
        <w:rPr/>
        <w:t>司任独立董事。自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 </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月任公司第一届董事会独立董事，自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月至今任公司第二届董事会独立董</w:t>
      </w:r>
      <w:r>
        <w:rPr>
          <w:spacing w:val="-87"/>
        </w:rPr>
        <w:t> </w:t>
      </w:r>
      <w:r>
        <w:rPr>
          <w:spacing w:val="-87"/>
        </w:rPr>
      </w:r>
      <w:r>
        <w:rPr/>
        <w:t>事。</w:t>
      </w:r>
    </w:p>
    <w:p>
      <w:pPr>
        <w:pStyle w:val="BodyText"/>
        <w:spacing w:line="300" w:lineRule="auto" w:before="31"/>
        <w:ind w:right="1111" w:firstLine="360"/>
        <w:jc w:val="left"/>
      </w:pPr>
      <w:r>
        <w:rPr/>
        <w:t>蔡曙涛女士，</w:t>
      </w:r>
      <w:r>
        <w:rPr>
          <w:rFonts w:ascii="Times New Roman" w:hAnsi="Times New Roman" w:cs="Times New Roman" w:eastAsia="Times New Roman" w:hint="default"/>
        </w:rPr>
        <w:t>1956</w:t>
      </w:r>
      <w:r>
        <w:rPr/>
        <w:t>年出生，中国国籍，无境外永久居留权，硕士学历。</w:t>
      </w:r>
      <w:r>
        <w:rPr>
          <w:spacing w:val="-77"/>
        </w:rPr>
        <w:t> </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月任职北大光华管理学院 副教授。自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月任公司第一届董事会独立董事，自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月至今任公司第二届董事会独立董事。</w:t>
      </w:r>
    </w:p>
    <w:p>
      <w:pPr>
        <w:pStyle w:val="Heading5"/>
        <w:spacing w:line="240" w:lineRule="auto" w:before="13"/>
        <w:ind w:left="453" w:right="1133"/>
        <w:jc w:val="left"/>
        <w:rPr>
          <w:b w:val="0"/>
          <w:bCs w:val="0"/>
        </w:rPr>
      </w:pPr>
      <w:r>
        <w:rPr/>
        <w:t>（二）监事会成员简介</w:t>
      </w:r>
      <w:r>
        <w:rPr>
          <w:b w:val="0"/>
          <w:bCs w:val="0"/>
        </w:rPr>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00" w:lineRule="auto" w:before="44"/>
        <w:ind w:right="1119" w:firstLine="360"/>
        <w:jc w:val="left"/>
      </w:pPr>
      <w:r>
        <w:rPr>
          <w:spacing w:val="-2"/>
        </w:rPr>
        <w:t>本公司监事会由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1</w:t>
      </w:r>
      <w:r>
        <w:rPr>
          <w:spacing w:val="-2"/>
        </w:rPr>
        <w:t>名，股东代表监事</w:t>
      </w:r>
      <w:r>
        <w:rPr>
          <w:rFonts w:ascii="Times New Roman" w:hAnsi="Times New Roman" w:cs="Times New Roman" w:eastAsia="Times New Roman" w:hint="default"/>
          <w:spacing w:val="-2"/>
        </w:rPr>
        <w:t>2</w:t>
      </w:r>
      <w:r>
        <w:rPr>
          <w:spacing w:val="-2"/>
        </w:rPr>
        <w:t>名，监事任期为</w:t>
      </w:r>
      <w:r>
        <w:rPr>
          <w:rFonts w:ascii="Times New Roman" w:hAnsi="Times New Roman" w:cs="Times New Roman" w:eastAsia="Times New Roman" w:hint="default"/>
          <w:spacing w:val="-2"/>
        </w:rPr>
        <w:t>3</w:t>
      </w:r>
      <w:r>
        <w:rPr>
          <w:spacing w:val="-2"/>
        </w:rPr>
        <w:t>年，可连选连任。监事会设监事</w:t>
      </w:r>
      <w:r>
        <w:rPr/>
        <w:t> 会主席</w:t>
      </w:r>
      <w:r>
        <w:rPr>
          <w:rFonts w:ascii="Times New Roman" w:hAnsi="Times New Roman" w:cs="Times New Roman" w:eastAsia="Times New Roman" w:hint="default"/>
        </w:rPr>
        <w:t>1</w:t>
      </w:r>
      <w:r>
        <w:rPr/>
        <w:t>名。</w:t>
      </w:r>
    </w:p>
    <w:p>
      <w:pPr>
        <w:pStyle w:val="BodyText"/>
        <w:spacing w:line="316" w:lineRule="auto" w:before="13"/>
        <w:ind w:left="513" w:right="1133"/>
        <w:jc w:val="left"/>
      </w:pPr>
      <w:r>
        <w:rPr/>
        <w:t>本公司监事简历如下： </w:t>
      </w:r>
      <w:r>
        <w:rPr>
          <w:spacing w:val="-2"/>
        </w:rPr>
        <w:t>陈杰女士，</w:t>
      </w:r>
      <w:r>
        <w:rPr>
          <w:rFonts w:ascii="Times New Roman" w:hAnsi="Times New Roman" w:cs="Times New Roman" w:eastAsia="Times New Roman" w:hint="default"/>
          <w:spacing w:val="-2"/>
        </w:rPr>
        <w:t>1961</w:t>
      </w:r>
      <w:r>
        <w:rPr>
          <w:spacing w:val="-2"/>
        </w:rPr>
        <w:t>年出生，中国国籍，无境外永久居留权，本科学历。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2013</w:t>
      </w:r>
      <w:r>
        <w:rPr>
          <w:spacing w:val="-2"/>
        </w:rPr>
        <w:t>年于拉卡拉支付有限公司任财务部总</w:t>
      </w:r>
    </w:p>
    <w:p>
      <w:pPr>
        <w:pStyle w:val="BodyText"/>
        <w:spacing w:line="300" w:lineRule="auto"/>
        <w:ind w:right="1133"/>
        <w:jc w:val="left"/>
      </w:pPr>
      <w:r>
        <w:rPr>
          <w:spacing w:val="-2"/>
        </w:rPr>
        <w:t>经理，</w:t>
      </w:r>
      <w:r>
        <w:rPr>
          <w:rFonts w:ascii="Times New Roman" w:hAnsi="Times New Roman" w:cs="Times New Roman" w:eastAsia="Times New Roman" w:hint="default"/>
          <w:spacing w:val="-2"/>
        </w:rPr>
        <w:t>2014</w:t>
      </w:r>
      <w:r>
        <w:rPr>
          <w:spacing w:val="-2"/>
        </w:rPr>
        <w:t>年至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月任拉卡拉有限监事。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月任公司第一届监事会主席，自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rPr>
        <w:t> </w:t>
      </w:r>
      <w:r>
        <w:rPr/>
        <w:t>月任公司第</w:t>
      </w:r>
      <w:r>
        <w:rPr>
          <w:spacing w:val="-55"/>
        </w:rPr>
        <w:t> </w:t>
      </w:r>
      <w:r>
        <w:rPr/>
        <w:t>二届监事会主席。</w:t>
      </w:r>
    </w:p>
    <w:p>
      <w:pPr>
        <w:pStyle w:val="BodyText"/>
        <w:spacing w:line="300" w:lineRule="auto" w:before="31"/>
        <w:ind w:right="1034" w:firstLine="360"/>
        <w:jc w:val="left"/>
      </w:pPr>
      <w:r>
        <w:rPr/>
        <w:t>牛芹女士，</w:t>
      </w:r>
      <w:r>
        <w:rPr>
          <w:rFonts w:ascii="Times New Roman" w:hAnsi="Times New Roman" w:cs="Times New Roman" w:eastAsia="Times New Roman" w:hint="default"/>
        </w:rPr>
        <w:t>1983</w:t>
      </w:r>
      <w:r>
        <w:rPr/>
        <w:t>年出生，中国国籍，无境外永久居留权，专科学历。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月任职于拉卡拉总裁办，</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 </w:t>
      </w:r>
      <w:r>
        <w:rPr/>
        <w:t>月至今任职于拉卡拉董事会办公室。</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月任公司第一届监事会监事，自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月任公司第二届监事。</w:t>
      </w:r>
    </w:p>
    <w:p>
      <w:pPr>
        <w:pStyle w:val="BodyText"/>
        <w:spacing w:line="300" w:lineRule="auto" w:before="13"/>
        <w:ind w:right="1133" w:firstLine="360"/>
        <w:jc w:val="left"/>
      </w:pPr>
      <w:r>
        <w:rPr/>
        <w:t>寇莹女士，</w:t>
      </w:r>
      <w:r>
        <w:rPr>
          <w:rFonts w:ascii="Times New Roman" w:hAnsi="Times New Roman" w:cs="Times New Roman" w:eastAsia="Times New Roman" w:hint="default"/>
        </w:rPr>
        <w:t>1971</w:t>
      </w:r>
      <w:r>
        <w:rPr/>
        <w:t>年出生，中国国籍，无境外永久居留权，本科学历。</w:t>
      </w:r>
      <w:r>
        <w:rPr>
          <w:rFonts w:ascii="Times New Roman" w:hAnsi="Times New Roman" w:cs="Times New Roman" w:eastAsia="Times New Roman" w:hint="default"/>
        </w:rPr>
        <w:t>2012</w:t>
      </w:r>
      <w:r>
        <w:rPr/>
        <w:t>年至今任职公司内审部。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11</w:t>
      </w:r>
      <w:r>
        <w:rPr/>
        <w:t>月任公司第一届监事会监事，自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月任公司第二届监事。</w:t>
      </w:r>
    </w:p>
    <w:p>
      <w:pPr>
        <w:pStyle w:val="BodyText"/>
        <w:spacing w:line="316" w:lineRule="auto" w:before="13"/>
        <w:ind w:left="513" w:right="0"/>
        <w:jc w:val="left"/>
      </w:pPr>
      <w:r>
        <w:rPr>
          <w:rFonts w:ascii="宋体" w:hAnsi="宋体" w:cs="宋体" w:eastAsia="宋体" w:hint="default"/>
          <w:b/>
          <w:bCs/>
        </w:rPr>
        <w:t>（三）高级管理人员简介</w:t>
      </w:r>
      <w:r>
        <w:rPr>
          <w:rFonts w:ascii="宋体" w:hAnsi="宋体" w:cs="宋体" w:eastAsia="宋体" w:hint="default"/>
          <w:b/>
          <w:bCs/>
          <w:w w:val="99"/>
        </w:rPr>
        <w:t> </w:t>
      </w:r>
      <w:r>
        <w:rPr>
          <w:spacing w:val="-2"/>
        </w:rPr>
        <w:t>根据《公司章程》，本公司的高级管理人员是指公司总经理、副总经理、财务总监和董事会秘书。本公司目前有高级管</w:t>
      </w:r>
    </w:p>
    <w:p>
      <w:pPr>
        <w:pStyle w:val="BodyText"/>
        <w:spacing w:line="240" w:lineRule="auto" w:before="19"/>
        <w:ind w:right="1133"/>
        <w:jc w:val="left"/>
      </w:pPr>
      <w:r>
        <w:rPr/>
        <w:t>理人员</w:t>
      </w:r>
      <w:r>
        <w:rPr>
          <w:rFonts w:ascii="Times New Roman" w:hAnsi="Times New Roman" w:cs="Times New Roman" w:eastAsia="Times New Roman" w:hint="default"/>
        </w:rPr>
        <w:t>3</w:t>
      </w:r>
      <w:r>
        <w:rPr/>
        <w:t>名。</w:t>
      </w:r>
    </w:p>
    <w:p>
      <w:pPr>
        <w:pStyle w:val="BodyText"/>
        <w:spacing w:line="316" w:lineRule="auto" w:before="63"/>
        <w:ind w:left="513" w:right="1133"/>
        <w:jc w:val="left"/>
      </w:pPr>
      <w:r>
        <w:rPr/>
        <w:t>本公司高级管理人员简历如下： 舒世忠先生的个人简历请见</w:t>
      </w:r>
      <w:r>
        <w:rPr>
          <w:rFonts w:ascii="Times New Roman" w:hAnsi="Times New Roman" w:cs="Times New Roman" w:eastAsia="Times New Roman" w:hint="default"/>
        </w:rPr>
        <w:t>“</w:t>
      </w:r>
      <w:r>
        <w:rPr/>
        <w:t>第九节董事、监事、高级管理人员和员工情况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（一）董事会成员简</w:t>
      </w:r>
    </w:p>
    <w:p>
      <w:pPr>
        <w:pStyle w:val="BodyText"/>
        <w:spacing w:line="248" w:lineRule="exact"/>
        <w:ind w:right="1133"/>
        <w:jc w:val="left"/>
      </w:pPr>
      <w:r>
        <w:rPr/>
        <w:t>介</w:t>
      </w:r>
      <w:r>
        <w:rPr>
          <w:rFonts w:ascii="Times New Roman" w:hAnsi="Times New Roman" w:cs="Times New Roman" w:eastAsia="Times New Roman" w:hint="default"/>
        </w:rPr>
        <w:t>”</w:t>
      </w:r>
      <w:r>
        <w:rPr/>
        <w:t>。</w:t>
      </w:r>
    </w:p>
    <w:p>
      <w:pPr>
        <w:pStyle w:val="BodyText"/>
        <w:spacing w:line="300" w:lineRule="auto" w:before="63"/>
        <w:ind w:right="1119" w:firstLine="360"/>
        <w:jc w:val="left"/>
      </w:pPr>
      <w:r>
        <w:rPr>
          <w:spacing w:val="-4"/>
        </w:rPr>
        <w:t>朱国海先生，</w:t>
      </w:r>
      <w:r>
        <w:rPr>
          <w:rFonts w:ascii="Times New Roman" w:hAnsi="Times New Roman" w:cs="Times New Roman" w:eastAsia="Times New Roman" w:hint="default"/>
          <w:spacing w:val="-4"/>
        </w:rPr>
        <w:t>1969</w:t>
      </w:r>
      <w:r>
        <w:rPr>
          <w:spacing w:val="-4"/>
        </w:rPr>
        <w:t>年出生，中国国籍，无境外永久居留权，本科学历。</w:t>
      </w:r>
      <w:r>
        <w:rPr>
          <w:spacing w:val="-43"/>
        </w:rPr>
        <w:t> </w:t>
      </w:r>
      <w:r>
        <w:rPr/>
        <w:t>历任中国农业发展银行浙江省分行副处长；</w:t>
      </w:r>
      <w:r>
        <w:rPr>
          <w:rFonts w:ascii="Times New Roman" w:hAnsi="Times New Roman" w:cs="Times New Roman" w:eastAsia="Times New Roman" w:hint="default"/>
        </w:rPr>
        <w:t>2015 </w:t>
      </w:r>
      <w:r>
        <w:rPr/>
        <w:t>年进入拉卡拉任职。自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27"/>
        </w:rPr>
        <w:t> </w:t>
      </w:r>
      <w:r>
        <w:rPr/>
        <w:t>月至今，任公司副总经理兼董事会秘书。</w:t>
      </w:r>
    </w:p>
    <w:p>
      <w:pPr>
        <w:pStyle w:val="BodyText"/>
        <w:spacing w:line="300" w:lineRule="auto" w:before="53"/>
        <w:ind w:right="1133" w:firstLine="288"/>
        <w:jc w:val="left"/>
      </w:pPr>
      <w:r>
        <w:rPr>
          <w:spacing w:val="-1"/>
        </w:rPr>
        <w:t>周钢先生，</w:t>
      </w:r>
      <w:r>
        <w:rPr>
          <w:rFonts w:ascii="Times New Roman" w:hAnsi="Times New Roman" w:cs="Times New Roman" w:eastAsia="Times New Roman" w:hint="default"/>
          <w:spacing w:val="-1"/>
        </w:rPr>
        <w:t>1978</w:t>
      </w:r>
      <w:r>
        <w:rPr>
          <w:spacing w:val="-1"/>
        </w:rPr>
        <w:t>年出生，中国国籍，无境外永久居留权，本科学历。历任普华永道会计师事务所审计部经理、安美数字</w:t>
      </w:r>
      <w:r>
        <w:rPr/>
        <w:t> 服务集团财务总监；</w:t>
      </w:r>
      <w:r>
        <w:rPr>
          <w:rFonts w:ascii="Times New Roman" w:hAnsi="Times New Roman" w:cs="Times New Roman" w:eastAsia="Times New Roman" w:hint="default"/>
        </w:rPr>
        <w:t>2009</w:t>
      </w:r>
      <w:r>
        <w:rPr/>
        <w:t>年进入拉卡拉任职。自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月至今，任公司财务总监。</w:t>
      </w:r>
    </w:p>
    <w:p>
      <w:pPr>
        <w:pStyle w:val="BodyText"/>
        <w:spacing w:line="240" w:lineRule="auto" w:before="51"/>
        <w:ind w:right="1133"/>
        <w:jc w:val="left"/>
      </w:pPr>
      <w:r>
        <w:rPr/>
        <w:t>在股东单位任职情况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北京蓝色光标数据科技股份有限公司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联想控股股份有限公司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12"/>
                <w:sz w:val="18"/>
                <w:szCs w:val="18"/>
              </w:rPr>
              <w:t>执行董事、首</w:t>
            </w:r>
            <w:r>
              <w:rPr>
                <w:rFonts w:ascii="宋体" w:hAnsi="宋体" w:cs="宋体" w:eastAsia="宋体" w:hint="default"/>
                <w:sz w:val="18"/>
                <w:szCs w:val="18"/>
              </w:rPr>
              <w:t> 席执行官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在其他单位任职情况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北京昆仑瑞才科技有限公司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北京昆仑堂文化传播有限公司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法人、执行董</w:t>
            </w:r>
            <w:r>
              <w:rPr>
                <w:rFonts w:ascii="宋体" w:hAnsi="宋体" w:cs="宋体" w:eastAsia="宋体" w:hint="default"/>
                <w:sz w:val="18"/>
                <w:szCs w:val="18"/>
              </w:rPr>
              <w:t> 事、经理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西藏考拉科技发展有限公司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西藏考拉金科网络科技服务有限公司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拉卡拉科技发展有限公司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探路者控股集团股份有限公司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北京慧谷家族文化传媒有限公司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颐年康盛咨询服务（北京）有限公司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北京未名雅集文化发展有限公司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北京蓝色光标数据科技股份有限公司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北京海兰信数据科技股份有限公司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燕园校友投资管理有限公司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Lakala</w:t>
            </w:r>
            <w:r>
              <w:rPr>
                <w:rFonts w:ascii="Times New Roman"/>
                <w:spacing w:val="-7"/>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Pulchritude Kunlun</w:t>
            </w:r>
            <w:r>
              <w:rPr>
                <w:rFonts w:ascii="Times New Roman"/>
                <w:spacing w:val="-10"/>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联泓集团有限公司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西藏考拉金科网络科技服务有限公司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西藏考拉科技发展有限公司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西藏联恒医疗投资有限公司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执行董事及 </w:t>
            </w:r>
            <w:r>
              <w:rPr>
                <w:rFonts w:ascii="宋体" w:hAnsi="宋体" w:cs="宋体" w:eastAsia="宋体" w:hint="default"/>
                <w:spacing w:val="-12"/>
                <w:sz w:val="18"/>
                <w:szCs w:val="18"/>
              </w:rPr>
              <w:t>经理、法定代</w:t>
            </w:r>
            <w:r>
              <w:rPr>
                <w:rFonts w:ascii="宋体" w:hAnsi="宋体" w:cs="宋体" w:eastAsia="宋体" w:hint="default"/>
                <w:sz w:val="18"/>
                <w:szCs w:val="18"/>
              </w:rPr>
              <w:t> 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拉卡拉电子商务有限公司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正奇金融控股股份有限公司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联保投资集团有限公司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上海弘基企业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29.709991pt;margin-top:72.47998pt;width:59.3pt;height:7.8pt;mso-position-horizontal-relative:page;mso-position-vertical-relative:page;z-index:-1069336" coordorigin="6594,1450" coordsize="1186,156">
            <v:shape style="position:absolute;left:6594;top:1450;width:1186;height:156" coordorigin="6594,1450" coordsize="1186,156" path="m6594,1606l7780,1606,7780,1450,6594,1450,6594,160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北京华夏联同管理咨询有限公司</w:t>
            </w:r>
          </w:p>
        </w:tc>
        <w:tc>
          <w:tcPr>
            <w:tcW w:w="1064"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3" w:right="12"/>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2"/>
                <w:sz w:val="18"/>
                <w:szCs w:val="18"/>
              </w:rPr>
              <w:t>经理、执行董</w:t>
            </w:r>
            <w:r>
              <w:rPr>
                <w:rFonts w:ascii="宋体" w:hAnsi="宋体" w:cs="宋体" w:eastAsia="宋体" w:hint="default"/>
                <w:sz w:val="18"/>
                <w:szCs w:val="18"/>
              </w:rPr>
              <w:t> 事</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49"/>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北京同城翼龙网络科技有限公司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卢森堡国际银行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联想控股（天津）有限公司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弘和仁爱医疗集团有限公司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于香港联交 所上市</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北京华夏联合汽车俱乐部有限公司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北京华夏联合汽车网络技术有限公司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苏州信托有限公司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舒世忠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上海耘忠科技有限公司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北京时代科技股份有限公司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副董事长、财</w:t>
            </w:r>
            <w:r>
              <w:rPr>
                <w:rFonts w:ascii="宋体" w:hAnsi="宋体" w:cs="宋体" w:eastAsia="宋体" w:hint="default"/>
                <w:sz w:val="18"/>
                <w:szCs w:val="18"/>
              </w:rPr>
              <w:t> 务负责人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时代新纪元科技集团有限公司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北京大河汇智投资管理有限公司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北京村联村科技有限公司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北京泰诚汇智投资管理有限公司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北京中关村竞合投资管理有限公司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北京星泉思讯投资管理中心（有限合伙</w:t>
            </w:r>
          </w:p>
        </w:tc>
        <w:tc>
          <w:tcPr>
            <w:tcW w:w="1064"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52"/>
              <w:ind w:left="16"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6"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3"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0.35pt;height:35.2pt;mso-position-horizontal-relative:char;mso-position-vertical-relative:line" coordorigin="0,0" coordsize="1007,704">
                  <v:group style="position:absolute;left:0;top:0;width:1007;height:351" coordorigin="0,0" coordsize="1007,351">
                    <v:shape style="position:absolute;left:0;top:0;width:1007;height:351" coordorigin="0,0" coordsize="1007,351" path="m0,350l1006,350,1006,0,0,0,0,350xe" filled="true" fillcolor="#ffffff" stroked="false">
                      <v:path arrowok="t"/>
                      <v:fill type="solid"/>
                    </v:shape>
                  </v:group>
                  <v:group style="position:absolute;left:0;top:350;width:1007;height:353" coordorigin="0,350" coordsize="1007,353">
                    <v:shape style="position:absolute;left:0;top:350;width:1007;height:353" coordorigin="0,350" coordsize="1007,353" path="m0,703l1006,703,1006,350,0,350,0,703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山东时代新纪元机器人有限公司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北京普诺汇达机器人科技合伙企业（有 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北京时代之峰互联科技有限公司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北京全威在线科技合伙企业（有限合伙</w:t>
            </w:r>
          </w:p>
        </w:tc>
        <w:tc>
          <w:tcPr>
            <w:tcW w:w="1064"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49"/>
              <w:ind w:left="16"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3"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0.35pt;height:35.2pt;mso-position-horizontal-relative:char;mso-position-vertical-relative:line" coordorigin="0,0" coordsize="1007,704">
                  <v:group style="position:absolute;left:0;top:0;width:1007;height:354" coordorigin="0,0" coordsize="1007,354">
                    <v:shape style="position:absolute;left:0;top:0;width:1007;height:354" coordorigin="0,0" coordsize="1007,354" path="m0,353l1006,353,1006,0,0,0,0,353xe" filled="true" fillcolor="#ffffff" stroked="false">
                      <v:path arrowok="t"/>
                      <v:fill type="solid"/>
                    </v:shape>
                  </v:group>
                  <v:group style="position:absolute;left:0;top:353;width:1007;height:351" coordorigin="0,353" coordsize="1007,351">
                    <v:shape style="position:absolute;left:0;top:353;width:1007;height:351" coordorigin="0,353" coordsize="1007,351" path="m0,704l1006,704,1006,353,0,353,0,704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北京时代之峰科技有限公司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济南时代试金试验机有限公司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济南试金集团有限公司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北京广厦网络科技股份公司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汉王科技股份有限公司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北京中关村马奈创客投资管理有限公司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纳恩博（北京）科技有限公司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上海时代技术有限公司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北京海兰信数据科技股份有限公司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中国人民大学商学院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赤峰吉隆黄金矿业股份有限公司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北京金渤投资管理中心（有限合伙）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北京考拉昆仑信息技术有限公司（原旋 极拉卡拉）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昆仑天地科技发展有限公司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拉卡拉网络技术有限公司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北京考拉昆仑投资管理有限公司（原拉 卡拉投资管理）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拉卡拉影业有限公司</w:t>
            </w:r>
          </w:p>
        </w:tc>
        <w:tc>
          <w:tcPr>
            <w:tcW w:w="1064"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法人、董事 经理</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西藏时代影响力影视文化股份有限公司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堆龙昆仑瑞恒科技有限公司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牛芹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北京多美佳科技发展有限公司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寇莹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北京互联时代营销顾问有限公司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朱国海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北京拉卡拉资产管理有限公司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张双喜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太平创新投资管理有限公司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both"/>
      </w:pPr>
      <w:r>
        <w:rPr/>
        <w:t>公司现任及报告期内离任董事、监事和高级管理人员近三年证券监管机构处罚的情况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董事、监事、高级管理人员报酬的决策程序、确定依据、实际支付情况</w:t>
      </w:r>
    </w:p>
    <w:p>
      <w:pPr>
        <w:pStyle w:val="BodyText"/>
        <w:spacing w:line="300" w:lineRule="auto" w:before="115"/>
        <w:ind w:left="585" w:right="1026" w:hanging="72"/>
        <w:jc w:val="left"/>
      </w:pPr>
      <w:r>
        <w:rPr>
          <w:rFonts w:ascii="Times New Roman" w:hAnsi="Times New Roman" w:cs="Times New Roman" w:eastAsia="Times New Roman" w:hint="default"/>
        </w:rPr>
        <w:t>1</w:t>
      </w:r>
      <w:r>
        <w:rPr/>
        <w:t>、董事、监事、高级管理人员报酬的决策程序： </w:t>
      </w:r>
      <w:r>
        <w:rPr>
          <w:spacing w:val="-3"/>
        </w:rPr>
        <w:t>公司高管薪酬由董事会薪酬与考核委员会审核，并提交董事会审议决定。公司董事薪酬、</w:t>
      </w:r>
      <w:r>
        <w:rPr>
          <w:spacing w:val="-38"/>
        </w:rPr>
        <w:t> </w:t>
      </w:r>
      <w:r>
        <w:rPr/>
        <w:t>独立董事津贴由董事会审议，</w:t>
      </w:r>
    </w:p>
    <w:p>
      <w:pPr>
        <w:pStyle w:val="BodyText"/>
        <w:spacing w:line="316" w:lineRule="auto" w:before="31"/>
        <w:ind w:right="1130"/>
        <w:jc w:val="both"/>
      </w:pPr>
      <w:r>
        <w:rPr>
          <w:spacing w:val="-2"/>
        </w:rPr>
        <w:t>并提交股东大会审议决定；外部非独立董事不在公司担任除董事以外职务的，不在公司领取薪酬或津贴；内部非独立董事兼</w:t>
      </w:r>
      <w:r>
        <w:rPr>
          <w:spacing w:val="-63"/>
        </w:rPr>
        <w:t> </w:t>
      </w:r>
      <w:r>
        <w:rPr>
          <w:spacing w:val="-63"/>
        </w:rPr>
      </w:r>
      <w:r>
        <w:rPr>
          <w:spacing w:val="-2"/>
        </w:rPr>
        <w:t>任高级管理人员的，其薪酬依据公司高级管理人员的薪酬水平确定，不兼任高级管理人员的，在公司领取津贴；独立董事在</w:t>
      </w:r>
      <w:r>
        <w:rPr>
          <w:spacing w:val="-64"/>
        </w:rPr>
        <w:t> </w:t>
      </w:r>
      <w:r>
        <w:rPr>
          <w:spacing w:val="-64"/>
        </w:rPr>
      </w:r>
      <w:r>
        <w:rPr/>
        <w:t>公司领取津贴；监事不在公司领取津贴，在公司承担工作职务的，其薪酬依据相关岗位的薪酬水平确定。</w:t>
      </w:r>
    </w:p>
    <w:p>
      <w:pPr>
        <w:pStyle w:val="BodyText"/>
        <w:spacing w:line="307" w:lineRule="auto" w:before="19"/>
        <w:ind w:left="441" w:right="1133" w:firstLine="72"/>
        <w:jc w:val="left"/>
      </w:pPr>
      <w:r>
        <w:rPr>
          <w:rFonts w:ascii="Times New Roman" w:hAnsi="Times New Roman" w:cs="Times New Roman" w:eastAsia="Times New Roman" w:hint="default"/>
        </w:rPr>
        <w:t>2</w:t>
      </w:r>
      <w:r>
        <w:rPr/>
        <w:t>、董事、监事、高级管理人员报酬确定依据： 依据公司盈利水平及董事、监事、高级管理人员的职责履行情况并结合年度绩效完成情况综合确定。 </w:t>
      </w:r>
      <w:r>
        <w:rPr>
          <w:rFonts w:ascii="Times New Roman" w:hAnsi="Times New Roman" w:cs="Times New Roman" w:eastAsia="Times New Roman" w:hint="default"/>
        </w:rPr>
        <w:t>3</w:t>
      </w:r>
      <w:r>
        <w:rPr/>
        <w:t>、董事、监事和高级管理人员报酬的实际支付情况： 公司董事、监事、高级管理人员</w:t>
      </w:r>
      <w:r>
        <w:rPr>
          <w:rFonts w:ascii="Times New Roman" w:hAnsi="Times New Roman" w:cs="Times New Roman" w:eastAsia="Times New Roman" w:hint="default"/>
        </w:rPr>
        <w:t>2019</w:t>
      </w:r>
      <w:r>
        <w:rPr/>
        <w:t>年度在公司领取的税前报酬总额为</w:t>
      </w:r>
      <w:r>
        <w:rPr>
          <w:rFonts w:ascii="Times New Roman" w:hAnsi="Times New Roman" w:cs="Times New Roman" w:eastAsia="Times New Roman" w:hint="default"/>
        </w:rPr>
        <w:t>1212.71</w:t>
      </w:r>
      <w:r>
        <w:rPr/>
        <w:t>万元人民币。</w:t>
      </w:r>
    </w:p>
    <w:p>
      <w:pPr>
        <w:pStyle w:val="BodyText"/>
        <w:spacing w:line="240" w:lineRule="auto" w:before="48"/>
        <w:ind w:right="0"/>
        <w:jc w:val="both"/>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舒世忠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张双喜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蔡曙涛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寇莹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牛芹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朱国海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0"/>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5"/>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1,212.71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公司员工情况" w:id="132"/>
      <w:bookmarkEnd w:id="132"/>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1"/>
        <w:gridCol w:w="4790"/>
      </w:tblGrid>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1,603</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2,037</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2,377</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6"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w:t>
            </w:r>
          </w:p>
        </w:tc>
      </w:tr>
      <w:tr>
        <w:trPr>
          <w:trHeight w:val="39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1,607</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left"/>
      </w:pPr>
      <w:r>
        <w:rPr>
          <w:spacing w:val="-2"/>
        </w:rPr>
        <w:t>公司根据《中国人民共和国劳动法》、《劳动合同法》、《工资支付办法》等法律法规，结合公司实际情况制定了相关</w:t>
      </w:r>
      <w:r>
        <w:rPr/>
        <w:t> 薪酬制度，包括《薪酬管理制度》、《绩效管理制度》等。公司的主要薪酬制度内容如下：</w:t>
      </w:r>
    </w:p>
    <w:p>
      <w:pPr>
        <w:pStyle w:val="BodyText"/>
        <w:spacing w:line="316" w:lineRule="auto" w:before="19"/>
        <w:ind w:right="0" w:firstLine="360"/>
        <w:jc w:val="left"/>
      </w:pPr>
      <w:r>
        <w:rPr>
          <w:spacing w:val="-2"/>
        </w:rPr>
        <w:t>公司薪酬理念：公司建立了与市场接轨，以业绩贡献为核心，兼顾岗位价值与员工能力三位一体的薪酬体系，为员工提</w:t>
      </w:r>
      <w:r>
        <w:rPr/>
        <w:t> 供富有竞争力的薪酬待遇，吸引和保留优秀人才。</w:t>
      </w:r>
    </w:p>
    <w:p>
      <w:pPr>
        <w:pStyle w:val="BodyText"/>
        <w:spacing w:line="316" w:lineRule="auto" w:before="19"/>
        <w:ind w:right="0" w:firstLine="360"/>
        <w:jc w:val="left"/>
      </w:pPr>
      <w:r>
        <w:rPr>
          <w:spacing w:val="-2"/>
        </w:rPr>
        <w:t>公司根据各类岗位的差异，制定了差异化的薪酬结构。其中，员工绩效工资与绩效考核挂钩规则。公司实行个人、部门</w:t>
      </w:r>
      <w:r>
        <w:rPr/>
        <w:t> </w:t>
      </w:r>
      <w:r>
        <w:rPr>
          <w:spacing w:val="-2"/>
        </w:rPr>
        <w:t>分层考核，个人绩效考核以月度为周期，部门绩效以季度为考核周期。高管绩效年薪与公司整体经营业绩联动；中层与核心</w:t>
      </w:r>
    </w:p>
    <w:p>
      <w:pPr>
        <w:spacing w:after="0" w:line="316"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骨干绩效工资受公司经营业绩、所在部门绩效与个人绩效影响；普通员工绩效工资与个人绩效挂钩。 </w:t>
      </w:r>
      <w:r>
        <w:rPr>
          <w:spacing w:val="-2"/>
        </w:rPr>
        <w:t>在日常管理中，公司严格执行上述薪酬激励与绩效考核制度，确保内部公正公平，充分发挥员工积极性和创造性，提高</w:t>
      </w:r>
    </w:p>
    <w:p>
      <w:pPr>
        <w:pStyle w:val="BodyText"/>
        <w:spacing w:line="240" w:lineRule="auto" w:before="17"/>
        <w:ind w:right="0"/>
        <w:jc w:val="both"/>
      </w:pPr>
      <w:r>
        <w:rPr/>
        <w:t>公司整体绩效，实现公司可持续发展。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both"/>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为了有效提升员工能力和素质，</w:t>
      </w:r>
      <w:r>
        <w:rPr>
          <w:rFonts w:ascii="Times New Roman" w:hAnsi="Times New Roman" w:cs="Times New Roman" w:eastAsia="Times New Roman" w:hint="default"/>
        </w:rPr>
        <w:t>2019</w:t>
      </w:r>
      <w:r>
        <w:rPr/>
        <w:t>年公司针对各个层面的人才组织了大量的培训，其中包括：（</w:t>
      </w:r>
      <w:r>
        <w:rPr>
          <w:rFonts w:ascii="Times New Roman" w:hAnsi="Times New Roman" w:cs="Times New Roman" w:eastAsia="Times New Roman" w:hint="default"/>
        </w:rPr>
        <w:t>1</w:t>
      </w:r>
      <w:r>
        <w:rPr/>
        <w:t>）新员工入职培训；</w:t>
      </w:r>
    </w:p>
    <w:p>
      <w:pPr>
        <w:pStyle w:val="BodyText"/>
        <w:spacing w:line="300" w:lineRule="auto" w:before="63"/>
        <w:ind w:right="1133"/>
        <w:jc w:val="both"/>
      </w:pPr>
      <w:r>
        <w:rPr/>
        <w:t>（</w:t>
      </w:r>
      <w:r>
        <w:rPr>
          <w:rFonts w:ascii="Times New Roman" w:hAnsi="Times New Roman" w:cs="Times New Roman" w:eastAsia="Times New Roman" w:hint="default"/>
        </w:rPr>
        <w:t>2</w:t>
      </w:r>
      <w:r>
        <w:rPr/>
        <w:t>）管理干部管理能力提升的培训；（</w:t>
      </w:r>
      <w:r>
        <w:rPr>
          <w:rFonts w:ascii="Times New Roman" w:hAnsi="Times New Roman" w:cs="Times New Roman" w:eastAsia="Times New Roman" w:hint="default"/>
        </w:rPr>
        <w:t>3</w:t>
      </w:r>
      <w:r>
        <w:rPr/>
        <w:t>）专业序列的专业培训；（</w:t>
      </w:r>
      <w:r>
        <w:rPr>
          <w:rFonts w:ascii="Times New Roman" w:hAnsi="Times New Roman" w:cs="Times New Roman" w:eastAsia="Times New Roman" w:hint="default"/>
        </w:rPr>
        <w:t>4</w:t>
      </w:r>
      <w:r>
        <w:rPr/>
        <w:t>）风控、反洗钱等专项培训。</w:t>
      </w:r>
      <w:r>
        <w:rPr>
          <w:rFonts w:ascii="Times New Roman" w:hAnsi="Times New Roman" w:cs="Times New Roman" w:eastAsia="Times New Roman" w:hint="default"/>
        </w:rPr>
        <w:t>2020</w:t>
      </w:r>
      <w:r>
        <w:rPr/>
        <w:t>年公司将在上述四</w:t>
      </w:r>
      <w:r>
        <w:rPr>
          <w:spacing w:val="-86"/>
        </w:rPr>
        <w:t> </w:t>
      </w:r>
      <w:r>
        <w:rPr>
          <w:spacing w:val="-2"/>
        </w:rPr>
        <w:t>大类培训内容的基础上，重点加强储备管理人才的培养，在赛马中识马，努力为公司培养更多的符合</w:t>
      </w:r>
      <w:r>
        <w:rPr>
          <w:rFonts w:ascii="Times New Roman" w:hAnsi="Times New Roman" w:cs="Times New Roman" w:eastAsia="Times New Roman" w:hint="default"/>
          <w:spacing w:val="-2"/>
        </w:rPr>
        <w:t>“</w:t>
      </w:r>
      <w:r>
        <w:rPr>
          <w:spacing w:val="-2"/>
        </w:rPr>
        <w:t>三有人才</w:t>
      </w:r>
      <w:r>
        <w:rPr>
          <w:rFonts w:ascii="Times New Roman" w:hAnsi="Times New Roman" w:cs="Times New Roman" w:eastAsia="Times New Roman" w:hint="default"/>
          <w:spacing w:val="-2"/>
        </w:rPr>
        <w:t>”</w:t>
      </w:r>
      <w:r>
        <w:rPr>
          <w:spacing w:val="-2"/>
        </w:rPr>
        <w:t>标准的优秀</w:t>
      </w:r>
      <w:r>
        <w:rPr>
          <w:spacing w:val="-44"/>
        </w:rPr>
        <w:t> </w:t>
      </w:r>
      <w:r>
        <w:rPr>
          <w:spacing w:val="-44"/>
        </w:rPr>
      </w:r>
      <w:r>
        <w:rPr/>
        <w:t>干部。</w:t>
      </w:r>
    </w:p>
    <w:p>
      <w:pPr>
        <w:spacing w:line="240" w:lineRule="auto" w:before="10"/>
        <w:rPr>
          <w:rFonts w:ascii="宋体" w:hAnsi="宋体" w:cs="宋体" w:eastAsia="宋体" w:hint="default"/>
          <w:sz w:val="23"/>
          <w:szCs w:val="23"/>
        </w:rPr>
      </w:pPr>
    </w:p>
    <w:p>
      <w:pPr>
        <w:pStyle w:val="Heading4"/>
        <w:spacing w:line="240" w:lineRule="auto"/>
        <w:ind w:right="0"/>
        <w:jc w:val="both"/>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166,064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22,206,600.75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942"/>
        <w:jc w:val="center"/>
        <w:rPr>
          <w:b w:val="0"/>
          <w:bCs w:val="0"/>
        </w:rPr>
      </w:pPr>
      <w:bookmarkStart w:name="第十节公司治理" w:id="137"/>
      <w:bookmarkEnd w:id="137"/>
      <w:r>
        <w:rPr>
          <w:b w:val="0"/>
          <w:bCs w:val="0"/>
        </w:rPr>
      </w:r>
      <w:bookmarkStart w:name="_bookmark9" w:id="138"/>
      <w:bookmarkEnd w:id="138"/>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t>报告期内，公司严格按照《公司法》、 《证券法》 、《上市公司治理准则》、</w:t>
      </w:r>
      <w:r>
        <w:rPr>
          <w:spacing w:val="-54"/>
        </w:rPr>
        <w:t> </w:t>
      </w:r>
      <w:r>
        <w:rPr/>
        <w:t>《深圳证券交易所创业板股票上市规</w:t>
      </w:r>
      <w:r>
        <w:rPr/>
        <w:t> 则》等法律、法规、规范性文件和证监会的相关要求，不断完善公司的法人治理结构，建立健全公司内部管理和控制制度， </w:t>
      </w:r>
      <w:r>
        <w:rPr>
          <w:spacing w:val="-2"/>
        </w:rPr>
        <w:t>已经形成了权力机构、决策机构、监督机构与管理层之间权责分明、各司其职、相互制衡、科学决策、协调运作的法人治理</w:t>
      </w:r>
      <w:r>
        <w:rPr>
          <w:spacing w:val="-68"/>
        </w:rPr>
        <w:t> </w:t>
      </w:r>
      <w:r>
        <w:rPr>
          <w:spacing w:val="-68"/>
        </w:rPr>
      </w:r>
      <w:r>
        <w:rPr/>
        <w:t>结构。治理状况符合法律法规和有关上市公司治理的规范性文件。</w:t>
      </w:r>
    </w:p>
    <w:p>
      <w:pPr>
        <w:pStyle w:val="BodyText"/>
        <w:spacing w:line="300" w:lineRule="auto" w:before="19"/>
        <w:ind w:left="513" w:right="1133"/>
        <w:jc w:val="left"/>
      </w:pPr>
      <w:r>
        <w:rPr>
          <w:rFonts w:ascii="Times New Roman" w:hAnsi="Times New Roman" w:cs="Times New Roman" w:eastAsia="Times New Roman" w:hint="default"/>
        </w:rPr>
        <w:t>1</w:t>
      </w:r>
      <w:r>
        <w:rPr/>
        <w:t>、股东与股东大会 </w:t>
      </w:r>
      <w:r>
        <w:rPr>
          <w:spacing w:val="-2"/>
        </w:rPr>
        <w:t>报告期内，公司股东大会会议在召集方式、议事程序、表决方式和决议内容等方面均符合《公司章程》、《股东大会议</w:t>
      </w:r>
    </w:p>
    <w:p>
      <w:pPr>
        <w:pStyle w:val="BodyText"/>
        <w:spacing w:line="316" w:lineRule="auto" w:before="32"/>
        <w:ind w:right="1133"/>
        <w:jc w:val="left"/>
      </w:pPr>
      <w:r>
        <w:rPr>
          <w:spacing w:val="-2"/>
        </w:rPr>
        <w:t>事规则》等相关规定及要求，运行规范。公司平等对待所有股东，确保所有股东特别是中小股东享有平等地位，充分行使自</w:t>
      </w:r>
      <w:r>
        <w:rPr>
          <w:spacing w:val="-67"/>
        </w:rPr>
        <w:t> </w:t>
      </w:r>
      <w:r>
        <w:rPr>
          <w:spacing w:val="-67"/>
        </w:rPr>
      </w:r>
      <w:r>
        <w:rPr/>
        <w:t>己的权利。</w:t>
      </w:r>
    </w:p>
    <w:p>
      <w:pPr>
        <w:pStyle w:val="BodyText"/>
        <w:spacing w:line="300" w:lineRule="auto" w:before="19"/>
        <w:ind w:left="513" w:right="1133"/>
        <w:jc w:val="left"/>
      </w:pPr>
      <w:r>
        <w:rPr>
          <w:rFonts w:ascii="Times New Roman" w:hAnsi="Times New Roman" w:cs="Times New Roman" w:eastAsia="Times New Roman" w:hint="default"/>
        </w:rPr>
        <w:t>2</w:t>
      </w:r>
      <w:r>
        <w:rPr/>
        <w:t>、董事与董事会 </w:t>
      </w:r>
      <w:r>
        <w:rPr>
          <w:spacing w:val="-2"/>
        </w:rPr>
        <w:t>报告期内，公司董事会会议在召集方式、议事程序、表决方式和决议内容等方面均符合《公司章程》、《董事会议事规</w:t>
      </w:r>
    </w:p>
    <w:p>
      <w:pPr>
        <w:pStyle w:val="BodyText"/>
        <w:spacing w:line="316" w:lineRule="auto" w:before="31"/>
        <w:ind w:right="1134"/>
        <w:jc w:val="both"/>
      </w:pPr>
      <w:r>
        <w:rPr>
          <w:spacing w:val="-2"/>
        </w:rPr>
        <w:t>则》及董事会各专委会的议事规则等规定及要求，运行规范。公司独立董事也严格按照《董事会议事规则》、《独立董事制</w:t>
      </w:r>
      <w:r>
        <w:rPr>
          <w:spacing w:val="-71"/>
        </w:rPr>
        <w:t> </w:t>
      </w:r>
      <w:r>
        <w:rPr>
          <w:spacing w:val="-71"/>
        </w:rPr>
      </w:r>
      <w:r>
        <w:rPr>
          <w:spacing w:val="-2"/>
        </w:rPr>
        <w:t>度》等相关制度的规定行使自己的权利，发表了独立董事意见，切实履行了自己的义务。公司董事不存在违反相关法律、法</w:t>
      </w:r>
      <w:r>
        <w:rPr>
          <w:spacing w:val="-67"/>
        </w:rPr>
        <w:t> </w:t>
      </w:r>
      <w:r>
        <w:rPr>
          <w:spacing w:val="-67"/>
        </w:rPr>
      </w:r>
      <w:r>
        <w:rPr/>
        <w:t>规行使职权的行为。</w:t>
      </w:r>
    </w:p>
    <w:p>
      <w:pPr>
        <w:pStyle w:val="BodyText"/>
        <w:spacing w:line="300" w:lineRule="auto" w:before="19"/>
        <w:ind w:left="513" w:right="1143"/>
        <w:jc w:val="left"/>
      </w:pPr>
      <w:r>
        <w:rPr>
          <w:rFonts w:ascii="Times New Roman" w:hAnsi="Times New Roman" w:cs="Times New Roman" w:eastAsia="Times New Roman" w:hint="default"/>
        </w:rPr>
        <w:t>3</w:t>
      </w:r>
      <w:r>
        <w:rPr/>
        <w:t>、监事与监事会 报告期内，公司监事会会议在召集方式、议事程序、表决方式和决议内容等方面均符合《公司章程》</w:t>
      </w:r>
      <w:r>
        <w:rPr>
          <w:spacing w:val="-17"/>
        </w:rPr>
        <w:t> </w:t>
      </w:r>
      <w:r>
        <w:rPr/>
        <w:t>、《监事会议事</w:t>
      </w:r>
    </w:p>
    <w:p>
      <w:pPr>
        <w:pStyle w:val="BodyText"/>
        <w:spacing w:line="309" w:lineRule="auto" w:before="31"/>
        <w:ind w:left="513" w:right="0" w:hanging="361"/>
        <w:jc w:val="left"/>
      </w:pPr>
      <w:r>
        <w:rPr/>
        <w:t>规则》等相关关法律、法规的规定及要求，运行规范。公司监事不存在违反相关法律、法规行使职权的行为。 </w:t>
      </w:r>
      <w:r>
        <w:rPr>
          <w:rFonts w:ascii="Times New Roman" w:hAnsi="Times New Roman" w:cs="Times New Roman" w:eastAsia="Times New Roman" w:hint="default"/>
        </w:rPr>
        <w:t>4</w:t>
      </w:r>
      <w:r>
        <w:rPr/>
        <w:t>、高级管理人员与公司激励约束机制 </w:t>
      </w:r>
      <w:r>
        <w:rPr>
          <w:spacing w:val="-2"/>
        </w:rPr>
        <w:t>报告期内，公司依照法定程序聘任或者解聘高级管理人员，高级管理人员能够严格按照公司《公司章程》及其他相关管</w:t>
      </w:r>
    </w:p>
    <w:p>
      <w:pPr>
        <w:pStyle w:val="BodyText"/>
        <w:spacing w:line="316" w:lineRule="auto" w:before="24"/>
        <w:ind w:right="1133"/>
        <w:jc w:val="left"/>
      </w:pPr>
      <w:r>
        <w:rPr>
          <w:spacing w:val="-2"/>
        </w:rPr>
        <w:t>理制度忠实、勤勉、谨慎地履行职责，较好地完成了董事会制定的经营管理任务，没有发现违规行为。公司建立了薪酬与公</w:t>
      </w:r>
      <w:r>
        <w:rPr>
          <w:spacing w:val="-67"/>
        </w:rPr>
        <w:t> </w:t>
      </w:r>
      <w:r>
        <w:rPr>
          <w:spacing w:val="-67"/>
        </w:rPr>
      </w:r>
      <w:r>
        <w:rPr/>
        <w:t>司绩效、个人业绩相联系的机制，以吸引人才，保持高级管理人员及核心员工的稳定。</w:t>
      </w:r>
    </w:p>
    <w:p>
      <w:pPr>
        <w:pStyle w:val="BodyText"/>
        <w:spacing w:line="300" w:lineRule="auto" w:before="19"/>
        <w:ind w:left="513" w:right="1033"/>
        <w:jc w:val="left"/>
      </w:pPr>
      <w:r>
        <w:rPr>
          <w:rFonts w:ascii="Times New Roman" w:hAnsi="Times New Roman" w:cs="Times New Roman" w:eastAsia="Times New Roman" w:hint="default"/>
        </w:rPr>
        <w:t>5</w:t>
      </w:r>
      <w:r>
        <w:rPr/>
        <w:t>、信息披露与透明度 报告期内，公司严格按照有关法律法规以及《公司章程》、《信息披露管理办法》等要求，真实、准确、及时、公平、</w:t>
      </w:r>
    </w:p>
    <w:p>
      <w:pPr>
        <w:pStyle w:val="BodyText"/>
        <w:spacing w:line="240" w:lineRule="auto" w:before="31"/>
        <w:ind w:right="1133"/>
        <w:jc w:val="left"/>
      </w:pPr>
      <w:r>
        <w:rPr/>
        <w:t>完整地披露有关信息，董事会秘书组织和协调公司信息披露事务，办理公司信息对外公布等相关事宜。公司在巨潮资讯网</w:t>
      </w:r>
    </w:p>
    <w:p>
      <w:pPr>
        <w:pStyle w:val="BodyText"/>
        <w:spacing w:line="300" w:lineRule="auto" w:before="76"/>
        <w:ind w:right="1189"/>
        <w:jc w:val="left"/>
      </w:pPr>
      <w:r>
        <w:rPr/>
        <w:t>（</w:t>
      </w:r>
      <w:hyperlink r:id="rId11">
        <w:r>
          <w:rPr>
            <w:rFonts w:ascii="Times New Roman" w:hAnsi="Times New Roman" w:cs="Times New Roman" w:eastAsia="Times New Roman" w:hint="default"/>
          </w:rPr>
          <w:t>www.cninfo.com.cn</w:t>
        </w:r>
      </w:hyperlink>
      <w:r>
        <w:rPr/>
        <w:t>）网站披露公司信息，确保公司所有股东能够以平等的机会获得信息确保了全体股东享有平等地位， 保证了全体股东尤其是中小股东对公司重大事项享有的知情权和参与权。</w:t>
      </w:r>
    </w:p>
    <w:p>
      <w:pPr>
        <w:pStyle w:val="BodyText"/>
        <w:spacing w:line="240" w:lineRule="auto" w:before="72"/>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公司不存在控股股东和实际控制人。报告期内，公司根据《公司法》、《创业板股票上市规则》、《创业板上市公司规</w:t>
      </w:r>
      <w:r>
        <w:rPr/>
        <w:t> </w:t>
      </w:r>
      <w:r>
        <w:rPr>
          <w:spacing w:val="-4"/>
        </w:rPr>
        <w:t>范运作指引》等法律、行政法规，及《公司章程》等规范性文件的规定和要求规范管理、运作，在业务、资产、人员、机构、</w:t>
      </w:r>
      <w:r>
        <w:rPr>
          <w:spacing w:val="-43"/>
        </w:rPr>
        <w:t> </w:t>
      </w:r>
      <w:r>
        <w:rPr>
          <w:spacing w:val="-43"/>
        </w:rPr>
      </w:r>
      <w:r>
        <w:rPr/>
        <w:t>财务等方面均独立于主要股东，具有独立完整性的业务和面向市场自主经营的能力。</w:t>
      </w:r>
    </w:p>
    <w:p>
      <w:pPr>
        <w:pStyle w:val="BodyText"/>
        <w:spacing w:line="300" w:lineRule="auto" w:before="19"/>
        <w:ind w:left="513" w:right="1133"/>
        <w:jc w:val="left"/>
      </w:pPr>
      <w:r>
        <w:rPr>
          <w:rFonts w:ascii="Times New Roman" w:hAnsi="Times New Roman" w:cs="Times New Roman" w:eastAsia="Times New Roman" w:hint="default"/>
        </w:rPr>
        <w:t>1</w:t>
      </w:r>
      <w:r>
        <w:rPr/>
        <w:t>、资产完整性 </w:t>
      </w:r>
      <w:r>
        <w:rPr>
          <w:spacing w:val="-2"/>
        </w:rPr>
        <w:t>公司拥有独立的生产经营场所，合法拥有与公司经营有关的采购、研发和销售系统及房产、设备、著作权、商标、非专</w:t>
      </w:r>
    </w:p>
    <w:p>
      <w:pPr>
        <w:pStyle w:val="BodyText"/>
        <w:spacing w:line="316" w:lineRule="auto" w:before="31"/>
        <w:ind w:right="0"/>
        <w:jc w:val="left"/>
      </w:pPr>
      <w:r>
        <w:rPr>
          <w:spacing w:val="-2"/>
        </w:rPr>
        <w:t>利技术的所有权或使用权。公司具有独立的采购及产品研发、销售系统，能够独立支配和使用人、财、物等生产要素，顺利</w:t>
      </w:r>
      <w:r>
        <w:rPr>
          <w:spacing w:val="-68"/>
        </w:rPr>
        <w:t> </w:t>
      </w:r>
      <w:r>
        <w:rPr>
          <w:spacing w:val="-68"/>
        </w:rPr>
      </w:r>
      <w:r>
        <w:rPr/>
        <w:t>组织和实施经营。</w:t>
      </w:r>
    </w:p>
    <w:p>
      <w:pPr>
        <w:spacing w:after="0" w:line="316"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公司资产权属清晰、完整，不存在对主要股东及其控制的其他企业的依赖情况，不存在资金或其他资产被主要股东及其</w:t>
      </w:r>
      <w:r>
        <w:rPr/>
        <w:t> 控制的其他企业占用而损害发行人利益的情况。</w:t>
      </w:r>
    </w:p>
    <w:p>
      <w:pPr>
        <w:pStyle w:val="BodyText"/>
        <w:spacing w:line="300" w:lineRule="auto" w:before="17"/>
        <w:ind w:left="513" w:right="1119"/>
        <w:jc w:val="left"/>
      </w:pPr>
      <w:r>
        <w:rPr>
          <w:rFonts w:ascii="Times New Roman" w:hAnsi="Times New Roman" w:cs="Times New Roman" w:eastAsia="Times New Roman" w:hint="default"/>
        </w:rPr>
        <w:t>2</w:t>
      </w:r>
      <w:r>
        <w:rPr/>
        <w:t>、人员独立性 </w:t>
      </w:r>
      <w:r>
        <w:rPr>
          <w:spacing w:val="-2"/>
        </w:rPr>
        <w:t>公司董事、监事及高级管理人员严格按照《公司法》、《证券法》等法律法规和《公司章程》的有关规定选举和聘任产</w:t>
      </w:r>
    </w:p>
    <w:p>
      <w:pPr>
        <w:pStyle w:val="BodyText"/>
        <w:spacing w:line="316" w:lineRule="auto" w:before="31"/>
        <w:ind w:right="1130"/>
        <w:jc w:val="both"/>
      </w:pPr>
      <w:r>
        <w:rPr>
          <w:spacing w:val="-2"/>
        </w:rPr>
        <w:t>生，不存在主要股东越权做出人事任免决定的情况。公司的总经理、副总经理、财务总监、董事会秘书等高级管理人员未在</w:t>
      </w:r>
      <w:r>
        <w:rPr>
          <w:spacing w:val="-67"/>
        </w:rPr>
        <w:t> </w:t>
      </w:r>
      <w:r>
        <w:rPr>
          <w:spacing w:val="-67"/>
        </w:rPr>
      </w:r>
      <w:r>
        <w:rPr>
          <w:spacing w:val="-2"/>
        </w:rPr>
        <w:t>主要股东及其控制的其他企业中担任除董事、监事以外的其他职务，没有在主要股东及其控制的其他企业领取薪酬。公司的</w:t>
      </w:r>
      <w:r>
        <w:rPr>
          <w:spacing w:val="-63"/>
        </w:rPr>
        <w:t> </w:t>
      </w:r>
      <w:r>
        <w:rPr>
          <w:spacing w:val="-63"/>
        </w:rPr>
      </w:r>
      <w:r>
        <w:rPr>
          <w:spacing w:val="-2"/>
        </w:rPr>
        <w:t>财务人员没有在主要股东及其控制的其他企业兼职。公司员工独立于各股东及其他关联方，公司已建立并独立执行劳动、人</w:t>
      </w:r>
      <w:r>
        <w:rPr>
          <w:spacing w:val="-63"/>
        </w:rPr>
        <w:t> </w:t>
      </w:r>
      <w:r>
        <w:rPr>
          <w:spacing w:val="-63"/>
        </w:rPr>
      </w:r>
      <w:r>
        <w:rPr/>
        <w:t>事及薪酬管理制度。</w:t>
      </w:r>
    </w:p>
    <w:p>
      <w:pPr>
        <w:pStyle w:val="BodyText"/>
        <w:spacing w:line="300" w:lineRule="auto" w:before="19"/>
        <w:ind w:left="513" w:right="1033"/>
        <w:jc w:val="left"/>
      </w:pPr>
      <w:r>
        <w:rPr>
          <w:rFonts w:ascii="Times New Roman" w:hAnsi="Times New Roman" w:cs="Times New Roman" w:eastAsia="Times New Roman" w:hint="default"/>
        </w:rPr>
        <w:t>3</w:t>
      </w:r>
      <w:r>
        <w:rPr/>
        <w:t>、财务独立性 公司设置了独立的财务部门，建立了独立、完整的财务核算体系，能够独立做出财务决策，具有规范的财务会计制度。</w:t>
      </w:r>
    </w:p>
    <w:p>
      <w:pPr>
        <w:pStyle w:val="BodyText"/>
        <w:spacing w:line="319" w:lineRule="auto" w:before="31"/>
        <w:ind w:right="1130"/>
        <w:jc w:val="both"/>
      </w:pPr>
      <w:r>
        <w:rPr>
          <w:spacing w:val="-2"/>
        </w:rPr>
        <w:t>公司设立了单独的银行账户，不存在与主要股东及其控制的其他企业共用银行账户的情况。公司独立办理了税务登记证并依</w:t>
      </w:r>
      <w:r>
        <w:rPr>
          <w:spacing w:val="-64"/>
        </w:rPr>
        <w:t> </w:t>
      </w:r>
      <w:r>
        <w:rPr>
          <w:spacing w:val="-64"/>
        </w:rPr>
      </w:r>
      <w:r>
        <w:rPr>
          <w:spacing w:val="-2"/>
        </w:rPr>
        <w:t>法独立进行纳税申报和税收缴纳。公司及其控股子公司均独立建账，并按公司制定的内部会计管理制度对其发生的各类经济</w:t>
      </w:r>
      <w:r>
        <w:rPr>
          <w:spacing w:val="-64"/>
        </w:rPr>
        <w:t> </w:t>
      </w:r>
      <w:r>
        <w:rPr>
          <w:spacing w:val="-64"/>
        </w:rPr>
      </w:r>
      <w:r>
        <w:rPr>
          <w:spacing w:val="-2"/>
        </w:rPr>
        <w:t>业务进行独立核算。公司财务独立，不存在为主要股东及其控制的其他企业提供任何形式的担保，或被主要股东及其控制的</w:t>
      </w:r>
      <w:r>
        <w:rPr>
          <w:spacing w:val="-63"/>
        </w:rPr>
        <w:t> </w:t>
      </w:r>
      <w:r>
        <w:rPr>
          <w:spacing w:val="-63"/>
        </w:rPr>
      </w:r>
      <w:r>
        <w:rPr/>
        <w:t>其他企业占用资金的情况。</w:t>
      </w:r>
    </w:p>
    <w:p>
      <w:pPr>
        <w:pStyle w:val="BodyText"/>
        <w:spacing w:line="300" w:lineRule="auto" w:before="17"/>
        <w:ind w:left="513" w:right="1119"/>
        <w:jc w:val="left"/>
      </w:pPr>
      <w:r>
        <w:rPr>
          <w:rFonts w:ascii="Times New Roman" w:hAnsi="Times New Roman" w:cs="Times New Roman" w:eastAsia="Times New Roman" w:hint="default"/>
        </w:rPr>
        <w:t>4</w:t>
      </w:r>
      <w:r>
        <w:rPr/>
        <w:t>、机构独立性 </w:t>
      </w:r>
      <w:r>
        <w:rPr>
          <w:spacing w:val="-2"/>
        </w:rPr>
        <w:t>公司根据经营发展的需要，建立了符合公司实际情况的独立、健全的内部管理机构，独立行使管理职权。公司的生产经</w:t>
      </w:r>
    </w:p>
    <w:p>
      <w:pPr>
        <w:pStyle w:val="BodyText"/>
        <w:spacing w:line="309" w:lineRule="auto" w:before="31"/>
        <w:ind w:left="513" w:right="1025" w:hanging="361"/>
        <w:jc w:val="left"/>
      </w:pPr>
      <w:r>
        <w:rPr>
          <w:spacing w:val="-4"/>
        </w:rPr>
        <w:t>营和办公场所与主要股东及其控制的其他企业严格分开，不存在与主要股东及其控制的其他企业混合经营、合署办公的情形。</w:t>
      </w:r>
      <w:r>
        <w:rPr>
          <w:spacing w:val="-44"/>
        </w:rPr>
        <w:t> </w:t>
      </w:r>
      <w:r>
        <w:rPr>
          <w:spacing w:val="-44"/>
        </w:rPr>
      </w:r>
      <w:r>
        <w:rPr>
          <w:rFonts w:ascii="Times New Roman" w:hAnsi="Times New Roman" w:cs="Times New Roman" w:eastAsia="Times New Roman" w:hint="default"/>
        </w:rPr>
        <w:t>5</w:t>
      </w:r>
      <w:r>
        <w:rPr/>
        <w:t>、业务独立性 </w:t>
      </w:r>
      <w:r>
        <w:rPr>
          <w:spacing w:val="-2"/>
        </w:rPr>
        <w:t>公司的主营业务是以支付为切入，协同</w:t>
      </w:r>
      <w:r>
        <w:rPr>
          <w:rFonts w:ascii="Times New Roman" w:hAnsi="Times New Roman" w:cs="Times New Roman" w:eastAsia="Times New Roman" w:hint="default"/>
          <w:spacing w:val="-2"/>
        </w:rPr>
        <w:t>“</w:t>
      </w:r>
      <w:r>
        <w:rPr>
          <w:spacing w:val="-2"/>
        </w:rPr>
        <w:t>支付、金融、电商、信息</w:t>
      </w:r>
      <w:r>
        <w:rPr>
          <w:rFonts w:ascii="Times New Roman" w:hAnsi="Times New Roman" w:cs="Times New Roman" w:eastAsia="Times New Roman" w:hint="default"/>
          <w:spacing w:val="-2"/>
        </w:rPr>
        <w:t>”</w:t>
      </w:r>
      <w:r>
        <w:rPr>
          <w:spacing w:val="-2"/>
        </w:rPr>
        <w:t>四大科技业务板块，全维度为中小微商户提供线上与</w:t>
      </w:r>
    </w:p>
    <w:p>
      <w:pPr>
        <w:pStyle w:val="BodyText"/>
        <w:spacing w:line="316" w:lineRule="auto" w:before="5"/>
        <w:ind w:right="1130"/>
        <w:jc w:val="both"/>
      </w:pPr>
      <w:r>
        <w:rPr>
          <w:spacing w:val="-2"/>
        </w:rPr>
        <w:t>线下服务。公司具备独立的业务资质和独立开展业务的能力，拥有独立的经营决策权和实施权，并完全独立于主要股东及其</w:t>
      </w:r>
      <w:r>
        <w:rPr>
          <w:spacing w:val="-63"/>
        </w:rPr>
        <w:t> </w:t>
      </w:r>
      <w:r>
        <w:rPr>
          <w:spacing w:val="-63"/>
        </w:rPr>
      </w:r>
      <w:r>
        <w:rPr>
          <w:spacing w:val="-2"/>
        </w:rPr>
        <w:t>控制的其他企业。公司的采购、研发、销售等重要职能完全由自身承担，不存在主要股东及其控制的其他企业通过保留上述</w:t>
      </w:r>
      <w:r>
        <w:rPr>
          <w:spacing w:val="-64"/>
        </w:rPr>
        <w:t> </w:t>
      </w:r>
      <w:r>
        <w:rPr>
          <w:spacing w:val="-64"/>
        </w:rPr>
      </w:r>
      <w:r>
        <w:rPr/>
        <w:t>机构损害公司利益的情形。</w:t>
      </w:r>
    </w:p>
    <w:p>
      <w:pPr>
        <w:pStyle w:val="BodyText"/>
        <w:spacing w:line="300" w:lineRule="auto" w:before="19"/>
        <w:ind w:right="1154" w:firstLine="360"/>
        <w:jc w:val="left"/>
      </w:pPr>
      <w:r>
        <w:rPr/>
        <w:t>公司与主要股东及其控制的其他企业之间不存在同业竞争，不存在显失公平的关联交易，且持股</w:t>
      </w:r>
      <w:r>
        <w:rPr>
          <w:rFonts w:ascii="Times New Roman" w:hAnsi="Times New Roman" w:cs="Times New Roman" w:eastAsia="Times New Roman" w:hint="default"/>
        </w:rPr>
        <w:t>5%</w:t>
      </w:r>
      <w:r>
        <w:rPr/>
        <w:t>以上的主要股东已 承诺不经营与公司可能发生同业竞争的业务。</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三、同业竞争情况" w:id="141"/>
      <w:bookmarkEnd w:id="141"/>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2019-013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2019-038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2019-044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33"/>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王小兰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蔡曙涛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49"/>
        <w:ind w:right="6253"/>
        <w:jc w:val="left"/>
      </w:pPr>
      <w:r>
        <w:rPr/>
        <w:t>连续两次未亲自出席董事会的说明 不存在连续两次未亲自出席董事会的情况</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3"/>
        <w:ind w:right="1130" w:firstLine="360"/>
        <w:jc w:val="both"/>
      </w:pPr>
      <w:r>
        <w:rPr>
          <w:spacing w:val="-2"/>
        </w:rPr>
        <w:t>报告期内，公司独立董事勤勉尽责，充分发挥专业知识，对公司重大事项出具了独立、公正的独立意见；在参加公司董</w:t>
      </w:r>
      <w:r>
        <w:rPr/>
        <w:t> </w:t>
      </w:r>
      <w:r>
        <w:rPr>
          <w:spacing w:val="-2"/>
        </w:rPr>
        <w:t>事会及董事会专门委员会时，向公司提出了具有建设性的意见和建议。公司对于独立董事提出的专业性、建设性建议均进行</w:t>
      </w:r>
      <w:r>
        <w:rPr>
          <w:spacing w:val="-63"/>
        </w:rPr>
        <w:t> </w:t>
      </w:r>
      <w:r>
        <w:rPr>
          <w:spacing w:val="-63"/>
        </w:rPr>
      </w:r>
      <w:r>
        <w:rPr/>
        <w:t>了合理性的采纳。</w:t>
      </w:r>
    </w:p>
    <w:p>
      <w:pPr>
        <w:pStyle w:val="BodyText"/>
        <w:spacing w:line="300" w:lineRule="auto" w:before="19"/>
        <w:ind w:right="1132"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日第二届董事会第四次会议，对关于公司首次公开发行人民币普通股股票并上市报告期内的关联交易发</w:t>
      </w:r>
      <w:r>
        <w:rPr/>
        <w:t> 表了独立意见；</w:t>
      </w:r>
    </w:p>
    <w:p>
      <w:pPr>
        <w:pStyle w:val="BodyText"/>
        <w:spacing w:line="307" w:lineRule="auto" w:before="31"/>
        <w:ind w:right="1132"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日第二届董事会第十次会议，对《关于审议</w:t>
      </w:r>
      <w:r>
        <w:rPr>
          <w:rFonts w:ascii="Times New Roman" w:hAnsi="Times New Roman" w:cs="Times New Roman" w:eastAsia="Times New Roman" w:hint="default"/>
        </w:rPr>
        <w:t>2018</w:t>
      </w:r>
      <w:r>
        <w:rPr/>
        <w:t>年度利润分配预案的议案》、《关于确定公司董事、监 </w:t>
      </w:r>
      <w:r>
        <w:rPr>
          <w:spacing w:val="-2"/>
        </w:rPr>
        <w:t>事薪酬的议案》、《关于确定公司高级管理人员薪酬的议案》发表了独立意见，对《关于审议公司子公司购买房产暨关联交</w:t>
      </w:r>
      <w:r>
        <w:rPr>
          <w:spacing w:val="-67"/>
        </w:rPr>
        <w:t> </w:t>
      </w:r>
      <w:r>
        <w:rPr>
          <w:spacing w:val="-67"/>
        </w:rPr>
      </w:r>
      <w:r>
        <w:rPr>
          <w:spacing w:val="-2"/>
        </w:rPr>
        <w:t>易的议案》、《关于审议公司</w:t>
      </w:r>
      <w:r>
        <w:rPr>
          <w:rFonts w:ascii="Times New Roman" w:hAnsi="Times New Roman" w:cs="Times New Roman" w:eastAsia="Times New Roman" w:hint="default"/>
          <w:spacing w:val="-2"/>
        </w:rPr>
        <w:t>2019</w:t>
      </w:r>
      <w:r>
        <w:rPr>
          <w:spacing w:val="-2"/>
        </w:rPr>
        <w:t>年日常关联交易预计的议案》、《关于续聘会计师事务所的议案》发表了事前认可意见和</w:t>
      </w:r>
      <w:r>
        <w:rPr>
          <w:spacing w:val="-64"/>
        </w:rPr>
        <w:t> </w:t>
      </w:r>
      <w:r>
        <w:rPr>
          <w:spacing w:val="-64"/>
        </w:rPr>
      </w:r>
      <w:r>
        <w:rPr/>
        <w:t>独立意见；</w:t>
      </w:r>
    </w:p>
    <w:p>
      <w:pPr>
        <w:pStyle w:val="BodyText"/>
        <w:spacing w:line="300" w:lineRule="auto" w:before="26"/>
        <w:ind w:right="1132"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17</w:t>
      </w:r>
      <w:r>
        <w:rPr>
          <w:spacing w:val="-2"/>
        </w:rPr>
        <w:t>日第二届董事会第十一次会议，对《关于与联想控股股份有限公司等共同投资设立联信证券股份有限公</w:t>
      </w:r>
      <w:r>
        <w:rPr/>
        <w:t> 司暨关联交易的议案》发表了事前认可意见和独立意见；</w:t>
      </w:r>
    </w:p>
    <w:p>
      <w:pPr>
        <w:pStyle w:val="BodyText"/>
        <w:spacing w:line="300" w:lineRule="auto" w:before="31"/>
        <w:ind w:right="1051"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日第二届董事会第十三次会议，对关于公司 </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t>年半年度募集资金存放与使用情况的专项报告、关于 公司会计政策变更、关于控股股东及其他关联人占用公司资金的专项说明、关于对外担保情况的专项说明发表了独立意见；</w:t>
      </w:r>
    </w:p>
    <w:p>
      <w:pPr>
        <w:spacing w:after="0" w:line="300"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9"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日第二届董事会第十四次会议，对《关于使用募集资金置换预先投入募投项目和已支付发行费用自筹资 金的议案》发表了独立意见；</w:t>
      </w:r>
    </w:p>
    <w:p>
      <w:pPr>
        <w:pStyle w:val="BodyText"/>
        <w:spacing w:line="300" w:lineRule="auto" w:before="31"/>
        <w:ind w:right="1170"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日第二届董事会第十五次会议，对《关于收购大树保险经纪</w:t>
      </w:r>
      <w:r>
        <w:rPr>
          <w:rFonts w:ascii="Times New Roman" w:hAnsi="Times New Roman" w:cs="Times New Roman" w:eastAsia="Times New Roman" w:hint="default"/>
        </w:rPr>
        <w:t>100%</w:t>
      </w:r>
      <w:r>
        <w:rPr/>
        <w:t>股权暨关联交易的议案》发表了事前 认可意见和独立意见；</w:t>
      </w:r>
    </w:p>
    <w:p>
      <w:pPr>
        <w:pStyle w:val="BodyText"/>
        <w:spacing w:line="300" w:lineRule="auto" w:before="31"/>
        <w:ind w:right="1044" w:firstLine="360"/>
        <w:jc w:val="both"/>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日第二届董事会第十六次会议，对《关于参与投资设立北京考拉鲲鹏科技成长基金暨关联交易的议案》</w:t>
      </w:r>
      <w:r>
        <w:rPr/>
        <w:t> 发表了事前认可意见和独立意见；</w:t>
      </w:r>
    </w:p>
    <w:p>
      <w:pPr>
        <w:pStyle w:val="BodyText"/>
        <w:spacing w:line="300" w:lineRule="auto" w:before="31"/>
        <w:ind w:right="1131" w:firstLine="360"/>
        <w:jc w:val="both"/>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日第二届董事会第十八次会议，对《关于审议增加公司</w:t>
      </w:r>
      <w:r>
        <w:rPr>
          <w:rFonts w:ascii="Times New Roman" w:hAnsi="Times New Roman" w:cs="Times New Roman" w:eastAsia="Times New Roman" w:hint="default"/>
          <w:spacing w:val="-2"/>
        </w:rPr>
        <w:t>2019</w:t>
      </w:r>
      <w:r>
        <w:rPr>
          <w:spacing w:val="-2"/>
        </w:rPr>
        <w:t>年日常关联交易预计的议案》发表了事前认</w:t>
      </w:r>
      <w:r>
        <w:rPr/>
        <w:t> 可意见和独立意见；</w:t>
      </w:r>
    </w:p>
    <w:p>
      <w:pPr>
        <w:pStyle w:val="BodyText"/>
        <w:spacing w:line="300" w:lineRule="auto" w:before="31"/>
        <w:ind w:right="1139" w:firstLine="36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日第二届董事会第二十次会议，对《关于审议增资考拉昆仑信用管理有限公司暨关联交易的议案》发 表了事前认可意见和独立意见。</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4" w:firstLine="360"/>
        <w:jc w:val="both"/>
      </w:pPr>
      <w:r>
        <w:rPr>
          <w:spacing w:val="-2"/>
        </w:rPr>
        <w:t>公司董事会下设审计委员会、薪酬与考核委员会、战略委员会、提名委员会四个专门委员会。报告期内，公司董事会各</w:t>
      </w:r>
      <w:r>
        <w:rPr/>
        <w:t> 专业委员会履职情况如下：</w:t>
      </w:r>
    </w:p>
    <w:p>
      <w:pPr>
        <w:pStyle w:val="BodyText"/>
        <w:spacing w:line="300" w:lineRule="auto" w:before="19"/>
        <w:ind w:left="513" w:right="1133"/>
        <w:jc w:val="left"/>
      </w:pPr>
      <w:r>
        <w:rPr>
          <w:rFonts w:ascii="Times New Roman" w:hAnsi="Times New Roman" w:cs="Times New Roman" w:eastAsia="Times New Roman" w:hint="default"/>
        </w:rPr>
        <w:t>1</w:t>
      </w:r>
      <w:r>
        <w:rPr/>
        <w:t>、审计委员会的履职情况： </w:t>
      </w:r>
      <w:r>
        <w:rPr>
          <w:spacing w:val="-2"/>
        </w:rPr>
        <w:t>报告期内，根据《董事会审计委员会工作细则》，审计委员会充分发挥了审核与监督作用，主要负责公司财务监督和核</w:t>
      </w:r>
    </w:p>
    <w:p>
      <w:pPr>
        <w:pStyle w:val="BodyText"/>
        <w:spacing w:line="309" w:lineRule="auto" w:before="31"/>
        <w:ind w:right="1131"/>
        <w:jc w:val="both"/>
      </w:pPr>
      <w:r>
        <w:rPr/>
        <w:t>查工作及外部审计机构的沟通、协调工作。</w:t>
      </w:r>
      <w:r>
        <w:rPr>
          <w:rFonts w:ascii="Times New Roman" w:hAnsi="Times New Roman" w:cs="Times New Roman" w:eastAsia="Times New Roman" w:hint="default"/>
        </w:rPr>
        <w:t>2019</w:t>
      </w:r>
      <w:r>
        <w:rPr/>
        <w:t>年，审计委员会共召开了</w:t>
      </w:r>
      <w:r>
        <w:rPr>
          <w:rFonts w:ascii="Times New Roman" w:hAnsi="Times New Roman" w:cs="Times New Roman" w:eastAsia="Times New Roman" w:hint="default"/>
        </w:rPr>
        <w:t>5</w:t>
      </w:r>
      <w:r>
        <w:rPr/>
        <w:t>次会议，重点对公司定期财务报告、利润分配方</w:t>
      </w:r>
      <w:r>
        <w:rPr>
          <w:spacing w:val="-84"/>
        </w:rPr>
        <w:t> </w:t>
      </w:r>
      <w:r>
        <w:rPr>
          <w:spacing w:val="-84"/>
        </w:rPr>
      </w:r>
      <w:r>
        <w:rPr>
          <w:spacing w:val="-2"/>
        </w:rPr>
        <w:t>案、对重大关联交易进行审计、监督等事项进行审议。审计委员会在公司定期报告编制过程中，认真听取管理层对公司财务</w:t>
      </w:r>
      <w:r>
        <w:rPr>
          <w:spacing w:val="-64"/>
        </w:rPr>
        <w:t> </w:t>
      </w:r>
      <w:r>
        <w:rPr>
          <w:spacing w:val="-64"/>
        </w:rPr>
      </w:r>
      <w:r>
        <w:rPr/>
        <w:t>状况和经营业绩的汇报，共同讨论解决审计过程中出现的问题，对公司提出改进建议。</w:t>
      </w:r>
    </w:p>
    <w:p>
      <w:pPr>
        <w:pStyle w:val="BodyText"/>
        <w:spacing w:line="240" w:lineRule="auto" w:before="24"/>
        <w:ind w:left="585" w:right="1133"/>
        <w:jc w:val="left"/>
      </w:pPr>
      <w:r>
        <w:rPr>
          <w:rFonts w:ascii="Times New Roman" w:hAnsi="Times New Roman" w:cs="Times New Roman" w:eastAsia="Times New Roman" w:hint="default"/>
        </w:rPr>
        <w:t>2</w:t>
      </w:r>
      <w:r>
        <w:rPr/>
        <w:t>、薪酬与考核委员会</w:t>
      </w:r>
    </w:p>
    <w:p>
      <w:pPr>
        <w:pStyle w:val="BodyText"/>
        <w:spacing w:line="309" w:lineRule="auto" w:before="63"/>
        <w:ind w:right="1133" w:firstLine="360"/>
        <w:jc w:val="both"/>
      </w:pPr>
      <w:r>
        <w:rPr/>
        <w:t>报告期内，薪酬与考核委员会认真履职，严格按照《公司章程》、</w:t>
      </w:r>
      <w:r>
        <w:rPr>
          <w:spacing w:val="1"/>
        </w:rPr>
        <w:t> </w:t>
      </w:r>
      <w:r>
        <w:rPr/>
        <w:t>《薪酬与考核委员会工作细则》等相关规定，勤勉</w:t>
      </w:r>
      <w:r>
        <w:rPr/>
        <w:t> </w:t>
      </w:r>
      <w:r>
        <w:rPr>
          <w:spacing w:val="-2"/>
        </w:rPr>
        <w:t>尽责，积极开展工作，负责制定公司董事及高级管理人员的考核标准并进行考核，对董事会负责。</w:t>
      </w:r>
      <w:r>
        <w:rPr>
          <w:rFonts w:ascii="Times New Roman" w:hAnsi="Times New Roman" w:cs="Times New Roman" w:eastAsia="Times New Roman" w:hint="default"/>
          <w:spacing w:val="-2"/>
        </w:rPr>
        <w:t>2019</w:t>
      </w:r>
      <w:r>
        <w:rPr>
          <w:spacing w:val="-2"/>
        </w:rPr>
        <w:t>年，薪酬与考核委员</w:t>
      </w:r>
      <w:r>
        <w:rPr>
          <w:spacing w:val="-63"/>
        </w:rPr>
        <w:t> </w:t>
      </w:r>
      <w:r>
        <w:rPr>
          <w:spacing w:val="-63"/>
        </w:rPr>
      </w:r>
      <w:r>
        <w:rPr/>
        <w:t>会共召开了</w:t>
      </w:r>
      <w:r>
        <w:rPr>
          <w:rFonts w:ascii="Times New Roman" w:hAnsi="Times New Roman" w:cs="Times New Roman" w:eastAsia="Times New Roman" w:hint="default"/>
        </w:rPr>
        <w:t>1</w:t>
      </w:r>
      <w:r>
        <w:rPr/>
        <w:t>次会议，对董监高的薪酬进行了审议。</w:t>
      </w:r>
    </w:p>
    <w:p>
      <w:pPr>
        <w:pStyle w:val="BodyText"/>
        <w:spacing w:line="240" w:lineRule="auto" w:before="5"/>
        <w:ind w:left="513" w:right="1133"/>
        <w:jc w:val="left"/>
      </w:pPr>
      <w:r>
        <w:rPr>
          <w:rFonts w:ascii="Times New Roman" w:hAnsi="Times New Roman" w:cs="Times New Roman" w:eastAsia="Times New Roman" w:hint="default"/>
        </w:rPr>
        <w:t>3</w:t>
      </w:r>
      <w:r>
        <w:rPr/>
        <w:t>、战略委员会</w:t>
      </w:r>
    </w:p>
    <w:p>
      <w:pPr>
        <w:pStyle w:val="BodyText"/>
        <w:spacing w:line="312" w:lineRule="auto" w:before="63"/>
        <w:ind w:right="1130" w:firstLine="360"/>
        <w:jc w:val="both"/>
      </w:pPr>
      <w:r>
        <w:rPr/>
        <w:t>报告期内，战略委员会认真履行职责，严格按照《公司章程》、</w:t>
      </w:r>
      <w:r>
        <w:rPr>
          <w:spacing w:val="1"/>
        </w:rPr>
        <w:t> </w:t>
      </w:r>
      <w:r>
        <w:rPr/>
        <w:t>《战略委员会工作细则》等相关规定，勤勉尽责，积</w:t>
      </w:r>
      <w:r>
        <w:rPr/>
        <w:t> </w:t>
      </w:r>
      <w:r>
        <w:rPr>
          <w:spacing w:val="-2"/>
        </w:rPr>
        <w:t>极开展工作，结合公司实际情况，负责对公司长期发展战略规划和重大战略性投资进行可行性研究并提出建议，参与公司战</w:t>
      </w:r>
      <w:r>
        <w:rPr>
          <w:spacing w:val="-63"/>
        </w:rPr>
        <w:t> </w:t>
      </w:r>
      <w:r>
        <w:rPr>
          <w:spacing w:val="-63"/>
        </w:rPr>
      </w:r>
      <w:r>
        <w:rPr/>
        <w:t>略规划的制定，为公司发展方向提供合理建议。</w:t>
      </w:r>
      <w:r>
        <w:rPr>
          <w:rFonts w:ascii="Times New Roman" w:hAnsi="Times New Roman" w:cs="Times New Roman" w:eastAsia="Times New Roman" w:hint="default"/>
        </w:rPr>
        <w:t>2019</w:t>
      </w:r>
      <w:r>
        <w:rPr/>
        <w:t>年，战略委员会共召开了</w:t>
      </w:r>
      <w:r>
        <w:rPr>
          <w:rFonts w:ascii="Times New Roman" w:hAnsi="Times New Roman" w:cs="Times New Roman" w:eastAsia="Times New Roman" w:hint="default"/>
        </w:rPr>
        <w:t>2</w:t>
      </w:r>
      <w:r>
        <w:rPr/>
        <w:t>次会议，对公司两次对外重要战略投资进行</w:t>
      </w:r>
      <w:r>
        <w:rPr>
          <w:spacing w:val="-84"/>
        </w:rPr>
        <w:t> </w:t>
      </w:r>
      <w:r>
        <w:rPr>
          <w:spacing w:val="-84"/>
        </w:rPr>
      </w:r>
      <w:r>
        <w:rPr/>
        <w:t>了审议。</w:t>
      </w:r>
    </w:p>
    <w:p>
      <w:pPr>
        <w:pStyle w:val="BodyText"/>
        <w:spacing w:line="240" w:lineRule="auto" w:before="22"/>
        <w:ind w:left="513" w:right="1133"/>
        <w:jc w:val="left"/>
      </w:pPr>
      <w:r>
        <w:rPr>
          <w:rFonts w:ascii="Times New Roman" w:hAnsi="Times New Roman" w:cs="Times New Roman" w:eastAsia="Times New Roman" w:hint="default"/>
        </w:rPr>
        <w:t>4</w:t>
      </w:r>
      <w:r>
        <w:rPr/>
        <w:t>、提名委员会</w:t>
      </w:r>
    </w:p>
    <w:p>
      <w:pPr>
        <w:pStyle w:val="BodyText"/>
        <w:spacing w:line="314" w:lineRule="auto" w:before="103"/>
        <w:ind w:right="1129" w:firstLine="288"/>
        <w:jc w:val="both"/>
      </w:pPr>
      <w:r>
        <w:rPr>
          <w:spacing w:val="-2"/>
        </w:rPr>
        <w:t>报告期内，提名委员会认真履行职责，严格按照《公司章程》、</w:t>
      </w:r>
      <w:r>
        <w:rPr>
          <w:spacing w:val="-5"/>
        </w:rPr>
        <w:t> </w:t>
      </w:r>
      <w:r>
        <w:rPr>
          <w:spacing w:val="-2"/>
        </w:rPr>
        <w:t>《提名委员会工作细则》等相关规定，勤勉尽责，积极</w:t>
      </w:r>
      <w:r>
        <w:rPr/>
        <w:t> 开展工作，对董事、高级管理人员的任职资格进行了审核。</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报告期内公司高管薪酬实行年薪制，主要由基本年薪和绩效年薪两部分构成。其中，基本年薪标准由公司董事会根据公</w:t>
      </w:r>
      <w:r>
        <w:rPr/>
        <w:t> </w:t>
      </w:r>
      <w:r>
        <w:rPr>
          <w:spacing w:val="-2"/>
        </w:rPr>
        <w:t>司发展战略、年度工作目标、行业市场薪酬水平等进行综合确定；绩效年薪与年度考核挂钩，根据公司年度业绩完成情况进</w:t>
      </w:r>
      <w:r>
        <w:rPr>
          <w:spacing w:val="-64"/>
        </w:rPr>
        <w:t> </w:t>
      </w:r>
      <w:r>
        <w:rPr>
          <w:spacing w:val="-64"/>
        </w:rPr>
      </w:r>
      <w:r>
        <w:rPr/>
        <w:t>行确定。公司将持续完善高级管理人员的绩效考评与激励机制。</w:t>
      </w:r>
    </w:p>
    <w:p>
      <w:pPr>
        <w:spacing w:after="0" w:line="316" w:lineRule="auto"/>
        <w:jc w:val="both"/>
        <w:sectPr>
          <w:pgSz w:w="11910" w:h="16840"/>
          <w:pgMar w:header="877" w:footer="980" w:top="1060" w:bottom="1160" w:left="980" w:right="0"/>
        </w:sectPr>
      </w:pPr>
    </w:p>
    <w:p>
      <w:pPr>
        <w:spacing w:line="240" w:lineRule="auto" w:before="8"/>
        <w:rPr>
          <w:rFonts w:ascii="宋体" w:hAnsi="宋体" w:cs="宋体" w:eastAsia="宋体" w:hint="default"/>
          <w:sz w:val="23"/>
          <w:szCs w:val="23"/>
        </w:rPr>
      </w:pPr>
      <w:r>
        <w:rPr/>
        <w:pict>
          <v:group style="position:absolute;margin-left:384.070007pt;margin-top:481.509979pt;width:149.7pt;height:33.25pt;mso-position-horizontal-relative:page;mso-position-vertical-relative:page;z-index:-1069288" coordorigin="7681,9630" coordsize="2994,665">
            <v:group style="position:absolute;left:7681;top:9630;width:2994;height:312" coordorigin="7681,9630" coordsize="2994,312">
              <v:shape style="position:absolute;left:7681;top:9630;width:2994;height:312" coordorigin="7681,9630" coordsize="2994,312" path="m7681,9942l10675,9942,10675,9630,7681,9630,7681,9942xe" filled="true" fillcolor="#ffffff" stroked="false">
                <v:path arrowok="t"/>
                <v:fill type="solid"/>
              </v:shape>
            </v:group>
            <v:group style="position:absolute;left:7681;top:9942;width:2994;height:353" coordorigin="7681,9942" coordsize="2994,353">
              <v:shape style="position:absolute;left:7681;top:9942;width:2994;height:353" coordorigin="7681,9942" coordsize="2994,353" path="m7681,10295l10675,10295,10675,9942,7681,9942,7681,10295xe" filled="true" fillcolor="#ffffff" stroked="false">
                <v:path arrowok="t"/>
                <v:fill type="solid"/>
              </v:shape>
            </v:group>
            <w10:wrap type="none"/>
          </v:group>
        </w:pict>
      </w:r>
    </w:p>
    <w:p>
      <w:pPr>
        <w:pStyle w:val="Heading2"/>
        <w:spacing w:line="240" w:lineRule="auto" w:before="26"/>
        <w:ind w:right="1133"/>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10" w:space="0" w:color="FFFFFF"/>
            </w:tcBorders>
          </w:tcPr>
          <w:p>
            <w:pPr>
              <w:pStyle w:val="TableParagraph"/>
              <w:spacing w:line="312" w:lineRule="auto" w:before="49"/>
              <w:ind w:left="23" w:right="1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）重大缺陷：董事、监事、高级管理人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员舞弊；注册会计师已发现，但未被内部 控制所识别的当期财务报告的重大错报； 审计委员会和内部审计机构对财务报告内 </w:t>
            </w:r>
            <w:r>
              <w:rPr>
                <w:rFonts w:ascii="宋体" w:hAnsi="宋体" w:cs="宋体" w:eastAsia="宋体" w:hint="default"/>
                <w:spacing w:val="-5"/>
                <w:sz w:val="18"/>
                <w:szCs w:val="18"/>
              </w:rPr>
              <w:t>部控制的监督无效。（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）重要缺陷：未依</w:t>
            </w:r>
            <w:r>
              <w:rPr>
                <w:rFonts w:ascii="宋体" w:hAnsi="宋体" w:cs="宋体" w:eastAsia="宋体" w:hint="default"/>
                <w:spacing w:val="-86"/>
                <w:sz w:val="18"/>
                <w:szCs w:val="18"/>
              </w:rPr>
              <w:t> </w:t>
            </w:r>
            <w:r>
              <w:rPr>
                <w:rFonts w:ascii="宋体" w:hAnsi="宋体" w:cs="宋体" w:eastAsia="宋体" w:hint="default"/>
                <w:sz w:val="18"/>
                <w:szCs w:val="18"/>
              </w:rPr>
              <w:t>照公认会计准则选择和应用会计政策；未 建立及执行反舞弊机制，未及时发现关键 岗位舞弊行为；对期末财务报告的内控存 在缺陷，不能合理保证编制的财务报表真 </w:t>
            </w:r>
            <w:r>
              <w:rPr>
                <w:rFonts w:ascii="宋体" w:hAnsi="宋体" w:cs="宋体" w:eastAsia="宋体" w:hint="default"/>
                <w:spacing w:val="-9"/>
                <w:sz w:val="18"/>
                <w:szCs w:val="18"/>
              </w:rPr>
              <w:t>实完整。（</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）一般缺陷：未构成重大缺陷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重要缺陷的其他控制缺陷。</w:t>
            </w:r>
          </w:p>
        </w:tc>
        <w:tc>
          <w:tcPr>
            <w:tcW w:w="3053" w:type="dxa"/>
            <w:vMerge w:val="restart"/>
            <w:tcBorders>
              <w:top w:val="single" w:sz="4" w:space="0" w:color="000000"/>
              <w:left w:val="single" w:sz="10" w:space="0" w:color="FFFFFF"/>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2" w:lineRule="auto"/>
              <w:ind w:left="19"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）重大缺陷：严重违反国家法律、 </w:t>
            </w:r>
            <w:r>
              <w:rPr>
                <w:rFonts w:ascii="宋体" w:hAnsi="宋体" w:cs="宋体" w:eastAsia="宋体" w:hint="default"/>
                <w:spacing w:val="-4"/>
                <w:sz w:val="18"/>
                <w:szCs w:val="18"/>
              </w:rPr>
              <w:t>行政法规和规范性文件；公司重要业务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缺乏制度控制或制度系统性失效；内部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控制评价的结果是重大缺陷但尚未整 </w:t>
            </w:r>
            <w:r>
              <w:rPr>
                <w:rFonts w:ascii="宋体" w:hAnsi="宋体" w:cs="宋体" w:eastAsia="宋体" w:hint="default"/>
                <w:spacing w:val="-9"/>
                <w:sz w:val="18"/>
                <w:szCs w:val="18"/>
              </w:rPr>
              <w:t>改。（</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）重要缺陷：违反公司内部规章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制度，形成损失；关键岗位严重流失； </w:t>
            </w:r>
            <w:r>
              <w:rPr>
                <w:rFonts w:ascii="宋体" w:hAnsi="宋体" w:cs="宋体" w:eastAsia="宋体" w:hint="default"/>
                <w:spacing w:val="-4"/>
                <w:sz w:val="18"/>
                <w:szCs w:val="18"/>
              </w:rPr>
              <w:t>公司重要业务制度或系统存在缺陷；内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部控制重要缺陷未得到整改。（</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w:t>
            </w:r>
          </w:p>
          <w:p>
            <w:pPr>
              <w:pStyle w:val="TableParagraph"/>
              <w:spacing w:line="196" w:lineRule="exact" w:before="3"/>
              <w:ind w:left="19" w:right="0"/>
              <w:jc w:val="left"/>
              <w:rPr>
                <w:rFonts w:ascii="宋体" w:hAnsi="宋体" w:cs="宋体" w:eastAsia="宋体" w:hint="default"/>
                <w:sz w:val="18"/>
                <w:szCs w:val="18"/>
              </w:rPr>
            </w:pPr>
            <w:r>
              <w:rPr>
                <w:rFonts w:ascii="宋体" w:hAnsi="宋体" w:cs="宋体" w:eastAsia="宋体" w:hint="default"/>
                <w:spacing w:val="-4"/>
                <w:sz w:val="18"/>
                <w:szCs w:val="18"/>
              </w:rPr>
              <w:t>缺陷：未构成重大缺陷、重要缺陷的其</w:t>
            </w:r>
          </w:p>
          <w:p>
            <w:pPr>
              <w:pStyle w:val="TableParagraph"/>
              <w:spacing w:line="156"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9" w:right="0"/>
              <w:jc w:val="left"/>
              <w:rPr>
                <w:rFonts w:ascii="宋体" w:hAnsi="宋体" w:cs="宋体" w:eastAsia="宋体" w:hint="default"/>
                <w:sz w:val="18"/>
                <w:szCs w:val="18"/>
              </w:rPr>
            </w:pPr>
            <w:r>
              <w:rPr>
                <w:rFonts w:ascii="宋体" w:hAnsi="宋体" w:cs="宋体" w:eastAsia="宋体" w:hint="default"/>
                <w:sz w:val="18"/>
                <w:szCs w:val="18"/>
              </w:rPr>
              <w:t>他控制缺陷。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10" w:space="0" w:color="FFFFFF"/>
            </w:tcBorders>
          </w:tcPr>
          <w:p>
            <w:pPr/>
          </w:p>
        </w:tc>
        <w:tc>
          <w:tcPr>
            <w:tcW w:w="3053" w:type="dxa"/>
            <w:vMerge/>
            <w:tcBorders>
              <w:left w:val="single" w:sz="10" w:space="0" w:color="FFFFFF"/>
              <w:right w:val="single" w:sz="4" w:space="0" w:color="000000"/>
            </w:tcBorders>
          </w:tcPr>
          <w:p>
            <w:pPr/>
          </w:p>
        </w:tc>
      </w:tr>
      <w:tr>
        <w:trPr>
          <w:trHeight w:val="156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4" w:space="0" w:color="000000"/>
            </w:tcBorders>
          </w:tcPr>
          <w:p>
            <w:pPr/>
          </w:p>
        </w:tc>
      </w:tr>
      <w:tr>
        <w:trPr>
          <w:trHeight w:val="187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9" w:lineRule="auto" w:before="49"/>
              <w:ind w:left="23" w:right="-12"/>
              <w:jc w:val="left"/>
              <w:rPr>
                <w:rFonts w:ascii="宋体" w:hAnsi="宋体" w:cs="宋体" w:eastAsia="宋体" w:hint="default"/>
                <w:sz w:val="18"/>
                <w:szCs w:val="18"/>
              </w:rPr>
            </w:pPr>
            <w:r>
              <w:rPr>
                <w:rFonts w:ascii="宋体" w:hAnsi="宋体" w:cs="宋体" w:eastAsia="宋体" w:hint="default"/>
                <w:sz w:val="18"/>
                <w:szCs w:val="18"/>
              </w:rPr>
              <w:t>内部控制缺陷可能导致的损失与利润相关 的，以营业收入指标衡量。如果该缺陷单 独或者连同其他缺陷所导致的错报金额小 于营业收入的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 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，为 </w:t>
            </w:r>
            <w:r>
              <w:rPr>
                <w:rFonts w:ascii="宋体" w:hAnsi="宋体" w:cs="宋体" w:eastAsia="宋体" w:hint="default"/>
                <w:spacing w:val="-3"/>
                <w:sz w:val="18"/>
                <w:szCs w:val="18"/>
              </w:rPr>
              <w:t>重要缺陷；如果超过营业收入的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，为重</w:t>
            </w:r>
            <w:r>
              <w:rPr>
                <w:rFonts w:ascii="宋体" w:hAnsi="宋体" w:cs="宋体" w:eastAsia="宋体" w:hint="default"/>
                <w:sz w:val="18"/>
                <w:szCs w:val="18"/>
              </w:rPr>
              <w:t> 大缺陷。内部控制缺陷可能导致的损失与 资产相关的，以资产总额指标衡量。如果 该缺陷单独或者连同其他缺陷所导致的错 报金额小于资产总额的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般缺陷；如果超过资产总额的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，为重要缺陷；如果超过资产总额的</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，为重大缺陷。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9" w:lineRule="auto"/>
              <w:ind w:left="26" w:right="20"/>
              <w:jc w:val="left"/>
              <w:rPr>
                <w:rFonts w:ascii="宋体" w:hAnsi="宋体" w:cs="宋体" w:eastAsia="宋体" w:hint="default"/>
                <w:sz w:val="18"/>
                <w:szCs w:val="18"/>
              </w:rPr>
            </w:pPr>
            <w:r>
              <w:rPr>
                <w:rFonts w:ascii="宋体" w:hAnsi="宋体" w:cs="宋体" w:eastAsia="宋体" w:hint="default"/>
                <w:sz w:val="18"/>
                <w:szCs w:val="18"/>
              </w:rPr>
              <w:t>可能造成直接财产损失的绝对金额大 于当年利润总额的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，为重大缺陷； 可能造成直接财产损失的绝对金额大 于当年利润总额的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，为 </w:t>
            </w:r>
            <w:r>
              <w:rPr>
                <w:rFonts w:ascii="宋体" w:hAnsi="宋体" w:cs="宋体" w:eastAsia="宋体" w:hint="default"/>
                <w:spacing w:val="-4"/>
                <w:sz w:val="18"/>
                <w:szCs w:val="18"/>
              </w:rPr>
              <w:t>重要缺陷；可能造成直接财产损失的绝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对金额小于当年利润总额的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，为一 般缺陷。</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87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我们认为，拉卡拉按照财政部等五部委颁发的《企业内部控制基本规范》及相关规定于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十一节公司债券相关情况" w:id="156"/>
      <w:bookmarkEnd w:id="156"/>
      <w:r>
        <w:rPr>
          <w:b w:val="0"/>
          <w:bCs w:val="0"/>
        </w:rPr>
      </w:r>
      <w:bookmarkStart w:name="_bookmark10" w:id="157"/>
      <w:bookmarkEnd w:id="157"/>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2" w:right="3946"/>
        <w:jc w:val="center"/>
        <w:rPr>
          <w:b w:val="0"/>
          <w:bCs w:val="0"/>
        </w:rPr>
      </w:pPr>
      <w:bookmarkStart w:name="第十二节财务报告" w:id="158"/>
      <w:bookmarkEnd w:id="158"/>
      <w:r>
        <w:rPr>
          <w:b w:val="0"/>
          <w:bCs w:val="0"/>
        </w:rPr>
      </w:r>
      <w:bookmarkStart w:name="_bookmark11" w:id="159"/>
      <w:bookmarkEnd w:id="159"/>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ZB10338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徐继凯、周军</w:t>
            </w:r>
          </w:p>
        </w:tc>
      </w:tr>
    </w:tbl>
    <w:p>
      <w:pPr>
        <w:pStyle w:val="BodyText"/>
        <w:spacing w:line="240" w:lineRule="auto" w:before="49"/>
        <w:ind w:left="4432" w:right="1133"/>
        <w:jc w:val="left"/>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5"/>
        <w:spacing w:line="240" w:lineRule="auto"/>
        <w:ind w:left="2605" w:right="3946"/>
        <w:jc w:val="center"/>
        <w:rPr>
          <w:b w:val="0"/>
          <w:bCs w:val="0"/>
        </w:rPr>
      </w:pPr>
      <w:r>
        <w:rPr/>
        <w:t>审计报告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44"/>
        <w:ind w:left="0" w:right="1128"/>
        <w:jc w:val="right"/>
      </w:pPr>
      <w:r>
        <w:rPr>
          <w:spacing w:val="-1"/>
        </w:rPr>
        <w:t>信会师报字</w:t>
      </w:r>
      <w:r>
        <w:rPr>
          <w:rFonts w:ascii="Times New Roman" w:hAnsi="Times New Roman" w:cs="Times New Roman" w:eastAsia="Times New Roman" w:hint="default"/>
          <w:spacing w:val="-1"/>
        </w:rPr>
        <w:t>[2020]</w:t>
      </w:r>
      <w:r>
        <w:rPr>
          <w:spacing w:val="-1"/>
        </w:rPr>
        <w:t>第</w:t>
      </w:r>
      <w:r>
        <w:rPr>
          <w:rFonts w:ascii="Times New Roman" w:hAnsi="Times New Roman" w:cs="Times New Roman" w:eastAsia="Times New Roman" w:hint="default"/>
          <w:spacing w:val="-1"/>
        </w:rPr>
        <w:t>ZB10338</w:t>
      </w:r>
      <w:r>
        <w:rPr>
          <w:spacing w:val="-1"/>
        </w:rPr>
        <w:t>号</w:t>
      </w:r>
    </w:p>
    <w:p>
      <w:pPr>
        <w:spacing w:line="240" w:lineRule="auto" w:before="4"/>
        <w:rPr>
          <w:rFonts w:ascii="宋体" w:hAnsi="宋体" w:cs="宋体" w:eastAsia="宋体" w:hint="default"/>
          <w:sz w:val="25"/>
          <w:szCs w:val="25"/>
        </w:rPr>
      </w:pPr>
    </w:p>
    <w:p>
      <w:pPr>
        <w:pStyle w:val="Heading5"/>
        <w:spacing w:line="636" w:lineRule="auto" w:before="44"/>
        <w:ind w:right="7503" w:firstLine="360"/>
        <w:jc w:val="left"/>
        <w:rPr>
          <w:b w:val="0"/>
          <w:bCs w:val="0"/>
        </w:rPr>
      </w:pPr>
      <w:r>
        <w:rPr/>
        <w:t>拉卡拉支付股份有限公司全体股东：</w:t>
      </w:r>
      <w:r>
        <w:rPr>
          <w:w w:val="99"/>
        </w:rPr>
        <w:t> </w:t>
      </w:r>
      <w:r>
        <w:rPr>
          <w:rFonts w:ascii="宋体" w:hAnsi="宋体" w:cs="宋体" w:eastAsia="宋体" w:hint="default"/>
        </w:rPr>
        <w:t>1.</w:t>
      </w:r>
      <w:r>
        <w:rPr>
          <w:rFonts w:ascii="宋体" w:hAnsi="宋体" w:cs="宋体" w:eastAsia="宋体" w:hint="default"/>
          <w:spacing w:val="86"/>
        </w:rPr>
        <w:t> </w:t>
      </w:r>
      <w:r>
        <w:rPr/>
        <w:t>审计意见</w:t>
      </w:r>
      <w:r>
        <w:rPr>
          <w:b w:val="0"/>
          <w:bCs w:val="0"/>
        </w:rPr>
      </w:r>
    </w:p>
    <w:p>
      <w:pPr>
        <w:pStyle w:val="BodyText"/>
        <w:spacing w:line="300" w:lineRule="auto" w:before="91"/>
        <w:ind w:left="513" w:right="1130" w:firstLine="360"/>
        <w:jc w:val="both"/>
      </w:pPr>
      <w:r>
        <w:rPr>
          <w:spacing w:val="-2"/>
        </w:rPr>
        <w:t>我们审计了拉卡拉支付股份有限公司（以下简称拉卡拉）财务报表，包括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w:t>
      </w:r>
      <w:r>
        <w:rPr>
          <w:spacing w:val="-2"/>
        </w:rPr>
        <w:t>表，</w:t>
      </w:r>
      <w:r>
        <w:rPr>
          <w:rFonts w:ascii="Times New Roman" w:hAnsi="Times New Roman" w:cs="Times New Roman" w:eastAsia="Times New Roman" w:hint="default"/>
          <w:spacing w:val="-2"/>
        </w:rPr>
        <w:t>2019</w:t>
      </w:r>
      <w:r>
        <w:rPr>
          <w:spacing w:val="-2"/>
        </w:rPr>
        <w:t>年度的合并及母公司利润表、合并及母公司现金流量表、合并及母公司所有者权益变动表以及相关财务报表附</w:t>
      </w:r>
      <w:r>
        <w:rPr>
          <w:spacing w:val="-65"/>
        </w:rPr>
        <w:t> </w:t>
      </w:r>
      <w:r>
        <w:rPr>
          <w:spacing w:val="-65"/>
        </w:rPr>
      </w:r>
      <w:r>
        <w:rPr/>
        <w:t>注。</w:t>
      </w:r>
    </w:p>
    <w:p>
      <w:pPr>
        <w:pStyle w:val="BodyText"/>
        <w:spacing w:line="300" w:lineRule="auto" w:before="31"/>
        <w:ind w:left="513" w:right="1128" w:firstLine="360"/>
        <w:jc w:val="both"/>
      </w:pPr>
      <w:r>
        <w:rPr>
          <w:spacing w:val="-2"/>
        </w:rPr>
        <w:t>我们认为，后附的财务报表在所有重大方面按照企业会计准则的规定编制，公允反映了拉卡拉</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t> 并及母公司财务状况以及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11"/>
        <w:rPr>
          <w:rFonts w:ascii="宋体" w:hAnsi="宋体" w:cs="宋体" w:eastAsia="宋体" w:hint="default"/>
          <w:sz w:val="24"/>
          <w:szCs w:val="24"/>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形成审计意见的基础</w:t>
      </w:r>
      <w:r>
        <w:rPr>
          <w:b w:val="0"/>
          <w:bCs w:val="0"/>
        </w:rPr>
      </w:r>
    </w:p>
    <w:p>
      <w:pPr>
        <w:spacing w:line="240" w:lineRule="auto" w:before="0"/>
        <w:rPr>
          <w:rFonts w:ascii="宋体" w:hAnsi="宋体" w:cs="宋体" w:eastAsia="宋体" w:hint="default"/>
          <w:b/>
          <w:bCs/>
          <w:sz w:val="18"/>
          <w:szCs w:val="18"/>
        </w:rPr>
      </w:pPr>
    </w:p>
    <w:p>
      <w:pPr>
        <w:pStyle w:val="BodyText"/>
        <w:spacing w:line="309" w:lineRule="auto" w:before="153"/>
        <w:ind w:left="513" w:right="1129"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w:t>
      </w:r>
      <w:r>
        <w:rPr/>
        <w:t> </w:t>
      </w:r>
      <w:r>
        <w:rPr>
          <w:spacing w:val="-2"/>
        </w:rPr>
        <w:t>一步阐述了我们在这些准则下的责任。按照中国注册会计师职业道德守则，我们独立于拉卡拉，并履行了职业道德方面</w:t>
      </w:r>
      <w:r>
        <w:rPr>
          <w:spacing w:val="-67"/>
        </w:rPr>
        <w:t> </w:t>
      </w:r>
      <w:r>
        <w:rPr>
          <w:spacing w:val="-67"/>
        </w:rPr>
      </w:r>
      <w:r>
        <w:rPr/>
        <w:t>的其他责任。我们相信，我们获取的审计证据是充分、适当的，为发表审计意见提供了基础。</w:t>
      </w:r>
    </w:p>
    <w:p>
      <w:pPr>
        <w:spacing w:line="240" w:lineRule="auto" w:before="9"/>
        <w:rPr>
          <w:rFonts w:ascii="宋体" w:hAnsi="宋体" w:cs="宋体" w:eastAsia="宋体" w:hint="default"/>
          <w:sz w:val="25"/>
          <w:szCs w:val="25"/>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7"/>
        </w:rPr>
        <w:t> </w:t>
      </w:r>
      <w:r>
        <w:rPr/>
        <w:t>关键审计事项</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left="513" w:right="1132" w:firstLine="360"/>
        <w:jc w:val="both"/>
      </w:pPr>
      <w:r>
        <w:rPr>
          <w:spacing w:val="-2"/>
        </w:rPr>
        <w:t>关键审计事项是我们根据职业判断，认为对本期财务报表审计最为重要的事项。这些事项的应对以对财务报表整体</w:t>
      </w:r>
      <w:r>
        <w:rPr/>
        <w:t> </w:t>
      </w:r>
      <w:r>
        <w:rPr>
          <w:spacing w:val="-2"/>
        </w:rPr>
        <w:t>进行审计并形成审计意见为背景，我们不对这些事项单独发表意见。我们确定下列事项是需要在审计报告中沟通的关键</w:t>
      </w:r>
      <w:r>
        <w:rPr>
          <w:spacing w:val="-68"/>
        </w:rPr>
        <w:t> </w:t>
      </w:r>
      <w:r>
        <w:rPr>
          <w:spacing w:val="-68"/>
        </w:rPr>
      </w:r>
      <w:r>
        <w:rPr/>
        <w:t>审计事项。</w:t>
      </w:r>
    </w:p>
    <w:p>
      <w:pPr>
        <w:spacing w:after="0" w:line="316"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873" w:right="1133"/>
        <w:jc w:val="left"/>
      </w:pPr>
      <w:r>
        <w:rPr>
          <w:rFonts w:ascii="Times New Roman" w:hAnsi="Times New Roman" w:cs="Times New Roman" w:eastAsia="Times New Roman" w:hint="default"/>
        </w:rPr>
        <w:t>1.</w:t>
      </w:r>
      <w:r>
        <w:rPr/>
        <w:t>收入确认</w:t>
      </w:r>
    </w:p>
    <w:p>
      <w:pPr>
        <w:pStyle w:val="BodyText"/>
        <w:spacing w:line="300" w:lineRule="auto" w:before="63"/>
        <w:ind w:left="873" w:right="1133"/>
        <w:jc w:val="left"/>
      </w:pPr>
      <w:r>
        <w:rPr>
          <w:rFonts w:ascii="Times New Roman" w:hAnsi="Times New Roman" w:cs="Times New Roman" w:eastAsia="Times New Roman" w:hint="default"/>
        </w:rPr>
        <w:t>1</w:t>
      </w:r>
      <w:r>
        <w:rPr/>
        <w:t>）事项描述 拉卡拉本年度的营业收入为</w:t>
      </w:r>
      <w:r>
        <w:rPr>
          <w:rFonts w:ascii="Times New Roman" w:hAnsi="Times New Roman" w:cs="Times New Roman" w:eastAsia="Times New Roman" w:hint="default"/>
        </w:rPr>
        <w:t>48.99</w:t>
      </w:r>
      <w:r>
        <w:rPr/>
        <w:t>亿元，主要来源于支付业务收入和商户经营业务收入等，由于属于第三方支付行</w:t>
      </w:r>
    </w:p>
    <w:p>
      <w:pPr>
        <w:pStyle w:val="BodyText"/>
        <w:spacing w:line="316" w:lineRule="auto" w:before="13"/>
        <w:ind w:left="513" w:right="0"/>
        <w:jc w:val="left"/>
      </w:pPr>
      <w:r>
        <w:rPr>
          <w:spacing w:val="-2"/>
        </w:rPr>
        <w:t>业，交易量较大，收入是重要的财务指标之一，存在管理层为了达到特定目标或期望而操纵收入的可能性，因此我们将</w:t>
      </w:r>
      <w:r>
        <w:rPr>
          <w:spacing w:val="-70"/>
        </w:rPr>
        <w:t> </w:t>
      </w:r>
      <w:r>
        <w:rPr>
          <w:spacing w:val="-70"/>
        </w:rPr>
      </w:r>
      <w:r>
        <w:rPr/>
        <w:t>收入确认识别为关键审计事项。</w:t>
      </w:r>
    </w:p>
    <w:p>
      <w:pPr>
        <w:pStyle w:val="BodyText"/>
        <w:spacing w:line="300" w:lineRule="auto" w:before="19"/>
        <w:ind w:left="873" w:right="4453"/>
        <w:jc w:val="left"/>
      </w:pPr>
      <w:r>
        <w:rPr>
          <w:rFonts w:ascii="Times New Roman" w:hAnsi="Times New Roman" w:cs="Times New Roman" w:eastAsia="Times New Roman" w:hint="default"/>
        </w:rPr>
        <w:t>2</w:t>
      </w:r>
      <w:r>
        <w:rPr/>
        <w:t>）审计应对 针对主营业务收入的真实性和完整性，我们实施的审计程序主要包括：</w:t>
      </w:r>
    </w:p>
    <w:p>
      <w:pPr>
        <w:pStyle w:val="BodyText"/>
        <w:spacing w:line="240" w:lineRule="auto" w:before="31"/>
        <w:ind w:left="873" w:right="1133"/>
        <w:jc w:val="left"/>
      </w:pPr>
      <w:r>
        <w:rPr/>
        <w:t>①了解、测试业务运营系统、核算系统、风控系统相关的内部控制制度、财务核算制度的设计和执行；</w:t>
      </w:r>
    </w:p>
    <w:p>
      <w:pPr>
        <w:pStyle w:val="BodyText"/>
        <w:spacing w:line="240" w:lineRule="auto" w:before="76"/>
        <w:ind w:left="873" w:right="1133"/>
        <w:jc w:val="left"/>
      </w:pPr>
      <w:r>
        <w:rPr/>
        <w:t>②由信息系统鉴证小组对拉卡拉的收单业务系统执行一般控制测试和应用控制测试；</w:t>
      </w:r>
    </w:p>
    <w:p>
      <w:pPr>
        <w:pStyle w:val="BodyText"/>
        <w:spacing w:line="240" w:lineRule="auto" w:before="76"/>
        <w:ind w:left="873" w:right="1133"/>
        <w:jc w:val="left"/>
      </w:pPr>
      <w:r>
        <w:rPr/>
        <w:t>③对收单业务根据实际业务发生数据抽样重新计算，验证收单业务数据的准确性；</w:t>
      </w:r>
    </w:p>
    <w:p>
      <w:pPr>
        <w:pStyle w:val="BodyText"/>
        <w:spacing w:line="240" w:lineRule="auto" w:before="76"/>
        <w:ind w:left="873" w:right="1133"/>
        <w:jc w:val="left"/>
      </w:pPr>
      <w:r>
        <w:rPr/>
        <w:t>④对收单业务分润成本，根据实际业务发生数据抽样重新计算，验证分润金额计算的准确性；</w:t>
      </w:r>
    </w:p>
    <w:p>
      <w:pPr>
        <w:pStyle w:val="BodyText"/>
        <w:spacing w:line="240" w:lineRule="auto" w:before="76"/>
        <w:ind w:left="873" w:right="1133"/>
        <w:jc w:val="left"/>
      </w:pPr>
      <w:r>
        <w:rPr/>
        <w:t>⑤抽样核查收单业务大额支付商户与频繁交易商户的分布及比例情况，判断是否存在刷单等舞弊行为；</w:t>
      </w:r>
    </w:p>
    <w:p>
      <w:pPr>
        <w:pStyle w:val="BodyText"/>
        <w:spacing w:line="240" w:lineRule="auto" w:before="77"/>
        <w:ind w:left="873" w:right="1133"/>
        <w:jc w:val="left"/>
      </w:pPr>
      <w:r>
        <w:rPr/>
        <w:t>⑥将收单业务收入成本财务数据与业务数据逐月核对；</w:t>
      </w:r>
    </w:p>
    <w:p>
      <w:pPr>
        <w:pStyle w:val="BodyText"/>
        <w:spacing w:line="316" w:lineRule="auto" w:before="76"/>
        <w:ind w:left="513" w:right="1133" w:firstLine="360"/>
        <w:jc w:val="left"/>
      </w:pPr>
      <w:r>
        <w:rPr>
          <w:spacing w:val="-2"/>
        </w:rPr>
        <w:t>⑦根据机具类型、商户类型、活跃用户数结合收单业务、行业发展和拉卡拉实际情况，执行分析性复核程序，判断</w:t>
      </w:r>
      <w:r>
        <w:rPr/>
        <w:t> 收入和毛利变动的合理性；</w:t>
      </w:r>
    </w:p>
    <w:p>
      <w:pPr>
        <w:spacing w:line="636" w:lineRule="auto" w:before="19"/>
        <w:ind w:left="152" w:right="5894" w:firstLine="720"/>
        <w:jc w:val="left"/>
        <w:rPr>
          <w:rFonts w:ascii="宋体" w:hAnsi="宋体" w:cs="宋体" w:eastAsia="宋体" w:hint="default"/>
          <w:sz w:val="18"/>
          <w:szCs w:val="18"/>
        </w:rPr>
      </w:pPr>
      <w:r>
        <w:rPr>
          <w:rFonts w:ascii="宋体" w:hAnsi="宋体" w:cs="宋体" w:eastAsia="宋体" w:hint="default"/>
          <w:sz w:val="18"/>
          <w:szCs w:val="18"/>
        </w:rPr>
        <w:t>⑧选取不同商户通过视频访谈方式核实商户真实性。 </w:t>
      </w: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其他信息</w:t>
      </w:r>
      <w:r>
        <w:rPr>
          <w:rFonts w:ascii="宋体" w:hAnsi="宋体" w:cs="宋体" w:eastAsia="宋体" w:hint="default"/>
          <w:sz w:val="18"/>
          <w:szCs w:val="18"/>
        </w:rPr>
      </w:r>
    </w:p>
    <w:p>
      <w:pPr>
        <w:pStyle w:val="BodyText"/>
        <w:spacing w:line="300" w:lineRule="auto" w:before="91"/>
        <w:ind w:left="513" w:right="0" w:firstLine="360"/>
        <w:jc w:val="left"/>
      </w:pPr>
      <w:r>
        <w:rPr>
          <w:spacing w:val="-2"/>
        </w:rPr>
        <w:t>拉卡拉管理层（以下简称管理层）对其他信息负责。其他信息包括拉卡拉</w:t>
      </w:r>
      <w:r>
        <w:rPr>
          <w:rFonts w:ascii="Times New Roman" w:hAnsi="Times New Roman" w:cs="Times New Roman" w:eastAsia="Times New Roman" w:hint="default"/>
          <w:spacing w:val="-2"/>
        </w:rPr>
        <w:t>2019</w:t>
      </w:r>
      <w:r>
        <w:rPr>
          <w:spacing w:val="-2"/>
        </w:rPr>
        <w:t>年年度报告中涵盖的信息，但不包括</w:t>
      </w:r>
      <w:r>
        <w:rPr/>
        <w:t> 财务报表和我们的审计报告。</w:t>
      </w:r>
    </w:p>
    <w:p>
      <w:pPr>
        <w:pStyle w:val="BodyText"/>
        <w:spacing w:line="316" w:lineRule="auto" w:before="31"/>
        <w:ind w:left="87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w:t>
      </w:r>
    </w:p>
    <w:p>
      <w:pPr>
        <w:pStyle w:val="BodyText"/>
        <w:spacing w:line="319" w:lineRule="auto" w:before="19"/>
        <w:ind w:left="873" w:right="0" w:hanging="360"/>
        <w:jc w:val="left"/>
      </w:pPr>
      <w:r>
        <w:rPr/>
        <w:t>计过程中了解到的情况存在重大不一致或者似乎存在重大错报。 </w:t>
      </w:r>
      <w:r>
        <w:rPr>
          <w:spacing w:val="-2"/>
        </w:rPr>
        <w:t>基于我们已执行的工作，如果我们确定其他信息存在重大错报，我们应当报告该事实。在这方面，我们无任何事项</w:t>
      </w:r>
    </w:p>
    <w:p>
      <w:pPr>
        <w:pStyle w:val="BodyText"/>
        <w:spacing w:line="240" w:lineRule="auto" w:before="17"/>
        <w:ind w:left="513" w:right="1133"/>
        <w:jc w:val="left"/>
      </w:pPr>
      <w:r>
        <w:rPr/>
        <w:t>需要报告。</w:t>
      </w:r>
    </w:p>
    <w:p>
      <w:pPr>
        <w:spacing w:line="620" w:lineRule="atLeast" w:before="4"/>
        <w:ind w:left="873" w:right="0" w:hanging="72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w:t>
      </w:r>
    </w:p>
    <w:p>
      <w:pPr>
        <w:pStyle w:val="BodyText"/>
        <w:spacing w:line="316" w:lineRule="auto" w:before="76"/>
        <w:ind w:left="873" w:right="1133" w:hanging="360"/>
        <w:jc w:val="left"/>
      </w:pPr>
      <w:r>
        <w:rPr/>
        <w:t>使财务报表不存在由于舞弊或错误导致的重大错报。 </w:t>
      </w:r>
      <w:r>
        <w:rPr>
          <w:spacing w:val="-2"/>
        </w:rPr>
        <w:t>在编制财务报表时，管理层负责评估拉卡拉的持续经营能力，披露与持续经营相关的事项（如适用），并运用持续</w:t>
      </w:r>
    </w:p>
    <w:p>
      <w:pPr>
        <w:pStyle w:val="BodyText"/>
        <w:spacing w:line="316" w:lineRule="auto" w:before="19"/>
        <w:ind w:left="873" w:right="5173" w:hanging="360"/>
        <w:jc w:val="left"/>
      </w:pPr>
      <w:r>
        <w:rPr/>
        <w:t>经营假设，除非计划进行清算、终止运营或别无其他现实的选择。 治理层负责监督拉卡拉的财务报告过程。</w:t>
      </w:r>
    </w:p>
    <w:p>
      <w:pPr>
        <w:spacing w:line="624" w:lineRule="exact" w:before="42"/>
        <w:ind w:left="513" w:right="0" w:hanging="36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213" w:lineRule="exact"/>
        <w:ind w:right="0"/>
        <w:jc w:val="left"/>
      </w:pPr>
      <w:r>
        <w:rPr/>
        <w:t>告。合理保证是高水平的保证，但并不能保证按照审计准则执行的审计在某一重大错报存在时总能发现。错报可能由于舞弊</w:t>
      </w:r>
    </w:p>
    <w:p>
      <w:pPr>
        <w:pStyle w:val="BodyText"/>
        <w:spacing w:line="316" w:lineRule="auto" w:before="76"/>
        <w:ind w:right="1119"/>
        <w:jc w:val="left"/>
      </w:pP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1133"/>
        <w:jc w:val="left"/>
      </w:pPr>
      <w:r>
        <w:rPr/>
        <w:t>在按照审计准则执行审计工作的过程中，我们运用职业判断，并保持职业怀疑。同时，我们也执行以下工作：</w:t>
      </w:r>
    </w:p>
    <w:p>
      <w:pPr>
        <w:pStyle w:val="BodyText"/>
        <w:spacing w:line="300" w:lineRule="auto" w:before="76"/>
        <w:ind w:right="112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w:t>
      </w:r>
    </w:p>
    <w:p>
      <w:pPr>
        <w:spacing w:after="0" w:line="30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4" w:firstLine="360"/>
        <w:jc w:val="both"/>
      </w:pPr>
      <w:r>
        <w:rPr>
          <w:spacing w:val="-2"/>
        </w:rPr>
        <w:t>作为发表审计意见的基础。由于舞弊可能涉及串通、伪造、故意遗漏、虚假陈述或凌驾于内部控制之上，未能发现由于</w:t>
      </w:r>
      <w:r>
        <w:rPr/>
        <w:t> 舞弊导致的重大错报的风险高于未能发现由于错误导致的重大错报的风险。</w:t>
      </w:r>
    </w:p>
    <w:p>
      <w:pPr>
        <w:pStyle w:val="BodyText"/>
        <w:spacing w:line="240" w:lineRule="auto" w:before="17"/>
        <w:ind w:left="513" w:right="113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0"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）对管理层使用持续经营假设的恰当性得出结论。同时，根据获取的审计证据，就可能导致对拉卡拉持续经营能力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3"/>
        </w:rPr>
        <w:t> </w:t>
      </w:r>
      <w:r>
        <w:rPr>
          <w:spacing w:val="-63"/>
        </w:rPr>
      </w:r>
      <w:r>
        <w:rPr/>
        <w:t>截至审计报告日可获得的信息。然而，未来的事项或情况可能导致拉卡拉不能持续经营。</w:t>
      </w:r>
    </w:p>
    <w:p>
      <w:pPr>
        <w:pStyle w:val="BodyText"/>
        <w:spacing w:line="240" w:lineRule="auto" w:before="22"/>
        <w:ind w:left="513" w:right="1133"/>
        <w:jc w:val="left"/>
      </w:pPr>
      <w:r>
        <w:rPr/>
        <w:t>（</w:t>
      </w:r>
      <w:r>
        <w:rPr>
          <w:rFonts w:ascii="Times New Roman" w:hAnsi="Times New Roman" w:cs="Times New Roman" w:eastAsia="Times New Roman" w:hint="default"/>
        </w:rPr>
        <w:t>5</w:t>
      </w:r>
      <w:r>
        <w:rPr/>
        <w:t>）评价财务报表的总体列报（包括披露）、结构和内容，并评价财务报表是否公允反映相关交易和事项。</w:t>
      </w:r>
    </w:p>
    <w:p>
      <w:pPr>
        <w:pStyle w:val="BodyText"/>
        <w:spacing w:line="300" w:lineRule="auto" w:before="63"/>
        <w:ind w:right="1043" w:firstLine="360"/>
        <w:jc w:val="both"/>
      </w:pPr>
      <w:r>
        <w:rPr>
          <w:spacing w:val="-2"/>
        </w:rPr>
        <w:t>（</w:t>
      </w:r>
      <w:r>
        <w:rPr>
          <w:rFonts w:ascii="Times New Roman" w:hAnsi="Times New Roman" w:cs="Times New Roman" w:eastAsia="Times New Roman" w:hint="default"/>
          <w:spacing w:val="-2"/>
        </w:rPr>
        <w:t>6</w:t>
      </w:r>
      <w:r>
        <w:rPr>
          <w:spacing w:val="-2"/>
        </w:rPr>
        <w:t>）就拉卡拉中实体或业务活动的财务信息获取充分、适当的审计证据，以对财务报表发表审计意见。我们负责指导、</w:t>
      </w:r>
      <w:r>
        <w:rPr/>
        <w:t> 监督和执行集团审计，并对审计意见承担全部责任。</w:t>
      </w:r>
    </w:p>
    <w:p>
      <w:pPr>
        <w:pStyle w:val="BodyText"/>
        <w:spacing w:line="319"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7"/>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5"/>
        <w:tabs>
          <w:tab w:pos="6554" w:val="left" w:leader="none"/>
        </w:tabs>
        <w:spacing w:line="240" w:lineRule="auto"/>
        <w:ind w:left="513" w:right="1133"/>
        <w:jc w:val="left"/>
        <w:rPr>
          <w:b w:val="0"/>
          <w:bCs w:val="0"/>
        </w:rPr>
      </w:pPr>
      <w:r>
        <w:rPr>
          <w:w w:val="95"/>
        </w:rPr>
        <w:t>立信会计师事务所</w:t>
        <w:tab/>
      </w:r>
      <w:r>
        <w:rPr/>
        <w:t>中国注册会计师：徐继凯</w:t>
      </w:r>
      <w:r>
        <w:rPr>
          <w:b w:val="0"/>
          <w:bCs w:val="0"/>
        </w:rPr>
      </w:r>
    </w:p>
    <w:p>
      <w:pPr>
        <w:pStyle w:val="Heading5"/>
        <w:spacing w:line="240" w:lineRule="auto" w:before="76"/>
        <w:ind w:left="6351" w:right="1133"/>
        <w:jc w:val="left"/>
        <w:rPr>
          <w:b w:val="0"/>
          <w:bCs w:val="0"/>
        </w:rPr>
      </w:pPr>
      <w:r>
        <w:rPr/>
        <w:t>（项目合伙人）</w:t>
      </w:r>
      <w:r>
        <w:rPr>
          <w:b w:val="0"/>
          <w:bCs w:val="0"/>
        </w:rPr>
      </w:r>
    </w:p>
    <w:p>
      <w:pPr>
        <w:spacing w:line="240" w:lineRule="auto" w:before="4"/>
        <w:rPr>
          <w:rFonts w:ascii="宋体" w:hAnsi="宋体" w:cs="宋体" w:eastAsia="宋体" w:hint="default"/>
          <w:b/>
          <w:bCs/>
          <w:sz w:val="26"/>
          <w:szCs w:val="26"/>
        </w:rPr>
      </w:pPr>
    </w:p>
    <w:p>
      <w:pPr>
        <w:pStyle w:val="Heading5"/>
        <w:spacing w:line="240" w:lineRule="auto" w:before="44"/>
        <w:ind w:left="513" w:right="1133"/>
        <w:jc w:val="left"/>
        <w:rPr>
          <w:b w:val="0"/>
          <w:bCs w:val="0"/>
        </w:rPr>
      </w:pPr>
      <w:r>
        <w:rPr/>
        <w:t>（特殊普通合伙）</w:t>
      </w:r>
      <w:r>
        <w:rPr>
          <w:b w:val="0"/>
          <w:bCs w:val="0"/>
        </w:rPr>
      </w:r>
    </w:p>
    <w:p>
      <w:pPr>
        <w:pStyle w:val="Heading5"/>
        <w:spacing w:line="240" w:lineRule="auto" w:before="76"/>
        <w:ind w:left="6411" w:right="1133"/>
        <w:jc w:val="left"/>
        <w:rPr>
          <w:b w:val="0"/>
          <w:bCs w:val="0"/>
        </w:rPr>
      </w:pPr>
      <w:r>
        <w:rPr/>
        <w:t>中国注册会计师：周军</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pStyle w:val="Heading5"/>
        <w:tabs>
          <w:tab w:pos="7234" w:val="left" w:leader="none"/>
        </w:tabs>
        <w:spacing w:line="240" w:lineRule="auto"/>
        <w:ind w:left="767" w:right="1133"/>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w:t>
      </w:r>
      <w:r>
        <w:rPr>
          <w:rFonts w:ascii="Times New Roman" w:hAnsi="Times New Roman" w:cs="Times New Roman" w:eastAsia="Times New Roman" w:hint="default"/>
        </w:rPr>
        <w:t>O</w:t>
      </w:r>
      <w:r>
        <w:rPr/>
        <w:t>二</w:t>
      </w:r>
      <w:r>
        <w:rPr>
          <w:rFonts w:ascii="Times New Roman" w:hAnsi="Times New Roman" w:cs="Times New Roman" w:eastAsia="Times New Roman" w:hint="default"/>
        </w:rPr>
        <w:t>O</w:t>
      </w:r>
      <w:r>
        <w:rPr/>
        <w:t>年四月九日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3"/>
          <w:szCs w:val="23"/>
        </w:rPr>
      </w:pPr>
    </w:p>
    <w:p>
      <w:pPr>
        <w:pStyle w:val="Heading2"/>
        <w:spacing w:line="240" w:lineRule="auto"/>
        <w:ind w:right="1133"/>
        <w:jc w:val="left"/>
        <w:rPr>
          <w:b w:val="0"/>
          <w:bCs w:val="0"/>
        </w:rPr>
      </w:pPr>
      <w:bookmarkStart w:name="二、财务报表" w:id="161"/>
      <w:bookmarkEnd w:id="16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编制单位：拉卡拉支付股份有限公司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033" w:space="1043"/>
            <w:col w:w="1642" w:space="3202"/>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8,171,630,449.62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2,621,839,051.62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315,875,906.97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223,427,336.47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127,150,350.53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33,889,629.94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17,826,698.28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17,825,014.48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18,608,497.31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16,846,251.25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163,992,482.50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161,022,908.40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8,815,084,385.21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3,074,850,192.16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461,234,747.59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361,601,888.34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73,504,950.00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1,209,823,949.55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1,289,044,829.75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50,125,989.02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13,265,114.89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6,083,573.39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7,399,278.50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207,603.64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255,974.00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2,371,780,813.19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1,963,367,085.48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11,186,865,198.40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5,038,217,277.64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28,673,578.32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139,636,166.20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485,638,396.37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371,849,751.17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31,525,944.87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13,427,221.49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161,292,097.86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106,987,469.09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38,197,198.68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54,136,506.84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286,443,568.30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206,346,126.70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5,116,644,963.30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1,173,132,457.18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6,148,415,747.70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2,085,515,698.67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20,908,022.37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19,817,902.31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20,908,022.37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19,817,902.31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6,169,323,770.07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2,105,333,600.98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2,403,097,860.09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1,210,651,322.34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2,502,261.93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247,066,349.63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170,316,503.70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1,903,365,476.61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1,173,772,938.63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4,956,041,948.26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2,914,975,164.67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61,499,480.07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17,908,511.99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5,017,541,428.33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2,932,883,676.66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11,186,865,198.40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5,038,217,277.64</w:t>
            </w:r>
          </w:p>
        </w:tc>
      </w:tr>
    </w:tbl>
    <w:p>
      <w:pPr>
        <w:spacing w:line="240" w:lineRule="auto" w:before="11"/>
        <w:rPr>
          <w:rFonts w:ascii="Times New Roman" w:hAnsi="Times New Roman" w:cs="Times New Roman" w:eastAsia="Times New Roman" w:hint="default"/>
          <w:sz w:val="22"/>
          <w:szCs w:val="22"/>
        </w:rPr>
      </w:pPr>
    </w:p>
    <w:p>
      <w:pPr>
        <w:pStyle w:val="BodyText"/>
        <w:tabs>
          <w:tab w:pos="3605" w:val="left" w:leader="none"/>
          <w:tab w:pos="7749" w:val="left" w:leader="none"/>
        </w:tabs>
        <w:spacing w:line="240" w:lineRule="auto" w:before="44"/>
        <w:ind w:left="0" w:right="1222"/>
        <w:jc w:val="right"/>
      </w:pPr>
      <w:r>
        <w:rPr/>
        <w:t>法定代表人：孙陶然</w:t>
        <w:tab/>
      </w:r>
      <w:r>
        <w:rPr>
          <w:spacing w:val="-1"/>
        </w:rPr>
        <w:t>主管会计工作负责人：周钢</w:t>
        <w:tab/>
      </w:r>
      <w:r>
        <w:rPr/>
        <w:t>会计机构负责人：周钢</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7,909,924,722.41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2,513,152,782.79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79,637,645.35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45,841,858.42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14,529,328.14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20,287,356.74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352,455,229.95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289,881,351.44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4,663,003.57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5,900,509.80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171,688,805.34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143,884,784.38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8,532,898,734.76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3,018,948,643.57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2,106,271,888.47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1,532,141,614.35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73,504,950.00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225,800,000.00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458,605,411.44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588,278,855.39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17,253,324.52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12,770,092.16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516,668.67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158,791.02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207,603.64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255,974.00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3,017,159,846.74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2,425,405,326.92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11,550,058,581.50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5,444,353,970.49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28,673,578.32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139,636,166.20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679,860,437.00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537,813,989.36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24,508,901.24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4,092,358.26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90,545,500.14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60,212,471.30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32,795,457.20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49,380,291.11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277,507,818.19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183,991,061.61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0"/>
          <w:pgSz w:w="11910" w:h="16840"/>
          <w:pgMar w:footer="980" w:header="8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5,116,644,963.30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1,173,132,457.18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6,250,536,655.39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2,148,258,795.02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20,908,022.37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19,817,902.31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20,908,022.37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19,817,902.31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6,271,444,677.76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2,168,076,697.33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2,405,324,373.99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1,212,877,836.24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2,616,033.53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247,066,349.63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170,316,503.70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2,223,597,146.59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1,532,848,533.22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5,278,613,903.74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3,276,277,273.16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11,550,058,581.50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5,444,353,970.49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79"/>
        <w:gridCol w:w="3212"/>
        <w:gridCol w:w="3266"/>
      </w:tblGrid>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footerReference w:type="default" r:id="rId51"/>
          <w:pgSz w:w="11910" w:h="16840"/>
          <w:pgMar w:footer="980" w:header="877" w:top="1060" w:bottom="1160" w:left="980" w:right="0"/>
          <w:pgNumType w:start="101"/>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637pt;width:158.9pt;height:20.65pt;mso-position-horizontal-relative:page;mso-position-vertical-relative:page;z-index:-1069264" coordorigin="4220,12740" coordsize="3178,413">
            <v:group style="position:absolute;left:4231;top:12751;width:2;height:392" coordorigin="4231,12751" coordsize="2,392">
              <v:shape style="position:absolute;left:4231;top:12751;width:2;height:392" coordorigin="4231,12751" coordsize="0,392" path="m4231,12751l4231,13142e" filled="false" stroked="true" strokeweight="1.08pt" strokecolor="#ffffff">
                <v:path arrowok="t"/>
              </v:shape>
            </v:group>
            <v:group style="position:absolute;left:4242;top:12751;width:3157;height:392" coordorigin="4242,12751" coordsize="3157,392">
              <v:shape style="position:absolute;left:4242;top:12751;width:3157;height:392" coordorigin="4242,12751" coordsize="3157,392" path="m4242,13142l7398,13142,7398,12751,4242,12751,4242,1314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4,899,421,582.02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5,679,411,603.66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4,899,421,582.02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5,679,411,603.66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4,007,533,532.33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4,937,599,598.34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2,722,715,915.90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3,132,321,099.22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16,942,580.49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18,216,529.28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713,703,492.11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1,155,038,398.74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308,757,025.75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252,323,623.58</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251,545,845.16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273,407,922.76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-6,131,327.08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106,292,024.76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1,431,199.98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1,615,612.38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37,619,716.13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22,974,265.10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32,932,202.88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6,122,920.95</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-18,847,140.75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-27,346,592.81</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-18,847,140.75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-27,635,487.12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-118,873.01</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203.719986pt;width:158.9pt;height:20.65pt;mso-position-horizontal-relative:page;mso-position-vertical-relative:page;z-index:-1069240" coordorigin="4220,4074" coordsize="3178,413">
            <v:group style="position:absolute;left:4231;top:4085;width:2;height:392" coordorigin="4231,4085" coordsize="2,392">
              <v:shape style="position:absolute;left:4231;top:4085;width:2;height:392" coordorigin="4231,4085" coordsize="0,392" path="m4231,4085l4231,4476e" filled="false" stroked="true" strokeweight="1.08pt" strokecolor="#ffffff">
                <v:path arrowok="t"/>
              </v:shape>
            </v:group>
            <v:group style="position:absolute;left:4242;top:4085;width:3157;height:392" coordorigin="4242,4085" coordsize="3157,392">
              <v:shape style="position:absolute;left:4242;top:4085;width:3157;height:392" coordorigin="4242,4085" coordsize="3157,392" path="m4242,4476l7398,4476,7398,4085,4242,4085,4242,447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-443,566.13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678,682.00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-8,653,544.93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-4,437,912.43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896,757,127.75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716,829,103.03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251,204.21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26,740,941.63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5,061,126.59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5,660,725.10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891,947,205.37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737,909,319.56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75,013,853.38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131,526,733.35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816,933,351.99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606,382,586.21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816,933,351.99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606,382,586.21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806,342,383.91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599,491,627.18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10,590,968.08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6,890,959.03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2,267,861.93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2,267,861.93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2,381,633.53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2,381,633.53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-113,771.60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-113,771.60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819,201,213.92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606,382,586.21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808,610,245.84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599,491,627.18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10,590,968.08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6,890,959.03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1.67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w:t>
            </w:r>
          </w:p>
        </w:tc>
      </w:tr>
    </w:tbl>
    <w:p>
      <w:pPr>
        <w:pStyle w:val="BodyText"/>
        <w:tabs>
          <w:tab w:pos="3758" w:val="left" w:leader="none"/>
          <w:tab w:pos="7901" w:val="left" w:leader="none"/>
        </w:tabs>
        <w:spacing w:line="621" w:lineRule="auto" w:before="49"/>
        <w:ind w:right="1222"/>
        <w:jc w:val="left"/>
      </w:pPr>
      <w:r>
        <w:rPr/>
        <w:t>本期发生同一控制下企业合并的，被合并方在合并前实现的净利润为：元，上期被合并方实现的净利润为：元。 法定代表人：孙陶然</w:t>
        <w:tab/>
      </w:r>
      <w:r>
        <w:rPr>
          <w:spacing w:val="-1"/>
        </w:rPr>
        <w:t>主管会计工作负责人：周钢</w:t>
        <w:tab/>
      </w:r>
      <w:r>
        <w:rPr/>
        <w:t>会计机构负责人：周钢</w:t>
      </w:r>
    </w:p>
    <w:p>
      <w:pPr>
        <w:pStyle w:val="Heading4"/>
        <w:spacing w:line="240" w:lineRule="auto" w:before="69"/>
        <w:ind w:right="1133"/>
        <w:jc w:val="left"/>
        <w:rPr>
          <w:b w:val="0"/>
          <w:bCs w:val="0"/>
        </w:rPr>
      </w:pPr>
      <w:bookmarkStart w:name="4、母公司利润表" w:id="165"/>
      <w:bookmarkEnd w:id="16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4,737,274,864.41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5,341,943,001.44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3,051,582,427.70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3,234,347,052.92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8,314,816.83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11,292,043.16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510,625,089.80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950,987,354.52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91,224,034.19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71,378,611.38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240,092,624.51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244,349,114.76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-8,020,259.16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103,478,938.98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36,609,326.28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22,706,752.03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25,330,984.86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709,020.95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-19,277,610.88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-21,017,298.48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-19,277,610.88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-25,971,761.11</w:t>
            </w: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-118,873.01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-138,195.51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2,504,911.25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-8,603,957.18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-4,403,974.15</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840,648,478.82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703,902,545.29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26,234,752.42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4,822,033.53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5,611,286.02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835,846,245.13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724,526,011.69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68,347,785.83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129,932,527.48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767,498,459.30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594,593,484.21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767,498,459.30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594,593,484.21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2,381,633.53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2,381,633.53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2,381,633.53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769,880,092.83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594,593,484.21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5,386,962,179.13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6,058,479,951.60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8,818,030.82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218,113,032.84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83,347,136.91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5,605,075,211.97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6,150,645,119.33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3,242,231,951.82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4,160,892,588.13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678,865,071.03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679,239,048.16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192,421,790.00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196,970,078.30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378,600,979.11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491,795,391.06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4,492,119,791.96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5,528,897,105.65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1,112,955,420.01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621,748,013.68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729,580.77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1,121,324.00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2,381,633.53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2,911,833.53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9,430,904.77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459,444,306.60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284,423,804.88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126,480,000.00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61,812,891.92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647,737,198.52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316,423,804.88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-644,825,364.99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-306,992,900.11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1,289,061,101.89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1,323,061,101.89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1,431,199.98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929,116.66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87,698,903.79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109,130,103.77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30,929,116.66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1,213,930,998.12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57,070,883.34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-113,771.60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1,681,947,281.54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371,825,996.91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1,127,176,991.90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755,350,994.99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2,809,124,273.44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1,127,176,991.90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29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01" w:right="0"/>
              <w:jc w:val="left"/>
              <w:rPr>
                <w:rFonts w:ascii="Times New Roman" w:hAnsi="Times New Roman" w:cs="Times New Roman" w:eastAsia="Times New Roman" w:hint="default"/>
                <w:sz w:val="18"/>
                <w:szCs w:val="18"/>
              </w:rPr>
            </w:pPr>
            <w:r>
              <w:rPr>
                <w:rFonts w:ascii="Times New Roman"/>
                <w:sz w:val="18"/>
              </w:rPr>
              <w:t>5,043,876,890.07</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5,904,124,217.30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6,731,925.02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145,845,814.91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356,225,101.97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5,189,722,704.98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6,267,081,244.29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3,247,563,375.91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3,742,522,293.94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353,899,672.02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370,308,756.49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152,441,848.83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156,126,389.95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347,656,294.34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690,801,242.31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4,101,561,191.10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4,959,758,682.69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1,088,161,513.88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1,307,322,561.60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7,924,424.89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729,580.77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1,121,324.00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2,381,633.53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2,911,833.53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9,775,329.66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193,194,177.00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262,265,581.68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601,407,885.00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753,626,000.00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794,602,062.00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1,015,891,581.68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-791,690,228.47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-1,006,116,252.02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1,256,061,101.89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1,256,061,101.89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23,604,564.14</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23,604,564.14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1,232,456,537.75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1,528,927,823.16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301,206,309.58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1,018,490,723.07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717,284,413.49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2,547,418,546.23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1,018,490,723.07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30"/>
        <w:gridCol w:w="505"/>
        <w:gridCol w:w="466"/>
        <w:gridCol w:w="466"/>
        <w:gridCol w:w="468"/>
        <w:gridCol w:w="583"/>
        <w:gridCol w:w="586"/>
        <w:gridCol w:w="583"/>
        <w:gridCol w:w="584"/>
        <w:gridCol w:w="583"/>
        <w:gridCol w:w="583"/>
        <w:gridCol w:w="586"/>
        <w:gridCol w:w="584"/>
        <w:gridCol w:w="583"/>
        <w:gridCol w:w="586"/>
        <w:gridCol w:w="578"/>
      </w:tblGrid>
      <w:tr>
        <w:trPr>
          <w:trHeight w:val="403" w:hRule="exact"/>
        </w:trPr>
        <w:tc>
          <w:tcPr>
            <w:tcW w:w="1230"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4" w:hRule="exact"/>
        </w:trPr>
        <w:tc>
          <w:tcPr>
            <w:tcW w:w="1230" w:type="dxa"/>
            <w:vMerge/>
            <w:tcBorders>
              <w:left w:val="single" w:sz="4" w:space="0" w:color="000000"/>
              <w:right w:val="single" w:sz="4" w:space="0" w:color="000000"/>
            </w:tcBorders>
            <w:shd w:val="clear" w:color="auto" w:fill="D2D2D2"/>
          </w:tcPr>
          <w:p>
            <w:pPr/>
          </w:p>
        </w:tc>
        <w:tc>
          <w:tcPr>
            <w:tcW w:w="7160"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30" w:type="dxa"/>
            <w:vMerge/>
            <w:tcBorders>
              <w:left w:val="single" w:sz="4" w:space="0" w:color="000000"/>
              <w:right w:val="single" w:sz="4" w:space="0" w:color="000000"/>
            </w:tcBorders>
            <w:shd w:val="clear" w:color="auto" w:fill="D2D2D2"/>
          </w:tcPr>
          <w:p>
            <w:pPr/>
          </w:p>
        </w:tc>
        <w:tc>
          <w:tcPr>
            <w:tcW w:w="7160"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7160"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5"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30" w:type="dxa"/>
            <w:vMerge w:val="restart"/>
            <w:tcBorders>
              <w:top w:val="nil" w:sz="6" w:space="0" w:color="auto"/>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4" w:hRule="exact"/>
        </w:trPr>
        <w:tc>
          <w:tcPr>
            <w:tcW w:w="1230"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4"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651,32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2.34</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234,40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170,31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6,503.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70</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3"/>
              <w:ind w:left="82" w:right="0"/>
              <w:jc w:val="center"/>
              <w:rPr>
                <w:rFonts w:ascii="Times New Roman" w:hAnsi="Times New Roman" w:cs="Times New Roman" w:eastAsia="Times New Roman" w:hint="default"/>
                <w:sz w:val="18"/>
                <w:szCs w:val="18"/>
              </w:rPr>
            </w:pPr>
            <w:r>
              <w:rPr>
                <w:rFonts w:ascii="Times New Roman"/>
                <w:sz w:val="18"/>
              </w:rPr>
              <w:t>1,173,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772,93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8.63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2,914,</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975,16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4.67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,511.9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51"/>
              <w:ind w:left="75" w:right="0"/>
              <w:jc w:val="center"/>
              <w:rPr>
                <w:rFonts w:ascii="Times New Roman" w:hAnsi="Times New Roman" w:cs="Times New Roman" w:eastAsia="Times New Roman" w:hint="default"/>
                <w:sz w:val="18"/>
                <w:szCs w:val="18"/>
              </w:rPr>
            </w:pPr>
            <w:r>
              <w:rPr>
                <w:rFonts w:ascii="Times New Roman"/>
                <w:sz w:val="18"/>
              </w:rPr>
              <w:t>2,932,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883,67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6.66</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651,32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2.34</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234,40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0.00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170,31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6,503.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70</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1,173,</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772,93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8.63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2,914,</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975,16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4.67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
                <w:sz w:val="18"/>
              </w:rPr>
              <w:t>,511.9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2,932,</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883,67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6.66</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40,01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1,192,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446,53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2,267,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861.93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76,749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729,59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2,537.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2,041,</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066,78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3.59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2,084,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657,75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1.67</w:t>
            </w: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2,267,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861.93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806,34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2,383.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808,61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0,245.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10,590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819,20</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1,213.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92</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bl>
    <w:p>
      <w:pPr>
        <w:spacing w:after="0"/>
        <w:sectPr>
          <w:footerReference w:type="default" r:id="rId52"/>
          <w:pgSz w:w="11910" w:h="16840"/>
          <w:pgMar w:footer="980" w:header="877"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40,01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1,192,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446,53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1,232,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456,53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1,265,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456,53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7.75</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40,01</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1,216,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051,10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1.89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1,256,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061,10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1.89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1,289,</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061,10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1.89</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-23,60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4,564.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-23,60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4,564.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-23,60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4,564.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14</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76,749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-76,74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9,845.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76,749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-76,74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9,845.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2,403,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097,86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2,502,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261.93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247,06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6,349.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1,903,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365,47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6.61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4,956,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041,94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61,499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5,017,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541,42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8.33</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7076"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210,63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5.88</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234,40</w:t>
            </w:r>
          </w:p>
          <w:p>
            <w:pPr>
              <w:pStyle w:val="TableParagraph"/>
              <w:spacing w:line="240" w:lineRule="auto" w:before="103"/>
              <w:ind w:left="207" w:right="0"/>
              <w:jc w:val="center"/>
              <w:rPr>
                <w:rFonts w:ascii="Times New Roman" w:hAnsi="Times New Roman" w:cs="Times New Roman" w:eastAsia="Times New Roman" w:hint="default"/>
                <w:sz w:val="18"/>
                <w:szCs w:val="18"/>
              </w:rPr>
            </w:pPr>
            <w:r>
              <w:rPr>
                <w:rFonts w:ascii="Times New Roman"/>
                <w:sz w:val="18"/>
              </w:rPr>
              <w:t>0.00</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110,85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7,155.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8" w:type="dxa"/>
            <w:vMerge w:val="restart"/>
            <w:tcBorders>
              <w:top w:val="single" w:sz="18" w:space="0" w:color="D2D2D2"/>
              <w:left w:val="single" w:sz="4" w:space="0" w:color="000000"/>
              <w:right w:val="single" w:sz="4" w:space="0" w:color="000000"/>
            </w:tcBorders>
          </w:tcPr>
          <w:p>
            <w:pPr/>
          </w:p>
        </w:tc>
        <w:tc>
          <w:tcPr>
            <w:tcW w:w="588" w:type="dxa"/>
            <w:vMerge w:val="restart"/>
            <w:tcBorders>
              <w:top w:val="single" w:sz="18" w:space="0" w:color="D2D2D2"/>
              <w:left w:val="single" w:sz="4" w:space="0" w:color="000000"/>
              <w:right w:val="single" w:sz="4" w:space="0" w:color="000000"/>
            </w:tcBorders>
          </w:tcPr>
          <w:p>
            <w:pPr>
              <w:pStyle w:val="TableParagraph"/>
              <w:spacing w:line="240" w:lineRule="auto" w:before="73"/>
              <w:ind w:left="62" w:right="0"/>
              <w:jc w:val="left"/>
              <w:rPr>
                <w:rFonts w:ascii="Times New Roman" w:hAnsi="Times New Roman" w:cs="Times New Roman" w:eastAsia="Times New Roman" w:hint="default"/>
                <w:sz w:val="18"/>
                <w:szCs w:val="18"/>
              </w:rPr>
            </w:pPr>
            <w:r>
              <w:rPr>
                <w:rFonts w:ascii="Times New Roman"/>
                <w:sz w:val="18"/>
              </w:rPr>
              <w:t>633,74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0,659.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87</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2,315,</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042,85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1.03</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8,017,5</w:t>
            </w:r>
          </w:p>
          <w:p>
            <w:pPr>
              <w:pStyle w:val="TableParagraph"/>
              <w:spacing w:line="240" w:lineRule="auto" w:before="103"/>
              <w:ind w:left="188" w:right="0"/>
              <w:jc w:val="center"/>
              <w:rPr>
                <w:rFonts w:ascii="Times New Roman" w:hAnsi="Times New Roman" w:cs="Times New Roman" w:eastAsia="Times New Roman" w:hint="default"/>
                <w:sz w:val="18"/>
                <w:szCs w:val="18"/>
              </w:rPr>
            </w:pPr>
            <w:r>
              <w:rPr>
                <w:rFonts w:ascii="Times New Roman"/>
                <w:sz w:val="18"/>
              </w:rPr>
              <w:t>52.96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60,403.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r>
      <w:tr>
        <w:trPr>
          <w:trHeight w:val="704"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210,63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5.88</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234,40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110,85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7,155.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633,74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0,659.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87</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2,315,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042,85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1.03</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8,017,5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52.96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60,403.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8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440,68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6.46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59,459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540,03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2,278.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599,93</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2,313.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9,890,9</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59.03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609,823</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,272.67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599,49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1,627.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599,49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1,627.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6,890,9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59.03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606,382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,586.21</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440,68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6.46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440,68</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6.46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3,440,6</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86.46</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440,68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6.46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 w:right="0"/>
              <w:jc w:val="center"/>
              <w:rPr>
                <w:rFonts w:ascii="Times New Roman" w:hAnsi="Times New Roman" w:cs="Times New Roman" w:eastAsia="Times New Roman" w:hint="default"/>
                <w:sz w:val="18"/>
                <w:szCs w:val="18"/>
              </w:rPr>
            </w:pPr>
            <w:r>
              <w:rPr>
                <w:rFonts w:ascii="Times New Roman"/>
                <w:sz w:val="18"/>
              </w:rPr>
              <w:t>440,68</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6.46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440,686</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.46</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59,459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9,348.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59,459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9,348.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651,32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2.34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234,40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170,31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6,503.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1,173,</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772,93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8.63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2,914,</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975,16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4.67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17,908,</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511.99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83,676.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403"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4"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360,00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1,212,87</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7,836.24</w:t>
            </w:r>
          </w:p>
        </w:tc>
        <w:tc>
          <w:tcPr>
            <w:tcW w:w="728" w:type="dxa"/>
            <w:vMerge w:val="restart"/>
            <w:tcBorders>
              <w:top w:val="single" w:sz="18" w:space="0" w:color="D2D2D2"/>
              <w:left w:val="single" w:sz="4" w:space="0" w:color="000000"/>
              <w:right w:val="single" w:sz="4" w:space="0" w:color="000000"/>
            </w:tcBorders>
          </w:tcPr>
          <w:p>
            <w:pPr/>
          </w:p>
        </w:tc>
        <w:tc>
          <w:tcPr>
            <w:tcW w:w="725"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234,400.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170,316,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503.70</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48,533.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3,276,277,</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273.16</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1,212,87</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7,836.24</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234,400.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170,316,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503.70</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48,533.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3,276,277,</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273.16</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7"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40,010,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1,192,44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6,537.75</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2,381,63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3.53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76,749,8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45.93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8,613.3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2,002,336,</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630.58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2,381,63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3.53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8,459.3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769,880,0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92.83</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40,010,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1,192,44</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6,537.75</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1,232,456,</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537.75</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40,010,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1,216,05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1,101.89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1,256,061,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101.89</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-23,604,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564.14</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-23,604,56</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4.14</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76,749,8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45.93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-76,749</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,845.93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76,749,8</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45.93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-76,749</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,845.93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2,405,32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4,373.99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2,616,03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3.53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247,066,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349.63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97,146.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5,278,613,</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903.74</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6"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9"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4"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77,836.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234,400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.00</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110,857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,155.28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997,714,3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97.43</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2,681,683,7</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88.95</w:t>
            </w:r>
          </w:p>
        </w:tc>
      </w:tr>
      <w:tr>
        <w:trPr>
          <w:trHeight w:val="706"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77,836.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234,400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.00</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110,857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,155.28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997,714,3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97.43</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2,681,683,7</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88.95</w:t>
            </w:r>
          </w:p>
        </w:tc>
      </w:tr>
      <w:tr>
        <w:trPr>
          <w:trHeight w:val="706"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59,459,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348.42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535,134,1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35.79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594,593,48</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4.21</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594,593,4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84.21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594,593,48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4.21</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59,459,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348.42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-59,459,3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48.42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59,459,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348.42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-59,459,3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48.42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77,836.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234,400</w:t>
            </w:r>
          </w:p>
          <w:p>
            <w:pPr>
              <w:pStyle w:val="TableParagraph"/>
              <w:spacing w:line="240" w:lineRule="auto" w:before="102"/>
              <w:ind w:left="427" w:right="0"/>
              <w:jc w:val="left"/>
              <w:rPr>
                <w:rFonts w:ascii="Times New Roman" w:hAnsi="Times New Roman" w:cs="Times New Roman" w:eastAsia="Times New Roman" w:hint="default"/>
                <w:sz w:val="18"/>
                <w:szCs w:val="18"/>
              </w:rPr>
            </w:pPr>
            <w:r>
              <w:rPr>
                <w:rFonts w:ascii="Times New Roman"/>
                <w:sz w:val="18"/>
              </w:rPr>
              <w:t>.00</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170,316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,503.70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1,532,848</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,533.22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3,276,277,2</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73.16</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公司基本情况" w:id="170"/>
      <w:bookmarkEnd w:id="170"/>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33"/>
        <w:jc w:val="left"/>
      </w:pPr>
      <w:r>
        <w:rPr/>
        <w:t>拉卡拉支付股份有限公司（以下简称</w:t>
      </w:r>
      <w:r>
        <w:rPr>
          <w:rFonts w:ascii="Times New Roman" w:hAnsi="Times New Roman" w:cs="Times New Roman" w:eastAsia="Times New Roman" w:hint="default"/>
        </w:rPr>
        <w:t>“</w:t>
      </w:r>
      <w:r>
        <w:rPr/>
        <w:t>拉卡拉</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）的前身为北京乾坤时代信息咨询有限公司。</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日拉卡拉股东会决议和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日拉卡拉创立大会决议批准，由拉卡拉原股东作为发起人，将公司整体 变更为股份有限公司，于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日，取得北京市工商局核发的变更后的《企业法人营业执照》，现变更为统一社会信</w:t>
      </w:r>
      <w:r>
        <w:rPr>
          <w:spacing w:val="-85"/>
        </w:rPr>
        <w:t> </w:t>
      </w:r>
      <w:r>
        <w:rPr>
          <w:spacing w:val="-85"/>
        </w:rPr>
      </w:r>
      <w:r>
        <w:rPr/>
        <w:t>用代码</w:t>
      </w:r>
      <w:r>
        <w:rPr>
          <w:rFonts w:ascii="Times New Roman" w:hAnsi="Times New Roman" w:cs="Times New Roman" w:eastAsia="Times New Roman" w:hint="default"/>
        </w:rPr>
        <w:t>91110108770425654N</w:t>
      </w:r>
      <w:r>
        <w:rPr/>
        <w:t>。法定代表人：孙陶然；公司住所：北京市海淀区北清路中关村壹号</w:t>
      </w:r>
      <w:r>
        <w:rPr>
          <w:rFonts w:ascii="Times New Roman" w:hAnsi="Times New Roman" w:cs="Times New Roman" w:eastAsia="Times New Roman" w:hint="default"/>
        </w:rPr>
        <w:t>D1</w:t>
      </w:r>
      <w:r>
        <w:rPr/>
        <w:t>座</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606</w:t>
      </w:r>
      <w:r>
        <w:rPr/>
        <w:t>；注册资本与</w:t>
      </w:r>
      <w:r>
        <w:rPr>
          <w:spacing w:val="-81"/>
        </w:rPr>
        <w:t> </w:t>
      </w:r>
      <w:r>
        <w:rPr/>
        <w:t>实收资本</w:t>
      </w:r>
      <w:r>
        <w:rPr>
          <w:rFonts w:ascii="Times New Roman" w:hAnsi="Times New Roman" w:cs="Times New Roman" w:eastAsia="Times New Roman" w:hint="default"/>
        </w:rPr>
        <w:t>:36,000</w:t>
      </w:r>
      <w:r>
        <w:rPr>
          <w:rFonts w:ascii="Times New Roman" w:hAnsi="Times New Roman" w:cs="Times New Roman" w:eastAsia="Times New Roman" w:hint="default"/>
          <w:spacing w:val="27"/>
        </w:rPr>
        <w:t> </w:t>
      </w:r>
      <w:r>
        <w:rPr/>
        <w:t>万元。</w:t>
      </w:r>
    </w:p>
    <w:p>
      <w:pPr>
        <w:pStyle w:val="BodyText"/>
        <w:spacing w:line="240" w:lineRule="auto" w:before="13"/>
        <w:ind w:left="513" w:right="0"/>
        <w:jc w:val="left"/>
      </w:pPr>
      <w:r>
        <w:rPr/>
        <w:t>根据本公</w:t>
      </w:r>
      <w:r>
        <w:rPr>
          <w:spacing w:val="-1"/>
        </w:rPr>
        <w:t>司</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日</w:t>
      </w:r>
      <w:r>
        <w:rPr>
          <w:spacing w:val="-3"/>
        </w:rPr>
        <w:t>召</w:t>
      </w:r>
      <w:r>
        <w:rPr/>
        <w:t>开的</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t>年度第七次临时股</w:t>
      </w:r>
      <w:r>
        <w:rPr>
          <w:spacing w:val="-3"/>
        </w:rPr>
        <w:t>东</w:t>
      </w:r>
      <w:r>
        <w:rPr/>
        <w:t>大会决议审议通过</w:t>
      </w:r>
      <w:r>
        <w:rPr>
          <w:spacing w:val="-82"/>
        </w:rPr>
        <w:t>的</w:t>
      </w:r>
      <w:r>
        <w:rPr/>
        <w:t>《关于公司首次公开发行人民币普通股</w:t>
      </w:r>
    </w:p>
    <w:p>
      <w:pPr>
        <w:pStyle w:val="BodyText"/>
        <w:spacing w:line="300" w:lineRule="auto" w:before="63"/>
        <w:ind w:right="1131"/>
        <w:jc w:val="both"/>
      </w:pPr>
      <w:r>
        <w:rPr>
          <w:spacing w:val="-1"/>
        </w:rPr>
        <w:t>（</w:t>
      </w:r>
      <w:r>
        <w:rPr>
          <w:rFonts w:ascii="Times New Roman" w:hAnsi="Times New Roman" w:cs="Times New Roman" w:eastAsia="Times New Roman" w:hint="default"/>
          <w:spacing w:val="-1"/>
        </w:rPr>
        <w:t>A</w:t>
      </w:r>
      <w:r>
        <w:rPr>
          <w:spacing w:val="-1"/>
        </w:rPr>
        <w:t>股）股票并在创业板上市的议案》，并经中国证券监督管理委员会</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4</w:t>
      </w:r>
      <w:r>
        <w:rPr>
          <w:spacing w:val="-1"/>
        </w:rPr>
        <w:t>日《关于核准拉卡拉支付股份有限公司首</w:t>
      </w:r>
      <w:r>
        <w:rPr>
          <w:spacing w:val="-71"/>
        </w:rPr>
        <w:t> </w:t>
      </w:r>
      <w:r>
        <w:rPr>
          <w:spacing w:val="-71"/>
        </w:rPr>
      </w:r>
      <w:r>
        <w:rPr>
          <w:spacing w:val="-3"/>
        </w:rPr>
        <w:t>次公开发行股票的批复》（证监许可</w:t>
      </w:r>
      <w:r>
        <w:rPr>
          <w:rFonts w:ascii="Times New Roman" w:hAnsi="Times New Roman" w:cs="Times New Roman" w:eastAsia="Times New Roman" w:hint="default"/>
          <w:spacing w:val="-3"/>
        </w:rPr>
        <w:t>[2019]646</w:t>
      </w:r>
      <w:r>
        <w:rPr>
          <w:spacing w:val="-3"/>
        </w:rPr>
        <w:t>号）的核准，本公司获准向社会公开发行人民币普通股（</w:t>
      </w:r>
      <w:r>
        <w:rPr>
          <w:rFonts w:ascii="Times New Roman" w:hAnsi="Times New Roman" w:cs="Times New Roman" w:eastAsia="Times New Roman" w:hint="default"/>
          <w:spacing w:val="-3"/>
        </w:rPr>
        <w:t>A</w:t>
      </w:r>
      <w:r>
        <w:rPr>
          <w:spacing w:val="-3"/>
        </w:rPr>
        <w:t>股）股票</w:t>
      </w:r>
      <w:r>
        <w:rPr>
          <w:rFonts w:ascii="Times New Roman" w:hAnsi="Times New Roman" w:cs="Times New Roman" w:eastAsia="Times New Roman" w:hint="default"/>
          <w:spacing w:val="-3"/>
        </w:rPr>
        <w:t>40,010,000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股。</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日，本公司实际已向社会公开发行人民币普通股股票</w:t>
      </w:r>
      <w:r>
        <w:rPr>
          <w:rFonts w:ascii="Times New Roman" w:hAnsi="Times New Roman" w:cs="Times New Roman" w:eastAsia="Times New Roman" w:hint="default"/>
          <w:spacing w:val="-2"/>
        </w:rPr>
        <w:t>40,010,000</w:t>
      </w:r>
      <w:r>
        <w:rPr>
          <w:spacing w:val="-2"/>
        </w:rPr>
        <w:t>股，募集资金总额</w:t>
      </w:r>
      <w:r>
        <w:rPr>
          <w:rFonts w:ascii="Times New Roman" w:hAnsi="Times New Roman" w:cs="Times New Roman" w:eastAsia="Times New Roman" w:hint="default"/>
          <w:spacing w:val="-2"/>
        </w:rPr>
        <w:t>1,331,532,800.00</w:t>
      </w:r>
      <w:r>
        <w:rPr>
          <w:spacing w:val="-2"/>
        </w:rPr>
        <w:t>元，减除</w:t>
      </w:r>
      <w:r>
        <w:rPr>
          <w:spacing w:val="-42"/>
        </w:rPr>
        <w:t> </w:t>
      </w:r>
      <w:r>
        <w:rPr>
          <w:spacing w:val="-42"/>
        </w:rPr>
      </w:r>
      <w:r>
        <w:rPr/>
        <w:t>发行费用人民币</w:t>
      </w:r>
      <w:r>
        <w:rPr>
          <w:rFonts w:ascii="Times New Roman" w:hAnsi="Times New Roman" w:cs="Times New Roman" w:eastAsia="Times New Roman" w:hint="default"/>
        </w:rPr>
        <w:t>99,076,262.25</w:t>
      </w:r>
      <w:r>
        <w:rPr/>
        <w:t>元（不含税），募集资金净额为</w:t>
      </w:r>
      <w:r>
        <w:rPr>
          <w:rFonts w:ascii="Times New Roman" w:hAnsi="Times New Roman" w:cs="Times New Roman" w:eastAsia="Times New Roman" w:hint="default"/>
        </w:rPr>
        <w:t>1,232,456,537.75</w:t>
      </w:r>
      <w:r>
        <w:rPr/>
        <w:t>元。其中，计入股本</w:t>
      </w:r>
      <w:r>
        <w:rPr>
          <w:rFonts w:ascii="Times New Roman" w:hAnsi="Times New Roman" w:cs="Times New Roman" w:eastAsia="Times New Roman" w:hint="default"/>
        </w:rPr>
        <w:t>40,010,000.00</w:t>
      </w:r>
      <w:r>
        <w:rPr/>
        <w:t>元，计入资 本公积（股本溢价）</w:t>
      </w:r>
      <w:r>
        <w:rPr>
          <w:rFonts w:ascii="Times New Roman" w:hAnsi="Times New Roman" w:cs="Times New Roman" w:eastAsia="Times New Roman" w:hint="default"/>
        </w:rPr>
        <w:t>1,192,446,537.75</w:t>
      </w:r>
      <w:r>
        <w:rPr/>
        <w:t>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日完成工商变更，注册资本与实收资本为</w:t>
      </w:r>
      <w:r>
        <w:rPr>
          <w:rFonts w:ascii="Times New Roman" w:hAnsi="Times New Roman" w:cs="Times New Roman" w:eastAsia="Times New Roman" w:hint="default"/>
        </w:rPr>
        <w:t>40,001.00</w:t>
      </w:r>
      <w:r>
        <w:rPr/>
        <w:t>万元。</w:t>
      </w:r>
    </w:p>
    <w:p>
      <w:pPr>
        <w:pStyle w:val="BodyText"/>
        <w:spacing w:line="316" w:lineRule="auto" w:before="13"/>
        <w:ind w:left="513" w:right="1133"/>
        <w:jc w:val="left"/>
      </w:pPr>
      <w:r>
        <w:rPr/>
        <w:t>所处行业：第三方支付 </w:t>
      </w:r>
      <w:r>
        <w:rPr>
          <w:spacing w:val="-2"/>
        </w:rPr>
        <w:t>经营范围：银行卡收单；互联网支付；数字电视支付；预付卡受理；移动电话支付。（中华人民共和国支付业务许可证</w:t>
      </w:r>
    </w:p>
    <w:p>
      <w:pPr>
        <w:pStyle w:val="BodyText"/>
        <w:spacing w:line="300" w:lineRule="auto" w:before="19"/>
        <w:ind w:right="1051"/>
        <w:jc w:val="both"/>
      </w:pPr>
      <w:r>
        <w:rPr/>
        <w:t>有效期至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02</w:t>
      </w:r>
      <w:r>
        <w:rPr/>
        <w:t>日）技术开发、技术咨询、技术转让、技术服务；计算机系统集成；设计、制作、代理、发布广告； 销售自主研发的产品。</w:t>
      </w:r>
    </w:p>
    <w:p>
      <w:pPr>
        <w:pStyle w:val="BodyText"/>
        <w:spacing w:line="316" w:lineRule="auto" w:before="31"/>
        <w:ind w:left="441" w:right="3193" w:firstLine="72"/>
        <w:jc w:val="left"/>
      </w:pPr>
      <w:r>
        <w:rPr/>
        <w:t>本公司及下属子公司提供的主要产品与服务：社区便民服务、商户服务、移动互联网服务。 本公司第一大股东为联想控股股份有限公司，无实际控制人。 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日批准报出。</w:t>
      </w:r>
    </w:p>
    <w:tbl>
      <w:tblPr>
        <w:tblW w:w="0" w:type="auto"/>
        <w:jc w:val="left"/>
        <w:tblInd w:w="712" w:type="dxa"/>
        <w:tblLayout w:type="fixed"/>
        <w:tblCellMar>
          <w:top w:w="0" w:type="dxa"/>
          <w:left w:w="0" w:type="dxa"/>
          <w:bottom w:w="0" w:type="dxa"/>
          <w:right w:w="0" w:type="dxa"/>
        </w:tblCellMar>
        <w:tblLook w:val="01E0"/>
      </w:tblPr>
      <w:tblGrid>
        <w:gridCol w:w="2129"/>
        <w:gridCol w:w="5670"/>
      </w:tblGrid>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拉卡拉云商网络有限公司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拉卡拉云商科技有限公司</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2-1</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北京顺维无限科技有限公司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天津弘诚科技发展有限公司</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达孜弘诚科技发展有限公司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5</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海南云商互联科技有限公司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5-1</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拉卡拉汇积天下技术服务（北京）有限公司</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5-1-1</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拉卡拉汇积天下商务服务（天津）有限公司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5-1-2</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四川拉卡拉汇积天下技术服务有限公司</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5-1-3</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汇积天下科技服务（厦门）有限公司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5-1-4</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汇聚天下科技服务（海南）有限公司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5-2</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拉卡拉科技投资有限公司</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北京拉卡拉云闪科技有限公司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7</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北京腾祥商务服务有限公司</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广州赢达信息咨询有限公司</w:t>
            </w:r>
          </w:p>
        </w:tc>
      </w:tr>
      <w:tr>
        <w:trPr>
          <w:trHeight w:val="34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9</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北京大树保险经纪有限责任公司</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广州拉卡拉信息技术有限公司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11</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拉卡拉國際有限公司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12</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北京拉卡拉资产管理有限公司</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13</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拉卡拉信息科技（上海）有限公司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14</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广东云商网联信息服务有限公司</w:t>
            </w:r>
          </w:p>
        </w:tc>
      </w:tr>
      <w:tr>
        <w:trPr>
          <w:trHeight w:val="346"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15</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海南泛泰科技发展有限公司</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16</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海南嘉驰科技发展有限公司</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5"/>
        <w:rPr>
          <w:rFonts w:ascii="宋体" w:hAnsi="宋体" w:cs="宋体" w:eastAsia="宋体" w:hint="default"/>
          <w:sz w:val="3"/>
          <w:szCs w:val="3"/>
        </w:rPr>
      </w:pPr>
    </w:p>
    <w:tbl>
      <w:tblPr>
        <w:tblW w:w="0" w:type="auto"/>
        <w:jc w:val="left"/>
        <w:tblInd w:w="712" w:type="dxa"/>
        <w:tblLayout w:type="fixed"/>
        <w:tblCellMar>
          <w:top w:w="0" w:type="dxa"/>
          <w:left w:w="0" w:type="dxa"/>
          <w:bottom w:w="0" w:type="dxa"/>
          <w:right w:w="0" w:type="dxa"/>
        </w:tblCellMar>
        <w:tblLook w:val="01E0"/>
      </w:tblPr>
      <w:tblGrid>
        <w:gridCol w:w="2129"/>
        <w:gridCol w:w="5670"/>
      </w:tblGrid>
      <w:tr>
        <w:trPr>
          <w:trHeight w:val="336" w:hRule="exact"/>
        </w:trPr>
        <w:tc>
          <w:tcPr>
            <w:tcW w:w="2129" w:type="dxa"/>
            <w:tcBorders>
              <w:top w:val="nil" w:sz="6" w:space="0" w:color="auto"/>
              <w:left w:val="nil" w:sz="6" w:space="0" w:color="auto"/>
              <w:bottom w:val="single" w:sz="6" w:space="0" w:color="000000"/>
              <w:right w:val="nil" w:sz="6" w:space="0" w:color="auto"/>
            </w:tcBorders>
          </w:tcPr>
          <w:p>
            <w:pPr/>
          </w:p>
        </w:tc>
        <w:tc>
          <w:tcPr>
            <w:tcW w:w="5670" w:type="dxa"/>
            <w:tcBorders>
              <w:top w:val="nil" w:sz="6" w:space="0" w:color="auto"/>
              <w:left w:val="nil" w:sz="6" w:space="0" w:color="auto"/>
              <w:bottom w:val="single" w:sz="6" w:space="0" w:color="000000"/>
              <w:right w:val="nil" w:sz="6" w:space="0" w:color="auto"/>
            </w:tcBorders>
          </w:tcPr>
          <w:p>
            <w:pP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17</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北京考拉鲲鹏科技成长基金合伙企业（有限合伙）</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133"/>
        <w:jc w:val="left"/>
        <w:rPr>
          <w:b w:val="0"/>
          <w:bCs w:val="0"/>
        </w:rPr>
      </w:pPr>
      <w:r>
        <w:rPr/>
        <w:pict>
          <v:group style="position:absolute;margin-left:55.200001pt;margin-top:-61.984379pt;width:484.9pt;height:.1pt;mso-position-horizontal-relative:page;mso-position-vertical-relative:paragraph;z-index:-1069216" coordorigin="1104,-1240" coordsize="9698,2">
            <v:shape style="position:absolute;left:1104;top:-1240;width:9698;height:2" coordorigin="1104,-1240" coordsize="9698,0" path="m1104,-1240l10802,-1240e" filled="false" stroked="true" strokeweight=".72pt" strokecolor="#000000">
              <v:path arrowok="t"/>
            </v:shape>
            <w10:wrap type="none"/>
          </v:group>
        </w:pict>
      </w:r>
      <w:bookmarkStart w:name="四、财务报表的编制基础" w:id="171"/>
      <w:bookmarkEnd w:id="171"/>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6"/>
        </w:rPr>
        <w:t> </w:t>
      </w:r>
      <w:r>
        <w:rPr>
          <w:spacing w:val="-46"/>
        </w:rPr>
      </w:r>
      <w:r>
        <w:rPr/>
        <w:t>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bookmarkStart w:name="2、持续经营" w:id="173"/>
      <w:bookmarkEnd w:id="17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公司具有良好的经营业绩且不存在财务、经营以及其他方面的可能导致对持续经营假设产生重大疑虑的事项或情况，自</w:t>
      </w:r>
      <w:r>
        <w:rPr/>
        <w:t> 报告期末起</w:t>
      </w:r>
      <w:r>
        <w:rPr>
          <w:rFonts w:ascii="Times New Roman" w:hAnsi="Times New Roman" w:cs="Times New Roman" w:eastAsia="Times New Roman" w:hint="default"/>
        </w:rPr>
        <w:t>12</w:t>
      </w:r>
      <w:r>
        <w:rPr/>
        <w:t>个月内具备持续经营能力。</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4814"/>
        <w:jc w:val="left"/>
      </w:pPr>
      <w:r>
        <w:rPr/>
        <w:t>具体会计政策和会计估计提示： 以下披露内容涵盖了本公司制定的具体会计政策和会计估计。详见本附注。</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360"/>
        <w:jc w:val="left"/>
      </w:pPr>
      <w:r>
        <w:rPr>
          <w:spacing w:val="-2"/>
        </w:rPr>
        <w:t>本财务报表符合财政部颁布的企业会计准则的要求，真实、完整地反映了本公司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日的合并及母公司财务状</w:t>
      </w:r>
      <w:r>
        <w:rPr/>
        <w:t> 况以及</w:t>
      </w:r>
      <w:r>
        <w:rPr>
          <w:rFonts w:ascii="Times New Roman" w:hAnsi="Times New Roman" w:cs="Times New Roman" w:eastAsia="Times New Roman" w:hint="default"/>
        </w:rPr>
        <w:t>2019</w:t>
      </w:r>
      <w:r>
        <w:rPr/>
        <w:t>年度的合并及母公司经营成果和现金流量。</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1133"/>
        <w:jc w:val="left"/>
        <w:rPr>
          <w:b w:val="0"/>
          <w:bCs w:val="0"/>
        </w:rPr>
      </w:pPr>
      <w:bookmarkStart w:name="3、营业周期" w:id="177"/>
      <w:bookmarkEnd w:id="17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1133"/>
        <w:jc w:val="left"/>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1133"/>
        <w:jc w:val="left"/>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同一控制下企业合并：合并方在企业合并中取得的资产和负债，按照合并日被合并方资产、负债（包括最终控制方收购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p>
    <w:p>
      <w:pPr>
        <w:spacing w:after="0" w:line="316" w:lineRule="auto"/>
        <w:jc w:val="left"/>
        <w:sectPr>
          <w:pgSz w:w="11910" w:h="16840"/>
          <w:pgMar w:header="877"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319" w:lineRule="auto" w:before="44"/>
        <w:ind w:left="513" w:right="0" w:hanging="361"/>
        <w:jc w:val="left"/>
      </w:pPr>
      <w:r>
        <w:rPr>
          <w:spacing w:val="-4"/>
        </w:rPr>
        <w:t>账面价值（或发行股份面值总额）的差额，调整资本公积中的股本溢价，资本公积中的股本溢价不足冲减的，调整留存收益。</w:t>
      </w:r>
      <w:r>
        <w:rPr>
          <w:spacing w:val="-43"/>
        </w:rPr>
        <w:t> </w:t>
      </w:r>
      <w:r>
        <w:rPr>
          <w:spacing w:val="-43"/>
        </w:rPr>
      </w:r>
      <w:r>
        <w:rPr>
          <w:spacing w:val="-2"/>
        </w:rPr>
        <w:t>非同一控制下企业合并：购买方在购买日对作为企业合并对价付出的资产、发生或承担的负债按照公允价值计量，公允</w:t>
      </w:r>
    </w:p>
    <w:p>
      <w:pPr>
        <w:pStyle w:val="BodyText"/>
        <w:spacing w:line="316" w:lineRule="auto" w:before="17"/>
        <w:ind w:right="0"/>
        <w:jc w:val="left"/>
      </w:pPr>
      <w:r>
        <w:rPr>
          <w:spacing w:val="-2"/>
        </w:rPr>
        <w:t>价值与其账面价值的差额，计入当期损益。合并成本大于合并中取得的被购买方可辨认净资产公允价值份额的差额，确认为</w:t>
      </w:r>
      <w:r>
        <w:rPr>
          <w:spacing w:val="-63"/>
        </w:rPr>
        <w:t> </w:t>
      </w:r>
      <w:r>
        <w:rPr>
          <w:spacing w:val="-63"/>
        </w:rPr>
      </w:r>
      <w:r>
        <w:rPr/>
        <w:t>商誉；合并成本小于合并中取得的被购买方可辨认净资产公允价值份额的差额，计入当期损益。 </w:t>
      </w:r>
      <w:r>
        <w:rPr>
          <w:spacing w:val="-2"/>
        </w:rPr>
        <w:t>为企业合并发生的直接相关费用于发生时计入当期损益；为企业合并而发行权益性证券或债务性证券的交易费用，计入权益</w:t>
      </w:r>
      <w:r>
        <w:rPr>
          <w:spacing w:val="-64"/>
        </w:rPr>
        <w:t> </w:t>
      </w:r>
      <w:r>
        <w:rPr>
          <w:spacing w:val="-64"/>
        </w:rPr>
      </w:r>
      <w:r>
        <w:rPr/>
        <w:t>性证券或债务性证券的初始确认金额。</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合并范围</w:t>
      </w:r>
      <w:r>
        <w:rPr>
          <w:b w:val="0"/>
          <w:bCs w:val="0"/>
        </w:rPr>
      </w:r>
    </w:p>
    <w:p>
      <w:pPr>
        <w:pStyle w:val="BodyText"/>
        <w:spacing w:line="240" w:lineRule="auto" w:before="76"/>
        <w:ind w:left="873" w:right="1133"/>
        <w:jc w:val="left"/>
      </w:pPr>
      <w:r>
        <w:rPr/>
        <w:t>合并财务报表的合并范围以控制为基础确定，合并范围包括本公司及全部子公司。</w:t>
      </w:r>
    </w:p>
    <w:p>
      <w:pPr>
        <w:spacing w:line="240" w:lineRule="auto" w:before="0"/>
        <w:rPr>
          <w:rFonts w:ascii="宋体" w:hAnsi="宋体" w:cs="宋体" w:eastAsia="宋体" w:hint="default"/>
          <w:sz w:val="18"/>
          <w:szCs w:val="18"/>
        </w:rPr>
      </w:pPr>
    </w:p>
    <w:p>
      <w:pPr>
        <w:pStyle w:val="Heading5"/>
        <w:spacing w:line="240" w:lineRule="auto" w:before="153"/>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合并程序</w:t>
      </w:r>
      <w:r>
        <w:rPr>
          <w:b w:val="0"/>
          <w:bCs w:val="0"/>
        </w:rPr>
      </w:r>
    </w:p>
    <w:p>
      <w:pPr>
        <w:pStyle w:val="BodyText"/>
        <w:spacing w:line="316" w:lineRule="auto" w:before="76"/>
        <w:ind w:right="1131"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19"/>
        <w:ind w:right="1025"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3"/>
        </w:rPr>
        <w:t> </w:t>
      </w:r>
      <w:r>
        <w:rPr>
          <w:spacing w:val="-43"/>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13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9"/>
        <w:ind w:left="513" w:right="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3"/>
        </w:rPr>
        <w:t> </w:t>
      </w:r>
      <w:r>
        <w:rPr>
          <w:spacing w:val="-63"/>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513" w:right="1133"/>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513" w:right="1133"/>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240" w:lineRule="auto" w:before="18"/>
        <w:ind w:right="1133"/>
        <w:jc w:val="left"/>
      </w:pPr>
      <w:r>
        <w:rPr/>
        <w:t>司或业务期初至处置日的现金流量纳入合并现金流量表。</w:t>
      </w:r>
    </w:p>
    <w:p>
      <w:pPr>
        <w:spacing w:after="0" w:line="240" w:lineRule="auto"/>
        <w:jc w:val="left"/>
        <w:sectPr>
          <w:footerReference w:type="default" r:id="rId53"/>
          <w:pgSz w:w="11910" w:h="16840"/>
          <w:pgMar w:footer="980" w:header="877" w:top="1060" w:bottom="1160" w:left="980" w:right="0"/>
          <w:pgNumType w:start="120"/>
        </w:sectPr>
      </w:pPr>
    </w:p>
    <w:p>
      <w:pPr>
        <w:spacing w:line="240" w:lineRule="auto" w:before="9"/>
        <w:rPr>
          <w:rFonts w:ascii="宋体" w:hAnsi="宋体" w:cs="宋体" w:eastAsia="宋体" w:hint="default"/>
          <w:sz w:val="25"/>
          <w:szCs w:val="25"/>
        </w:rPr>
      </w:pPr>
    </w:p>
    <w:p>
      <w:pPr>
        <w:pStyle w:val="BodyText"/>
        <w:spacing w:line="319" w:lineRule="auto" w:before="44"/>
        <w:ind w:right="1034" w:firstLine="360"/>
        <w:jc w:val="left"/>
      </w:pP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7"/>
        <w:ind w:left="513" w:right="1133"/>
        <w:jc w:val="left"/>
      </w:pPr>
      <w:r>
        <w:rPr/>
        <w:t>因其他投资方对子公司增资而导致本公司持股比例下降从而丧失控制权的，按照上述原则进行会计处理。</w:t>
      </w:r>
    </w:p>
    <w:p>
      <w:pPr>
        <w:pStyle w:val="BodyText"/>
        <w:spacing w:line="316" w:lineRule="auto" w:before="76"/>
        <w:ind w:left="513" w:right="0"/>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9" w:lineRule="auto" w:before="19"/>
        <w:ind w:left="513" w:right="355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7"/>
        <w:ind w:right="113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9"/>
        <w:ind w:right="0"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3" w:right="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1119"/>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00" w:lineRule="auto" w:before="19"/>
        <w:ind w:left="513" w:right="1133"/>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2"/>
        <w:ind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247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3" w:right="113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0"/>
        <w:ind w:left="441" w:right="4363" w:firstLine="72"/>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16</w:t>
      </w:r>
      <w:r>
        <w:rPr/>
        <w:t>、长期股权投资</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bookmarkStart w:name="8、现金及现金等价物的确定标准" w:id="182"/>
      <w:bookmarkEnd w:id="18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after="0" w:line="316"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9、外币业务和外币报表折算" w:id="183"/>
      <w:bookmarkEnd w:id="18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外币业务</w:t>
      </w:r>
      <w:r>
        <w:rPr>
          <w:b w:val="0"/>
          <w:bCs w:val="0"/>
        </w:rPr>
      </w:r>
    </w:p>
    <w:p>
      <w:pPr>
        <w:pStyle w:val="BodyText"/>
        <w:spacing w:line="316" w:lineRule="auto" w:before="76"/>
        <w:ind w:left="873" w:right="0"/>
        <w:jc w:val="left"/>
      </w:pPr>
      <w:r>
        <w:rPr/>
        <w:t>外币业务采用交易发生日的即期汇率作为折算汇率将外币金额折合成人民币记账。 </w:t>
      </w:r>
      <w:r>
        <w:rPr>
          <w:spacing w:val="-2"/>
        </w:rPr>
        <w:t>资产负债表日外币货币性项目余额按资产负债表日即期汇率折算，由此产生的汇兑差额，除属于与购建符合资本化</w:t>
      </w:r>
    </w:p>
    <w:p>
      <w:pPr>
        <w:pStyle w:val="BodyText"/>
        <w:spacing w:line="240" w:lineRule="auto" w:before="19"/>
        <w:ind w:left="513" w:right="1133"/>
        <w:jc w:val="left"/>
      </w:pPr>
      <w:r>
        <w:rPr/>
        <w:t>条件的资产相关的外币专门借款产生的汇兑差额按照借款费用资本化的原则处理外，均计入当期损益。</w:t>
      </w:r>
    </w:p>
    <w:p>
      <w:pPr>
        <w:spacing w:line="240" w:lineRule="auto" w:before="0"/>
        <w:rPr>
          <w:rFonts w:ascii="宋体" w:hAnsi="宋体" w:cs="宋体" w:eastAsia="宋体" w:hint="default"/>
          <w:sz w:val="18"/>
          <w:szCs w:val="18"/>
        </w:rPr>
      </w:pPr>
    </w:p>
    <w:p>
      <w:pPr>
        <w:pStyle w:val="BodyText"/>
        <w:spacing w:line="316" w:lineRule="auto" w:before="153"/>
        <w:ind w:left="513" w:right="1133" w:hanging="361"/>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ind w:left="513" w:right="2113" w:hanging="361"/>
        <w:jc w:val="left"/>
      </w:pPr>
      <w:r>
        <w:rPr/>
        <w:t>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1"/>
        <w:rPr>
          <w:rFonts w:ascii="宋体" w:hAnsi="宋体" w:cs="宋体" w:eastAsia="宋体" w:hint="default"/>
          <w:sz w:val="22"/>
          <w:szCs w:val="22"/>
        </w:rPr>
      </w:pPr>
    </w:p>
    <w:p>
      <w:pPr>
        <w:pStyle w:val="Heading4"/>
        <w:spacing w:line="240" w:lineRule="auto"/>
        <w:ind w:right="1133"/>
        <w:jc w:val="left"/>
        <w:rPr>
          <w:b w:val="0"/>
          <w:bCs w:val="0"/>
        </w:rPr>
      </w:pPr>
      <w:bookmarkStart w:name="10、金融工具" w:id="184"/>
      <w:bookmarkEnd w:id="18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spacing w:line="309" w:lineRule="auto" w:before="0"/>
        <w:ind w:left="767" w:right="6614" w:hanging="255"/>
        <w:jc w:val="left"/>
        <w:rPr>
          <w:rFonts w:ascii="宋体" w:hAnsi="宋体" w:cs="宋体" w:eastAsia="宋体" w:hint="default"/>
          <w:sz w:val="18"/>
          <w:szCs w:val="18"/>
        </w:rPr>
      </w:pPr>
      <w:r>
        <w:rPr>
          <w:rFonts w:ascii="宋体" w:hAnsi="宋体" w:cs="宋体" w:eastAsia="宋体" w:hint="default"/>
          <w:sz w:val="18"/>
          <w:szCs w:val="18"/>
        </w:rPr>
        <w:t>金融工具包括金融资产、金融负债和权益工具。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、金融工具的分类</w:t>
      </w:r>
      <w:r>
        <w:rPr>
          <w:rFonts w:ascii="宋体" w:hAnsi="宋体" w:cs="宋体" w:eastAsia="宋体" w:hint="default"/>
          <w:b/>
          <w:bCs/>
          <w:w w:val="99"/>
          <w:sz w:val="18"/>
          <w:szCs w:val="18"/>
        </w:rPr>
        <w:t> </w:t>
      </w:r>
      <w:r>
        <w:rPr>
          <w:rFonts w:ascii="宋体" w:hAnsi="宋体" w:cs="宋体" w:eastAsia="宋体" w:hint="default"/>
          <w:b/>
          <w:bCs/>
          <w:sz w:val="18"/>
          <w:szCs w:val="18"/>
        </w:rPr>
        <w:t>自</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日起适用的会计政策</w:t>
      </w:r>
      <w:r>
        <w:rPr>
          <w:rFonts w:ascii="宋体" w:hAnsi="宋体" w:cs="宋体" w:eastAsia="宋体" w:hint="default"/>
          <w:sz w:val="18"/>
          <w:szCs w:val="18"/>
        </w:rPr>
      </w:r>
    </w:p>
    <w:p>
      <w:pPr>
        <w:pStyle w:val="BodyText"/>
        <w:spacing w:line="316" w:lineRule="auto" w:before="5"/>
        <w:ind w:left="513" w:right="1132" w:firstLine="360"/>
        <w:jc w:val="both"/>
      </w:pPr>
      <w:r>
        <w:rPr>
          <w:spacing w:val="-2"/>
        </w:rPr>
        <w:t>根据本公司管理金融资产的业务模式和金融资产的合同现金流量特征，金融资产于初始确认时分类为：以摊余成本</w:t>
      </w:r>
      <w:r>
        <w:rPr/>
        <w:t> </w:t>
      </w:r>
      <w:r>
        <w:rPr>
          <w:spacing w:val="-2"/>
        </w:rPr>
        <w:t>计量的金融资产、以公允价值计量且其变动计入其他综合收益的金融资产（债务工具）和以公允价值计量且其变动计入</w:t>
      </w:r>
      <w:r>
        <w:rPr>
          <w:spacing w:val="-70"/>
        </w:rPr>
        <w:t> </w:t>
      </w:r>
      <w:r>
        <w:rPr>
          <w:spacing w:val="-70"/>
        </w:rPr>
      </w:r>
      <w:r>
        <w:rPr/>
        <w:t>当期损益的金融资产。</w:t>
      </w:r>
    </w:p>
    <w:p>
      <w:pPr>
        <w:pStyle w:val="BodyText"/>
        <w:spacing w:line="316" w:lineRule="auto" w:before="19"/>
        <w:ind w:left="513" w:right="1131" w:firstLine="360"/>
        <w:jc w:val="both"/>
      </w:pPr>
      <w:r>
        <w:rPr>
          <w:spacing w:val="-2"/>
        </w:rPr>
        <w:t>业务模式是以收取合同现金流量为目标且合同现金流量仅为对本金和以未偿付本金金额为基础的利息的支付的，分</w:t>
      </w:r>
      <w:r>
        <w:rPr/>
        <w:t> </w:t>
      </w:r>
      <w:r>
        <w:rPr>
          <w:spacing w:val="-2"/>
        </w:rPr>
        <w:t>类为以摊余成本计量的金融资产；业务模式既以收取合同现金流量又以出售该金融资产为目标且合同现金流量仅为对本</w:t>
      </w:r>
      <w:r>
        <w:rPr>
          <w:spacing w:val="-68"/>
        </w:rPr>
        <w:t> </w:t>
      </w:r>
      <w:r>
        <w:rPr>
          <w:spacing w:val="-68"/>
        </w:rPr>
      </w:r>
      <w:r>
        <w:rPr>
          <w:spacing w:val="-2"/>
        </w:rPr>
        <w:t>金和以未偿付本金金额为基础的利息的支付的，分类为以公允价值计量且其变动计入其他综合收益的金融资产（债务工</w:t>
      </w:r>
      <w:r>
        <w:rPr>
          <w:spacing w:val="-68"/>
        </w:rPr>
        <w:t> </w:t>
      </w:r>
      <w:r>
        <w:rPr>
          <w:spacing w:val="-68"/>
        </w:rPr>
      </w:r>
      <w:r>
        <w:rPr/>
        <w:t>具）；除此之外的其他金融资产，分类为以公允价值计量且其变动计入当期损益的金融资产。</w:t>
      </w:r>
    </w:p>
    <w:p>
      <w:pPr>
        <w:pStyle w:val="BodyText"/>
        <w:spacing w:line="316" w:lineRule="auto" w:before="19"/>
        <w:ind w:left="513" w:right="1132" w:firstLine="360"/>
        <w:jc w:val="both"/>
      </w:pPr>
      <w:r>
        <w:rPr>
          <w:spacing w:val="-2"/>
        </w:rPr>
        <w:t>对于非交易性权益工具投资，本公司在初始确认时确定是否将其指定为以公允价值计量且其变动计入其他综合收益</w:t>
      </w:r>
      <w:r>
        <w:rPr/>
        <w:t> 的金融资产（权益工具）。</w:t>
      </w:r>
    </w:p>
    <w:p>
      <w:pPr>
        <w:spacing w:line="240" w:lineRule="auto" w:before="4"/>
        <w:rPr>
          <w:rFonts w:ascii="宋体" w:hAnsi="宋体" w:cs="宋体" w:eastAsia="宋体" w:hint="default"/>
          <w:sz w:val="25"/>
          <w:szCs w:val="25"/>
        </w:rPr>
      </w:pPr>
    </w:p>
    <w:p>
      <w:pPr>
        <w:pStyle w:val="BodyText"/>
        <w:spacing w:line="316" w:lineRule="auto"/>
        <w:ind w:left="873" w:right="1033"/>
        <w:jc w:val="left"/>
      </w:pPr>
      <w:r>
        <w:rPr/>
        <w:t>金融负债于初始确认时分类为：以公允价值计量且其变动计入当期损益的金融负债和以摊余成本计量的金融负债。 符合以下条件之一的金融负债可在初始计量时指定为以公允价值计量且其变动计入当期损益的金融负债： </w:t>
      </w:r>
      <w:r>
        <w:rPr>
          <w:rFonts w:ascii="Times New Roman" w:hAnsi="Times New Roman" w:cs="Times New Roman" w:eastAsia="Times New Roman" w:hint="default"/>
        </w:rPr>
        <w:t>1</w:t>
      </w:r>
      <w:r>
        <w:rPr/>
        <w:t>）该项指定能够消除或显著减少会计错配。</w:t>
      </w:r>
    </w:p>
    <w:p>
      <w:pPr>
        <w:pStyle w:val="BodyText"/>
        <w:spacing w:line="300" w:lineRule="auto"/>
        <w:ind w:left="513" w:right="1133" w:firstLine="360"/>
        <w:jc w:val="both"/>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 组合进行管理和业绩评价，并在企业内部以此为基础向关键管理人员报告。</w:t>
      </w:r>
    </w:p>
    <w:p>
      <w:pPr>
        <w:pStyle w:val="BodyText"/>
        <w:spacing w:line="300" w:lineRule="auto" w:before="31"/>
        <w:ind w:left="873" w:right="3733"/>
        <w:jc w:val="left"/>
      </w:pPr>
      <w:r>
        <w:rPr>
          <w:rFonts w:ascii="Times New Roman" w:hAnsi="Times New Roman" w:cs="Times New Roman" w:eastAsia="Times New Roman" w:hint="default"/>
        </w:rPr>
        <w:t>3</w:t>
      </w:r>
      <w:r>
        <w:rPr/>
        <w:t>）该金融负债包含需单独分拆的嵌入衍生工具。 按照上述条件，本公司指定的这类金融负债主要包括：（具体描述指定的情况）</w:t>
      </w:r>
    </w:p>
    <w:p>
      <w:pPr>
        <w:spacing w:line="240" w:lineRule="auto" w:before="4"/>
        <w:rPr>
          <w:rFonts w:ascii="宋体" w:hAnsi="宋体" w:cs="宋体" w:eastAsia="宋体" w:hint="default"/>
          <w:sz w:val="26"/>
          <w:szCs w:val="26"/>
        </w:rPr>
      </w:pPr>
    </w:p>
    <w:p>
      <w:pPr>
        <w:spacing w:line="300" w:lineRule="auto" w:before="0"/>
        <w:ind w:left="87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日前适用的会计政策</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金融资产和金融负债于初始确认时分类为：以公允价值计量且其变动计入当期损益的金融资产或金融负债，包括交</w:t>
      </w:r>
    </w:p>
    <w:p>
      <w:pPr>
        <w:pStyle w:val="BodyText"/>
        <w:spacing w:line="316" w:lineRule="auto" w:before="31"/>
        <w:ind w:left="513" w:right="1133"/>
        <w:jc w:val="left"/>
      </w:pPr>
      <w:r>
        <w:rPr/>
        <w:t>易性金融资产或金融负债和直接指定为以公允价值计量且其变动计入当期损益的金融资产或金融负债；持有至到期投</w:t>
      </w:r>
      <w:r>
        <w:rPr>
          <w:spacing w:val="-3"/>
        </w:rPr>
        <w:t> </w:t>
      </w:r>
      <w:r>
        <w:rPr>
          <w:spacing w:val="-3"/>
        </w:rPr>
      </w:r>
      <w:r>
        <w:rPr/>
        <w:t>资；应收款项；可供出售金融资产；其他金融负债等。</w:t>
      </w:r>
    </w:p>
    <w:p>
      <w:pPr>
        <w:spacing w:line="240" w:lineRule="auto" w:before="4"/>
        <w:rPr>
          <w:rFonts w:ascii="宋体" w:hAnsi="宋体" w:cs="宋体" w:eastAsia="宋体" w:hint="default"/>
          <w:sz w:val="25"/>
          <w:szCs w:val="25"/>
        </w:rPr>
      </w:pPr>
    </w:p>
    <w:p>
      <w:pPr>
        <w:pStyle w:val="Heading5"/>
        <w:spacing w:line="300" w:lineRule="auto"/>
        <w:ind w:left="873" w:right="7235" w:hanging="3"/>
        <w:jc w:val="left"/>
        <w:rPr>
          <w:b w:val="0"/>
          <w:bCs w:val="0"/>
        </w:rPr>
      </w:pPr>
      <w:r>
        <w:rPr>
          <w:rFonts w:ascii="Times New Roman" w:hAnsi="Times New Roman" w:cs="Times New Roman" w:eastAsia="Times New Roman" w:hint="default"/>
        </w:rPr>
        <w:t>2</w:t>
      </w:r>
      <w:r>
        <w:rPr/>
        <w:t>、金融工具的确认依据和计量方法</w:t>
      </w:r>
      <w:r>
        <w:rPr>
          <w:w w:val="99"/>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300" w:lineRule="auto" w:before="13"/>
        <w:ind w:left="873" w:right="1133"/>
        <w:jc w:val="left"/>
      </w:pPr>
      <w:r>
        <w:rPr/>
        <w:t>（</w:t>
      </w:r>
      <w:r>
        <w:rPr>
          <w:rFonts w:ascii="Times New Roman" w:hAnsi="Times New Roman" w:cs="Times New Roman" w:eastAsia="Times New Roman" w:hint="default"/>
        </w:rPr>
        <w:t>1</w:t>
      </w:r>
      <w:r>
        <w:rPr/>
        <w:t>）以摊余成本计量的金融资产 </w:t>
      </w:r>
      <w:r>
        <w:rPr>
          <w:spacing w:val="-2"/>
        </w:rPr>
        <w:t>以摊余成本计量的金融资产包括应收票据、应收账款、其他应收款、长期应收款、债权投资等，按公允价值进行初</w:t>
      </w:r>
    </w:p>
    <w:p>
      <w:pPr>
        <w:spacing w:after="0" w:line="30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0"/>
        <w:jc w:val="left"/>
      </w:pPr>
      <w:r>
        <w:rPr>
          <w:spacing w:val="-2"/>
        </w:rPr>
        <w:t>始计量，相关交易费用计入初始确认金额；不包含重大融资成分的应收账款以及本公司决定不考虑不超过一年的融资成</w:t>
      </w:r>
      <w:r>
        <w:rPr>
          <w:spacing w:val="-68"/>
        </w:rPr>
        <w:t> </w:t>
      </w:r>
      <w:r>
        <w:rPr>
          <w:spacing w:val="-68"/>
        </w:rPr>
      </w:r>
      <w:r>
        <w:rPr/>
        <w:t>分的应收账款，以合同交易价格进行初始计量。</w:t>
      </w:r>
    </w:p>
    <w:p>
      <w:pPr>
        <w:pStyle w:val="BodyText"/>
        <w:spacing w:line="316" w:lineRule="auto" w:before="17"/>
        <w:ind w:left="873" w:right="3733"/>
        <w:jc w:val="left"/>
      </w:pPr>
      <w:r>
        <w:rPr/>
        <w:t>持有期间采用实际利率法计算的利息计入当期损益。 收回或处置时，将取得的价款与该金融资产账面价值之间的差额计入当期损益。</w:t>
      </w:r>
    </w:p>
    <w:p>
      <w:pPr>
        <w:spacing w:line="240" w:lineRule="auto" w:before="4"/>
        <w:rPr>
          <w:rFonts w:ascii="宋体" w:hAnsi="宋体" w:cs="宋体" w:eastAsia="宋体" w:hint="default"/>
          <w:sz w:val="25"/>
          <w:szCs w:val="25"/>
        </w:rPr>
      </w:pPr>
    </w:p>
    <w:p>
      <w:pPr>
        <w:pStyle w:val="BodyText"/>
        <w:spacing w:line="300" w:lineRule="auto"/>
        <w:ind w:left="873" w:right="0"/>
        <w:jc w:val="left"/>
      </w:pPr>
      <w:r>
        <w:rPr/>
        <w:t>（</w:t>
      </w:r>
      <w:r>
        <w:rPr>
          <w:rFonts w:ascii="Times New Roman" w:hAnsi="Times New Roman" w:cs="Times New Roman" w:eastAsia="Times New Roman" w:hint="default"/>
        </w:rPr>
        <w:t>2</w:t>
      </w:r>
      <w:r>
        <w:rPr/>
        <w:t>）以公允价值计量且其变动计入其他综合收益的金融资产（债务工具） </w:t>
      </w:r>
      <w:r>
        <w:rPr>
          <w:spacing w:val="-2"/>
        </w:rPr>
        <w:t>以公允价值计量且其变动计入其他综合收益的金融资产（债务工具）包括应收款项融资、其他债权投资等，按公允</w:t>
      </w:r>
    </w:p>
    <w:p>
      <w:pPr>
        <w:pStyle w:val="BodyText"/>
        <w:spacing w:line="316" w:lineRule="auto" w:before="31"/>
        <w:ind w:left="513" w:right="0"/>
        <w:jc w:val="left"/>
      </w:pPr>
      <w:r>
        <w:rPr>
          <w:spacing w:val="-2"/>
        </w:rPr>
        <w:t>价值进行初始计量，相关交易费用计入初始确认金额。该金融资产按公允价值进行后续计量，公允价值变动除采用实际</w:t>
      </w:r>
      <w:r>
        <w:rPr>
          <w:spacing w:val="-67"/>
        </w:rPr>
        <w:t> </w:t>
      </w:r>
      <w:r>
        <w:rPr>
          <w:spacing w:val="-67"/>
        </w:rPr>
      </w:r>
      <w:r>
        <w:rPr/>
        <w:t>利率法计算的利息、减值损失或利得和汇兑损益之外，均计入其他综合收益。</w:t>
      </w:r>
    </w:p>
    <w:p>
      <w:pPr>
        <w:pStyle w:val="BodyText"/>
        <w:spacing w:line="240" w:lineRule="auto" w:before="19"/>
        <w:ind w:left="873" w:right="1133"/>
        <w:jc w:val="left"/>
      </w:pPr>
      <w:r>
        <w:rPr/>
        <w:t>终止确认时，之前计入其他综合收益的累计利得或损失从其他综合收益中转出，计入当期损益。</w:t>
      </w:r>
    </w:p>
    <w:p>
      <w:pPr>
        <w:spacing w:line="240" w:lineRule="auto" w:before="0"/>
        <w:rPr>
          <w:rFonts w:ascii="宋体" w:hAnsi="宋体" w:cs="宋体" w:eastAsia="宋体" w:hint="default"/>
          <w:sz w:val="18"/>
          <w:szCs w:val="18"/>
        </w:rPr>
      </w:pPr>
    </w:p>
    <w:p>
      <w:pPr>
        <w:pStyle w:val="BodyText"/>
        <w:spacing w:line="300" w:lineRule="auto" w:before="153"/>
        <w:ind w:left="873" w:right="0"/>
        <w:jc w:val="left"/>
      </w:pPr>
      <w:r>
        <w:rPr/>
        <w:t>（</w:t>
      </w:r>
      <w:r>
        <w:rPr>
          <w:rFonts w:ascii="Times New Roman" w:hAnsi="Times New Roman" w:cs="Times New Roman" w:eastAsia="Times New Roman" w:hint="default"/>
        </w:rPr>
        <w:t>3</w:t>
      </w:r>
      <w:r>
        <w:rPr/>
        <w:t>）以公允价值计量且其变动计入其他综合收益的金融资产（权益工具） </w:t>
      </w:r>
      <w:r>
        <w:rPr>
          <w:spacing w:val="-2"/>
        </w:rPr>
        <w:t>以公允价值计量且其变动计入其他综合收益的金融资产（权益工具）包括其他权益工具投资等，按公允价值进行初</w:t>
      </w:r>
    </w:p>
    <w:p>
      <w:pPr>
        <w:pStyle w:val="BodyText"/>
        <w:spacing w:line="316" w:lineRule="auto" w:before="31"/>
        <w:ind w:left="513" w:right="0"/>
        <w:jc w:val="left"/>
      </w:pPr>
      <w:r>
        <w:rPr>
          <w:spacing w:val="-2"/>
        </w:rPr>
        <w:t>始计量，相关交易费用计入初始确认金额。该金融资产按公允价值进行后续计量，公允价值变动计入其他综合收益。取</w:t>
      </w:r>
      <w:r>
        <w:rPr>
          <w:spacing w:val="-70"/>
        </w:rPr>
        <w:t> </w:t>
      </w:r>
      <w:r>
        <w:rPr>
          <w:spacing w:val="-70"/>
        </w:rPr>
      </w:r>
      <w:r>
        <w:rPr/>
        <w:t>得的股利计入当期损益。</w:t>
      </w:r>
    </w:p>
    <w:p>
      <w:pPr>
        <w:pStyle w:val="BodyText"/>
        <w:spacing w:line="240" w:lineRule="auto" w:before="19"/>
        <w:ind w:left="873" w:right="1133"/>
        <w:jc w:val="left"/>
      </w:pPr>
      <w:r>
        <w:rPr/>
        <w:t>终止确认时，之前计入其他综合收益的累计利得或损失从其他综合收益中转出，计入留存收益。</w:t>
      </w:r>
    </w:p>
    <w:p>
      <w:pPr>
        <w:spacing w:line="240" w:lineRule="auto" w:before="0"/>
        <w:rPr>
          <w:rFonts w:ascii="宋体" w:hAnsi="宋体" w:cs="宋体" w:eastAsia="宋体" w:hint="default"/>
          <w:sz w:val="18"/>
          <w:szCs w:val="18"/>
        </w:rPr>
      </w:pPr>
    </w:p>
    <w:p>
      <w:pPr>
        <w:pStyle w:val="BodyText"/>
        <w:spacing w:line="300" w:lineRule="auto" w:before="153"/>
        <w:ind w:left="873" w:right="1033"/>
        <w:jc w:val="left"/>
      </w:pPr>
      <w:r>
        <w:rPr/>
        <w:t>（</w:t>
      </w:r>
      <w:r>
        <w:rPr>
          <w:rFonts w:ascii="Times New Roman" w:hAnsi="Times New Roman" w:cs="Times New Roman" w:eastAsia="Times New Roman" w:hint="default"/>
        </w:rPr>
        <w:t>4</w:t>
      </w:r>
      <w:r>
        <w:rPr/>
        <w:t>）以公允价值计量且其变动计入当期损益的金融资产 以公允价值计量且其变动计入当期损益的金融资产包括交易性金融资产、衍生金融资产、其他非流动金融资产等，</w:t>
      </w:r>
    </w:p>
    <w:p>
      <w:pPr>
        <w:pStyle w:val="BodyText"/>
        <w:spacing w:line="316" w:lineRule="auto" w:before="31"/>
        <w:ind w:left="513" w:right="1119"/>
        <w:jc w:val="left"/>
      </w:pPr>
      <w:r>
        <w:rPr>
          <w:spacing w:val="-2"/>
        </w:rPr>
        <w:t>按公允价值进行初始计量，相关交易费用计入当期损益。该金融资产按公允价值进行后续计量，公允价值变动计入当期</w:t>
      </w:r>
      <w:r>
        <w:rPr>
          <w:spacing w:val="-67"/>
        </w:rPr>
        <w:t> </w:t>
      </w:r>
      <w:r>
        <w:rPr>
          <w:spacing w:val="-67"/>
        </w:rPr>
      </w:r>
      <w:r>
        <w:rPr/>
        <w:t>损益。</w:t>
      </w:r>
    </w:p>
    <w:p>
      <w:pPr>
        <w:spacing w:line="240" w:lineRule="auto" w:before="4"/>
        <w:rPr>
          <w:rFonts w:ascii="宋体" w:hAnsi="宋体" w:cs="宋体" w:eastAsia="宋体" w:hint="default"/>
          <w:sz w:val="25"/>
          <w:szCs w:val="25"/>
        </w:rPr>
      </w:pPr>
    </w:p>
    <w:p>
      <w:pPr>
        <w:pStyle w:val="BodyText"/>
        <w:spacing w:line="300" w:lineRule="auto"/>
        <w:ind w:left="873" w:right="0"/>
        <w:jc w:val="left"/>
      </w:pPr>
      <w:r>
        <w:rPr/>
        <w:t>（</w:t>
      </w:r>
      <w:r>
        <w:rPr>
          <w:rFonts w:ascii="Times New Roman" w:hAnsi="Times New Roman" w:cs="Times New Roman" w:eastAsia="Times New Roman" w:hint="default"/>
        </w:rPr>
        <w:t>5</w:t>
      </w:r>
      <w:r>
        <w:rPr/>
        <w:t>）以公允价值计量且其变动计入当期损益的金融负债 </w:t>
      </w:r>
      <w:r>
        <w:rPr>
          <w:spacing w:val="-2"/>
        </w:rPr>
        <w:t>以公允价值计量且其变动计入当期损益的金融负债包括交易性金融负债、衍生金融负债等，按公允价值进行初始计</w:t>
      </w:r>
    </w:p>
    <w:p>
      <w:pPr>
        <w:pStyle w:val="BodyText"/>
        <w:spacing w:line="316" w:lineRule="auto" w:before="32"/>
        <w:ind w:left="873" w:right="2293" w:hanging="360"/>
        <w:jc w:val="left"/>
      </w:pPr>
      <w:r>
        <w:rPr/>
        <w:t>量，相关交易费用计入当期损益。该金融负债按公允价值进行后续计量，公允价值变动计入当期损益。 终止确认时，其账面价值与支付的对价之间的差额计入当期损益。</w:t>
      </w:r>
    </w:p>
    <w:p>
      <w:pPr>
        <w:spacing w:line="240" w:lineRule="auto" w:before="4"/>
        <w:rPr>
          <w:rFonts w:ascii="宋体" w:hAnsi="宋体" w:cs="宋体" w:eastAsia="宋体" w:hint="default"/>
          <w:sz w:val="25"/>
          <w:szCs w:val="25"/>
        </w:rPr>
      </w:pPr>
    </w:p>
    <w:p>
      <w:pPr>
        <w:pStyle w:val="BodyText"/>
        <w:spacing w:line="300" w:lineRule="auto"/>
        <w:ind w:left="873" w:right="0"/>
        <w:jc w:val="left"/>
      </w:pPr>
      <w:r>
        <w:rPr/>
        <w:t>（</w:t>
      </w:r>
      <w:r>
        <w:rPr>
          <w:rFonts w:ascii="Times New Roman" w:hAnsi="Times New Roman" w:cs="Times New Roman" w:eastAsia="Times New Roman" w:hint="default"/>
        </w:rPr>
        <w:t>6</w:t>
      </w:r>
      <w:r>
        <w:rPr/>
        <w:t>）以摊余成本计量的金融负债 </w:t>
      </w:r>
      <w:r>
        <w:rPr>
          <w:spacing w:val="-4"/>
        </w:rPr>
        <w:t>以摊余成本计量的金融负债包括短期借款、应付票据、应付账款、其他应付款、长期借款、应付债券、长期应付款，</w:t>
      </w:r>
    </w:p>
    <w:p>
      <w:pPr>
        <w:pStyle w:val="BodyText"/>
        <w:spacing w:line="316" w:lineRule="auto" w:before="31"/>
        <w:ind w:left="873" w:right="3913" w:hanging="360"/>
        <w:jc w:val="left"/>
      </w:pPr>
      <w:r>
        <w:rPr/>
        <w:t>按公允价值进行初始计量，相关交易费用计入初始确认金额。 持有期间采用实际利率法计算的利息计入当期损益。 终止确认时，将支付的对价与该金融负债账面价值之间的差额计入当期损益。</w:t>
      </w:r>
    </w:p>
    <w:p>
      <w:pPr>
        <w:spacing w:line="240" w:lineRule="auto" w:before="4"/>
        <w:rPr>
          <w:rFonts w:ascii="宋体" w:hAnsi="宋体" w:cs="宋体" w:eastAsia="宋体" w:hint="default"/>
          <w:sz w:val="25"/>
          <w:szCs w:val="25"/>
        </w:rPr>
      </w:pPr>
    </w:p>
    <w:p>
      <w:pPr>
        <w:pStyle w:val="Heading5"/>
        <w:spacing w:line="240" w:lineRule="auto"/>
        <w:ind w:left="873" w:right="1133"/>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b w:val="0"/>
          <w:bCs w:val="0"/>
        </w:rPr>
      </w:r>
    </w:p>
    <w:p>
      <w:pPr>
        <w:pStyle w:val="BodyText"/>
        <w:spacing w:line="300" w:lineRule="auto" w:before="63"/>
        <w:ind w:left="873" w:right="1033"/>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取得时以公允价值（扣除已宣告但尚未发放的现金股利或已到付息期但尚未领取的债券利息）作为初始确认金额，</w:t>
      </w:r>
    </w:p>
    <w:p>
      <w:pPr>
        <w:pStyle w:val="BodyText"/>
        <w:spacing w:line="316" w:lineRule="auto" w:before="31"/>
        <w:ind w:left="873" w:right="2473" w:hanging="360"/>
        <w:jc w:val="left"/>
      </w:pPr>
      <w:r>
        <w:rPr/>
        <w:t>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09" w:lineRule="auto" w:before="19"/>
        <w:ind w:left="873" w:right="1119"/>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w:t>
      </w:r>
    </w:p>
    <w:p>
      <w:pPr>
        <w:pStyle w:val="BodyText"/>
        <w:spacing w:line="316" w:lineRule="auto" w:before="24"/>
        <w:ind w:left="873" w:right="4633" w:hanging="360"/>
        <w:jc w:val="left"/>
      </w:pPr>
      <w:r>
        <w:rPr/>
        <w:t>或适用的更短期间内保持不变。 处置时，将所取得价款与该投资账面价值之间的差额计入投资收益。</w:t>
      </w:r>
    </w:p>
    <w:p>
      <w:pPr>
        <w:spacing w:after="0" w:line="316"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873" w:right="1119"/>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w:t>
      </w:r>
    </w:p>
    <w:p>
      <w:pPr>
        <w:pStyle w:val="BodyText"/>
        <w:spacing w:line="316" w:lineRule="auto" w:before="31"/>
        <w:ind w:left="513" w:right="1133"/>
        <w:jc w:val="left"/>
      </w:pPr>
      <w:r>
        <w:rPr>
          <w:spacing w:val="-2"/>
        </w:rPr>
        <w:t>的债权，包括应收账款、其他应收款等，以向购货方应收的合同或协议价款作为初始确认金额；具有融资性质的，按其</w:t>
      </w:r>
      <w:r>
        <w:rPr>
          <w:spacing w:val="-71"/>
        </w:rPr>
        <w:t> </w:t>
      </w:r>
      <w:r>
        <w:rPr>
          <w:spacing w:val="-71"/>
        </w:rPr>
      </w:r>
      <w:r>
        <w:rPr/>
        <w:t>现值进行初始确认。</w:t>
      </w:r>
    </w:p>
    <w:p>
      <w:pPr>
        <w:pStyle w:val="BodyText"/>
        <w:spacing w:line="240" w:lineRule="auto" w:before="19"/>
        <w:ind w:left="873" w:right="1133"/>
        <w:jc w:val="left"/>
      </w:pPr>
      <w:r>
        <w:rPr/>
        <w:t>收回或处置时，将取得的价款与该应收款项账面价值之间的差额计入当期损益。</w:t>
      </w:r>
    </w:p>
    <w:p>
      <w:pPr>
        <w:pStyle w:val="BodyText"/>
        <w:spacing w:line="300" w:lineRule="auto" w:before="76"/>
        <w:ind w:left="873" w:right="0"/>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w:t>
      </w:r>
    </w:p>
    <w:p>
      <w:pPr>
        <w:pStyle w:val="BodyText"/>
        <w:spacing w:line="316" w:lineRule="auto" w:before="31"/>
        <w:ind w:left="873" w:right="0" w:hanging="360"/>
        <w:jc w:val="left"/>
      </w:pPr>
      <w:r>
        <w:rPr/>
        <w:t>作为初始确认金额。 </w:t>
      </w:r>
      <w:r>
        <w:rPr>
          <w:spacing w:val="-2"/>
        </w:rPr>
        <w:t>持有期间将取得的利息或现金股利确认为投资收益。期末以公允价值计量且将公允价值变动计入其他综合收益。但</w:t>
      </w:r>
    </w:p>
    <w:p>
      <w:pPr>
        <w:pStyle w:val="BodyText"/>
        <w:spacing w:line="316" w:lineRule="auto" w:before="19"/>
        <w:ind w:left="513" w:right="0"/>
        <w:jc w:val="left"/>
      </w:pPr>
      <w:r>
        <w:rPr>
          <w:spacing w:val="-2"/>
        </w:rPr>
        <w:t>是，在活跃市场中没有报价且其公允价值不能可靠计量的权益工具投资，以及与该权益工具挂钩并须通过交付该权益工</w:t>
      </w:r>
      <w:r>
        <w:rPr>
          <w:spacing w:val="-68"/>
        </w:rPr>
        <w:t> </w:t>
      </w:r>
      <w:r>
        <w:rPr>
          <w:spacing w:val="-68"/>
        </w:rPr>
      </w:r>
      <w:r>
        <w:rPr/>
        <w:t>具结算的衍生金融资产，按照成本计量。</w:t>
      </w:r>
    </w:p>
    <w:p>
      <w:pPr>
        <w:pStyle w:val="BodyText"/>
        <w:spacing w:line="319" w:lineRule="auto" w:before="19"/>
        <w:ind w:left="513" w:right="0" w:firstLine="360"/>
        <w:jc w:val="left"/>
      </w:pPr>
      <w:r>
        <w:rPr>
          <w:spacing w:val="-2"/>
        </w:rPr>
        <w:t>处置时，将取得的价款与该金融资产账面价值之间的差额，计入投资损益；同时，将原直接计入其他综合收益的公</w:t>
      </w:r>
      <w:r>
        <w:rPr/>
        <w:t> 允价值变动累计额对应处置部分的金额转出，计入当期损益。</w:t>
      </w:r>
    </w:p>
    <w:p>
      <w:pPr>
        <w:pStyle w:val="BodyText"/>
        <w:spacing w:line="300" w:lineRule="auto" w:before="17"/>
        <w:ind w:left="870" w:right="3376" w:firstLine="2"/>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3"/>
        <w:rPr>
          <w:rFonts w:ascii="宋体" w:hAnsi="宋体" w:cs="宋体" w:eastAsia="宋体" w:hint="default"/>
          <w:sz w:val="26"/>
          <w:szCs w:val="26"/>
        </w:rPr>
      </w:pPr>
    </w:p>
    <w:p>
      <w:pPr>
        <w:spacing w:line="300" w:lineRule="auto" w:before="0"/>
        <w:ind w:left="873" w:right="0"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4"/>
          <w:sz w:val="18"/>
          <w:szCs w:val="18"/>
        </w:rPr>
        <w:t>公司发生金融资产转移时，如已将金融资产所有权上几乎所有的风险和报酬转移给转入方，则终止确认该金融资产；</w:t>
      </w:r>
    </w:p>
    <w:p>
      <w:pPr>
        <w:pStyle w:val="BodyText"/>
        <w:spacing w:line="316" w:lineRule="auto" w:before="31"/>
        <w:ind w:left="873" w:right="0" w:hanging="360"/>
        <w:jc w:val="left"/>
      </w:pPr>
      <w:r>
        <w:rPr/>
        <w:t>如保留了金融资产所有权上几乎所有的风险和报酬的，则不终止确认该金融资产。 在判断金融资产转移是否满足上述金融资产终止确认条件时，采用实质重于形式的原则。 </w:t>
      </w:r>
      <w:r>
        <w:rPr>
          <w:spacing w:val="-2"/>
        </w:rPr>
        <w:t>公司将金融资产转移区分为金融资产整体转移和部分转移。金融资产整体转移满足终止确认条件的，将下列两项金</w:t>
      </w:r>
    </w:p>
    <w:p>
      <w:pPr>
        <w:pStyle w:val="BodyText"/>
        <w:spacing w:line="240" w:lineRule="auto" w:before="19"/>
        <w:ind w:left="513" w:right="1133"/>
        <w:jc w:val="left"/>
      </w:pPr>
      <w:r>
        <w:rPr/>
        <w:t>额的差额计入当期损益：</w:t>
      </w:r>
    </w:p>
    <w:p>
      <w:pPr>
        <w:pStyle w:val="BodyText"/>
        <w:spacing w:line="240" w:lineRule="auto" w:before="76"/>
        <w:ind w:left="873" w:right="1133"/>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left="513" w:right="1123"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）因转移而收到的对价，与原直接计入所有者权益的公允价值变动累计额（涉及转移的金融资产为以公允价值 计量且其变动计入其他综合收益的金融资产（债务工具）、可供出售金融资产的情形）之和。</w:t>
      </w:r>
    </w:p>
    <w:p>
      <w:pPr>
        <w:spacing w:line="240" w:lineRule="auto" w:before="3"/>
        <w:rPr>
          <w:rFonts w:ascii="宋体" w:hAnsi="宋体" w:cs="宋体" w:eastAsia="宋体" w:hint="default"/>
          <w:sz w:val="26"/>
          <w:szCs w:val="26"/>
        </w:rPr>
      </w:pPr>
    </w:p>
    <w:p>
      <w:pPr>
        <w:pStyle w:val="BodyText"/>
        <w:spacing w:line="316" w:lineRule="auto"/>
        <w:ind w:left="513" w:right="0" w:firstLine="360"/>
        <w:jc w:val="left"/>
      </w:pPr>
      <w:r>
        <w:rPr>
          <w:spacing w:val="-2"/>
        </w:rPr>
        <w:t>金融资产部分转移满足终止确认条件的，将所转移金融资产整体的账面价值，在终止确认部分和未终止确认部分之</w:t>
      </w:r>
      <w:r>
        <w:rPr/>
        <w:t> 间，按照各自的相对公允价值进行分摊，并将下列两项金额的差额计入当期损益：</w:t>
      </w:r>
    </w:p>
    <w:p>
      <w:pPr>
        <w:pStyle w:val="BodyText"/>
        <w:spacing w:line="240" w:lineRule="auto" w:before="19"/>
        <w:ind w:left="873" w:right="1133"/>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left="513" w:right="0"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 </w:t>
      </w:r>
      <w:r>
        <w:rPr>
          <w:spacing w:val="-4"/>
        </w:rPr>
        <w:t>移的金融资产为以公允价值计量且其变动计入其他综合收益的金融资产（债务工具）、可供出售金融资产的情形）之和。</w:t>
      </w:r>
    </w:p>
    <w:p>
      <w:pPr>
        <w:pStyle w:val="BodyText"/>
        <w:spacing w:line="240" w:lineRule="auto" w:before="31"/>
        <w:ind w:left="873" w:right="1133"/>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BodyText"/>
        <w:spacing w:line="300" w:lineRule="auto" w:before="153"/>
        <w:ind w:left="513" w:right="0" w:firstLine="360"/>
        <w:jc w:val="left"/>
      </w:pP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316" w:lineRule="auto" w:before="32"/>
        <w:ind w:right="0"/>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after="0" w:line="316"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300" w:lineRule="auto" w:before="44"/>
        <w:ind w:left="513" w:right="0" w:firstLine="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存在活跃市场的金融工具，以活跃市场中的报价确定其公允价值。不存在活跃市场的金融工具，采用估值技术确定其公</w:t>
      </w:r>
    </w:p>
    <w:p>
      <w:pPr>
        <w:pStyle w:val="BodyText"/>
        <w:spacing w:line="316" w:lineRule="auto" w:before="31"/>
        <w:ind w:right="1132"/>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line="240" w:lineRule="auto" w:before="4"/>
        <w:rPr>
          <w:rFonts w:ascii="宋体" w:hAnsi="宋体" w:cs="宋体" w:eastAsia="宋体" w:hint="default"/>
          <w:sz w:val="25"/>
          <w:szCs w:val="25"/>
        </w:rPr>
      </w:pPr>
    </w:p>
    <w:p>
      <w:pPr>
        <w:pStyle w:val="Heading5"/>
        <w:spacing w:line="300" w:lineRule="auto"/>
        <w:ind w:left="513" w:right="6616" w:firstLine="254"/>
        <w:jc w:val="left"/>
        <w:rPr>
          <w:b w:val="0"/>
          <w:bCs w:val="0"/>
        </w:rPr>
      </w:pPr>
      <w:r>
        <w:rPr>
          <w:rFonts w:ascii="Times New Roman" w:hAnsi="Times New Roman" w:cs="Times New Roman" w:eastAsia="Times New Roman" w:hint="default"/>
        </w:rPr>
        <w:t>6</w:t>
      </w:r>
      <w:r>
        <w:rPr/>
        <w:t>、金融资产减值的测试方法及会计处理方法</w:t>
      </w:r>
      <w:r>
        <w:rPr>
          <w:w w:val="99"/>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316" w:lineRule="auto" w:before="13"/>
        <w:ind w:right="1132" w:firstLine="360"/>
        <w:jc w:val="both"/>
      </w:pPr>
      <w:r>
        <w:rPr>
          <w:spacing w:val="-2"/>
        </w:rPr>
        <w:t>本公司考虑所有合理且有依据的信息，包括前瞻性信息，以单项或组合的方式对以摊余成本计量的金融资产和以公允价</w:t>
      </w:r>
      <w:r>
        <w:rPr/>
        <w:t> </w:t>
      </w:r>
      <w:r>
        <w:rPr>
          <w:spacing w:val="-2"/>
        </w:rPr>
        <w:t>值计量且其变动计入其他综合收益的金融资产（债务工具）的预期信用损失进行估计。预期信用损失的计量取决于金融资产</w:t>
      </w:r>
      <w:r>
        <w:rPr>
          <w:spacing w:val="-64"/>
        </w:rPr>
        <w:t> </w:t>
      </w:r>
      <w:r>
        <w:rPr>
          <w:spacing w:val="-64"/>
        </w:rPr>
      </w:r>
      <w:r>
        <w:rPr/>
        <w:t>自初始确认后是否发生信用风险显著增加。</w:t>
      </w:r>
    </w:p>
    <w:p>
      <w:pPr>
        <w:pStyle w:val="BodyText"/>
        <w:spacing w:line="309" w:lineRule="auto" w:before="19"/>
        <w:ind w:right="1131" w:firstLine="360"/>
        <w:jc w:val="both"/>
      </w:pPr>
      <w:r>
        <w:rPr>
          <w:spacing w:val="-2"/>
        </w:rPr>
        <w:t>如果该金融工具的信用风险自初始确认后已显著增加，本公司按照相当于该金融工具整个存续期内预期信用损失的金额</w:t>
      </w:r>
      <w:r>
        <w:rPr/>
        <w:t> </w:t>
      </w:r>
      <w:r>
        <w:rPr>
          <w:spacing w:val="-2"/>
        </w:rPr>
        <w:t>计量其损失准备；如果该金融工具的信用风险自初始确认后并未显著增加，本公司按照相当于该金融工具未来</w:t>
      </w:r>
      <w:r>
        <w:rPr>
          <w:rFonts w:ascii="Times New Roman" w:hAnsi="Times New Roman" w:cs="Times New Roman" w:eastAsia="Times New Roman" w:hint="default"/>
          <w:spacing w:val="-2"/>
        </w:rPr>
        <w:t>12</w:t>
      </w:r>
      <w:r>
        <w:rPr>
          <w:spacing w:val="-2"/>
        </w:rPr>
        <w:t>个月内预期</w:t>
      </w:r>
      <w:r>
        <w:rPr>
          <w:spacing w:val="-61"/>
        </w:rPr>
        <w:t> </w:t>
      </w:r>
      <w:r>
        <w:rPr>
          <w:spacing w:val="-61"/>
        </w:rPr>
      </w:r>
      <w:r>
        <w:rPr/>
        <w:t>信用损失的金额计量其损失准备。由此形成的损失准备的增加或转回金额，作为减值损失或利得计入当期损益。</w:t>
      </w:r>
    </w:p>
    <w:p>
      <w:pPr>
        <w:pStyle w:val="BodyText"/>
        <w:spacing w:line="300" w:lineRule="auto" w:before="24"/>
        <w:ind w:right="1131" w:firstLine="360"/>
        <w:jc w:val="both"/>
      </w:pPr>
      <w:r>
        <w:rPr>
          <w:spacing w:val="-2"/>
        </w:rPr>
        <w:t>通常逾期超过</w:t>
      </w:r>
      <w:r>
        <w:rPr>
          <w:rFonts w:ascii="Times New Roman" w:hAnsi="Times New Roman" w:cs="Times New Roman" w:eastAsia="Times New Roman" w:hint="default"/>
          <w:spacing w:val="-2"/>
        </w:rPr>
        <w:t>30</w:t>
      </w:r>
      <w:r>
        <w:rPr>
          <w:spacing w:val="-2"/>
        </w:rPr>
        <w:t>日，本公司即认为该金融工具的信用风险已显著增加，除非有确凿证据证明该金融工具的信用风险自初</w:t>
      </w:r>
      <w:r>
        <w:rPr/>
        <w:t> 始确认后并未显著增加。</w:t>
      </w:r>
    </w:p>
    <w:p>
      <w:pPr>
        <w:pStyle w:val="BodyText"/>
        <w:spacing w:line="316" w:lineRule="auto" w:before="31"/>
        <w:ind w:left="513" w:right="0"/>
        <w:jc w:val="left"/>
      </w:pPr>
      <w:r>
        <w:rPr/>
        <w:t>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 </w:t>
      </w:r>
      <w:r>
        <w:rPr>
          <w:spacing w:val="-4"/>
        </w:rPr>
        <w:t>对于应收账款，无论是否包含重大融资成分，本公司始终按照相当于整个存续期内预期信用损失的金额计量其损失准备。</w:t>
      </w:r>
      <w:r>
        <w:rPr>
          <w:spacing w:val="-52"/>
        </w:rPr>
        <w:t> </w:t>
      </w:r>
      <w:r>
        <w:rPr>
          <w:spacing w:val="-52"/>
        </w:rPr>
      </w:r>
      <w:r>
        <w:rPr>
          <w:spacing w:val="-2"/>
        </w:rPr>
        <w:t>对于租赁应收款、公司通过销售商品或提供劳务形成的长期应收款，本公司选择始终按照相当于整个存续期内预期信用</w:t>
      </w:r>
    </w:p>
    <w:p>
      <w:pPr>
        <w:pStyle w:val="BodyText"/>
        <w:spacing w:line="240" w:lineRule="auto" w:before="19"/>
        <w:ind w:right="1133"/>
        <w:jc w:val="left"/>
      </w:pPr>
      <w:r>
        <w:rPr/>
        <w:t>损失的金额计量其损失准备。</w:t>
      </w:r>
    </w:p>
    <w:p>
      <w:pPr>
        <w:spacing w:line="240" w:lineRule="auto" w:before="0"/>
        <w:rPr>
          <w:rFonts w:ascii="宋体" w:hAnsi="宋体" w:cs="宋体" w:eastAsia="宋体" w:hint="default"/>
          <w:sz w:val="18"/>
          <w:szCs w:val="18"/>
        </w:rPr>
      </w:pPr>
    </w:p>
    <w:p>
      <w:pPr>
        <w:spacing w:line="300" w:lineRule="auto" w:before="153"/>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日前适用的会计政策</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240" w:lineRule="auto" w:before="31"/>
        <w:ind w:right="1133"/>
        <w:jc w:val="left"/>
      </w:pPr>
      <w:r>
        <w:rPr/>
        <w:t>有客观证据表明某项金融资产发生减值的，计提减值准备。</w:t>
      </w:r>
    </w:p>
    <w:p>
      <w:pPr>
        <w:pStyle w:val="BodyText"/>
        <w:spacing w:line="300" w:lineRule="auto" w:before="76"/>
        <w:ind w:left="513" w:right="0"/>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31"/>
        <w:ind w:left="513" w:right="0" w:hanging="361"/>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513" w:right="5713" w:hanging="361"/>
        <w:jc w:val="left"/>
      </w:pPr>
      <w:r>
        <w:rPr/>
        <w:t>事项有关的，原确认的减值损失予以转回，计入当期损益。 可供出售权益工具投资发生的减值损失，不通过损益转回。</w:t>
      </w:r>
    </w:p>
    <w:p>
      <w:pPr>
        <w:spacing w:line="240" w:lineRule="auto" w:before="4"/>
        <w:rPr>
          <w:rFonts w:ascii="宋体" w:hAnsi="宋体" w:cs="宋体" w:eastAsia="宋体" w:hint="default"/>
          <w:sz w:val="25"/>
          <w:szCs w:val="25"/>
        </w:rPr>
      </w:pPr>
    </w:p>
    <w:p>
      <w:pPr>
        <w:pStyle w:val="BodyText"/>
        <w:spacing w:line="240" w:lineRule="auto"/>
        <w:ind w:left="513" w:right="1133"/>
        <w:jc w:val="left"/>
      </w:pPr>
      <w:r>
        <w:rPr/>
        <w:t>（</w:t>
      </w:r>
      <w:r>
        <w:rPr>
          <w:rFonts w:ascii="Times New Roman" w:hAnsi="Times New Roman" w:cs="Times New Roman" w:eastAsia="Times New Roman" w:hint="default"/>
        </w:rPr>
        <w:t>2</w:t>
      </w:r>
      <w:r>
        <w:rPr/>
        <w:t>）应收款项坏账准备：</w:t>
      </w:r>
    </w:p>
    <w:p>
      <w:pPr>
        <w:pStyle w:val="BodyText"/>
        <w:spacing w:line="312" w:lineRule="auto" w:before="63"/>
        <w:ind w:left="513" w:right="4318"/>
        <w:jc w:val="left"/>
      </w:pPr>
      <w:r>
        <w:rPr/>
        <w:t>①单项金额重大并单独计提坏账准备的应收款项： 单项金额重大的判断依据或金额标准： 本公司将金额为</w:t>
      </w:r>
      <w:r>
        <w:rPr>
          <w:rFonts w:ascii="Times New Roman" w:hAnsi="Times New Roman" w:cs="Times New Roman" w:eastAsia="Times New Roman" w:hint="default"/>
        </w:rPr>
        <w:t>100.00</w:t>
      </w:r>
      <w:r>
        <w:rPr/>
        <w:t>万元以上的应收款项确认为单项金额重大的应收款项。 单项金额重大并单独计提坏账准备的计提方法：</w:t>
      </w:r>
    </w:p>
    <w:p>
      <w:pPr>
        <w:pStyle w:val="BodyText"/>
        <w:spacing w:line="316" w:lineRule="auto" w:before="22"/>
        <w:ind w:right="1132" w:firstLine="360"/>
        <w:jc w:val="both"/>
      </w:pPr>
      <w:r>
        <w:rPr>
          <w:spacing w:val="-2"/>
        </w:rPr>
        <w:t>本公司对单项金额重大的应收款项单独进行减值测试，如有客观证据表明其已发生减值，按预计未来现金流量现值低于</w:t>
      </w:r>
      <w:r>
        <w:rPr/>
        <w:t> 其账面价值的差额计提坏账准备，计入当期损益。单独测试未发生减值的应收款项，将其归入相应组合计提坏账准备。</w:t>
      </w:r>
    </w:p>
    <w:p>
      <w:pPr>
        <w:pStyle w:val="BodyText"/>
        <w:spacing w:line="240" w:lineRule="auto" w:before="19"/>
        <w:ind w:left="513" w:right="1133"/>
        <w:jc w:val="left"/>
      </w:pPr>
      <w:r>
        <w:rPr/>
        <w:t>②按信用风险特征组合计提坏账准备应收款项：</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76"/>
        <w:gridCol w:w="5346"/>
      </w:tblGrid>
      <w:tr>
        <w:trPr>
          <w:trHeight w:val="348" w:hRule="exact"/>
        </w:trPr>
        <w:tc>
          <w:tcPr>
            <w:tcW w:w="73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6" w:hRule="exact"/>
        </w:trPr>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5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除已单独计提减值准备以及组合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和组合</w:t>
            </w:r>
            <w:r>
              <w:rPr>
                <w:rFonts w:ascii="Times New Roman" w:hAnsi="Times New Roman" w:cs="Times New Roman" w:eastAsia="Times New Roman" w:hint="default"/>
                <w:sz w:val="18"/>
                <w:szCs w:val="18"/>
              </w:rPr>
              <w:t>3</w:t>
            </w:r>
            <w:r>
              <w:rPr>
                <w:rFonts w:ascii="宋体" w:hAnsi="宋体" w:cs="宋体" w:eastAsia="宋体" w:hint="default"/>
                <w:sz w:val="18"/>
                <w:szCs w:val="18"/>
              </w:rPr>
              <w:t>以外的应收款项</w:t>
            </w:r>
          </w:p>
        </w:tc>
      </w:tr>
      <w:tr>
        <w:trPr>
          <w:trHeight w:val="348" w:hRule="exact"/>
        </w:trPr>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5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押金、保证金及备用金</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76"/>
        <w:gridCol w:w="5346"/>
      </w:tblGrid>
      <w:tr>
        <w:trPr>
          <w:trHeight w:val="660" w:hRule="exact"/>
        </w:trPr>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53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0"/>
              <w:jc w:val="left"/>
              <w:rPr>
                <w:rFonts w:ascii="宋体" w:hAnsi="宋体" w:cs="宋体" w:eastAsia="宋体" w:hint="default"/>
                <w:sz w:val="18"/>
                <w:szCs w:val="18"/>
              </w:rPr>
            </w:pPr>
            <w:r>
              <w:rPr>
                <w:rFonts w:ascii="宋体" w:hAnsi="宋体" w:cs="宋体" w:eastAsia="宋体" w:hint="default"/>
                <w:spacing w:val="-3"/>
                <w:sz w:val="18"/>
                <w:szCs w:val="18"/>
              </w:rPr>
              <w:t>合并范围内关联方，即公司与下属子公司以及下属子公司之间的关联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方往来款</w:t>
            </w:r>
          </w:p>
        </w:tc>
      </w:tr>
      <w:tr>
        <w:trPr>
          <w:trHeight w:val="346" w:hRule="exact"/>
        </w:trPr>
        <w:tc>
          <w:tcPr>
            <w:tcW w:w="73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95"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48" w:hRule="exact"/>
        </w:trPr>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5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46" w:hRule="exact"/>
        </w:trPr>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5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48" w:hRule="exact"/>
        </w:trPr>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5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1"/>
        <w:rPr>
          <w:rFonts w:ascii="宋体" w:hAnsi="宋体" w:cs="宋体" w:eastAsia="宋体" w:hint="default"/>
          <w:sz w:val="21"/>
          <w:szCs w:val="21"/>
        </w:rPr>
      </w:pPr>
    </w:p>
    <w:p>
      <w:pPr>
        <w:pStyle w:val="BodyText"/>
        <w:spacing w:line="240" w:lineRule="auto" w:before="44"/>
        <w:ind w:left="513" w:right="1133"/>
        <w:jc w:val="left"/>
      </w:pPr>
      <w:r>
        <w:rPr/>
        <w:t>组合中，采用账龄分析法计提坏账准备的：</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271"/>
        <w:gridCol w:w="2513"/>
        <w:gridCol w:w="2616"/>
      </w:tblGrid>
      <w:tr>
        <w:trPr>
          <w:trHeight w:val="34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w:t>
            </w:r>
          </w:p>
        </w:tc>
      </w:tr>
      <w:tr>
        <w:trPr>
          <w:trHeight w:val="34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15.00</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15.00</w:t>
            </w:r>
          </w:p>
        </w:tc>
      </w:tr>
      <w:tr>
        <w:trPr>
          <w:trHeight w:val="34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30.00</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30.00</w:t>
            </w:r>
          </w:p>
        </w:tc>
      </w:tr>
      <w:tr>
        <w:trPr>
          <w:trHeight w:val="34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
        <w:rPr>
          <w:rFonts w:ascii="宋体" w:hAnsi="宋体" w:cs="宋体" w:eastAsia="宋体" w:hint="default"/>
          <w:sz w:val="21"/>
          <w:szCs w:val="21"/>
        </w:rPr>
      </w:pPr>
    </w:p>
    <w:p>
      <w:pPr>
        <w:pStyle w:val="BodyText"/>
        <w:spacing w:line="316" w:lineRule="auto" w:before="44"/>
        <w:ind w:left="513" w:right="6253"/>
        <w:jc w:val="left"/>
      </w:pPr>
      <w:r>
        <w:rPr/>
        <w:t>③单项金额不重大但单独计提坏账准备的应收款项： 单独计提坏账准备的理由</w:t>
      </w:r>
    </w:p>
    <w:p>
      <w:pPr>
        <w:pStyle w:val="BodyText"/>
        <w:spacing w:line="316" w:lineRule="auto" w:before="19"/>
        <w:ind w:left="513" w:right="1933"/>
        <w:jc w:val="left"/>
      </w:pPr>
      <w:r>
        <w:rPr/>
        <w:t>应收款项的未来现金流量现值与以账龄为信用风险特征的应收款项组合的未来现金流量现值存在显著差异。 坏账准备的计提方法</w:t>
      </w:r>
    </w:p>
    <w:p>
      <w:pPr>
        <w:pStyle w:val="BodyText"/>
        <w:spacing w:line="240" w:lineRule="auto" w:before="19"/>
        <w:ind w:left="513" w:right="1133"/>
        <w:jc w:val="left"/>
      </w:pPr>
      <w:r>
        <w:rPr/>
        <w:t>单独进行减值测试，根据其未来现金流量现值低于其账面价值的差额计提坏账准备。</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1、应收票据" w:id="185"/>
      <w:bookmarkEnd w:id="185"/>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spacing w:line="547" w:lineRule="auto" w:before="120"/>
        <w:ind w:left="152" w:right="8254" w:firstLine="0"/>
        <w:jc w:val="left"/>
        <w:rPr>
          <w:rFonts w:ascii="宋体" w:hAnsi="宋体" w:cs="宋体" w:eastAsia="宋体" w:hint="default"/>
          <w:sz w:val="21"/>
          <w:szCs w:val="21"/>
        </w:rPr>
      </w:pPr>
      <w:bookmarkStart w:name="12、应收账款" w:id="186"/>
      <w:bookmarkEnd w:id="186"/>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sz w:val="18"/>
          <w:szCs w:val="18"/>
        </w:rPr>
        <w:t>见本附注</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13、其他应收款" w:id="187"/>
      <w:bookmarkEnd w:id="187"/>
      <w:r>
        <w:rPr>
          <w:rFonts w:ascii="宋体" w:hAnsi="宋体" w:cs="宋体" w:eastAsia="宋体" w:hint="default"/>
          <w:sz w:val="18"/>
          <w:szCs w:val="18"/>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BodyText"/>
        <w:spacing w:line="360" w:lineRule="auto" w:before="44"/>
        <w:ind w:right="6434"/>
        <w:jc w:val="left"/>
      </w:pPr>
      <w:r>
        <w:rPr/>
        <w:t>其他应收款的预期信用损失的确定方法及会计处理方法 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8"/>
          <w:szCs w:val="18"/>
        </w:rPr>
      </w:pPr>
    </w:p>
    <w:p>
      <w:pPr>
        <w:pStyle w:val="Heading4"/>
        <w:spacing w:line="240" w:lineRule="auto"/>
        <w:ind w:right="1133"/>
        <w:jc w:val="left"/>
        <w:rPr>
          <w:b w:val="0"/>
          <w:bCs w:val="0"/>
        </w:rPr>
      </w:pPr>
      <w:bookmarkStart w:name="14、存货" w:id="188"/>
      <w:bookmarkEnd w:id="188"/>
      <w:r>
        <w:rPr>
          <w:b w:val="0"/>
          <w:bCs w:val="0"/>
        </w:rPr>
      </w:r>
      <w:r>
        <w:rPr>
          <w:rFonts w:ascii="Times New Roman" w:hAnsi="Times New Roman" w:cs="Times New Roman" w:eastAsia="Times New Roman" w:hint="default"/>
        </w:rPr>
        <w:t>14</w:t>
      </w:r>
      <w:r>
        <w:rPr/>
        <w:t>、存货</w:t>
      </w:r>
      <w:r>
        <w:rPr>
          <w:b w:val="0"/>
          <w:bCs w:val="0"/>
        </w:rPr>
      </w:r>
    </w:p>
    <w:p>
      <w:pPr>
        <w:spacing w:line="240" w:lineRule="auto" w:before="2"/>
        <w:rPr>
          <w:rFonts w:ascii="宋体" w:hAnsi="宋体" w:cs="宋体" w:eastAsia="宋体" w:hint="default"/>
          <w:b/>
          <w:bCs/>
          <w:sz w:val="26"/>
          <w:szCs w:val="26"/>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5"/>
        </w:rPr>
        <w:t> </w:t>
      </w:r>
      <w:r>
        <w:rPr/>
        <w:t>存货的分类</w:t>
      </w:r>
      <w:r>
        <w:rPr>
          <w:b w:val="0"/>
          <w:bCs w:val="0"/>
        </w:rPr>
      </w:r>
    </w:p>
    <w:p>
      <w:pPr>
        <w:pStyle w:val="BodyText"/>
        <w:spacing w:line="240" w:lineRule="auto" w:before="76"/>
        <w:ind w:left="873" w:right="1133"/>
        <w:jc w:val="left"/>
      </w:pPr>
      <w:r>
        <w:rPr/>
        <w:t>存货分类为：原材料、库存商品、发出商品、委托加工物资等。</w:t>
      </w:r>
    </w:p>
    <w:p>
      <w:pPr>
        <w:spacing w:line="240" w:lineRule="auto" w:before="0"/>
        <w:rPr>
          <w:rFonts w:ascii="宋体" w:hAnsi="宋体" w:cs="宋体" w:eastAsia="宋体" w:hint="default"/>
          <w:sz w:val="18"/>
          <w:szCs w:val="18"/>
        </w:rPr>
      </w:pPr>
    </w:p>
    <w:p>
      <w:pPr>
        <w:pStyle w:val="Heading5"/>
        <w:spacing w:line="240" w:lineRule="auto" w:before="153"/>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发出存货的计价方法</w:t>
      </w:r>
      <w:r>
        <w:rPr>
          <w:b w:val="0"/>
          <w:bCs w:val="0"/>
        </w:rPr>
      </w:r>
    </w:p>
    <w:p>
      <w:pPr>
        <w:pStyle w:val="BodyText"/>
        <w:spacing w:line="240" w:lineRule="auto" w:before="76"/>
        <w:ind w:left="873" w:right="1133"/>
        <w:jc w:val="left"/>
      </w:pPr>
      <w:r>
        <w:rPr/>
        <w:t>存货发出时按加权平均法计价</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873" w:right="0" w:hanging="72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不同类别存货可变现净值的确定依据</w:t>
      </w:r>
      <w:r>
        <w:rPr>
          <w:rFonts w:ascii="宋体" w:hAnsi="宋体" w:cs="宋体" w:eastAsia="宋体" w:hint="default"/>
          <w:b/>
          <w:bCs/>
          <w:w w:val="99"/>
          <w:sz w:val="18"/>
          <w:szCs w:val="18"/>
        </w:rPr>
        <w:t> </w:t>
      </w:r>
      <w:r>
        <w:rPr>
          <w:rFonts w:ascii="宋体" w:hAnsi="宋体" w:cs="宋体" w:eastAsia="宋体" w:hint="default"/>
          <w:spacing w:val="-2"/>
          <w:sz w:val="18"/>
          <w:szCs w:val="18"/>
        </w:rPr>
        <w:t>产成品、库存商品和用于出售的材料等直接用于出售的商品存货，在正常生产经营过程中，以该存货的估计售价减</w:t>
      </w:r>
    </w:p>
    <w:p>
      <w:pPr>
        <w:pStyle w:val="BodyText"/>
        <w:spacing w:line="316" w:lineRule="auto" w:before="17"/>
        <w:ind w:left="513" w:right="0"/>
        <w:jc w:val="left"/>
      </w:pPr>
      <w:r>
        <w:rPr>
          <w:spacing w:val="-2"/>
        </w:rPr>
        <w:t>去估计的销售费用和相关税费后的金额，确定其可变现净值；需要经过加工的材料存货，在正常生产经营过程中，以所</w:t>
      </w:r>
      <w:r>
        <w:rPr>
          <w:spacing w:val="-69"/>
        </w:rPr>
        <w:t> </w:t>
      </w:r>
      <w:r>
        <w:rPr>
          <w:spacing w:val="-69"/>
        </w:rPr>
      </w:r>
      <w:r>
        <w:rPr>
          <w:spacing w:val="-4"/>
        </w:rPr>
        <w:t>生产的产成品的估计售价减去至完工时估计将要发生的成本、估计的销售费用和相关税费后的金额，确定其可变现净值；</w:t>
      </w:r>
      <w:r>
        <w:rPr>
          <w:spacing w:val="-52"/>
        </w:rPr>
        <w:t> </w:t>
      </w:r>
      <w:r>
        <w:rPr>
          <w:spacing w:val="-52"/>
        </w:rPr>
      </w:r>
      <w:r>
        <w:rPr>
          <w:spacing w:val="-2"/>
        </w:rPr>
        <w:t>为执行销售合同或者劳务合同而持有的存货，其可变现净值以合同价格为基础计算，若持有存货的数量多于销售合同订</w:t>
      </w:r>
      <w:r>
        <w:rPr>
          <w:spacing w:val="-68"/>
        </w:rPr>
        <w:t> </w:t>
      </w:r>
      <w:r>
        <w:rPr>
          <w:spacing w:val="-68"/>
        </w:rPr>
      </w:r>
      <w:r>
        <w:rPr/>
        <w:t>购数量的，超出部分的存货的可变现净值以一般销售价格为基础计算。</w:t>
      </w:r>
    </w:p>
    <w:p>
      <w:pPr>
        <w:pStyle w:val="BodyText"/>
        <w:spacing w:line="316" w:lineRule="auto" w:before="19"/>
        <w:ind w:left="513" w:right="1033" w:firstLine="360"/>
        <w:jc w:val="left"/>
      </w:pPr>
      <w:r>
        <w:rPr/>
        <w:t>期末按照单个存货项目计提存货跌价准备；但对于数量繁多、单价较低的存货，按照存货类别计提存货跌价准备； </w:t>
      </w:r>
      <w:r>
        <w:rPr>
          <w:spacing w:val="-2"/>
        </w:rPr>
        <w:t>与在同一地区生产和销售的产品系列相关、具有相同或类似最终用途或目的，且难以与其他项目分开计量的存货，则合</w:t>
      </w:r>
      <w:r>
        <w:rPr>
          <w:spacing w:val="-67"/>
        </w:rPr>
        <w:t> </w:t>
      </w:r>
      <w:r>
        <w:rPr>
          <w:spacing w:val="-67"/>
        </w:rPr>
      </w:r>
      <w:r>
        <w:rPr/>
        <w:t>并计提存货跌价准备。</w:t>
      </w:r>
    </w:p>
    <w:p>
      <w:pPr>
        <w:pStyle w:val="BodyText"/>
        <w:spacing w:line="316" w:lineRule="auto" w:before="19"/>
        <w:ind w:left="873" w:right="121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4"/>
        <w:rPr>
          <w:rFonts w:ascii="宋体" w:hAnsi="宋体" w:cs="宋体" w:eastAsia="宋体" w:hint="default"/>
          <w:sz w:val="25"/>
          <w:szCs w:val="25"/>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存货的盘存制度</w:t>
      </w:r>
      <w:r>
        <w:rPr>
          <w:b w:val="0"/>
          <w:bCs w:val="0"/>
        </w:rPr>
      </w:r>
    </w:p>
    <w:p>
      <w:pPr>
        <w:pStyle w:val="BodyText"/>
        <w:spacing w:line="240" w:lineRule="auto" w:before="76"/>
        <w:ind w:left="873" w:right="1133"/>
        <w:jc w:val="left"/>
      </w:pPr>
      <w:r>
        <w:rPr/>
        <w:t>采用永续盘存制。</w:t>
      </w:r>
    </w:p>
    <w:p>
      <w:pPr>
        <w:spacing w:line="240" w:lineRule="auto" w:before="0"/>
        <w:rPr>
          <w:rFonts w:ascii="宋体" w:hAnsi="宋体" w:cs="宋体" w:eastAsia="宋体" w:hint="default"/>
          <w:sz w:val="18"/>
          <w:szCs w:val="18"/>
        </w:rPr>
      </w:pPr>
    </w:p>
    <w:p>
      <w:pPr>
        <w:pStyle w:val="Heading5"/>
        <w:spacing w:line="240" w:lineRule="auto" w:before="153"/>
        <w:ind w:right="1133"/>
        <w:jc w:val="left"/>
        <w:rPr>
          <w:b w:val="0"/>
          <w:bCs w:val="0"/>
        </w:rPr>
      </w:pPr>
      <w:r>
        <w:rPr>
          <w:rFonts w:ascii="宋体" w:hAnsi="宋体" w:cs="宋体" w:eastAsia="宋体" w:hint="default"/>
        </w:rPr>
        <w:t>1.</w:t>
      </w:r>
      <w:r>
        <w:rPr>
          <w:rFonts w:ascii="宋体" w:hAnsi="宋体" w:cs="宋体" w:eastAsia="宋体" w:hint="default"/>
          <w:spacing w:val="85"/>
        </w:rPr>
        <w:t> </w:t>
      </w:r>
      <w:r>
        <w:rPr/>
        <w:t>低值易耗品和包装物的摊销方法</w:t>
      </w:r>
      <w:r>
        <w:rPr>
          <w:b w:val="0"/>
          <w:bCs w:val="0"/>
        </w:rPr>
      </w:r>
    </w:p>
    <w:p>
      <w:pPr>
        <w:pStyle w:val="BodyText"/>
        <w:spacing w:line="240" w:lineRule="auto" w:before="76"/>
        <w:ind w:left="513" w:right="1133"/>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）包装物采用一次转销法。</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15、持有待售资产" w:id="189"/>
      <w:bookmarkEnd w:id="189"/>
      <w:r>
        <w:rPr>
          <w:b w:val="0"/>
          <w:bCs w:val="0"/>
        </w:rPr>
      </w:r>
      <w:r>
        <w:rPr>
          <w:rFonts w:ascii="Times New Roman" w:hAnsi="Times New Roman" w:cs="Times New Roman" w:eastAsia="Times New Roman" w:hint="default"/>
        </w:rPr>
        <w:t>15</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本公司将同时满足下列条件的非流动资产或处置组划分为持有待售类别：</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1133"/>
        <w:jc w:val="left"/>
        <w:rPr>
          <w:b w:val="0"/>
          <w:bCs w:val="0"/>
        </w:rPr>
      </w:pPr>
      <w:bookmarkStart w:name="16、长期股权投资" w:id="190"/>
      <w:bookmarkEnd w:id="190"/>
      <w:r>
        <w:rPr>
          <w:b w:val="0"/>
          <w:bCs w:val="0"/>
        </w:rPr>
      </w:r>
      <w:r>
        <w:rPr>
          <w:rFonts w:ascii="Times New Roman" w:hAnsi="Times New Roman" w:cs="Times New Roman" w:eastAsia="Times New Roman" w:hint="default"/>
        </w:rPr>
        <w:t>16</w:t>
      </w:r>
      <w:r>
        <w:rPr/>
        <w:t>、长期股权投资</w:t>
      </w:r>
      <w:r>
        <w:rPr>
          <w:b w:val="0"/>
          <w:bCs w:val="0"/>
        </w:rPr>
      </w:r>
    </w:p>
    <w:p>
      <w:pPr>
        <w:spacing w:line="240" w:lineRule="auto" w:before="2"/>
        <w:rPr>
          <w:rFonts w:ascii="宋体" w:hAnsi="宋体" w:cs="宋体" w:eastAsia="宋体" w:hint="default"/>
          <w:b/>
          <w:bCs/>
          <w:sz w:val="26"/>
          <w:szCs w:val="26"/>
        </w:rPr>
      </w:pPr>
    </w:p>
    <w:p>
      <w:pPr>
        <w:spacing w:line="316" w:lineRule="auto" w:before="0"/>
        <w:ind w:left="873" w:right="0" w:hanging="72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w:t>
      </w:r>
    </w:p>
    <w:p>
      <w:pPr>
        <w:pStyle w:val="BodyText"/>
        <w:spacing w:line="316" w:lineRule="auto" w:before="19"/>
        <w:ind w:left="513" w:right="0"/>
        <w:jc w:val="left"/>
      </w:pPr>
      <w:r>
        <w:rPr>
          <w:spacing w:val="-2"/>
        </w:rPr>
        <w:t>同意后才能决策。本公司与其他合营方一同对被投资单位实施共同控制且对被投资单位净资产享有权利的，被投资单位</w:t>
      </w:r>
      <w:r>
        <w:rPr>
          <w:spacing w:val="-68"/>
        </w:rPr>
        <w:t> </w:t>
      </w:r>
      <w:r>
        <w:rPr>
          <w:spacing w:val="-68"/>
        </w:rPr>
      </w:r>
      <w:r>
        <w:rPr/>
        <w:t>为本公司的合营企业。</w:t>
      </w:r>
    </w:p>
    <w:p>
      <w:pPr>
        <w:pStyle w:val="BodyText"/>
        <w:spacing w:line="316" w:lineRule="auto" w:before="19"/>
        <w:ind w:left="513" w:right="0" w:firstLine="360"/>
        <w:jc w:val="left"/>
      </w:pPr>
      <w:r>
        <w:rPr>
          <w:spacing w:val="-2"/>
        </w:rPr>
        <w:t>重大影响，是指对一个企业的财务和经营决策有参与决策的权力，但并不能够控制或者与其他方一起共同控制这些</w:t>
      </w:r>
      <w:r>
        <w:rPr/>
        <w:t> 政策的制定。本公司能够对被投资单位施加重大影响的，被投资单位为本公司联营企业。</w:t>
      </w:r>
    </w:p>
    <w:p>
      <w:pPr>
        <w:spacing w:line="240" w:lineRule="auto" w:before="4"/>
        <w:rPr>
          <w:rFonts w:ascii="宋体" w:hAnsi="宋体" w:cs="宋体" w:eastAsia="宋体" w:hint="default"/>
          <w:sz w:val="25"/>
          <w:szCs w:val="25"/>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初始投资成本的确定</w:t>
      </w:r>
      <w:r>
        <w:rPr>
          <w:b w:val="0"/>
          <w:bCs w:val="0"/>
        </w:rPr>
      </w:r>
    </w:p>
    <w:p>
      <w:pPr>
        <w:pStyle w:val="BodyText"/>
        <w:spacing w:line="300" w:lineRule="auto" w:before="76"/>
        <w:ind w:left="873" w:right="0"/>
        <w:jc w:val="left"/>
      </w:pPr>
      <w:r>
        <w:rPr/>
        <w:t>（</w:t>
      </w:r>
      <w:r>
        <w:rPr>
          <w:rFonts w:ascii="Times New Roman" w:hAnsi="Times New Roman" w:cs="Times New Roman" w:eastAsia="Times New Roman" w:hint="default"/>
        </w:rPr>
        <w:t>1</w:t>
      </w:r>
      <w:r>
        <w:rPr/>
        <w:t>）企业合并形成的长期股权投资 </w:t>
      </w:r>
      <w:r>
        <w:rPr>
          <w:spacing w:val="-4"/>
        </w:rPr>
        <w:t>同一控制下的企业合并：公司以支付现金、转让非现金资产或承担债务方式以及以发行权益性证券作为合并对价的，</w:t>
      </w:r>
    </w:p>
    <w:p>
      <w:pPr>
        <w:pStyle w:val="BodyText"/>
        <w:spacing w:line="316" w:lineRule="auto" w:before="31"/>
        <w:ind w:left="513" w:right="1033"/>
        <w:jc w:val="left"/>
      </w:pPr>
      <w:r>
        <w:rPr/>
        <w:t>在合并日按照取得被合并方所有者权益在最终控制方合并财务报表中的账面价值的份额作为长期股权投资的初始投资</w:t>
      </w:r>
      <w:r>
        <w:rPr>
          <w:spacing w:val="-3"/>
        </w:rPr>
        <w:t> </w:t>
      </w:r>
      <w:r>
        <w:rPr>
          <w:spacing w:val="-3"/>
        </w:rPr>
      </w:r>
      <w:r>
        <w:rPr>
          <w:spacing w:val="-2"/>
        </w:rPr>
        <w:t>成本。因追加投资等原因能够对同一控制下的被投资单位实施控制的，在合并日根据合并后应享有被合并方净资产在最</w:t>
      </w:r>
      <w:r>
        <w:rPr>
          <w:spacing w:val="-68"/>
        </w:rPr>
        <w:t> </w:t>
      </w:r>
      <w:r>
        <w:rPr>
          <w:spacing w:val="-68"/>
        </w:rPr>
      </w:r>
      <w:r>
        <w:rPr>
          <w:spacing w:val="-4"/>
        </w:rPr>
        <w:t>终控制方合并财务报表中的账面价值的份额，确定长期股权投资的初始投资成本。合并日长期股权投资的初始投资成本，</w:t>
      </w:r>
      <w:r>
        <w:rPr>
          <w:spacing w:val="-52"/>
        </w:rPr>
        <w:t> </w:t>
      </w:r>
      <w:r>
        <w:rPr>
          <w:spacing w:val="-52"/>
        </w:rPr>
      </w:r>
      <w:r>
        <w:rPr/>
        <w:t>与达到合并前的长期股权投资账面价值加上合并日进一步取得股份新支付对价的账面价值之和的差额，调整股本溢价， 股本溢价不足冲减的，冲减留存收益。</w:t>
      </w:r>
    </w:p>
    <w:p>
      <w:pPr>
        <w:pStyle w:val="BodyText"/>
        <w:spacing w:line="240" w:lineRule="auto" w:before="19"/>
        <w:ind w:left="873" w:right="0"/>
        <w:jc w:val="left"/>
      </w:pPr>
      <w:r>
        <w:rPr/>
        <w:t>非同一控制下的企业合并：公司按照购买日确定的合并成本作为长期股权投资的初始投资成本。因追加投资等原因</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32"/>
        <w:jc w:val="both"/>
      </w:pPr>
      <w:r>
        <w:rPr>
          <w:spacing w:val="-2"/>
        </w:rPr>
        <w:t>能够对非同一控制下的被投资单位实施控制的，按照原持有的股权投资账面价值加上新增投资成本之和，作为改按成本</w:t>
      </w:r>
      <w:r>
        <w:rPr>
          <w:spacing w:val="-68"/>
        </w:rPr>
        <w:t> </w:t>
      </w:r>
      <w:r>
        <w:rPr>
          <w:spacing w:val="-68"/>
        </w:rPr>
      </w:r>
      <w:r>
        <w:rPr/>
        <w:t>法核算的初始投资成本。</w:t>
      </w:r>
    </w:p>
    <w:p>
      <w:pPr>
        <w:pStyle w:val="BodyText"/>
        <w:spacing w:line="312" w:lineRule="auto" w:before="17"/>
        <w:ind w:left="873" w:right="1119"/>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在非货币性资产交换具有商业实质且换入资产和换出资产的公允价值均能够可靠计量的前提下，非货币性资产交换</w:t>
      </w:r>
    </w:p>
    <w:p>
      <w:pPr>
        <w:pStyle w:val="BodyText"/>
        <w:spacing w:line="316" w:lineRule="auto" w:before="22"/>
        <w:ind w:left="513" w:right="1132"/>
        <w:jc w:val="both"/>
      </w:pPr>
      <w:r>
        <w:rPr>
          <w:spacing w:val="-2"/>
        </w:rPr>
        <w:t>换入的长期股权投资以换出资产的公允价值和应支付的相关税费确定其初始投资成本，除非有确凿证据表明换入资产的</w:t>
      </w:r>
      <w:r>
        <w:rPr>
          <w:spacing w:val="-68"/>
        </w:rPr>
        <w:t> </w:t>
      </w:r>
      <w:r>
        <w:rPr>
          <w:spacing w:val="-68"/>
        </w:rPr>
      </w:r>
      <w:r>
        <w:rPr>
          <w:spacing w:val="-2"/>
        </w:rPr>
        <w:t>公允价值更加可靠；不满足上述前提的非货币性资产交换，以换出资产的账面价值和应支付的相关税费作为换入长期股</w:t>
      </w:r>
      <w:r>
        <w:rPr>
          <w:spacing w:val="-68"/>
        </w:rPr>
        <w:t> </w:t>
      </w:r>
      <w:r>
        <w:rPr>
          <w:spacing w:val="-68"/>
        </w:rPr>
      </w:r>
      <w:r>
        <w:rPr/>
        <w:t>权投资的初始投资成本。</w:t>
      </w:r>
    </w:p>
    <w:p>
      <w:pPr>
        <w:pStyle w:val="BodyText"/>
        <w:spacing w:line="316" w:lineRule="auto" w:before="19"/>
        <w:ind w:left="513" w:right="0" w:firstLine="360"/>
        <w:jc w:val="left"/>
      </w:pPr>
      <w:r>
        <w:rPr>
          <w:spacing w:val="-2"/>
        </w:rPr>
        <w:t>通过债务重组取得的长期股权投资，以所放弃债权的公允价值和可直接归属于该资产的税金等其他成本确定其入账</w:t>
      </w:r>
      <w:r>
        <w:rPr/>
        <w:t> 价值，并将所放弃债权的公允价值与账面价值之间的差额，计入当期损益。</w:t>
      </w:r>
    </w:p>
    <w:p>
      <w:pPr>
        <w:spacing w:line="240" w:lineRule="auto" w:before="4"/>
        <w:rPr>
          <w:rFonts w:ascii="宋体" w:hAnsi="宋体" w:cs="宋体" w:eastAsia="宋体" w:hint="default"/>
          <w:sz w:val="25"/>
          <w:szCs w:val="25"/>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5"/>
        </w:rPr>
        <w:t> </w:t>
      </w:r>
      <w:r>
        <w:rPr/>
        <w:t>后续计量及损益确认方法</w:t>
      </w:r>
      <w:r>
        <w:rPr>
          <w:b w:val="0"/>
          <w:bCs w:val="0"/>
        </w:rPr>
      </w:r>
    </w:p>
    <w:p>
      <w:pPr>
        <w:pStyle w:val="BodyText"/>
        <w:spacing w:line="300" w:lineRule="auto" w:before="76"/>
        <w:ind w:left="513" w:right="1132"/>
        <w:jc w:val="both"/>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right="1133"/>
        <w:jc w:val="left"/>
      </w:pPr>
      <w:r>
        <w:rPr/>
        <w:t>金股利或利润外，公司按照享有被投资单位宣告发放的现金股利或利润确认当期投资收益。</w:t>
      </w:r>
    </w:p>
    <w:p>
      <w:pPr>
        <w:pStyle w:val="BodyText"/>
        <w:spacing w:line="300" w:lineRule="auto" w:before="76"/>
        <w:ind w:left="513" w:right="1132"/>
        <w:jc w:val="both"/>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31"/>
        <w:ind w:right="0"/>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9"/>
        <w:ind w:right="113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19"/>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9"/>
        <w:ind w:right="113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t>企业之间发生投出或出售资产的交易，该资产构成业务的，按照本附注</w:t>
      </w:r>
      <w:r>
        <w:rPr>
          <w:rFonts w:ascii="Times New Roman" w:hAnsi="Times New Roman" w:cs="Times New Roman" w:eastAsia="Times New Roman" w:hint="default"/>
        </w:rPr>
        <w:t>“</w:t>
      </w:r>
      <w:r>
        <w:rPr/>
        <w:t>五、（五）同一控制下和非同一控制下企业合并的</w:t>
      </w:r>
      <w:r>
        <w:rPr>
          <w:spacing w:val="-75"/>
        </w:rPr>
        <w:t> </w:t>
      </w:r>
      <w:r>
        <w:rPr>
          <w:spacing w:val="-75"/>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五、（六）合并财务报表的编制方法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103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00" w:lineRule="auto" w:before="19"/>
        <w:ind w:left="513" w:right="463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9"/>
        <w:ind w:right="1051" w:firstLine="360"/>
        <w:jc w:val="both"/>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p>
    <w:p>
      <w:pPr>
        <w:spacing w:after="0" w:line="316"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7"/>
        <w:ind w:right="1129"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2"/>
        </w:rPr>
        <w:t> </w:t>
      </w:r>
      <w:r>
        <w:rPr>
          <w:spacing w:val="-62"/>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9"/>
        <w:ind w:right="113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17、固定资产" w:id="191"/>
      <w:bookmarkEnd w:id="191"/>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31"/>
        <w:jc w:val="both"/>
      </w:pPr>
      <w:r>
        <w:rPr>
          <w:rFonts w:ascii="Times New Roman" w:hAnsi="Times New Roman" w:cs="Times New Roman" w:eastAsia="Times New Roman" w:hint="default"/>
        </w:rPr>
        <w:t>1</w:t>
      </w:r>
      <w:r>
        <w:rPr/>
        <w:t>、</w:t>
      </w:r>
      <w:r>
        <w:rPr>
          <w:spacing w:val="59"/>
        </w:rPr>
        <w:t> </w:t>
      </w:r>
      <w:r>
        <w:rPr/>
        <w:t>固定资产确认条件固定资产指为生产商品、提供劳务、出租或经营管理而持有，并且使用寿命超过一个会计年度的有</w:t>
      </w:r>
      <w:r>
        <w:rPr/>
        <w:t> </w:t>
      </w:r>
      <w:r>
        <w:rPr>
          <w:spacing w:val="-5"/>
        </w:rPr>
        <w:t>形资产。固定资产在同时满足下列条件时予以确认：（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）该固定资产的</w:t>
      </w:r>
      <w:r>
        <w:rPr>
          <w:spacing w:val="-75"/>
        </w:rPr>
        <w:t> </w:t>
      </w:r>
      <w:r>
        <w:rPr>
          <w:spacing w:val="-75"/>
        </w:rPr>
      </w:r>
      <w:r>
        <w:rPr/>
        <w:t>成本能够可靠地计量。</w:t>
      </w:r>
      <w:r>
        <w:rPr>
          <w:rFonts w:ascii="Times New Roman" w:hAnsi="Times New Roman" w:cs="Times New Roman" w:eastAsia="Times New Roman" w:hint="default"/>
        </w:rPr>
        <w:t>2</w:t>
      </w:r>
      <w:r>
        <w:rPr/>
        <w:t>、</w:t>
      </w:r>
      <w:r>
        <w:rPr>
          <w:spacing w:val="-79"/>
        </w:rPr>
        <w:t> </w:t>
      </w:r>
      <w:r>
        <w:rPr/>
        <w:t>折旧方法固定资产折旧采用年限平均法分类计提，根据固定资产类别、预计使用寿命和预计净残</w:t>
      </w:r>
      <w:r>
        <w:rPr/>
        <w:t> </w:t>
      </w:r>
      <w:r>
        <w:rPr>
          <w:spacing w:val="-2"/>
        </w:rPr>
        <w:t>值率确定折旧率。如固定资产各组成部分的使用寿命不同或者以不同方式为企业提供经济利益，则选择不同折旧率或折旧方</w:t>
      </w:r>
      <w:r>
        <w:rPr>
          <w:spacing w:val="-62"/>
        </w:rPr>
        <w:t> </w:t>
      </w:r>
      <w:r>
        <w:rPr>
          <w:spacing w:val="-62"/>
        </w:rPr>
      </w:r>
      <w:r>
        <w:rPr>
          <w:spacing w:val="-2"/>
        </w:rPr>
        <w:t>法，分别计提折旧。融资租赁方式租入的固定资产，能合理确定租赁期届满时将会取得租赁资产所有权的，在租赁资产尚可</w:t>
      </w:r>
      <w:r>
        <w:rPr>
          <w:spacing w:val="-64"/>
        </w:rPr>
        <w:t> </w:t>
      </w:r>
      <w:r>
        <w:rPr>
          <w:spacing w:val="-64"/>
        </w:rPr>
      </w:r>
      <w:r>
        <w:rPr>
          <w:spacing w:val="-2"/>
        </w:rPr>
        <w:t>使用年限内计提折旧；无法合理确定租赁期届满时能够取得租赁资产所有权的，在租赁期与租赁资产尚可使用年限两者中较</w:t>
      </w:r>
      <w:r>
        <w:rPr>
          <w:spacing w:val="-64"/>
        </w:rPr>
        <w:t> </w:t>
      </w:r>
      <w:r>
        <w:rPr>
          <w:spacing w:val="-64"/>
        </w:rPr>
      </w:r>
      <w:r>
        <w:rPr/>
        <w:t>短的期间内计提折旧。</w:t>
      </w:r>
    </w:p>
    <w:p>
      <w:pPr>
        <w:spacing w:line="240" w:lineRule="auto" w:before="3"/>
        <w:rPr>
          <w:rFonts w:ascii="宋体" w:hAnsi="宋体" w:cs="宋体" w:eastAsia="宋体" w:hint="default"/>
          <w:sz w:val="23"/>
          <w:szCs w:val="23"/>
        </w:rPr>
      </w:pPr>
    </w:p>
    <w:p>
      <w:pPr>
        <w:pStyle w:val="Heading4"/>
        <w:spacing w:line="240" w:lineRule="auto"/>
        <w:ind w:right="0"/>
        <w:jc w:val="both"/>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1.90%,3.17%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机具设备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19.00%-47.50%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11.88%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11.88%-31.67%</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0"/>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2"/>
        </w:rPr>
        <w:t> </w:t>
      </w:r>
      <w:r>
        <w:rPr>
          <w:spacing w:val="-42"/>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70"/>
        </w:rPr>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after="0" w:line="304"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8、无形资产" w:id="195"/>
      <w:bookmarkEnd w:id="195"/>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无形资产的计价方法</w:t>
      </w:r>
      <w:r>
        <w:rPr>
          <w:b w:val="0"/>
          <w:bCs w:val="0"/>
        </w:rPr>
      </w:r>
    </w:p>
    <w:p>
      <w:pPr>
        <w:pStyle w:val="BodyText"/>
        <w:spacing w:line="300" w:lineRule="auto" w:before="76"/>
        <w:ind w:left="873"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w:t>
      </w:r>
    </w:p>
    <w:p>
      <w:pPr>
        <w:pStyle w:val="BodyText"/>
        <w:spacing w:line="316" w:lineRule="auto" w:before="31"/>
        <w:ind w:left="873" w:right="1033" w:hanging="360"/>
        <w:jc w:val="left"/>
      </w:pPr>
      <w:r>
        <w:rPr/>
        <w:t>无形资产的价款超过正常信用条件延期支付，实质上具有融资性质的，无形资产的成本以购买价款的现值为基础确定。 </w:t>
      </w:r>
      <w:r>
        <w:rPr>
          <w:spacing w:val="-2"/>
        </w:rPr>
        <w:t>债务重组取得债务人用以抵债的无形资产，以所放弃债权的公允价值和可直接归属于使该资产达到预定用途所发生</w:t>
      </w:r>
    </w:p>
    <w:p>
      <w:pPr>
        <w:pStyle w:val="BodyText"/>
        <w:spacing w:line="316" w:lineRule="auto" w:before="19"/>
        <w:ind w:left="873" w:right="0" w:hanging="360"/>
        <w:jc w:val="left"/>
      </w:pPr>
      <w:r>
        <w:rPr/>
        <w:t>的税金等其他成本确定其入账价值，并将所放弃债权的公允价值与账面价值之间的差额，计入当期损益。 </w:t>
      </w:r>
      <w:r>
        <w:rPr>
          <w:spacing w:val="-2"/>
        </w:rPr>
        <w:t>在非货币性资产交换具有商业实质且换入资产和换出资产的公允价值均能够可靠计量的前提下，非货币性资产交换</w:t>
      </w:r>
    </w:p>
    <w:p>
      <w:pPr>
        <w:pStyle w:val="BodyText"/>
        <w:spacing w:line="319" w:lineRule="auto" w:before="19"/>
        <w:ind w:left="513" w:right="0"/>
        <w:jc w:val="left"/>
      </w:pPr>
      <w:r>
        <w:rPr>
          <w:spacing w:val="-2"/>
        </w:rPr>
        <w:t>换入的无形资产以换出资产的公允价值为基础确定其入账价值，除非有确凿证据表明换入资产的公允价值更加可靠；不</w:t>
      </w:r>
      <w:r>
        <w:rPr>
          <w:spacing w:val="-68"/>
        </w:rPr>
        <w:t> </w:t>
      </w:r>
      <w:r>
        <w:rPr>
          <w:spacing w:val="-68"/>
        </w:rPr>
      </w:r>
      <w:r>
        <w:rPr>
          <w:spacing w:val="-4"/>
        </w:rPr>
        <w:t>满足上述前提的非货币性资产交换，以换出资产的账面价值和应支付的相关税费作为换入无形资产的成本，不确认损益。</w:t>
      </w:r>
    </w:p>
    <w:p>
      <w:pPr>
        <w:pStyle w:val="BodyText"/>
        <w:spacing w:line="300" w:lineRule="auto" w:before="17"/>
        <w:ind w:left="873" w:right="679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left="513" w:right="0" w:firstLine="360"/>
        <w:jc w:val="left"/>
      </w:pPr>
      <w:r>
        <w:rPr>
          <w:spacing w:val="-2"/>
        </w:rPr>
        <w:t>对于使用寿命有限的无形资产，在为企业带来经济利益的期限内按直线法摊销；无法预见无形资产为企业带来经济</w:t>
      </w:r>
      <w:r>
        <w:rPr/>
        <w:t> 利益期限的，视为使用寿命不确定的无形资产，不予摊销。</w:t>
      </w:r>
    </w:p>
    <w:p>
      <w:pPr>
        <w:spacing w:line="240" w:lineRule="auto" w:before="4"/>
        <w:rPr>
          <w:rFonts w:ascii="宋体" w:hAnsi="宋体" w:cs="宋体" w:eastAsia="宋体" w:hint="default"/>
          <w:sz w:val="25"/>
          <w:szCs w:val="25"/>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5"/>
        </w:rPr>
        <w:t> </w:t>
      </w:r>
      <w:r>
        <w:rPr/>
        <w:t>使用寿命有限的无形资产的使用寿命估计情况</w:t>
      </w:r>
      <w:r>
        <w:rPr>
          <w:b w:val="0"/>
          <w:bCs w:val="0"/>
        </w:rPr>
      </w:r>
    </w:p>
    <w:p>
      <w:pPr>
        <w:spacing w:line="240" w:lineRule="auto" w:before="1"/>
        <w:rPr>
          <w:rFonts w:ascii="宋体" w:hAnsi="宋体" w:cs="宋体" w:eastAsia="宋体" w:hint="default"/>
          <w:b/>
          <w:bCs/>
          <w:sz w:val="29"/>
          <w:szCs w:val="29"/>
        </w:rPr>
      </w:pPr>
    </w:p>
    <w:tbl>
      <w:tblPr>
        <w:tblW w:w="0" w:type="auto"/>
        <w:jc w:val="left"/>
        <w:tblInd w:w="145" w:type="dxa"/>
        <w:tblLayout w:type="fixed"/>
        <w:tblCellMar>
          <w:top w:w="0" w:type="dxa"/>
          <w:left w:w="0" w:type="dxa"/>
          <w:bottom w:w="0" w:type="dxa"/>
          <w:right w:w="0" w:type="dxa"/>
        </w:tblCellMar>
        <w:tblLook w:val="01E0"/>
      </w:tblPr>
      <w:tblGrid>
        <w:gridCol w:w="2576"/>
        <w:gridCol w:w="1875"/>
        <w:gridCol w:w="2787"/>
      </w:tblGrid>
      <w:tr>
        <w:trPr>
          <w:trHeight w:val="348"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计算机软件</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合同约定或预计受益期限</w:t>
            </w:r>
          </w:p>
        </w:tc>
      </w:tr>
      <w:tr>
        <w:trPr>
          <w:trHeight w:val="348"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会籍费</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合同约定期限</w:t>
            </w:r>
          </w:p>
        </w:tc>
      </w:tr>
      <w:tr>
        <w:trPr>
          <w:trHeight w:val="348"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特许经营许可权</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合同约定或预计受益期限</w:t>
            </w:r>
          </w:p>
        </w:tc>
      </w:tr>
    </w:tbl>
    <w:p>
      <w:pPr>
        <w:spacing w:line="240" w:lineRule="auto" w:before="1"/>
        <w:rPr>
          <w:rFonts w:ascii="宋体" w:hAnsi="宋体" w:cs="宋体" w:eastAsia="宋体" w:hint="default"/>
          <w:b/>
          <w:bCs/>
          <w:sz w:val="21"/>
          <w:szCs w:val="21"/>
        </w:rPr>
      </w:pPr>
    </w:p>
    <w:p>
      <w:pPr>
        <w:pStyle w:val="Heading5"/>
        <w:spacing w:line="300" w:lineRule="auto" w:before="44"/>
        <w:ind w:left="513" w:right="4685" w:hanging="284"/>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使用寿命不确定的无形资产的判断依据以及对其使用寿命进行复核的程序</w:t>
      </w:r>
      <w:r>
        <w:rPr>
          <w:w w:val="99"/>
        </w:rPr>
        <w:t> </w:t>
      </w:r>
      <w:r>
        <w:rPr>
          <w:rFonts w:ascii="宋体" w:hAnsi="宋体" w:cs="宋体" w:eastAsia="宋体" w:hint="default"/>
          <w:b w:val="0"/>
          <w:bCs w:val="0"/>
        </w:rPr>
        <w:t>不适用。</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9、长期资产减值" w:id="198"/>
      <w:bookmarkEnd w:id="198"/>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firstLine="360"/>
        <w:jc w:val="both"/>
      </w:pPr>
      <w:r>
        <w:rPr>
          <w:spacing w:val="-2"/>
        </w:rPr>
        <w:t>长期股权投资、固定资产、在建工程、使用寿命有限的无形资产等长期资产，于资产负债表日存在减值迹象的，进行减</w:t>
      </w:r>
      <w:r>
        <w:rPr/>
        <w:t> </w:t>
      </w:r>
      <w:r>
        <w:rPr>
          <w:spacing w:val="-2"/>
        </w:rPr>
        <w:t>值测试。减值测试结果表明资产的可收回金额低于其账面价值的，按其差额计提减值准备并计入减值损失。可收回金额为资</w:t>
      </w:r>
      <w:r>
        <w:rPr>
          <w:spacing w:val="-63"/>
        </w:rPr>
        <w:t> </w:t>
      </w:r>
      <w:r>
        <w:rPr>
          <w:spacing w:val="-63"/>
        </w:rPr>
      </w:r>
      <w:r>
        <w:rPr>
          <w:spacing w:val="-2"/>
        </w:rPr>
        <w:t>产的公允价值减去处置费用后的净额与资产预计未来现金流量的现值两者之间的较高者。资产减值准备按单项资产为基础计</w:t>
      </w:r>
      <w:r>
        <w:rPr>
          <w:spacing w:val="-64"/>
        </w:rPr>
        <w:t> </w:t>
      </w:r>
      <w:r>
        <w:rPr>
          <w:spacing w:val="-64"/>
        </w:rPr>
      </w:r>
      <w:r>
        <w:rPr>
          <w:spacing w:val="-2"/>
        </w:rPr>
        <w:t>算并确认，如果难以对单项资产的可收回金额进行估计的，以该资产所属的资产组确定资产组的可收回金额。资产组是能够</w:t>
      </w:r>
      <w:r>
        <w:rPr>
          <w:spacing w:val="-63"/>
        </w:rPr>
        <w:t> </w:t>
      </w:r>
      <w:r>
        <w:rPr>
          <w:spacing w:val="-63"/>
        </w:rPr>
      </w:r>
      <w:r>
        <w:rPr/>
        <w:t>独立产生现金流入的最小资产组合。</w:t>
      </w:r>
    </w:p>
    <w:p>
      <w:pPr>
        <w:pStyle w:val="BodyText"/>
        <w:spacing w:line="316" w:lineRule="auto" w:before="17"/>
        <w:ind w:left="513" w:right="1033"/>
        <w:jc w:val="left"/>
      </w:pPr>
      <w:r>
        <w:rPr/>
        <w:t>商誉、使用寿命不确定的无形资产、尚未达到可使用状态的无形资产至少在每年年度终了进行减值测试。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0"/>
        <w:jc w:val="left"/>
      </w:pPr>
      <w:r>
        <w:rPr>
          <w:spacing w:val="-2"/>
        </w:rPr>
        <w:t>难以分摊至相关的资产组的，将其分摊至相关的资产组组合。本公司在分摊商誉的账面价值时，根据相关资产组或资产组组</w:t>
      </w:r>
      <w:r>
        <w:rPr>
          <w:spacing w:val="-63"/>
        </w:rPr>
        <w:t> </w:t>
      </w:r>
      <w:r>
        <w:rPr>
          <w:spacing w:val="-63"/>
        </w:rPr>
      </w:r>
      <w:r>
        <w:rPr/>
        <w:t>合能够从企业合并的协同效应中获得的相对受益情况进行分摊，在此基础上进行商誉减值测试。</w:t>
      </w:r>
    </w:p>
    <w:p>
      <w:pPr>
        <w:pStyle w:val="BodyText"/>
        <w:spacing w:line="316" w:lineRule="auto" w:before="19"/>
        <w:ind w:right="1043" w:firstLine="360"/>
        <w:jc w:val="both"/>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3"/>
        </w:rPr>
        <w:t> </w:t>
      </w:r>
      <w:r>
        <w:rPr>
          <w:spacing w:val="-43"/>
        </w:rPr>
      </w:r>
      <w:r>
        <w:rPr>
          <w:spacing w:val="-2"/>
        </w:rPr>
        <w:t>再对包含商誉的资产组或者资产组组合进行减值测试，比较这些相关资产组或者资产组组合的账面价值（包括所分摊的商誉</w:t>
      </w:r>
    </w:p>
    <w:p>
      <w:pPr>
        <w:spacing w:after="0" w:line="316" w:lineRule="auto"/>
        <w:jc w:val="both"/>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20、长期待摊费用" w:id="199"/>
      <w:bookmarkEnd w:id="199"/>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长期待摊费用为已经发生但应由本期和以后各期负担的分摊期限在一年以上的各项费用。本公司长期待摊费用包括经营</w:t>
      </w:r>
      <w:r>
        <w:rPr/>
        <w:t> 租赁方式租入办公场所装修费与租赁费。</w:t>
      </w:r>
    </w:p>
    <w:p>
      <w:pPr>
        <w:pStyle w:val="Heading5"/>
        <w:spacing w:line="240" w:lineRule="auto" w:before="19"/>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摊销方法</w:t>
      </w:r>
      <w:r>
        <w:rPr>
          <w:b w:val="0"/>
          <w:bCs w:val="0"/>
        </w:rPr>
      </w:r>
    </w:p>
    <w:p>
      <w:pPr>
        <w:pStyle w:val="BodyText"/>
        <w:spacing w:line="240" w:lineRule="auto" w:before="76"/>
        <w:ind w:left="873" w:right="1133"/>
        <w:jc w:val="left"/>
      </w:pPr>
      <w:r>
        <w:rPr/>
        <w:t>长期待摊费用在受益期内平均摊销。</w:t>
      </w:r>
    </w:p>
    <w:p>
      <w:pPr>
        <w:spacing w:line="240" w:lineRule="auto" w:before="0"/>
        <w:rPr>
          <w:rFonts w:ascii="宋体" w:hAnsi="宋体" w:cs="宋体" w:eastAsia="宋体" w:hint="default"/>
          <w:sz w:val="18"/>
          <w:szCs w:val="18"/>
        </w:rPr>
      </w:pPr>
    </w:p>
    <w:p>
      <w:pPr>
        <w:pStyle w:val="Heading5"/>
        <w:spacing w:line="240" w:lineRule="auto" w:before="153"/>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摊销年限</w:t>
      </w:r>
      <w:r>
        <w:rPr>
          <w:b w:val="0"/>
          <w:bCs w:val="0"/>
        </w:rPr>
      </w:r>
    </w:p>
    <w:p>
      <w:pPr>
        <w:pStyle w:val="BodyText"/>
        <w:spacing w:line="240" w:lineRule="auto" w:before="76"/>
        <w:ind w:left="513" w:right="1133"/>
        <w:jc w:val="left"/>
      </w:pPr>
      <w:r>
        <w:rPr/>
        <w:t>经营租赁方式租入办公场所装修费与租赁费按受益期限摊销。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1133"/>
        <w:jc w:val="left"/>
        <w:rPr>
          <w:b w:val="0"/>
          <w:bCs w:val="0"/>
        </w:rPr>
      </w:pPr>
      <w:bookmarkStart w:name="21、职工薪酬" w:id="200"/>
      <w:bookmarkEnd w:id="200"/>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3" w:right="4633" w:hanging="361"/>
        <w:jc w:val="left"/>
      </w:pPr>
      <w:r>
        <w:rPr/>
        <w:t>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1133"/>
        <w:jc w:val="left"/>
        <w:rPr>
          <w:b w:val="0"/>
          <w:bCs w:val="0"/>
        </w:rPr>
      </w:pPr>
      <w:bookmarkStart w:name="（2）离职后福利的会计处理方法" w:id="202"/>
      <w:bookmarkEnd w:id="20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240" w:lineRule="auto" w:before="31"/>
        <w:ind w:right="1133"/>
        <w:jc w:val="left"/>
      </w:pPr>
      <w:r>
        <w:rPr/>
        <w:t>定的缴纳基数和比例计算应缴纳金额，确认为负债，并计入当期损益或相关资产成本。</w:t>
      </w:r>
    </w:p>
    <w:p>
      <w:pPr>
        <w:pStyle w:val="BodyText"/>
        <w:spacing w:line="300" w:lineRule="auto" w:before="76"/>
        <w:ind w:left="513" w:right="8863"/>
        <w:jc w:val="left"/>
      </w:pPr>
      <w:r>
        <w:rPr/>
        <w:t>（</w:t>
      </w:r>
      <w:r>
        <w:rPr>
          <w:rFonts w:ascii="Times New Roman" w:hAnsi="Times New Roman" w:cs="Times New Roman" w:eastAsia="Times New Roman" w:hint="default"/>
        </w:rPr>
        <w:t>2</w:t>
      </w:r>
      <w:r>
        <w:rPr/>
        <w:t>）设定受益计划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1133"/>
        <w:jc w:val="left"/>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1133"/>
        <w:jc w:val="left"/>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2、股份支付" w:id="205"/>
      <w:bookmarkEnd w:id="205"/>
      <w:r>
        <w:rPr>
          <w:b w:val="0"/>
          <w:bCs w:val="0"/>
        </w:rPr>
      </w:r>
      <w:r>
        <w:rPr>
          <w:rFonts w:ascii="Times New Roman" w:hAnsi="Times New Roman" w:cs="Times New Roman" w:eastAsia="Times New Roman" w:hint="default"/>
        </w:rPr>
        <w:t>22</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本公司的股份支付是为了获取职工或其他方提供服务而授予权益工具或者承担以权益工具为基础确定的负债的交易。本</w:t>
      </w:r>
      <w:r>
        <w:rPr/>
        <w:t> 公司的股份支付分为以权益结算的股份支付和以现金结算的股份支付。</w:t>
      </w:r>
    </w:p>
    <w:p>
      <w:pPr>
        <w:spacing w:line="316" w:lineRule="auto" w:before="19"/>
        <w:ind w:left="873" w:right="0" w:hanging="72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以权益结算的股份支付及权益工具</w:t>
      </w:r>
      <w:r>
        <w:rPr>
          <w:rFonts w:ascii="宋体" w:hAnsi="宋体" w:cs="宋体" w:eastAsia="宋体" w:hint="default"/>
          <w:b/>
          <w:bCs/>
          <w:w w:val="99"/>
          <w:sz w:val="18"/>
          <w:szCs w:val="18"/>
        </w:rPr>
        <w:t> </w:t>
      </w:r>
      <w:r>
        <w:rPr>
          <w:rFonts w:ascii="宋体" w:hAnsi="宋体" w:cs="宋体" w:eastAsia="宋体" w:hint="default"/>
          <w:spacing w:val="-2"/>
          <w:sz w:val="18"/>
          <w:szCs w:val="18"/>
        </w:rPr>
        <w:t>以权益结算的股份支付换取职工提供服务的，以授予职工权益工具的公允价值计量。本公司以限制性股票进行股份</w:t>
      </w:r>
    </w:p>
    <w:p>
      <w:pPr>
        <w:pStyle w:val="BodyText"/>
        <w:spacing w:line="314" w:lineRule="auto" w:before="19"/>
        <w:ind w:left="513" w:right="0"/>
        <w:jc w:val="left"/>
      </w:pPr>
      <w:r>
        <w:rPr>
          <w:spacing w:val="-2"/>
        </w:rPr>
        <w:t>支付的，职工出资认购股票，股票在达到解锁条件并解锁前不得上市流通或转让；如果最终股权激励计划规定的解锁条</w:t>
      </w:r>
      <w:r>
        <w:rPr>
          <w:spacing w:val="-69"/>
        </w:rPr>
        <w:t> </w:t>
      </w:r>
      <w:r>
        <w:rPr>
          <w:spacing w:val="-69"/>
        </w:rPr>
      </w:r>
      <w:r>
        <w:rPr>
          <w:spacing w:val="-2"/>
        </w:rPr>
        <w:t>件未能达到，则本公司按照事先约定的价格回购股票。本公司取得职工认购限制性股票支付的款项时，按照取得的认股</w:t>
      </w:r>
      <w:r>
        <w:rPr>
          <w:spacing w:val="-66"/>
        </w:rPr>
        <w:t> </w:t>
      </w:r>
      <w:r>
        <w:rPr>
          <w:spacing w:val="-66"/>
        </w:rPr>
      </w:r>
      <w:r>
        <w:rPr>
          <w:spacing w:val="-4"/>
        </w:rPr>
        <w:t>款确认股本和资本公积（股本溢价），同时就回购义务全额确认一项负债并确认库存股。在等待期内每个资产负债表日，</w:t>
      </w:r>
      <w:r>
        <w:rPr>
          <w:spacing w:val="-54"/>
        </w:rPr>
        <w:t> </w:t>
      </w:r>
      <w:r>
        <w:rPr>
          <w:spacing w:val="-54"/>
        </w:rPr>
      </w:r>
      <w:r>
        <w:rPr/>
        <w:t>本公司根据最新取得的</w:t>
      </w:r>
      <w:r>
        <w:rPr>
          <w:rFonts w:ascii="Times New Roman" w:hAnsi="Times New Roman" w:cs="Times New Roman" w:eastAsia="Times New Roman" w:hint="default"/>
        </w:rPr>
        <w:t>[</w:t>
      </w:r>
      <w:r>
        <w:rPr/>
        <w:t>可行权职工人数变动</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w:t>
      </w:r>
      <w:r>
        <w:rPr>
          <w:rFonts w:ascii="Times New Roman" w:hAnsi="Times New Roman" w:cs="Times New Roman" w:eastAsia="Times New Roman" w:hint="default"/>
        </w:rPr>
        <w:t>[</w:t>
      </w:r>
      <w:r>
        <w:rPr/>
        <w:t>是否达到规定业绩条件</w:t>
      </w:r>
      <w:r>
        <w:rPr>
          <w:rFonts w:ascii="Times New Roman" w:hAnsi="Times New Roman" w:cs="Times New Roman" w:eastAsia="Times New Roman" w:hint="default"/>
        </w:rPr>
        <w:t>]</w:t>
      </w:r>
      <w:r>
        <w:rPr/>
        <w:t>等后续信息对可行权权益工具数量作出最佳估 </w:t>
      </w:r>
      <w:r>
        <w:rPr>
          <w:spacing w:val="-2"/>
        </w:rPr>
        <w:t>计，以此为基础，按照授予日的公允价值，将当期取得的服务计入相关成本或费用，相应增加资本公积。在可行权日之</w:t>
      </w:r>
      <w:r>
        <w:rPr>
          <w:spacing w:val="-71"/>
        </w:rPr>
        <w:t> </w:t>
      </w:r>
      <w:r>
        <w:rPr>
          <w:spacing w:val="-71"/>
        </w:rPr>
      </w:r>
      <w:r>
        <w:rPr>
          <w:spacing w:val="-2"/>
        </w:rPr>
        <w:t>后不再对已确认的相关成本或费用和所有者权益总额进行调整。但授予后立即可行权的，在授予日按照公允价值计入相</w:t>
      </w:r>
      <w:r>
        <w:rPr>
          <w:spacing w:val="-68"/>
        </w:rPr>
        <w:t> </w:t>
      </w:r>
      <w:r>
        <w:rPr>
          <w:spacing w:val="-68"/>
        </w:rPr>
      </w:r>
      <w:r>
        <w:rPr/>
        <w:t>关成本或费用，相应增加资本公积。</w:t>
      </w:r>
    </w:p>
    <w:p>
      <w:pPr>
        <w:pStyle w:val="BodyText"/>
        <w:spacing w:line="316" w:lineRule="auto" w:before="20"/>
        <w:ind w:left="513" w:right="0" w:firstLine="360"/>
        <w:jc w:val="left"/>
      </w:pPr>
      <w:r>
        <w:rPr>
          <w:spacing w:val="-2"/>
        </w:rPr>
        <w:t>对于最终未能行权的股份支付，不确认成本或费用，除非行权条件是市场条件或非可行权条件，此时无论是否满足</w:t>
      </w:r>
      <w:r>
        <w:rPr/>
        <w:t> 市场条件或非可行权条件，只要满足所有可行权条件中的非市场条件，即视为可行权。</w:t>
      </w:r>
    </w:p>
    <w:p>
      <w:pPr>
        <w:pStyle w:val="BodyText"/>
        <w:spacing w:line="316" w:lineRule="auto" w:before="19"/>
        <w:ind w:left="513" w:right="0" w:firstLine="360"/>
        <w:jc w:val="left"/>
      </w:pPr>
      <w:r>
        <w:rPr>
          <w:spacing w:val="-2"/>
        </w:rPr>
        <w:t>如果修改了以权益结算的股份支付的条款，至少按照未修改条款的情况确认取得的服务。此外，任何增加所授予权</w:t>
      </w:r>
      <w:r>
        <w:rPr/>
        <w:t> 益工具公允价值的修改，或在修改日对职工有利的变更，均确认取得服务的增加。</w:t>
      </w:r>
    </w:p>
    <w:p>
      <w:pPr>
        <w:pStyle w:val="BodyText"/>
        <w:spacing w:line="316" w:lineRule="auto" w:before="19"/>
        <w:ind w:left="513" w:right="1033" w:firstLine="360"/>
        <w:jc w:val="left"/>
      </w:pPr>
      <w:r>
        <w:rPr>
          <w:spacing w:val="-2"/>
        </w:rPr>
        <w:t>如果取消了以权益结算的股份支付，则于取消日作为加速行权处理，立即确认尚未确认的金额。职工或其他方能够</w:t>
      </w:r>
      <w:r>
        <w:rPr/>
        <w:t> 选择满足非可行权条件但在等待期内未满足的，作为取消以权益结算的股份支付处理。但是，如果授予新的权益工具， </w:t>
      </w:r>
      <w:r>
        <w:rPr>
          <w:spacing w:val="-2"/>
        </w:rPr>
        <w:t>并在新权益工具授予日认定所授予的新权益工具是用于替代被取消的权益工具的，则以与处理原权益工具条款和条件修</w:t>
      </w:r>
      <w:r>
        <w:rPr>
          <w:spacing w:val="-68"/>
        </w:rPr>
        <w:t> </w:t>
      </w:r>
      <w:r>
        <w:rPr>
          <w:spacing w:val="-68"/>
        </w:rPr>
      </w:r>
      <w:r>
        <w:rPr/>
        <w:t>改相同的方式，对所授予的替代权益工具进行处理。</w:t>
      </w:r>
    </w:p>
    <w:p>
      <w:pPr>
        <w:spacing w:line="240" w:lineRule="auto" w:before="4"/>
        <w:rPr>
          <w:rFonts w:ascii="宋体" w:hAnsi="宋体" w:cs="宋体" w:eastAsia="宋体" w:hint="default"/>
          <w:sz w:val="25"/>
          <w:szCs w:val="25"/>
        </w:rPr>
      </w:pPr>
    </w:p>
    <w:p>
      <w:pPr>
        <w:spacing w:line="316" w:lineRule="auto" w:before="0"/>
        <w:ind w:left="513" w:right="0" w:hanging="36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以现金结算的股份支付及权益工具</w:t>
      </w:r>
      <w:r>
        <w:rPr>
          <w:rFonts w:ascii="宋体" w:hAnsi="宋体" w:cs="宋体" w:eastAsia="宋体" w:hint="default"/>
          <w:b/>
          <w:bCs/>
          <w:w w:val="99"/>
          <w:sz w:val="18"/>
          <w:szCs w:val="18"/>
        </w:rPr>
        <w:t> </w:t>
      </w:r>
      <w:r>
        <w:rPr>
          <w:rFonts w:ascii="宋体" w:hAnsi="宋体" w:cs="宋体" w:eastAsia="宋体" w:hint="default"/>
          <w:spacing w:val="-2"/>
          <w:sz w:val="18"/>
          <w:szCs w:val="18"/>
        </w:rPr>
        <w:t>以现金结算的股份支付，按照本公司承担的以股份或其他权益工具为基础计算确定的负债的公允价值计量。授予后立即</w:t>
      </w:r>
    </w:p>
    <w:p>
      <w:pPr>
        <w:pStyle w:val="BodyText"/>
        <w:spacing w:line="316" w:lineRule="auto" w:before="19"/>
        <w:ind w:right="0"/>
        <w:jc w:val="left"/>
      </w:pPr>
      <w:r>
        <w:rPr>
          <w:spacing w:val="-2"/>
        </w:rPr>
        <w:t>可行权的，在授予日以承担负债的公允价值计入成本或费用，相应增加负债；完成等待期内的服务或达到规定业绩条件才可</w:t>
      </w:r>
      <w:r>
        <w:rPr>
          <w:spacing w:val="-66"/>
        </w:rPr>
        <w:t> </w:t>
      </w:r>
      <w:r>
        <w:rPr>
          <w:spacing w:val="-66"/>
        </w:rPr>
      </w:r>
      <w:r>
        <w:rPr>
          <w:spacing w:val="-4"/>
        </w:rPr>
        <w:t>行权的，在等待期内以对可行权情况的最佳估计为基础，按照承担负债的公允价值，将当期取得的服务计入相关成本或费用，</w:t>
      </w:r>
      <w:r>
        <w:rPr>
          <w:spacing w:val="-42"/>
        </w:rPr>
        <w:t> </w:t>
      </w:r>
      <w:r>
        <w:rPr>
          <w:spacing w:val="-42"/>
        </w:rPr>
      </w:r>
      <w:r>
        <w:rPr/>
        <w:t>增加相应负债。在相关负债结算前的每个资产负债表日以及结算日，对负债的公允价值重新计量，其变动计入当期损益。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1133"/>
        <w:jc w:val="left"/>
        <w:rPr>
          <w:b w:val="0"/>
          <w:bCs w:val="0"/>
        </w:rPr>
      </w:pPr>
      <w:bookmarkStart w:name="23、收入" w:id="206"/>
      <w:bookmarkEnd w:id="206"/>
      <w:r>
        <w:rPr>
          <w:b w:val="0"/>
          <w:bCs w:val="0"/>
        </w:rPr>
      </w:r>
      <w:r>
        <w:rPr>
          <w:rFonts w:ascii="Times New Roman" w:hAnsi="Times New Roman" w:cs="Times New Roman" w:eastAsia="Times New Roman" w:hint="default"/>
        </w:rPr>
        <w:t>23</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Heading5"/>
        <w:spacing w:line="240" w:lineRule="auto" w:before="101"/>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销售商品收入确认的一般原则</w:t>
      </w:r>
      <w:r>
        <w:rPr>
          <w:b w:val="0"/>
          <w:bCs w:val="0"/>
        </w:rPr>
      </w:r>
    </w:p>
    <w:p>
      <w:pPr>
        <w:pStyle w:val="BodyText"/>
        <w:spacing w:line="240" w:lineRule="auto" w:before="76"/>
        <w:ind w:left="873" w:right="1133"/>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63"/>
        <w:ind w:left="873" w:right="1133"/>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63"/>
        <w:ind w:left="873" w:right="1133"/>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63"/>
        <w:ind w:left="873" w:right="1133"/>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63"/>
        <w:ind w:left="873" w:right="1133"/>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0"/>
        <w:rPr>
          <w:rFonts w:ascii="宋体" w:hAnsi="宋体" w:cs="宋体" w:eastAsia="宋体" w:hint="default"/>
          <w:sz w:val="18"/>
          <w:szCs w:val="18"/>
        </w:rPr>
      </w:pPr>
    </w:p>
    <w:p>
      <w:pPr>
        <w:pStyle w:val="BodyText"/>
        <w:spacing w:line="300" w:lineRule="auto" w:before="139"/>
        <w:ind w:left="873" w:right="5353"/>
        <w:jc w:val="left"/>
      </w:pPr>
      <w:r>
        <w:rPr>
          <w:rFonts w:ascii="Times New Roman" w:hAnsi="Times New Roman" w:cs="Times New Roman" w:eastAsia="Times New Roman" w:hint="default"/>
        </w:rPr>
        <w:t>1.1</w:t>
      </w:r>
      <w:r>
        <w:rPr/>
        <w:t>、具体原则 本公司对外销售商品、货物已发出且客户收到后确认收入。</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4"/>
        </w:rPr>
        <w:t> </w:t>
      </w:r>
      <w:r>
        <w:rPr/>
        <w:t>让渡资产使用权收入的确认和计量原则：</w:t>
      </w:r>
      <w:r>
        <w:rPr>
          <w:b w:val="0"/>
          <w:bCs w:val="0"/>
        </w:rPr>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left="513" w:right="1119" w:firstLine="360"/>
        <w:jc w:val="left"/>
      </w:pPr>
      <w:r>
        <w:rPr>
          <w:spacing w:val="-2"/>
        </w:rPr>
        <w:t>与交易相关的经济利益很可能流入企业，收入的金额能够可靠地计量时。分别下列情况确定让渡资产使用权收入金</w:t>
      </w:r>
      <w:r>
        <w:rPr/>
        <w:t> 额：</w:t>
      </w:r>
    </w:p>
    <w:p>
      <w:pPr>
        <w:pStyle w:val="BodyText"/>
        <w:spacing w:line="240" w:lineRule="auto" w:before="17"/>
        <w:ind w:left="873" w:right="113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873" w:right="113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18"/>
          <w:szCs w:val="18"/>
        </w:rPr>
      </w:pPr>
    </w:p>
    <w:p>
      <w:pPr>
        <w:spacing w:line="316" w:lineRule="auto" w:before="139"/>
        <w:ind w:left="513" w:right="4273" w:hanging="36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手续费收入确认原则</w:t>
      </w:r>
      <w:r>
        <w:rPr>
          <w:rFonts w:ascii="宋体" w:hAnsi="宋体" w:cs="宋体" w:eastAsia="宋体" w:hint="default"/>
          <w:b/>
          <w:bCs/>
          <w:w w:val="99"/>
          <w:sz w:val="18"/>
          <w:szCs w:val="18"/>
        </w:rPr>
        <w:t> </w:t>
      </w:r>
      <w:r>
        <w:rPr>
          <w:rFonts w:ascii="宋体" w:hAnsi="宋体" w:cs="宋体" w:eastAsia="宋体" w:hint="default"/>
          <w:sz w:val="18"/>
          <w:szCs w:val="18"/>
        </w:rPr>
        <w:t>手续费收入确认以交易数据为基础，按照各类渠道自然月交易产生收入确认。</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4、政府补助" w:id="207"/>
      <w:bookmarkEnd w:id="207"/>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873" w:right="1132" w:hanging="721"/>
        <w:jc w:val="left"/>
      </w:pPr>
      <w:r>
        <w:rPr>
          <w:rFonts w:ascii="宋体" w:hAnsi="宋体" w:cs="宋体" w:eastAsia="宋体" w:hint="default"/>
          <w:b/>
          <w:bCs/>
        </w:rPr>
        <w:t>1. </w:t>
      </w:r>
      <w:r>
        <w:rPr>
          <w:rFonts w:ascii="宋体" w:hAnsi="宋体" w:cs="宋体" w:eastAsia="宋体" w:hint="default"/>
          <w:b/>
          <w:bCs/>
          <w:spacing w:val="21"/>
        </w:rPr>
        <w:t> </w:t>
      </w:r>
      <w:r>
        <w:rPr>
          <w:rFonts w:ascii="宋体" w:hAnsi="宋体" w:cs="宋体" w:eastAsia="宋体" w:hint="default"/>
          <w:b/>
          <w:bCs/>
        </w:rPr>
        <w:t>类型</w:t>
      </w:r>
      <w:r>
        <w:rPr>
          <w:rFonts w:ascii="宋体" w:hAnsi="宋体" w:cs="宋体" w:eastAsia="宋体" w:hint="default"/>
          <w:b/>
          <w:bCs/>
          <w:spacing w:val="2"/>
          <w:w w:val="99"/>
        </w:rPr>
        <w:t> </w:t>
      </w:r>
      <w:r>
        <w:rPr>
          <w:spacing w:val="-2"/>
        </w:rPr>
        <w:t>政府补助，是本公司从政府无偿取得的货币性资产与非货币性资产。分为与资产相关的政府补助和与收益相关的政</w:t>
      </w:r>
    </w:p>
    <w:p>
      <w:pPr>
        <w:pStyle w:val="BodyText"/>
        <w:spacing w:line="240" w:lineRule="auto" w:before="19"/>
        <w:ind w:left="513" w:right="1133"/>
        <w:jc w:val="left"/>
      </w:pPr>
      <w:r>
        <w:rPr/>
        <w:t>府补助。</w:t>
      </w:r>
    </w:p>
    <w:p>
      <w:pPr>
        <w:pStyle w:val="BodyText"/>
        <w:spacing w:line="316" w:lineRule="auto" w:before="76"/>
        <w:ind w:left="513" w:right="0" w:firstLine="360"/>
        <w:jc w:val="left"/>
      </w:pPr>
      <w:r>
        <w:rPr>
          <w:spacing w:val="-2"/>
        </w:rPr>
        <w:t>与资产相关的政府补助，是指本公司取得的、用于购建或以其他方式形成长期资产的政府补助。与收益相关的政府</w:t>
      </w:r>
      <w:r>
        <w:rPr/>
        <w:t> 补助，是指除与资产相关的政府补助之外的政府补助。</w:t>
      </w:r>
    </w:p>
    <w:p>
      <w:pPr>
        <w:pStyle w:val="BodyText"/>
        <w:spacing w:line="316" w:lineRule="auto" w:before="19"/>
        <w:ind w:left="513" w:right="0" w:firstLine="360"/>
        <w:jc w:val="left"/>
      </w:pPr>
      <w:r>
        <w:rPr>
          <w:spacing w:val="-2"/>
        </w:rPr>
        <w:t>本公司将政府补助划分为与资产相关的具体标准为：收到的政府补助与公司资产相关，冲减相关资产账面价值或确</w:t>
      </w:r>
      <w:r>
        <w:rPr/>
        <w:t> 认为递延收益。</w:t>
      </w:r>
    </w:p>
    <w:p>
      <w:pPr>
        <w:pStyle w:val="BodyText"/>
        <w:spacing w:line="316" w:lineRule="auto" w:before="19"/>
        <w:ind w:left="873" w:right="0"/>
        <w:jc w:val="left"/>
      </w:pPr>
      <w:r>
        <w:rPr/>
        <w:t>本公司将政府补助划分为与收益相关的具体标准为：收到的政府补助与公司资产无关，直接计入当期损益。 </w:t>
      </w:r>
      <w:r>
        <w:rPr>
          <w:spacing w:val="-2"/>
        </w:rPr>
        <w:t>对于政府文件未明确规定补助对象的，本公司将该政府补助划分为与资产相关或与收益相关的判断依据为：按照谨</w:t>
      </w:r>
    </w:p>
    <w:p>
      <w:pPr>
        <w:pStyle w:val="BodyText"/>
        <w:spacing w:line="240" w:lineRule="auto" w:before="19"/>
        <w:ind w:left="513" w:right="1133"/>
        <w:jc w:val="left"/>
      </w:pPr>
      <w:r>
        <w:rPr/>
        <w:t>慎性原则确认为与资产相关的政府补助。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Heading5"/>
        <w:spacing w:line="240" w:lineRule="auto"/>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确认时点</w:t>
      </w:r>
      <w:r>
        <w:rPr>
          <w:b w:val="0"/>
          <w:bCs w:val="0"/>
        </w:rPr>
      </w:r>
    </w:p>
    <w:p>
      <w:pPr>
        <w:pStyle w:val="BodyText"/>
        <w:spacing w:line="240" w:lineRule="auto" w:before="76"/>
        <w:ind w:left="873" w:right="1133"/>
        <w:jc w:val="left"/>
      </w:pPr>
      <w:r>
        <w:rPr/>
        <w:t>本公司实际收到政府补助资金后确认。</w:t>
      </w:r>
    </w:p>
    <w:p>
      <w:pPr>
        <w:spacing w:line="240" w:lineRule="auto" w:before="0"/>
        <w:rPr>
          <w:rFonts w:ascii="宋体" w:hAnsi="宋体" w:cs="宋体" w:eastAsia="宋体" w:hint="default"/>
          <w:sz w:val="18"/>
          <w:szCs w:val="18"/>
        </w:rPr>
      </w:pPr>
    </w:p>
    <w:p>
      <w:pPr>
        <w:pStyle w:val="Heading5"/>
        <w:spacing w:line="240" w:lineRule="auto" w:before="153"/>
        <w:ind w:right="1133"/>
        <w:jc w:val="left"/>
        <w:rPr>
          <w:b w:val="0"/>
          <w:bCs w:val="0"/>
        </w:rPr>
      </w:pPr>
      <w:r>
        <w:rPr>
          <w:rFonts w:ascii="宋体" w:hAnsi="宋体" w:cs="宋体" w:eastAsia="宋体" w:hint="default"/>
        </w:rPr>
        <w:t>1.</w:t>
      </w:r>
      <w:r>
        <w:rPr>
          <w:rFonts w:ascii="宋体" w:hAnsi="宋体" w:cs="宋体" w:eastAsia="宋体" w:hint="default"/>
          <w:spacing w:val="86"/>
        </w:rPr>
        <w:t> </w:t>
      </w:r>
      <w:r>
        <w:rPr/>
        <w:t>会计处理</w:t>
      </w:r>
      <w:r>
        <w:rPr>
          <w:b w:val="0"/>
          <w:bCs w:val="0"/>
        </w:rPr>
      </w:r>
    </w:p>
    <w:p>
      <w:pPr>
        <w:pStyle w:val="BodyText"/>
        <w:spacing w:line="316" w:lineRule="auto" w:before="76"/>
        <w:ind w:right="0" w:firstLine="360"/>
        <w:jc w:val="left"/>
      </w:pPr>
      <w:r>
        <w:rPr>
          <w:spacing w:val="-2"/>
        </w:rPr>
        <w:t>与资产相关的政府补助，冲减相关资产账面价值或确认为递延收益。确认为递延收益的，在相关资产使用寿命内按照合</w:t>
      </w:r>
      <w:r>
        <w:rPr/>
        <w:t> </w:t>
      </w:r>
      <w:r>
        <w:rPr>
          <w:spacing w:val="-7"/>
        </w:rPr>
        <w:t>理、系统的方法分期计入当期损益（与本公司日常活动相关的，计入其他收益；与本公司日常活动无关的，计入营业外收入）；</w:t>
      </w:r>
    </w:p>
    <w:p>
      <w:pPr>
        <w:pStyle w:val="BodyText"/>
        <w:spacing w:line="316" w:lineRule="auto" w:before="19"/>
        <w:ind w:right="0" w:firstLine="360"/>
        <w:jc w:val="left"/>
      </w:pPr>
      <w:r>
        <w:rPr>
          <w:spacing w:val="-2"/>
        </w:rPr>
        <w:t>与收益相关的政府补助，用于补偿本公司以后期间的相关成本费用或损失的，确认为递延收益，并在确认相关成本费用</w:t>
      </w:r>
      <w:r>
        <w:rPr/>
        <w:t> </w:t>
      </w:r>
      <w:r>
        <w:rPr>
          <w:spacing w:val="-2"/>
        </w:rPr>
        <w:t>或损失的期间，计入当期损益（与本公司日常活动相关的，计入其他收益；与本公司日常活动无关的，计入营业外收入）或</w:t>
      </w:r>
      <w:r>
        <w:rPr>
          <w:spacing w:val="-69"/>
        </w:rPr>
        <w:t> </w:t>
      </w:r>
      <w:r>
        <w:rPr>
          <w:spacing w:val="-69"/>
        </w:rPr>
      </w:r>
      <w:r>
        <w:rPr>
          <w:spacing w:val="-4"/>
        </w:rPr>
        <w:t>冲减相关成本费用或损失；用于补偿本公司已发生的相关成本费用或损失的，直接计入当期损益（与本公司日常活动相关的，</w:t>
      </w:r>
      <w:r>
        <w:rPr>
          <w:spacing w:val="-44"/>
        </w:rPr>
        <w:t> </w:t>
      </w:r>
      <w:r>
        <w:rPr>
          <w:spacing w:val="-44"/>
        </w:rPr>
      </w:r>
      <w:r>
        <w:rPr/>
        <w:t>计入其他收益；与本公司日常活动无关的，计入营业外收入）或冲减相关成本费用或损失。</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5、递延所得税资产/递延所得税负债" w:id="208"/>
      <w:bookmarkEnd w:id="208"/>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5" w:firstLine="360"/>
        <w:jc w:val="both"/>
      </w:pPr>
      <w:r>
        <w:rPr/>
        <w:t>对于可抵扣暂时性差异确认递延所得税资产，以未来期间很可能取得的用来抵扣可抵扣暂时性差异的应纳税所得额为</w:t>
      </w:r>
      <w:r>
        <w:rPr>
          <w:spacing w:val="2"/>
        </w:rPr>
        <w:t> </w:t>
      </w:r>
      <w:r>
        <w:rPr>
          <w:spacing w:val="-2"/>
        </w:rPr>
        <w:t>限。对于能够结转以后年度的可抵扣亏损和税款抵减，以很可能获得用来抵扣可抵扣亏损和税款抵减的未来应纳税所得额为</w:t>
      </w:r>
      <w:r>
        <w:rPr>
          <w:spacing w:val="-62"/>
        </w:rPr>
        <w:t> </w:t>
      </w:r>
      <w:r>
        <w:rPr>
          <w:spacing w:val="-62"/>
        </w:rPr>
      </w:r>
      <w:r>
        <w:rPr/>
        <w:t>限，确认相应的递延所得税资产。</w:t>
      </w:r>
    </w:p>
    <w:p>
      <w:pPr>
        <w:pStyle w:val="BodyText"/>
        <w:spacing w:line="316" w:lineRule="auto" w:before="19"/>
        <w:ind w:left="513"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3" w:right="0" w:hanging="361"/>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3" w:right="0" w:hanging="361"/>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240" w:lineRule="auto" w:before="19"/>
        <w:ind w:right="0"/>
        <w:jc w:val="left"/>
      </w:pPr>
      <w:r>
        <w:rPr/>
        <w:t>管部门对同一纳税主体征收的所得税相关或者是对不同的纳税主体相关</w:t>
      </w:r>
      <w:r>
        <w:rPr>
          <w:spacing w:val="-82"/>
        </w:rPr>
        <w:t>，</w:t>
      </w:r>
      <w:r>
        <w:rPr/>
        <w:t>但在未来每一具有重要性的递延所得税资产及负债</w:t>
      </w:r>
    </w:p>
    <w:p>
      <w:pPr>
        <w:spacing w:after="0" w:line="240" w:lineRule="auto"/>
        <w:jc w:val="left"/>
        <w:sectPr>
          <w:footerReference w:type="default" r:id="rId54"/>
          <w:pgSz w:w="11910" w:h="16840"/>
          <w:pgMar w:footer="980" w:header="877" w:top="1060" w:bottom="1160" w:left="980" w:right="0"/>
          <w:pgNumType w:start="133"/>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26、租赁" w:id="209"/>
      <w:bookmarkEnd w:id="209"/>
      <w:r>
        <w:rPr>
          <w:b w:val="0"/>
          <w:bCs w:val="0"/>
        </w:rPr>
      </w:r>
      <w:r>
        <w:rPr>
          <w:rFonts w:ascii="Times New Roman" w:hAnsi="Times New Roman" w:cs="Times New Roman" w:eastAsia="Times New Roman" w:hint="default"/>
        </w:rPr>
        <w:t>26</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3" w:firstLine="360"/>
        <w:jc w:val="both"/>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 与租赁交易相关的初始直接费用，计入当期费用。</w:t>
      </w:r>
    </w:p>
    <w:p>
      <w:pPr>
        <w:pStyle w:val="BodyText"/>
        <w:spacing w:line="316" w:lineRule="auto" w:before="31"/>
        <w:ind w:right="1131"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09" w:lineRule="auto" w:before="19"/>
        <w:ind w:right="1133" w:firstLine="360"/>
        <w:jc w:val="both"/>
      </w:pP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 </w:t>
      </w:r>
      <w:r>
        <w:rPr>
          <w:spacing w:val="-2"/>
        </w:rPr>
        <w:t>支付的与租赁交易相关的初始直接费用，计入当期费用；如金额较大的，则予以资本化，在整个租赁期间内按照与租赁相关</w:t>
      </w:r>
      <w:r>
        <w:rPr>
          <w:spacing w:val="-66"/>
        </w:rPr>
        <w:t> </w:t>
      </w:r>
      <w:r>
        <w:rPr>
          <w:spacing w:val="-66"/>
        </w:rPr>
      </w:r>
      <w:r>
        <w:rPr/>
        <w:t>收入确认相同的基础分期计入当期收益。</w:t>
      </w:r>
    </w:p>
    <w:p>
      <w:pPr>
        <w:pStyle w:val="BodyText"/>
        <w:spacing w:line="316" w:lineRule="auto" w:before="24"/>
        <w:ind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1133"/>
        <w:jc w:val="left"/>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0" w:firstLine="360"/>
        <w:jc w:val="both"/>
      </w:pP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 </w:t>
      </w:r>
      <w:r>
        <w:rPr>
          <w:spacing w:val="-2"/>
        </w:rPr>
        <w:t>价值，将最低租赁付款额作为长期应付款的入账价值，其差额作为未确认的融资费用。公司采用实际利率法对未确认的融资</w:t>
      </w:r>
      <w:r>
        <w:rPr>
          <w:spacing w:val="-63"/>
        </w:rPr>
        <w:t> </w:t>
      </w:r>
      <w:r>
        <w:rPr>
          <w:spacing w:val="-63"/>
        </w:rPr>
      </w:r>
      <w:r>
        <w:rPr/>
        <w:t>费用，在资产租赁期间内摊销，计入财务费用。公司发生的初始直接费用，计入租入资产价值。</w:t>
      </w:r>
    </w:p>
    <w:p>
      <w:pPr>
        <w:pStyle w:val="BodyText"/>
        <w:spacing w:line="309" w:lineRule="auto" w:before="24"/>
        <w:ind w:right="0" w:firstLine="288"/>
        <w:jc w:val="left"/>
      </w:pP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4"/>
        <w:ind w:right="1133"/>
        <w:jc w:val="left"/>
        <w:rPr>
          <w:b w:val="0"/>
          <w:bCs w:val="0"/>
        </w:rPr>
      </w:pPr>
      <w:bookmarkStart w:name="27、重要会计政策和会计估计变更" w:id="212"/>
      <w:bookmarkEnd w:id="212"/>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00" w:lineRule="auto" w:before="8"/>
        <w:ind w:left="513" w:right="1133"/>
        <w:jc w:val="left"/>
      </w:pPr>
      <w:r>
        <w:rPr/>
        <w:t>（</w:t>
      </w:r>
      <w:r>
        <w:rPr>
          <w:rFonts w:ascii="Times New Roman" w:hAnsi="Times New Roman" w:cs="Times New Roman" w:eastAsia="Times New Roman" w:hint="default"/>
        </w:rPr>
        <w:t>1</w:t>
      </w:r>
      <w:r>
        <w:rPr/>
        <w:t>）执行《财政部关于修订印发</w:t>
      </w:r>
      <w:r>
        <w:rPr>
          <w:rFonts w:ascii="Times New Roman" w:hAnsi="Times New Roman" w:cs="Times New Roman" w:eastAsia="Times New Roman" w:hint="default"/>
        </w:rPr>
        <w:t>2019</w:t>
      </w:r>
      <w:r>
        <w:rPr/>
        <w:t>年度一般企业财务报表格式的通知》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日发布了《关于修订印发</w:t>
      </w:r>
      <w:r>
        <w:rPr>
          <w:rFonts w:ascii="Times New Roman" w:hAnsi="Times New Roman" w:cs="Times New Roman" w:eastAsia="Times New Roman" w:hint="default"/>
          <w:spacing w:val="-2"/>
        </w:rPr>
        <w:t>2019</w:t>
      </w:r>
      <w:r>
        <w:rPr>
          <w:spacing w:val="-2"/>
        </w:rPr>
        <w:t>年度一般企业财务报表格式的通知》（财会（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号）对一般企</w:t>
      </w:r>
    </w:p>
    <w:p>
      <w:pPr>
        <w:pStyle w:val="BodyText"/>
        <w:spacing w:line="240" w:lineRule="auto" w:before="13"/>
        <w:ind w:right="1133"/>
        <w:jc w:val="left"/>
      </w:pPr>
      <w:r>
        <w:rPr/>
        <w:t>业财务报表格式进行了修订。</w:t>
      </w:r>
      <w:r>
        <w:rPr>
          <w:spacing w:val="-18"/>
        </w:rPr>
        <w:t> </w:t>
      </w:r>
      <w:r>
        <w:rPr/>
        <w:t>本公司执行上述规定的主要影响如下：</w:t>
      </w:r>
    </w:p>
    <w:p>
      <w:pPr>
        <w:spacing w:line="240" w:lineRule="auto" w:before="1"/>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2408"/>
        <w:gridCol w:w="2979"/>
        <w:gridCol w:w="2979"/>
      </w:tblGrid>
      <w:tr>
        <w:trPr>
          <w:trHeight w:val="348" w:hRule="exact"/>
        </w:trPr>
        <w:tc>
          <w:tcPr>
            <w:tcW w:w="2408" w:type="dxa"/>
            <w:vMerge w:val="restart"/>
            <w:tcBorders>
              <w:top w:val="single" w:sz="6" w:space="0" w:color="000000"/>
              <w:left w:val="single" w:sz="6" w:space="0" w:color="000000"/>
              <w:right w:val="single" w:sz="6" w:space="0" w:color="000000"/>
            </w:tcBorders>
          </w:tcPr>
          <w:p>
            <w:pPr>
              <w:pStyle w:val="TableParagraph"/>
              <w:spacing w:line="240" w:lineRule="auto" w:before="17"/>
              <w:ind w:left="11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59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0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6" w:hRule="exact"/>
        </w:trPr>
        <w:tc>
          <w:tcPr>
            <w:tcW w:w="2408" w:type="dxa"/>
            <w:vMerge/>
            <w:tcBorders>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284"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 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 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 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 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 </w:t>
            </w:r>
            <w:r>
              <w:rPr>
                <w:rFonts w:ascii="宋体" w:hAnsi="宋体" w:cs="宋体" w:eastAsia="宋体" w:hint="default"/>
                <w:spacing w:val="-5"/>
                <w:sz w:val="18"/>
                <w:szCs w:val="18"/>
              </w:rPr>
              <w:t>额</w:t>
            </w:r>
            <w:r>
              <w:rPr>
                <w:rFonts w:ascii="Times New Roman" w:hAnsi="Times New Roman" w:cs="Times New Roman" w:eastAsia="Times New Roman" w:hint="default"/>
                <w:spacing w:val="-5"/>
                <w:sz w:val="18"/>
                <w:szCs w:val="18"/>
              </w:rPr>
              <w:t>0</w:t>
            </w:r>
            <w:r>
              <w:rPr>
                <w:rFonts w:ascii="宋体" w:hAnsi="宋体" w:cs="宋体" w:eastAsia="宋体" w:hint="default"/>
                <w:spacing w:val="-5"/>
                <w:sz w:val="18"/>
                <w:szCs w:val="18"/>
              </w:rPr>
              <w:t>元，上期金额</w:t>
            </w:r>
            <w:r>
              <w:rPr>
                <w:rFonts w:ascii="Times New Roman" w:hAnsi="Times New Roman" w:cs="Times New Roman" w:eastAsia="Times New Roman" w:hint="default"/>
                <w:spacing w:val="-5"/>
                <w:sz w:val="18"/>
                <w:szCs w:val="18"/>
              </w:rPr>
              <w:t>0</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应收账款</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本期</w:t>
            </w:r>
            <w:r>
              <w:rPr>
                <w:rFonts w:ascii="宋体" w:hAnsi="宋体" w:cs="宋体" w:eastAsia="宋体" w:hint="default"/>
                <w:spacing w:val="-81"/>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315,875,906.97</w:t>
            </w:r>
            <w:r>
              <w:rPr>
                <w:rFonts w:ascii="宋体" w:hAnsi="宋体" w:cs="宋体" w:eastAsia="宋体" w:hint="default"/>
                <w:sz w:val="18"/>
                <w:szCs w:val="18"/>
              </w:rPr>
              <w:t>元，上期金额</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 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 </w:t>
            </w:r>
            <w:r>
              <w:rPr>
                <w:rFonts w:ascii="宋体" w:hAnsi="宋体" w:cs="宋体" w:eastAsia="宋体" w:hint="default"/>
                <w:spacing w:val="-5"/>
                <w:sz w:val="18"/>
                <w:szCs w:val="18"/>
              </w:rPr>
              <w:t>额</w:t>
            </w:r>
            <w:r>
              <w:rPr>
                <w:rFonts w:ascii="Times New Roman" w:hAnsi="Times New Roman" w:cs="Times New Roman" w:eastAsia="Times New Roman" w:hint="default"/>
                <w:spacing w:val="-5"/>
                <w:sz w:val="18"/>
                <w:szCs w:val="18"/>
              </w:rPr>
              <w:t>0</w:t>
            </w:r>
            <w:r>
              <w:rPr>
                <w:rFonts w:ascii="宋体" w:hAnsi="宋体" w:cs="宋体" w:eastAsia="宋体" w:hint="default"/>
                <w:spacing w:val="-5"/>
                <w:sz w:val="18"/>
                <w:szCs w:val="18"/>
              </w:rPr>
              <w:t>元，上期金额</w:t>
            </w:r>
            <w:r>
              <w:rPr>
                <w:rFonts w:ascii="Times New Roman" w:hAnsi="Times New Roman" w:cs="Times New Roman" w:eastAsia="Times New Roman" w:hint="default"/>
                <w:spacing w:val="-5"/>
                <w:sz w:val="18"/>
                <w:szCs w:val="18"/>
              </w:rPr>
              <w:t>0</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应收账款</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本期</w:t>
            </w:r>
            <w:r>
              <w:rPr>
                <w:rFonts w:ascii="宋体" w:hAnsi="宋体" w:cs="宋体" w:eastAsia="宋体" w:hint="default"/>
                <w:spacing w:val="-80"/>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79,637,645.35</w:t>
            </w:r>
            <w:r>
              <w:rPr>
                <w:rFonts w:ascii="宋体" w:hAnsi="宋体" w:cs="宋体" w:eastAsia="宋体" w:hint="default"/>
                <w:sz w:val="18"/>
                <w:szCs w:val="18"/>
              </w:rPr>
              <w:t>元，上期金额</w:t>
            </w:r>
          </w:p>
        </w:tc>
      </w:tr>
    </w:tbl>
    <w:p>
      <w:pPr>
        <w:spacing w:after="0" w:line="300" w:lineRule="auto"/>
        <w:jc w:val="both"/>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408"/>
        <w:gridCol w:w="2979"/>
        <w:gridCol w:w="2979"/>
      </w:tblGrid>
      <w:tr>
        <w:trPr>
          <w:trHeight w:val="222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列示；比较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数据相应调整。</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223,427,336.47</w:t>
            </w:r>
            <w:r>
              <w:rPr>
                <w:rFonts w:ascii="宋体" w:hAnsi="宋体" w:cs="宋体" w:eastAsia="宋体" w:hint="default"/>
                <w:sz w:val="18"/>
                <w:szCs w:val="18"/>
              </w:rPr>
              <w:t>元。</w:t>
            </w:r>
          </w:p>
          <w:p>
            <w:pPr>
              <w:pStyle w:val="TableParagraph"/>
              <w:spacing w:line="300" w:lineRule="auto" w:before="63"/>
              <w:ind w:left="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 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 额</w:t>
            </w:r>
            <w:r>
              <w:rPr>
                <w:rFonts w:ascii="Times New Roman" w:hAnsi="Times New Roman" w:cs="Times New Roman" w:eastAsia="Times New Roman" w:hint="default"/>
                <w:sz w:val="18"/>
                <w:szCs w:val="18"/>
              </w:rPr>
              <w:t>28,673,578.32</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139,636,166.20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 额</w:t>
            </w:r>
            <w:r>
              <w:rPr>
                <w:rFonts w:ascii="Times New Roman" w:hAnsi="Times New Roman" w:cs="Times New Roman" w:eastAsia="Times New Roman" w:hint="default"/>
                <w:sz w:val="18"/>
                <w:szCs w:val="18"/>
              </w:rPr>
              <w:t>485,638,396.37</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371,849,751.17</w:t>
            </w:r>
            <w:r>
              <w:rPr>
                <w:rFonts w:ascii="宋体" w:hAnsi="宋体" w:cs="宋体" w:eastAsia="宋体" w:hint="default"/>
                <w:sz w:val="18"/>
                <w:szCs w:val="18"/>
              </w:rPr>
              <w:t>元。</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45,841,858.42</w:t>
            </w:r>
            <w:r>
              <w:rPr>
                <w:rFonts w:ascii="宋体" w:hAnsi="宋体" w:cs="宋体" w:eastAsia="宋体" w:hint="default"/>
                <w:sz w:val="18"/>
                <w:szCs w:val="18"/>
              </w:rPr>
              <w:t>元。</w:t>
            </w:r>
          </w:p>
          <w:p>
            <w:pPr>
              <w:pStyle w:val="TableParagraph"/>
              <w:spacing w:line="300" w:lineRule="auto" w:before="63"/>
              <w:ind w:left="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 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 额</w:t>
            </w:r>
            <w:r>
              <w:rPr>
                <w:rFonts w:ascii="Times New Roman" w:hAnsi="Times New Roman" w:cs="Times New Roman" w:eastAsia="Times New Roman" w:hint="default"/>
                <w:sz w:val="18"/>
                <w:szCs w:val="18"/>
              </w:rPr>
              <w:t>28,673,578.32</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139,636,166.20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 额</w:t>
            </w:r>
            <w:r>
              <w:rPr>
                <w:rFonts w:ascii="Times New Roman" w:hAnsi="Times New Roman" w:cs="Times New Roman" w:eastAsia="Times New Roman" w:hint="default"/>
                <w:sz w:val="18"/>
                <w:szCs w:val="18"/>
              </w:rPr>
              <w:t>679,860,437.00</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537,813,989.36</w:t>
            </w:r>
            <w:r>
              <w:rPr>
                <w:rFonts w:ascii="宋体" w:hAnsi="宋体" w:cs="宋体" w:eastAsia="宋体" w:hint="default"/>
                <w:sz w:val="18"/>
                <w:szCs w:val="18"/>
              </w:rPr>
              <w:t>元。</w:t>
            </w:r>
          </w:p>
        </w:tc>
      </w:tr>
    </w:tbl>
    <w:p>
      <w:pPr>
        <w:spacing w:line="240" w:lineRule="auto" w:before="1"/>
        <w:rPr>
          <w:rFonts w:ascii="宋体" w:hAnsi="宋体" w:cs="宋体" w:eastAsia="宋体" w:hint="default"/>
          <w:sz w:val="21"/>
          <w:szCs w:val="21"/>
        </w:rPr>
      </w:pPr>
    </w:p>
    <w:p>
      <w:pPr>
        <w:pStyle w:val="BodyText"/>
        <w:spacing w:line="300" w:lineRule="auto" w:before="44"/>
        <w:ind w:right="1124" w:firstLine="360"/>
        <w:jc w:val="left"/>
      </w:pPr>
      <w:r>
        <w:rPr/>
        <w:t>（</w:t>
      </w:r>
      <w:r>
        <w:rPr>
          <w:rFonts w:ascii="Times New Roman" w:hAnsi="Times New Roman" w:cs="Times New Roman" w:eastAsia="Times New Roman" w:hint="default"/>
        </w:rPr>
        <w:t>2</w:t>
      </w:r>
      <w:r>
        <w:rPr/>
        <w:t>）执行《企业会计准则第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金融资产转移》、《企业会 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年修订）。</w:t>
      </w:r>
    </w:p>
    <w:p>
      <w:pPr>
        <w:pStyle w:val="BodyText"/>
        <w:spacing w:line="240" w:lineRule="auto" w:before="13"/>
        <w:ind w:left="513" w:right="0"/>
        <w:jc w:val="left"/>
      </w:pPr>
      <w:r>
        <w:rPr/>
        <w:t>财政部</w:t>
      </w:r>
      <w:r>
        <w:rPr>
          <w:spacing w:val="-1"/>
        </w:rPr>
        <w:t>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年度修订</w:t>
      </w:r>
      <w:r>
        <w:rPr>
          <w:spacing w:val="-70"/>
        </w:rPr>
        <w:t>了</w:t>
      </w:r>
      <w:r>
        <w:rPr/>
        <w:t>《企</w:t>
      </w:r>
      <w:r>
        <w:rPr>
          <w:spacing w:val="-3"/>
        </w:rPr>
        <w:t>业</w:t>
      </w:r>
      <w:r>
        <w:rPr/>
        <w:t>会计准则第</w:t>
      </w:r>
      <w:r>
        <w:rPr>
          <w:rFonts w:ascii="Times New Roman" w:hAnsi="Times New Roman" w:cs="Times New Roman" w:eastAsia="Times New Roman" w:hint="default"/>
          <w:spacing w:val="1"/>
        </w:rPr>
        <w:t>22</w:t>
      </w:r>
      <w:r>
        <w:rPr/>
        <w:t>号</w:t>
      </w:r>
      <w:r>
        <w:rPr>
          <w:rFonts w:ascii="Times New Roman" w:hAnsi="Times New Roman" w:cs="Times New Roman" w:eastAsia="Times New Roman" w:hint="default"/>
        </w:rPr>
        <w:t>——</w:t>
      </w:r>
      <w:r>
        <w:rPr/>
        <w:t>金融工</w:t>
      </w:r>
      <w:r>
        <w:rPr>
          <w:spacing w:val="-3"/>
        </w:rPr>
        <w:t>具</w:t>
      </w:r>
      <w:r>
        <w:rPr/>
        <w:t>确认和计量</w:t>
      </w:r>
      <w:r>
        <w:rPr>
          <w:spacing w:val="-70"/>
        </w:rPr>
        <w:t>》</w:t>
      </w:r>
      <w:r>
        <w:rPr>
          <w:spacing w:val="-140"/>
        </w:rPr>
        <w:t>、</w:t>
      </w:r>
      <w:r>
        <w:rPr/>
        <w:t>《企业会计准</w:t>
      </w:r>
      <w:r>
        <w:rPr>
          <w:spacing w:val="-3"/>
        </w:rPr>
        <w:t>则</w:t>
      </w:r>
      <w:r>
        <w:rPr/>
        <w:t>第</w:t>
      </w:r>
      <w:r>
        <w:rPr>
          <w:rFonts w:ascii="Times New Roman" w:hAnsi="Times New Roman" w:cs="Times New Roman" w:eastAsia="Times New Roman" w:hint="default"/>
          <w:spacing w:val="1"/>
        </w:rPr>
        <w:t>23</w:t>
      </w:r>
      <w:r>
        <w:rPr/>
        <w:t>号</w:t>
      </w:r>
      <w:r>
        <w:rPr>
          <w:rFonts w:ascii="Times New Roman" w:hAnsi="Times New Roman" w:cs="Times New Roman" w:eastAsia="Times New Roman" w:hint="default"/>
        </w:rPr>
        <w:t>——</w:t>
      </w:r>
      <w:r>
        <w:rPr/>
        <w:t>金融资产转移</w:t>
      </w:r>
      <w:r>
        <w:rPr>
          <w:spacing w:val="-70"/>
        </w:rPr>
        <w:t>》</w:t>
      </w:r>
      <w:r>
        <w:rPr/>
        <w:t>、</w:t>
      </w:r>
    </w:p>
    <w:p>
      <w:pPr>
        <w:pStyle w:val="BodyText"/>
        <w:spacing w:line="309" w:lineRule="auto" w:before="63"/>
        <w:ind w:right="1130"/>
        <w:jc w:val="both"/>
      </w:pPr>
      <w:r>
        <w:rPr>
          <w:spacing w:val="-2"/>
        </w:rPr>
        <w:t>《企业会计准则第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套期会计》和《企业会计准则第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金融工具列报》。修订后的准则规定，对于首次执行日</w:t>
      </w:r>
      <w:r>
        <w:rPr>
          <w:spacing w:val="-62"/>
        </w:rPr>
        <w:t> </w:t>
      </w:r>
      <w:r>
        <w:rPr>
          <w:spacing w:val="-62"/>
        </w:rPr>
      </w:r>
      <w:r>
        <w:rPr>
          <w:spacing w:val="-2"/>
        </w:rPr>
        <w:t>尚未终止确认的金融工具，之前的确认和计量与修订后的准则要求不一致的，应当追溯调整。涉及前期比较财务报表数据与</w:t>
      </w:r>
      <w:r>
        <w:rPr>
          <w:spacing w:val="-63"/>
        </w:rPr>
        <w:t> </w:t>
      </w:r>
      <w:r>
        <w:rPr>
          <w:spacing w:val="-63"/>
        </w:rPr>
      </w:r>
      <w:r>
        <w:rPr/>
        <w:t>修订后的准则要求不一致的，无需调整。本公司将因追溯调整产生的累积影响数调整当年年初留存收益和其他综合收益。</w:t>
      </w:r>
    </w:p>
    <w:p>
      <w:pPr>
        <w:pStyle w:val="BodyText"/>
        <w:spacing w:line="300" w:lineRule="auto" w:before="24"/>
        <w:ind w:right="1124" w:firstLine="360"/>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号的规定调整后的上年年末余额为基础，执行上述新金融工具准则的主要影 响如下：</w:t>
      </w:r>
    </w:p>
    <w:p>
      <w:pPr>
        <w:spacing w:line="240" w:lineRule="auto" w:before="8"/>
        <w:rPr>
          <w:rFonts w:ascii="宋体" w:hAnsi="宋体" w:cs="宋体" w:eastAsia="宋体"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2523"/>
        <w:gridCol w:w="2826"/>
        <w:gridCol w:w="2554"/>
      </w:tblGrid>
      <w:tr>
        <w:trPr>
          <w:trHeight w:val="346" w:hRule="exact"/>
        </w:trPr>
        <w:tc>
          <w:tcPr>
            <w:tcW w:w="2523" w:type="dxa"/>
            <w:vMerge w:val="restart"/>
            <w:tcBorders>
              <w:top w:val="single" w:sz="6" w:space="0" w:color="000000"/>
              <w:left w:val="single" w:sz="6" w:space="0" w:color="000000"/>
              <w:right w:val="single" w:sz="6"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53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51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8" w:hRule="exact"/>
        </w:trPr>
        <w:tc>
          <w:tcPr>
            <w:tcW w:w="2523" w:type="dxa"/>
            <w:vMerge/>
            <w:tcBorders>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284"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6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）可供出售权益工具投资重 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 动计入当期损益的金融资产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217,800,000.00</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其他非流动金融资产：增加</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217,800,000.00</w:t>
            </w:r>
            <w:r>
              <w:rPr>
                <w:rFonts w:ascii="宋体" w:hAnsi="宋体" w:cs="宋体" w:eastAsia="宋体" w:hint="default"/>
                <w:sz w:val="18"/>
                <w:szCs w:val="18"/>
              </w:rPr>
              <w:t>元</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217,800,000.00</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其他非流动金融资产：增加</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217,800,000.00</w:t>
            </w:r>
            <w:r>
              <w:rPr>
                <w:rFonts w:ascii="宋体" w:hAnsi="宋体" w:cs="宋体" w:eastAsia="宋体" w:hint="default"/>
                <w:sz w:val="18"/>
                <w:szCs w:val="18"/>
              </w:rPr>
              <w:t>元</w:t>
            </w:r>
          </w:p>
        </w:tc>
      </w:tr>
      <w:tr>
        <w:trPr>
          <w:trHeight w:val="1282"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8"/>
              <w:ind w:left="4" w:right="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）非交易性的可供出售权益 工具投资指定为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 量且其变动计入其他综合收益 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74,000,000.00</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其他权益工具投资：增加</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74,000,000.00</w:t>
            </w:r>
            <w:r>
              <w:rPr>
                <w:rFonts w:ascii="宋体" w:hAnsi="宋体" w:cs="宋体" w:eastAsia="宋体" w:hint="default"/>
                <w:sz w:val="18"/>
                <w:szCs w:val="18"/>
              </w:rPr>
              <w:t>元</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74,000,000.00</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其他权益工具投资：增加</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74,000,000.00</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300" w:lineRule="auto" w:before="44"/>
        <w:ind w:left="513" w:right="1133"/>
        <w:jc w:val="left"/>
      </w:pPr>
      <w:r>
        <w:rPr/>
        <w:t>（</w:t>
      </w:r>
      <w:r>
        <w:rPr>
          <w:rFonts w:ascii="Times New Roman" w:hAnsi="Times New Roman" w:cs="Times New Roman" w:eastAsia="Times New Roman" w:hint="default"/>
        </w:rPr>
        <w:t>3</w:t>
      </w:r>
      <w:r>
        <w:rPr/>
        <w:t>）执行《企业会计准则第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2019</w:t>
      </w:r>
      <w:r>
        <w:rPr/>
        <w:t>修订）</w:t>
      </w:r>
      <w:r>
        <w:rPr>
          <w:spacing w:val="-87"/>
        </w:rPr>
        <w:t>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日发布了《企业会计准则第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非货币性资产交换》（</w:t>
      </w:r>
      <w:r>
        <w:rPr>
          <w:rFonts w:ascii="Times New Roman" w:hAnsi="Times New Roman" w:cs="Times New Roman" w:eastAsia="Times New Roman" w:hint="default"/>
          <w:spacing w:val="-2"/>
        </w:rPr>
        <w:t>2019</w:t>
      </w:r>
      <w:r>
        <w:rPr>
          <w:spacing w:val="-2"/>
        </w:rPr>
        <w:t>修订）（财会〔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8</w:t>
      </w:r>
      <w:r>
        <w:rPr>
          <w:spacing w:val="-2"/>
        </w:rPr>
        <w:t>号），修订</w:t>
      </w:r>
    </w:p>
    <w:p>
      <w:pPr>
        <w:pStyle w:val="BodyText"/>
        <w:spacing w:line="300" w:lineRule="auto" w:before="13"/>
        <w:ind w:right="1025"/>
        <w:jc w:val="left"/>
      </w:pPr>
      <w:r>
        <w:rPr>
          <w:spacing w:val="-2"/>
        </w:rPr>
        <w:t>后的准则自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日起施行，对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日至本准则施行日之间发生的非货币性资产交换，应根据本准则进行调整。</w:t>
      </w:r>
      <w:r>
        <w:rPr>
          <w:spacing w:val="-55"/>
        </w:rPr>
        <w:t> </w:t>
      </w:r>
      <w:r>
        <w:rPr>
          <w:spacing w:val="-55"/>
        </w:rPr>
      </w:r>
      <w:r>
        <w:rPr>
          <w:spacing w:val="-2"/>
        </w:rPr>
        <w:t>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日之前发生的非货币性资产交换，不需要按照本准则的规定进行追溯调整。本公司执行上述准则在本报告期内</w:t>
      </w:r>
      <w:r>
        <w:rPr>
          <w:spacing w:val="-61"/>
        </w:rPr>
        <w:t> </w:t>
      </w:r>
      <w:r>
        <w:rPr>
          <w:spacing w:val="-61"/>
        </w:rPr>
      </w:r>
      <w:r>
        <w:rPr/>
        <w:t>无重大影响。</w:t>
      </w:r>
    </w:p>
    <w:p>
      <w:pPr>
        <w:spacing w:line="240" w:lineRule="auto" w:before="4"/>
        <w:rPr>
          <w:rFonts w:ascii="宋体" w:hAnsi="宋体" w:cs="宋体" w:eastAsia="宋体" w:hint="default"/>
          <w:sz w:val="26"/>
          <w:szCs w:val="26"/>
        </w:rPr>
      </w:pPr>
    </w:p>
    <w:p>
      <w:pPr>
        <w:pStyle w:val="BodyText"/>
        <w:spacing w:line="300" w:lineRule="auto"/>
        <w:ind w:left="513" w:right="1133"/>
        <w:jc w:val="left"/>
      </w:pPr>
      <w:r>
        <w:rPr/>
        <w:t>（</w:t>
      </w:r>
      <w:r>
        <w:rPr>
          <w:rFonts w:ascii="Times New Roman" w:hAnsi="Times New Roman" w:cs="Times New Roman" w:eastAsia="Times New Roman" w:hint="default"/>
        </w:rPr>
        <w:t>4</w:t>
      </w:r>
      <w:r>
        <w:rPr/>
        <w:t>）执行《企业会计准则第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2019</w:t>
      </w:r>
      <w:r>
        <w:rPr/>
        <w:t>修订）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日发布了《企业会计准则第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w:t>
      </w:r>
      <w:r>
        <w:rPr>
          <w:rFonts w:ascii="Times New Roman" w:hAnsi="Times New Roman" w:cs="Times New Roman" w:eastAsia="Times New Roman" w:hint="default"/>
          <w:spacing w:val="-2"/>
        </w:rPr>
        <w:t>2019</w:t>
      </w:r>
      <w:r>
        <w:rPr>
          <w:spacing w:val="-2"/>
        </w:rPr>
        <w:t>修订）（财会〔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9</w:t>
      </w:r>
      <w:r>
        <w:rPr>
          <w:spacing w:val="-2"/>
        </w:rPr>
        <w:t>号），修订后的准</w:t>
      </w:r>
    </w:p>
    <w:p>
      <w:pPr>
        <w:pStyle w:val="BodyText"/>
        <w:spacing w:line="300" w:lineRule="auto" w:before="13"/>
        <w:ind w:right="1124"/>
        <w:jc w:val="left"/>
      </w:pPr>
      <w:r>
        <w:rPr/>
        <w:t>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日至本准则施行日之间发生的债务重组，应根据本准则进行调整。对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t>日之前发生的债务重组，不需要按照本准则的规定进行追溯调整。本公司执行上述准则在本报告期内无重大影响。</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3）2019年起执行新金融工具准则、新收入准则或新租赁准则调整执行当年年初财务" w:id="215"/>
      <w:bookmarkEnd w:id="215"/>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2,621,839,051.62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2,621,839,051.62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223,427,336.47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223,427,336.47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33,889,629.94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33,889,629.94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17,825,014.48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17,825,014.48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16,846,251.25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16,846,251.25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161,022,908.40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161,022,908.40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3,074,850,192.16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3,074,850,192.16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361,601,888.34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361,601,888.34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1,289,044,829.75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1,289,044,829.75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13,265,114.89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13,265,114.89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7,399,278.50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7,399,278.50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255,974.00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255,974.00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1,963,367,085.48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1,963,367,085.48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5,038,217,277.64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5,038,217,277.64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139,636,166.20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139,636,166.20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371,849,751.17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371,849,751.17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13,427,221.49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13,427,221.49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106,987,469.09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106,987,469.09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54,136,506.84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54,136,506.84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206,346,126.70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206,346,126.70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1,173,132,457.18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1,173,132,457.18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2,085,515,698.67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2,085,515,698.67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19,817,902.31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19,817,902.31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19,817,902.31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19,817,902.31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2,105,333,600.98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2,105,333,600.98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1,210,651,322.34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1,210,651,322.34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234,400.00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234,400.00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170,316,503.70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170,316,503.70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1,173,772,938.63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1,173,772,938.63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2,914,975,164.67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2,914,975,164.67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17,908,511.99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17,908,511.99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2,932,883,676.66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2,932,883,676.66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5,038,217,277.64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5,038,217,277.64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2,513,152,782.79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251,315,278.00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45,841,858.42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45,841,858.42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20,287,356.74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20,287,356.74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289,881,351.44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289,881,351.44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5,900,509.80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5,900,509.80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143,884,784.38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143,884,784.38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3,018,948,643.57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3,018,948,643.57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291,800,000.00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-291,800,000.00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1,532,141,614.35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1,532,141,614.35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217,800,000.00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588,278,855.39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588,278,855.39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12,770,092.16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12,770,092.16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158,791.02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158,791.02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255,974.00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255,974.00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2,425,405,326.92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2,425,405,326.92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5,444,353,970.49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5,444,353,970.49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139,636,166.20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139,636,166.20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537,813,989.36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537,813,989.36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4,092,358.26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4,092,358.26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60,212,471.30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60,212,471.30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49,380,291.11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49,380,291.11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183,991,061.61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183,991,061.61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1,173,132,457.18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1,173,132,457.18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2,148,258,795.02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2,148,258,795.02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19,817,902.31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19,817,902.31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19,817,902.31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19,817,902.31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2,168,076,697.33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2,168,076,697.33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1,212,877,836.24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1,212,877,836.24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170,316,503.70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170,316,503.70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1,532,848,533.22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1,532,848,533.22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3,276,277,273.16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3,276,277,273.16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5,444,353,970.49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5,444,353,970.49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2019年起执行新金融工具准则或新租赁准则追溯调整前期比较数据说明" w:id="216"/>
      <w:bookmarkEnd w:id="216"/>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六、税项" w:id="217"/>
      <w:bookmarkEnd w:id="217"/>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主要税种及税率" w:id="218"/>
      <w:bookmarkEnd w:id="21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应税货物、劳务增值额计征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拉卡拉支付股份有限公司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拉卡拉云商网络有限公司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拉卡拉云商科技有限公司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北京顺维无限科技有限公司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天津弘诚科技发展有限公司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达孜弘诚科技发展有限公司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海南云商互联科技有限公司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拉卡拉汇积天下技术服务（北京）有限公司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拉卡拉汇积天下商务服务（天津）有限公司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四川拉卡拉汇积天下技术服务有限公司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汇积天下科技服务（厦门）有限公司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汇聚天下科技服务（海南）有限公司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拉卡拉科技投资有限公司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北京拉卡拉云闪科技有限公司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北京腾祥商务服务有限公司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广州赢达信息咨询有限公司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北京大树保险经纪有限责任公司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广州拉卡拉信息技术有限公司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拉卡拉國際有限公司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北京拉卡拉资产管理有限公司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拉卡拉信息科技（上海）有限公司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广东云商网联信息服务有限公司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海南泛泰科技发展有限公司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海南嘉驰科技发展有限公司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北京考拉鲲鹏科技成长基金合伙企业（有限合伙）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3" w:firstLine="360"/>
        <w:jc w:val="left"/>
      </w:pPr>
      <w:r>
        <w:rPr>
          <w:spacing w:val="-5"/>
        </w:rPr>
        <w:t>本公司属于北京市财税局、北京市国家税务局、北京市地方税务局、北京科学技术委员会批准的高新技术企业，减按</w:t>
      </w:r>
      <w:r>
        <w:rPr>
          <w:rFonts w:ascii="Times New Roman" w:hAnsi="Times New Roman" w:cs="Times New Roman" w:eastAsia="Times New Roman" w:hint="default"/>
          <w:spacing w:val="-5"/>
        </w:rPr>
        <w:t>15%</w:t>
      </w:r>
      <w:r>
        <w:rPr>
          <w:rFonts w:ascii="Times New Roman" w:hAnsi="Times New Roman" w:cs="Times New Roman" w:eastAsia="Times New Roman" w:hint="default"/>
          <w:spacing w:val="1"/>
        </w:rPr>
        <w:t> </w:t>
      </w:r>
      <w:r>
        <w:rPr/>
        <w:t>的税率征收企业所得税，颁发的高新技术企业证书编号为</w:t>
      </w:r>
      <w:r>
        <w:rPr>
          <w:rFonts w:ascii="Times New Roman" w:hAnsi="Times New Roman" w:cs="Times New Roman" w:eastAsia="Times New Roman" w:hint="default"/>
        </w:rPr>
        <w:t>GR201711000761</w:t>
      </w:r>
      <w:r>
        <w:rPr/>
        <w:t>，税收优惠期自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w:t>
      </w:r>
    </w:p>
    <w:p>
      <w:pPr>
        <w:pStyle w:val="BodyText"/>
        <w:spacing w:line="240" w:lineRule="auto" w:before="13"/>
        <w:ind w:left="513" w:right="0"/>
        <w:jc w:val="left"/>
      </w:pPr>
      <w:r>
        <w:rPr/>
        <w:t>本公司子公司达孜弘诚科技发展有限公司符合西藏自治区人民政府《西藏自治区招商引资优惠政策若干规定（试行）》</w:t>
      </w:r>
    </w:p>
    <w:p>
      <w:pPr>
        <w:pStyle w:val="BodyText"/>
        <w:spacing w:line="300" w:lineRule="auto" w:before="76"/>
        <w:ind w:right="1124"/>
        <w:jc w:val="both"/>
      </w:pPr>
      <w:r>
        <w:rPr/>
        <w:t>（藏政发〔</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25</w:t>
      </w:r>
      <w:r>
        <w:rPr/>
        <w:t>号）第六条第</w:t>
      </w:r>
      <w:r>
        <w:rPr>
          <w:rFonts w:ascii="Times New Roman" w:hAnsi="Times New Roman" w:cs="Times New Roman" w:eastAsia="Times New Roman" w:hint="default"/>
        </w:rPr>
        <w:t>14</w:t>
      </w:r>
      <w:r>
        <w:rPr/>
        <w:t>款</w:t>
      </w:r>
      <w:r>
        <w:rPr>
          <w:rFonts w:ascii="Times New Roman" w:hAnsi="Times New Roman" w:cs="Times New Roman" w:eastAsia="Times New Roman" w:hint="default"/>
        </w:rPr>
        <w:t>“</w:t>
      </w:r>
      <w:r>
        <w:rPr/>
        <w:t>吸纳我区农牧民、残疾人员、享受城市最低生活保障人员、高校毕业生及退役士兵</w:t>
      </w:r>
      <w:r>
        <w:rPr>
          <w:spacing w:val="-77"/>
        </w:rPr>
        <w:t> </w:t>
      </w:r>
      <w:r>
        <w:rPr>
          <w:spacing w:val="-77"/>
        </w:rPr>
      </w:r>
      <w:r>
        <w:rPr/>
        <w:t>五类人员就业人数达到企业职工总数</w:t>
      </w:r>
      <w:r>
        <w:rPr>
          <w:rFonts w:ascii="Times New Roman" w:hAnsi="Times New Roman" w:cs="Times New Roman" w:eastAsia="Times New Roman" w:hint="default"/>
        </w:rPr>
        <w:t>30%(</w:t>
      </w:r>
      <w:r>
        <w:rPr/>
        <w:t>含本数</w:t>
      </w:r>
      <w:r>
        <w:rPr>
          <w:rFonts w:ascii="Times New Roman" w:hAnsi="Times New Roman" w:cs="Times New Roman" w:eastAsia="Times New Roman" w:hint="default"/>
        </w:rPr>
        <w:t>)</w:t>
      </w:r>
      <w:r>
        <w:rPr/>
        <w:t>以上的或吸纳西藏常住人口就业人数达到企业职工总数</w:t>
      </w:r>
      <w:r>
        <w:rPr>
          <w:rFonts w:ascii="Times New Roman" w:hAnsi="Times New Roman" w:cs="Times New Roman" w:eastAsia="Times New Roman" w:hint="default"/>
        </w:rPr>
        <w:t>70%(</w:t>
      </w:r>
      <w:r>
        <w:rPr/>
        <w:t>含本数</w:t>
      </w:r>
      <w:r>
        <w:rPr>
          <w:rFonts w:ascii="Times New Roman" w:hAnsi="Times New Roman" w:cs="Times New Roman" w:eastAsia="Times New Roman" w:hint="default"/>
        </w:rPr>
        <w:t>)</w:t>
      </w:r>
      <w:r>
        <w:rPr/>
        <w:t>以上</w:t>
      </w:r>
      <w:r>
        <w:rPr>
          <w:spacing w:val="3"/>
        </w:rPr>
        <w:t> </w:t>
      </w:r>
      <w:r>
        <w:rPr>
          <w:spacing w:val="-1"/>
        </w:rPr>
        <w:t>的企业</w:t>
      </w:r>
      <w:r>
        <w:rPr>
          <w:rFonts w:ascii="Times New Roman" w:hAnsi="Times New Roman" w:cs="Times New Roman" w:eastAsia="Times New Roman" w:hint="default"/>
          <w:spacing w:val="-1"/>
        </w:rPr>
        <w:t>”</w:t>
      </w:r>
      <w:r>
        <w:rPr>
          <w:spacing w:val="-1"/>
        </w:rPr>
        <w:t>的规定，因此自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日，免征企业所得税地方分享部分，</w:t>
      </w:r>
      <w:r>
        <w:rPr>
          <w:rFonts w:ascii="Times New Roman" w:hAnsi="Times New Roman" w:cs="Times New Roman" w:eastAsia="Times New Roman" w:hint="default"/>
          <w:spacing w:val="-1"/>
        </w:rPr>
        <w:t>2019</w:t>
      </w:r>
      <w:r>
        <w:rPr>
          <w:spacing w:val="-1"/>
        </w:rPr>
        <w:t>年实际减按</w:t>
      </w:r>
      <w:r>
        <w:rPr>
          <w:rFonts w:ascii="Times New Roman" w:hAnsi="Times New Roman" w:cs="Times New Roman" w:eastAsia="Times New Roman" w:hint="default"/>
          <w:spacing w:val="-1"/>
        </w:rPr>
        <w:t>9%</w:t>
      </w:r>
      <w:r>
        <w:rPr>
          <w:spacing w:val="-1"/>
        </w:rPr>
        <w:t>税率征收企业</w:t>
      </w:r>
      <w:r>
        <w:rPr>
          <w:spacing w:val="-76"/>
        </w:rPr>
        <w:t> </w:t>
      </w:r>
      <w:r>
        <w:rPr/>
        <w:t>所得税。</w:t>
      </w:r>
    </w:p>
    <w:p>
      <w:pPr>
        <w:spacing w:line="240" w:lineRule="auto" w:before="10"/>
        <w:rPr>
          <w:rFonts w:ascii="宋体" w:hAnsi="宋体" w:cs="宋体" w:eastAsia="宋体" w:hint="default"/>
          <w:sz w:val="23"/>
          <w:szCs w:val="23"/>
        </w:rPr>
      </w:pPr>
    </w:p>
    <w:p>
      <w:pPr>
        <w:pStyle w:val="Heading4"/>
        <w:spacing w:line="240" w:lineRule="auto"/>
        <w:ind w:right="0"/>
        <w:jc w:val="both"/>
        <w:rPr>
          <w:b w:val="0"/>
          <w:bCs w:val="0"/>
        </w:rPr>
      </w:pPr>
      <w:bookmarkStart w:name="3、其他" w:id="220"/>
      <w:bookmarkEnd w:id="220"/>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七、合并财务报表项目注释" w:id="221"/>
      <w:bookmarkEnd w:id="221"/>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货币资金" w:id="222"/>
      <w:bookmarkEnd w:id="22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11,195.23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5,830.53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2,809,113,078.21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1,127,171,161.37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5,362,506,176.18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1,494,662,059.72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8,171,630,449.62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2,621,839,051.62</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spacing w:val="-4"/>
        </w:rPr>
        <w:t>除下表所列受到限制的货币资金明细外，不存在其他因抵押、质押或冻结等对使用有限制，或存在潜在回收风险的款项。</w:t>
      </w:r>
    </w:p>
    <w:p>
      <w:pPr>
        <w:spacing w:line="240" w:lineRule="auto" w:before="6"/>
        <w:rPr>
          <w:rFonts w:ascii="宋体" w:hAnsi="宋体" w:cs="宋体" w:eastAsia="宋体" w:hint="default"/>
          <w:sz w:val="29"/>
          <w:szCs w:val="29"/>
        </w:rPr>
      </w:pPr>
    </w:p>
    <w:tbl>
      <w:tblPr>
        <w:tblW w:w="0" w:type="auto"/>
        <w:jc w:val="left"/>
        <w:tblInd w:w="152" w:type="dxa"/>
        <w:tblLayout w:type="fixed"/>
        <w:tblCellMar>
          <w:top w:w="0" w:type="dxa"/>
          <w:left w:w="0" w:type="dxa"/>
          <w:bottom w:w="0" w:type="dxa"/>
          <w:right w:w="0" w:type="dxa"/>
        </w:tblCellMar>
        <w:tblLook w:val="01E0"/>
      </w:tblPr>
      <w:tblGrid>
        <w:gridCol w:w="2747"/>
        <w:gridCol w:w="2705"/>
        <w:gridCol w:w="2710"/>
      </w:tblGrid>
      <w:tr>
        <w:trPr>
          <w:trHeight w:val="342" w:hRule="exact"/>
        </w:trPr>
        <w:tc>
          <w:tcPr>
            <w:tcW w:w="274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1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274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4,487,056.62</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49,575,394.30</w:t>
            </w:r>
          </w:p>
        </w:tc>
      </w:tr>
      <w:tr>
        <w:trPr>
          <w:trHeight w:val="348" w:hRule="exact"/>
        </w:trPr>
        <w:tc>
          <w:tcPr>
            <w:tcW w:w="274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其他保证金</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7,328,245.00</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2,920,929.62</w:t>
            </w:r>
          </w:p>
        </w:tc>
      </w:tr>
      <w:tr>
        <w:trPr>
          <w:trHeight w:val="346" w:hRule="exact"/>
        </w:trPr>
        <w:tc>
          <w:tcPr>
            <w:tcW w:w="274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客户备付金</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5,350,690,874.56</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1,442,165,735.80</w:t>
            </w:r>
          </w:p>
        </w:tc>
      </w:tr>
      <w:tr>
        <w:trPr>
          <w:trHeight w:val="348" w:hRule="exact"/>
        </w:trPr>
        <w:tc>
          <w:tcPr>
            <w:tcW w:w="274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5,362,506,176.18</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1,494,662,059.72</w:t>
            </w:r>
          </w:p>
        </w:tc>
      </w:tr>
    </w:tbl>
    <w:p>
      <w:pPr>
        <w:spacing w:line="240" w:lineRule="auto" w:before="1"/>
        <w:rPr>
          <w:rFonts w:ascii="宋体" w:hAnsi="宋体" w:cs="宋体" w:eastAsia="宋体" w:hint="default"/>
          <w:sz w:val="21"/>
          <w:szCs w:val="21"/>
        </w:rPr>
      </w:pPr>
    </w:p>
    <w:p>
      <w:pPr>
        <w:pStyle w:val="BodyText"/>
        <w:spacing w:line="316" w:lineRule="auto" w:before="44"/>
        <w:ind w:right="1131" w:firstLine="360"/>
        <w:jc w:val="both"/>
      </w:pPr>
      <w:r>
        <w:rPr>
          <w:spacing w:val="-2"/>
        </w:rPr>
        <w:t>客户备付金账户是公司按照《非金融机构支付服务管理办法》和《支付机构客户备付金存管办法》规定开立的银行专用</w:t>
      </w:r>
      <w:r>
        <w:rPr/>
        <w:t> </w:t>
      </w:r>
      <w:r>
        <w:rPr>
          <w:spacing w:val="-2"/>
        </w:rPr>
        <w:t>存款账户，公司通过客户备付金账户存储及收支的资金范围包括：银行卡收单业务、第三方支付便民服务业务、信用卡还款</w:t>
      </w:r>
      <w:r>
        <w:rPr>
          <w:spacing w:val="-64"/>
        </w:rPr>
        <w:t> </w:t>
      </w:r>
      <w:r>
        <w:rPr>
          <w:spacing w:val="-64"/>
        </w:rPr>
      </w:r>
      <w:r>
        <w:rPr/>
        <w:t>业务、信贷支付结算业务、公司其他部分业务收入资金。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4"/>
        <w:spacing w:line="240" w:lineRule="auto"/>
        <w:ind w:right="1133"/>
        <w:jc w:val="left"/>
        <w:rPr>
          <w:b w:val="0"/>
          <w:bCs w:val="0"/>
        </w:rPr>
      </w:pPr>
      <w:bookmarkStart w:name="2、应收账款" w:id="223"/>
      <w:bookmarkEnd w:id="223"/>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319,354,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616.98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3,478,71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315,875,9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06.97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225,912,3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2,485,048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223,427,33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6.47</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319,354,</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616.98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3,478,71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315,875,9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06.97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225,912,3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2,485,048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223,427,33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6.47</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Times New Roman" w:hAnsi="Times New Roman" w:cs="Times New Roman" w:eastAsia="Times New Roman" w:hint="default"/>
                <w:sz w:val="18"/>
                <w:szCs w:val="18"/>
              </w:rPr>
            </w:pPr>
            <w:r>
              <w:rPr>
                <w:rFonts w:ascii="Times New Roman"/>
                <w:sz w:val="18"/>
              </w:rPr>
              <w:t>319,354,</w:t>
            </w:r>
          </w:p>
          <w:p>
            <w:pPr>
              <w:pStyle w:val="TableParagraph"/>
              <w:spacing w:line="240" w:lineRule="auto" w:before="102"/>
              <w:ind w:left="227" w:right="0"/>
              <w:jc w:val="center"/>
              <w:rPr>
                <w:rFonts w:ascii="Times New Roman" w:hAnsi="Times New Roman" w:cs="Times New Roman" w:eastAsia="Times New Roman" w:hint="default"/>
                <w:sz w:val="18"/>
                <w:szCs w:val="18"/>
              </w:rPr>
            </w:pPr>
            <w:r>
              <w:rPr>
                <w:rFonts w:ascii="Times New Roman"/>
                <w:sz w:val="18"/>
              </w:rPr>
              <w:t>616.98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3,478,71</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0.01</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315,875,9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06.97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225,912,3</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84.51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2,485,048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.04</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223,427,33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6.47</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3,478,710.01</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316,242,398.07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3,162,423.99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2,216,167.64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110,808.38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484,590.52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72,688.58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364,706.57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109,411.97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46,754.18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319,354,616.98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3,478,710.01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357"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316,242,398.07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2,216,167.64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484,590.52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411,460.75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364,706.57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46,754.18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319,354,616.98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应收账款坏账准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2,485,048.04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892,866.75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190,226.95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3,478,710.01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2,485,048.04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892,866.75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190,226.95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3,478,710.01</w:t>
            </w:r>
          </w:p>
        </w:tc>
      </w:tr>
    </w:tbl>
    <w:p>
      <w:pPr>
        <w:pStyle w:val="BodyText"/>
        <w:spacing w:line="240" w:lineRule="auto" w:before="49"/>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190,226.95</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按欠款方归集的期末余额前五名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154,710,416.28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48.44%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1,547,104.16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33,485,760.00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334,857.60</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23,814,584.61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238,145.85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10,906,400.00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109,064.00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7,091,345.91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70,913.46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230,008,506.80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72.03%</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因金融资产转移而终止确认的应收账款" w:id="228"/>
      <w:bookmarkEnd w:id="22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转移应收账款且继续涉入形成的资产、负债金额" w:id="229"/>
      <w:bookmarkEnd w:id="22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3、预付款项" w:id="230"/>
      <w:bookmarkEnd w:id="230"/>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4"/>
        <w:gridCol w:w="1914"/>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6" w:right="0"/>
              <w:jc w:val="left"/>
              <w:rPr>
                <w:rFonts w:ascii="Times New Roman" w:hAnsi="Times New Roman" w:cs="Times New Roman" w:eastAsia="Times New Roman" w:hint="default"/>
                <w:sz w:val="18"/>
                <w:szCs w:val="18"/>
              </w:rPr>
            </w:pPr>
            <w:r>
              <w:rPr>
                <w:rFonts w:ascii="Times New Roman"/>
                <w:sz w:val="18"/>
              </w:rPr>
              <w:t>124,594,375.55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31,997,889.61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1,180,531.98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1,875,546.35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1,370,493.00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16,193.98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127,150,350.53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33,889,629.94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505"/>
        <w:gridCol w:w="2127"/>
        <w:gridCol w:w="2129"/>
      </w:tblGrid>
      <w:tr>
        <w:trPr>
          <w:trHeight w:val="660"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74" w:right="3"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占预付款项期末余额合</w:t>
            </w:r>
            <w:r>
              <w:rPr>
                <w:rFonts w:ascii="宋体" w:hAnsi="宋体" w:cs="宋体" w:eastAsia="宋体" w:hint="default"/>
                <w:w w:val="100"/>
                <w:sz w:val="21"/>
                <w:szCs w:val="21"/>
              </w:rPr>
              <w:t> </w:t>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r>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44,734,954.54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35.18</w:t>
            </w:r>
          </w:p>
        </w:tc>
      </w:tr>
      <w:tr>
        <w:trPr>
          <w:trHeight w:val="346"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18,098,527.34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14.23</w:t>
            </w:r>
          </w:p>
        </w:tc>
      </w:tr>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10,464,300.00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8.23</w:t>
            </w:r>
          </w:p>
        </w:tc>
      </w:tr>
      <w:tr>
        <w:trPr>
          <w:trHeight w:val="346"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供应商四</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10,000,000.00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7.86</w:t>
            </w:r>
          </w:p>
        </w:tc>
      </w:tr>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供应商五</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3,269,189.18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2.57</w:t>
            </w:r>
          </w:p>
        </w:tc>
      </w:tr>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86,566,971.06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68.07</w:t>
            </w:r>
          </w:p>
        </w:tc>
      </w:tr>
    </w:tbl>
    <w:p>
      <w:pPr>
        <w:spacing w:line="240" w:lineRule="auto" w:before="2"/>
        <w:rPr>
          <w:rFonts w:ascii="宋体" w:hAnsi="宋体" w:cs="宋体" w:eastAsia="宋体" w:hint="default"/>
          <w:b/>
          <w:bCs/>
          <w:sz w:val="24"/>
          <w:szCs w:val="24"/>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其他应收款" w:id="233"/>
      <w:bookmarkEnd w:id="233"/>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17,826,698.28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17,825,014.48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17,826,698.28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17,825,014.48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收利息" w:id="234"/>
      <w:bookmarkEnd w:id="23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利息分类" w:id="235"/>
      <w:bookmarkEnd w:id="235"/>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2）重要逾期利息" w:id="236"/>
      <w:bookmarkEnd w:id="236"/>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坏账准备计提情况" w:id="237"/>
      <w:bookmarkEnd w:id="23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应收股利" w:id="238"/>
      <w:bookmarkEnd w:id="23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股利分类" w:id="239"/>
      <w:bookmarkEnd w:id="239"/>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重要的账龄超过1年的应收股利" w:id="240"/>
      <w:bookmarkEnd w:id="240"/>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坏账准备计提情况" w:id="241"/>
      <w:bookmarkEnd w:id="24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3）其他应收款" w:id="242"/>
      <w:bookmarkEnd w:id="24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其他应收款按款项性质分类情况" w:id="243"/>
      <w:bookmarkEnd w:id="24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16,785,480.19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16,548,032.86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1,201,339.55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1,471,746.32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17,986,819.74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18,019,779.18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坏账准备计提情况" w:id="244"/>
      <w:bookmarkEnd w:id="24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5"/>
        <w:gridCol w:w="1651"/>
        <w:gridCol w:w="2098"/>
        <w:gridCol w:w="2101"/>
        <w:gridCol w:w="1793"/>
      </w:tblGrid>
      <w:tr>
        <w:trPr>
          <w:trHeight w:val="403"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7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7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7"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6"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4"/>
              <w:ind w:left="1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05"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78" w:right="0"/>
              <w:jc w:val="left"/>
              <w:rPr>
                <w:rFonts w:ascii="Times New Roman" w:hAnsi="Times New Roman" w:cs="Times New Roman" w:eastAsia="Times New Roman" w:hint="default"/>
                <w:sz w:val="18"/>
                <w:szCs w:val="18"/>
              </w:rPr>
            </w:pPr>
            <w:r>
              <w:rPr>
                <w:rFonts w:ascii="Times New Roman"/>
                <w:sz w:val="18"/>
              </w:rPr>
              <w:t>1,409.54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6" w:right="0"/>
              <w:jc w:val="left"/>
              <w:rPr>
                <w:rFonts w:ascii="Times New Roman" w:hAnsi="Times New Roman" w:cs="Times New Roman" w:eastAsia="Times New Roman" w:hint="default"/>
                <w:sz w:val="18"/>
                <w:szCs w:val="18"/>
              </w:rPr>
            </w:pPr>
            <w:r>
              <w:rPr>
                <w:rFonts w:ascii="Times New Roman"/>
                <w:sz w:val="18"/>
              </w:rPr>
              <w:t>33,233.70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1" w:right="0"/>
              <w:jc w:val="left"/>
              <w:rPr>
                <w:rFonts w:ascii="Times New Roman" w:hAnsi="Times New Roman" w:cs="Times New Roman" w:eastAsia="Times New Roman" w:hint="default"/>
                <w:sz w:val="18"/>
                <w:szCs w:val="18"/>
              </w:rPr>
            </w:pPr>
            <w:r>
              <w:rPr>
                <w:rFonts w:ascii="Times New Roman"/>
                <w:sz w:val="18"/>
              </w:rPr>
              <w:t>34,643.24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9" w:right="0"/>
              <w:jc w:val="left"/>
              <w:rPr>
                <w:rFonts w:ascii="Times New Roman" w:hAnsi="Times New Roman" w:cs="Times New Roman" w:eastAsia="Times New Roman" w:hint="default"/>
                <w:sz w:val="18"/>
                <w:szCs w:val="18"/>
              </w:rPr>
            </w:pPr>
            <w:r>
              <w:rPr>
                <w:rFonts w:ascii="Times New Roman"/>
                <w:sz w:val="18"/>
              </w:rPr>
              <w:t>-1,409.54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6" w:right="0"/>
              <w:jc w:val="left"/>
              <w:rPr>
                <w:rFonts w:ascii="Times New Roman" w:hAnsi="Times New Roman" w:cs="Times New Roman" w:eastAsia="Times New Roman" w:hint="default"/>
                <w:sz w:val="18"/>
                <w:szCs w:val="18"/>
              </w:rPr>
            </w:pPr>
            <w:r>
              <w:rPr>
                <w:rFonts w:ascii="Times New Roman"/>
                <w:sz w:val="18"/>
              </w:rPr>
              <w:t>-33,233.70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1" w:right="0"/>
              <w:jc w:val="left"/>
              <w:rPr>
                <w:rFonts w:ascii="Times New Roman" w:hAnsi="Times New Roman" w:cs="Times New Roman" w:eastAsia="Times New Roman" w:hint="default"/>
                <w:sz w:val="18"/>
                <w:szCs w:val="18"/>
              </w:rPr>
            </w:pPr>
            <w:r>
              <w:rPr>
                <w:rFonts w:ascii="Times New Roman"/>
                <w:sz w:val="18"/>
              </w:rPr>
              <w:t>-34,643.24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3,733,347.10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5,821,054.91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4,954,469.09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3,477,948.64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1,188,262.64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244,301.00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2,045,385.00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17,986,819.74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收回或转回的坏账准备情况" w:id="245"/>
      <w:bookmarkEnd w:id="24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194,764.70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7" w:right="0"/>
              <w:jc w:val="left"/>
              <w:rPr>
                <w:rFonts w:ascii="Times New Roman" w:hAnsi="Times New Roman" w:cs="Times New Roman" w:eastAsia="Times New Roman" w:hint="default"/>
                <w:sz w:val="18"/>
                <w:szCs w:val="18"/>
              </w:rPr>
            </w:pPr>
            <w:r>
              <w:rPr>
                <w:rFonts w:ascii="Times New Roman"/>
                <w:sz w:val="18"/>
              </w:rPr>
              <w:t>147,680.79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107,924.03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160,121.46</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194,764.70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147,680.79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107,924.03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160,121.46</w:t>
            </w:r>
          </w:p>
        </w:tc>
      </w:tr>
    </w:tbl>
    <w:p>
      <w:pPr>
        <w:pStyle w:val="BodyText"/>
        <w:spacing w:line="240" w:lineRule="auto" w:before="49"/>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本期实际核销的其他应收款情况" w:id="246"/>
      <w:bookmarkEnd w:id="24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实际核销的其他应收款项</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74,400.00</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按欠款方归集的期末余额前五名的其他应收款情况" w:id="247"/>
      <w:bookmarkEnd w:id="24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691,820.00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7,250,645.00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40.31%</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涉及政府补助的应收款项" w:id="248"/>
      <w:bookmarkEnd w:id="24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因金融资产转移而终止确认的其他应收款" w:id="249"/>
      <w:bookmarkEnd w:id="24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8）转移其他应收款且继续涉入形成的资产、负债金额" w:id="250"/>
      <w:bookmarkEnd w:id="25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存货" w:id="251"/>
      <w:bookmarkEnd w:id="251"/>
      <w:r>
        <w:rPr>
          <w:b w:val="0"/>
          <w:bCs w:val="0"/>
        </w:rPr>
      </w:r>
      <w:r>
        <w:rPr>
          <w:rFonts w:ascii="Times New Roman" w:hAnsi="Times New Roman" w:cs="Times New Roman" w:eastAsia="Times New Roman" w:hint="default"/>
        </w:rPr>
        <w:t>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1）存货分类" w:id="252"/>
      <w:bookmarkEnd w:id="25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18,758,083.15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149,585.84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18,608,497.31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17,307,226.29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16,846,251.25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18,758,083.15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149,585.84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18,608,497.31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17,307,226.29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16,846,251.25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存货跌价准备" w:id="253"/>
      <w:bookmarkEnd w:id="25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460,975.04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311,389.20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149,585.84</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460,975.04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311,389.20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149,585.84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存货期末余额含有借款费用资本化金额的说明" w:id="254"/>
      <w:bookmarkEnd w:id="25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期末建造合同形成的已完工未结算资产情况" w:id="255"/>
      <w:bookmarkEnd w:id="25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其他流动资产" w:id="256"/>
      <w:bookmarkEnd w:id="256"/>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28,424,177.29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48,641,163.16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未收到银联发票增值税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46,795,227.18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52,543,743.91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3,850,008.69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1,250,210.12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对外投放机具未摊销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84,923,069.34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58,587,791.21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163,992,482.50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161,022,908.40</w:t>
            </w:r>
            <w:r>
              <w:rPr>
                <w:rFonts w:ascii="Times New Roman"/>
                <w:sz w:val="18"/>
              </w:rPr>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长期股权投资" w:id="257"/>
      <w:bookmarkEnd w:id="257"/>
      <w:r>
        <w:rPr>
          <w:b w:val="0"/>
          <w:bCs w:val="0"/>
        </w:rPr>
      </w:r>
      <w:r>
        <w:rPr>
          <w:rFonts w:ascii="Times New Roman" w:hAnsi="Times New Roman" w:cs="Times New Roman" w:eastAsia="Times New Roman" w:hint="default"/>
        </w:rPr>
        <w:t>7</w:t>
      </w:r>
      <w:r>
        <w:rPr/>
        <w:t>、长期股权投资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北京唯致 动力网络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12,874,47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1,550.53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12,876,02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北京考拉 昆略互联 网产业投 资基金</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333,493,2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-14,986,3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30.43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318,506,8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83.90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北京考拉 昆仑信息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5,543,959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68,895.13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5,612,854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考拉昆仑 信用管理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6,353,970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-4,347,40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8,486,566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江苏千米 网络科技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111,985,6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云码智能</w:t>
            </w:r>
          </w:p>
          <w:p>
            <w:pPr>
              <w:pStyle w:val="TableParagraph"/>
              <w:spacing w:line="316" w:lineRule="auto" w:before="74"/>
              <w:ind w:left="24" w:right="41"/>
              <w:jc w:val="both"/>
              <w:rPr>
                <w:rFonts w:ascii="宋体" w:hAnsi="宋体" w:cs="宋体" w:eastAsia="宋体" w:hint="default"/>
                <w:sz w:val="18"/>
                <w:szCs w:val="18"/>
              </w:rPr>
            </w:pPr>
            <w:r>
              <w:rPr>
                <w:rFonts w:ascii="宋体" w:hAnsi="宋体" w:cs="宋体" w:eastAsia="宋体" w:hint="default"/>
                <w:sz w:val="18"/>
                <w:szCs w:val="18"/>
              </w:rPr>
              <w:t>（深圳）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3,336,273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430,470.1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3,766,744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361,601,8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118,480,0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-18,847,1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461,234,7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47.59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361,601,8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88.34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118,480,0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-18,847,1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40.75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461,234,7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47.59</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8、其他权益工具投资" w:id="258"/>
      <w:bookmarkEnd w:id="258"/>
      <w:r>
        <w:rPr>
          <w:b w:val="0"/>
          <w:bCs w:val="0"/>
        </w:rPr>
      </w:r>
      <w:r>
        <w:rPr>
          <w:rFonts w:ascii="Times New Roman" w:hAnsi="Times New Roman" w:cs="Times New Roman" w:eastAsia="Times New Roman" w:hint="default"/>
        </w:rPr>
        <w:t>8</w:t>
      </w:r>
      <w:r>
        <w:rPr/>
        <w:t>、其他权益工具投资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217.490005pt;margin-top:60.111717pt;width:156.75pt;height:19.6pt;mso-position-horizontal-relative:page;mso-position-vertical-relative:paragraph;z-index:-1069168" coordorigin="4350,1202" coordsize="3135,392">
            <v:shape style="position:absolute;left:4350;top:1202;width:3135;height:392" coordorigin="4350,1202" coordsize="3135,392" path="m4350,1593l7485,1593,7485,1202,4350,1202,4350,1593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北京中关金信资产管理有限公司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北京一八九八友创投资中心（有限合伙</w:t>
            </w:r>
          </w:p>
        </w:tc>
        <w:tc>
          <w:tcPr>
            <w:tcW w:w="3192" w:type="dxa"/>
            <w:tcBorders>
              <w:top w:val="single" w:sz="4" w:space="0" w:color="000000"/>
              <w:left w:val="single" w:sz="13" w:space="0" w:color="FFFFFF"/>
              <w:bottom w:val="single" w:sz="4" w:space="0" w:color="000000"/>
              <w:right w:val="single" w:sz="4" w:space="0" w:color="000000"/>
            </w:tcBorders>
          </w:tcPr>
          <w:p>
            <w:pPr>
              <w:pStyle w:val="TableParagraph"/>
              <w:tabs>
                <w:tab w:pos="2201" w:val="left" w:leader="none"/>
              </w:tabs>
              <w:spacing w:line="240" w:lineRule="auto" w:before="49"/>
              <w:ind w:left="-136"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9,504,950.00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北京中关村并购母基金投资中心（有限 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网联清算有限公司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73,504,950.00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r>
    </w:tbl>
    <w:p>
      <w:pPr>
        <w:pStyle w:val="BodyText"/>
        <w:spacing w:line="240" w:lineRule="auto" w:before="49"/>
        <w:ind w:right="1133"/>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9、其他非流动金融资产" w:id="259"/>
      <w:bookmarkEnd w:id="259"/>
      <w:r>
        <w:rPr>
          <w:b w:val="0"/>
          <w:bCs w:val="0"/>
        </w:rPr>
      </w:r>
      <w:r>
        <w:rPr>
          <w:rFonts w:ascii="Times New Roman" w:hAnsi="Times New Roman" w:cs="Times New Roman" w:eastAsia="Times New Roman" w:hint="default"/>
        </w:rPr>
        <w:t>9</w:t>
      </w:r>
      <w:r>
        <w:rPr/>
        <w:t>、其他非流动金融资产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217,800,000.00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217,800,000.00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0、固定资产" w:id="260"/>
      <w:bookmarkEnd w:id="260"/>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1,209,823,949.55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1,289,044,829.75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1,209,823,949.55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1,289,044,829.75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固定资产情况" w:id="261"/>
      <w:bookmarkEnd w:id="26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116.779999pt;margin-top:39.411724pt;width:58.1pt;height:20.8pt;mso-position-horizontal-relative:page;mso-position-vertical-relative:paragraph;z-index:-1069144" coordorigin="2336,788" coordsize="1162,416">
            <v:group style="position:absolute;left:2346;top:799;width:2;height:394" coordorigin="2346,799" coordsize="2,394">
              <v:shape style="position:absolute;left:2346;top:799;width:2;height:394" coordorigin="2346,799" coordsize="0,394" path="m2346,799l2346,1193e" filled="false" stroked="true" strokeweight="1.08pt" strokecolor="#ffffff">
                <v:path arrowok="t"/>
              </v:shape>
            </v:group>
            <v:group style="position:absolute;left:2357;top:799;width:1140;height:394" coordorigin="2357,799" coordsize="1140,394">
              <v:shape style="position:absolute;left:2357;top:799;width:1140;height:394" coordorigin="2357,799" coordsize="1140,394" path="m2357,1193l3497,1193,3497,799,2357,799,2357,1193xe" filled="true" fillcolor="#ffffff" stroked="false">
                <v:path arrowok="t"/>
                <v:fill type="solid"/>
              </v:shape>
            </v:group>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机具设备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723,428,571.43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757,846,948.63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33,498,551.30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12,824,682.30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18,829,456.99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69,908,340.35</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1,616,336,551.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34,073,182.16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52,154,927.73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4,546,851.61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319,623.96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1,129,060.49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15,681,056.32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107,904,702.27</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34,073,182.16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51,730,483.29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4,546,851.61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316,280.47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1,118,657.90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15,681,056.32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107,466,511.75</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424,444.44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3,343.49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10,402.59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438,190.52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59,816,166.04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2,413,702.00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944,068.81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2,054,720.71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65,228,657.56</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59,816,166.04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2,413,702.00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944,068.81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2,054,720.71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65,228,657.56</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757,501,753.59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750,185,710.32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35,631,700.91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12,200,237.45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17,903,796.77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85,589,396.67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1,659,012,595.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8,247,900.94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289,708,774.88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10,387,367.17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3,647,633.71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10,195,341.03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5,104,703.52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327,291,721.25</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13,989,128.18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141,705,474.80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4,152,006.87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947,005.01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1,647,018.06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11,118,781.28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173,559,414.20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13,989,128.18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141,594,907.30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4,152,006.87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946,273.37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1,643,261.32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11,118,781.28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173,444,358.32</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firstLine="8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企业合并增加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110,567.50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3,756.74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115,055.88</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47,246,588.59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1,645,110.30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836,541.49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1,934,248.91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51,662,489.29</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47,246,588.59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1,645,110.30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836,541.49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1,934,248.91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51,662,489.29</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22,237,029.12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384,167,661.09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12,894,263.74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3,758,097.23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9,908,110.18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16,223,484.80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449,188,646.16</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1"/>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735,264,724.47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366,018,049.23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22,737,437.17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8,442,140.22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7,995,686.59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69,365,911.87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1,209,823,949.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715,180,670.49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468,138,173.75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23,111,184.13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9,177,048.59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8,634,115.96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64,803,636.83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1,289,044,829.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2）暂时闲置的固定资产情况" w:id="262"/>
      <w:bookmarkEnd w:id="26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3）通过融资租赁租入的固定资产情况" w:id="263"/>
      <w:bookmarkEnd w:id="26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通过经营租赁租出的固定资产" w:id="264"/>
      <w:bookmarkEnd w:id="26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未办妥产权证书的固定资产情况" w:id="265"/>
      <w:bookmarkEnd w:id="26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中关村壹号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387,464,624.75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相关手续正在办理中</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固定资产清理" w:id="266"/>
      <w:bookmarkEnd w:id="266"/>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1、无形资产" w:id="267"/>
      <w:bookmarkEnd w:id="267"/>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无形资产情况" w:id="268"/>
      <w:bookmarkEnd w:id="26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04" w:right="51" w:hanging="452"/>
              <w:jc w:val="left"/>
              <w:rPr>
                <w:rFonts w:ascii="宋体" w:hAnsi="宋体" w:cs="宋体" w:eastAsia="宋体" w:hint="default"/>
                <w:sz w:val="18"/>
                <w:szCs w:val="18"/>
              </w:rPr>
            </w:pPr>
            <w:r>
              <w:rPr>
                <w:rFonts w:ascii="宋体" w:hAnsi="宋体" w:cs="宋体" w:eastAsia="宋体" w:hint="default"/>
                <w:sz w:val="18"/>
                <w:szCs w:val="18"/>
              </w:rPr>
              <w:t>特许经营许可 权</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会籍费</w:t>
            </w:r>
          </w:p>
        </w:tc>
        <w:tc>
          <w:tcPr>
            <w:tcW w:w="1196" w:type="dxa"/>
            <w:vMerge/>
            <w:tcBorders>
              <w:left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20,201,159.87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20,701,159.87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7,131,000.57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31,993,911.90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39,124,912.47</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6,234,948.31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6,234,948.31</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1"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896,052.26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31,993,911.90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32,889,964.16</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27,332,160.44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31,993,911.90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59,826,072.34</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6,936,044.98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7,436,044.98</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1,997,422.41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266,615.93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2,264,038.34</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1,713,625.21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266,615.93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1,980,241.14</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企业合并增加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283,797.20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283,797.20</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8,933,467.39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266,615.93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9,700,083.32</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18,398,693.05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31,727,295.97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50,125,989.02</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13,265,114.89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13,265,114.89</w:t>
            </w:r>
          </w:p>
        </w:tc>
      </w:tr>
    </w:tbl>
    <w:p>
      <w:pPr>
        <w:pStyle w:val="BodyText"/>
        <w:spacing w:line="240" w:lineRule="auto" w:before="49"/>
        <w:ind w:right="1133"/>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未办妥产权证书的土地使用权情况" w:id="269"/>
      <w:bookmarkEnd w:id="26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2、商誉" w:id="270"/>
      <w:bookmarkEnd w:id="270"/>
      <w:r>
        <w:rPr>
          <w:b w:val="0"/>
          <w:bCs w:val="0"/>
        </w:rPr>
      </w: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商誉账面原值" w:id="271"/>
      <w:bookmarkEnd w:id="27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125.300003pt;margin-top:86.271736pt;width:66.75pt;height:20.8pt;mso-position-horizontal-relative:page;mso-position-vertical-relative:paragraph;z-index:-1069120" coordorigin="2506,1725" coordsize="1335,416">
            <v:group style="position:absolute;left:2518;top:1737;width:2;height:392" coordorigin="2518,1737" coordsize="2,392">
              <v:shape style="position:absolute;left:2518;top:1737;width:2;height:392" coordorigin="2518,1737" coordsize="0,392" path="m2518,1737l2518,2129e" filled="false" stroked="true" strokeweight="1.2pt" strokecolor="#ffffff">
                <v:path arrowok="t"/>
              </v:shape>
            </v:group>
            <v:group style="position:absolute;left:2530;top:1737;width:1311;height:392" coordorigin="2530,1737" coordsize="1311,392">
              <v:shape style="position:absolute;left:2530;top:1737;width:1311;height:392" coordorigin="2530,1737" coordsize="1311,392" path="m2530,2129l3841,2129,3841,1737,2530,1737,2530,2129xe" filled="true" fillcolor="#ffffff" stroked="false">
                <v:path arrowok="t"/>
                <v:fill type="solid"/>
              </v:shape>
            </v:group>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240"/>
        <w:gridCol w:w="113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gridSpan w:val="2"/>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拉卡拉汇积天下 </w:t>
            </w:r>
            <w:r>
              <w:rPr>
                <w:rFonts w:ascii="宋体" w:hAnsi="宋体" w:cs="宋体" w:eastAsia="宋体" w:hint="default"/>
                <w:spacing w:val="-6"/>
                <w:sz w:val="18"/>
                <w:szCs w:val="18"/>
              </w:rPr>
              <w:t>技术服务（北京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240"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4,448,865.43</w:t>
            </w:r>
          </w:p>
        </w:tc>
        <w:tc>
          <w:tcPr>
            <w:tcW w:w="1368"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9" w:space="0" w:color="D2D2D2"/>
              <w:left w:val="single" w:sz="4" w:space="0" w:color="000000"/>
              <w:bottom w:val="single" w:sz="4" w:space="0" w:color="000000"/>
              <w:right w:val="single" w:sz="4" w:space="0" w:color="000000"/>
            </w:tcBorders>
          </w:tcPr>
          <w:p>
            <w:pPr/>
          </w:p>
        </w:tc>
        <w:tc>
          <w:tcPr>
            <w:tcW w:w="1368" w:type="dxa"/>
            <w:tcBorders>
              <w:top w:val="single" w:sz="49" w:space="0" w:color="D2D2D2"/>
              <w:left w:val="single" w:sz="4" w:space="0" w:color="000000"/>
              <w:bottom w:val="single" w:sz="4" w:space="0" w:color="000000"/>
              <w:right w:val="single" w:sz="4" w:space="0" w:color="000000"/>
            </w:tcBorders>
          </w:tcPr>
          <w:p>
            <w:pPr/>
          </w:p>
        </w:tc>
        <w:tc>
          <w:tcPr>
            <w:tcW w:w="1369"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4,448,865.43</w:t>
            </w: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北京顺维无限科 技有限公司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6,533,542.65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6,533,542.65</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10,982,408.08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10,982,408.08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商誉减值准备" w:id="272"/>
      <w:bookmarkEnd w:id="27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4"/>
        <w:gridCol w:w="240"/>
        <w:gridCol w:w="1138"/>
        <w:gridCol w:w="1368"/>
        <w:gridCol w:w="1366"/>
        <w:gridCol w:w="1368"/>
        <w:gridCol w:w="1369"/>
        <w:gridCol w:w="1366"/>
      </w:tblGrid>
      <w:tr>
        <w:trPr>
          <w:trHeight w:val="142"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576" w:right="36"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8" w:type="dxa"/>
            <w:gridSpan w:val="2"/>
            <w:vMerge w:val="restart"/>
            <w:tcBorders>
              <w:top w:val="single" w:sz="4" w:space="0" w:color="000000"/>
              <w:left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44" w:type="dxa"/>
            <w:vMerge/>
            <w:tcBorders>
              <w:left w:val="single" w:sz="4" w:space="0" w:color="000000"/>
              <w:right w:val="single" w:sz="4" w:space="0" w:color="000000"/>
            </w:tcBorders>
            <w:shd w:val="clear" w:color="auto" w:fill="D2D2D2"/>
          </w:tcPr>
          <w:p>
            <w:pPr/>
          </w:p>
        </w:tc>
        <w:tc>
          <w:tcPr>
            <w:tcW w:w="1378" w:type="dxa"/>
            <w:gridSpan w:val="2"/>
            <w:vMerge/>
            <w:tcBorders>
              <w:left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nil" w:sz="6" w:space="0" w:color="auto"/>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142"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gridSpan w:val="2"/>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拉卡拉汇积天下 </w:t>
            </w:r>
            <w:r>
              <w:rPr>
                <w:rFonts w:ascii="宋体" w:hAnsi="宋体" w:cs="宋体" w:eastAsia="宋体" w:hint="default"/>
                <w:spacing w:val="-6"/>
                <w:sz w:val="18"/>
                <w:szCs w:val="18"/>
              </w:rPr>
              <w:t>技术服务（北京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240"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4,448,865.43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4,448,865.43</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北京顺维无限科 技有限公司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6,533,542.65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6,533,542.65</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10,982,408.08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10,982,408.08</w:t>
            </w:r>
          </w:p>
        </w:tc>
      </w:tr>
    </w:tbl>
    <w:p>
      <w:pPr>
        <w:pStyle w:val="BodyText"/>
        <w:spacing w:line="338" w:lineRule="auto" w:before="49"/>
        <w:ind w:right="1133"/>
        <w:jc w:val="left"/>
      </w:pPr>
      <w:r>
        <w:rPr/>
        <w:pict>
          <v:group style="position:absolute;margin-left:125.300003pt;margin-top:-92.038269pt;width:66.75pt;height:20.8pt;mso-position-horizontal-relative:page;mso-position-vertical-relative:paragraph;z-index:-1069096" coordorigin="2506,-1841" coordsize="1335,416">
            <v:group style="position:absolute;left:2518;top:-1829;width:2;height:392" coordorigin="2518,-1829" coordsize="2,392">
              <v:shape style="position:absolute;left:2518;top:-1829;width:2;height:392" coordorigin="2518,-1829" coordsize="0,392" path="m2518,-1829l2518,-1438e" filled="false" stroked="true" strokeweight="1.2pt" strokecolor="#ffffff">
                <v:path arrowok="t"/>
              </v:shape>
            </v:group>
            <v:group style="position:absolute;left:2530;top:-1829;width:1311;height:392" coordorigin="2530,-1829" coordsize="1311,392">
              <v:shape style="position:absolute;left:2530;top:-1829;width:1311;height:392" coordorigin="2530,-1829" coordsize="1311,392" path="m2530,-1438l3841,-1438,3841,-1829,2530,-1829,2530,-1438xe" filled="true" fillcolor="#ffffff" stroked="false">
                <v:path arrowok="t"/>
                <v:fill type="solid"/>
              </v:shape>
            </v:group>
            <w10:wrap type="none"/>
          </v:group>
        </w:pict>
      </w:r>
      <w:r>
        <w:rPr/>
        <w:t>商誉所在资产组或资产组组合的相关信息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60" w:lineRule="auto" w:before="41"/>
        <w:ind w:right="8774"/>
        <w:jc w:val="left"/>
      </w:pPr>
      <w:r>
        <w:rPr/>
        <w:t>商誉减值测试的影响 其他说明</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bookmarkStart w:name="13、长期待摊费用" w:id="273"/>
      <w:bookmarkEnd w:id="273"/>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办公场所租赁与装 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7,399,278.50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742,846.54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2,058,551.65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6,083,573.39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7,399,278.50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742,846.54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2,058,551.65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6,083,573.39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4、递延所得税资产/递延所得税负债" w:id="274"/>
      <w:bookmarkEnd w:id="274"/>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未经抵销的递延所得税资产" w:id="275"/>
      <w:bookmarkEnd w:id="27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1,384,024.24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207,603.64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1,706,493.34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255,974.00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1,384,024.24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207,603.64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1,706,493.34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255,974.00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未经抵销的递延所得税负债" w:id="276"/>
      <w:bookmarkEnd w:id="27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139,386,815.80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20,908,022.37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132,119,348.73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19,817,902.31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139,386,815.80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20,908,022.37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132,119,348.73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19,817,902.31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以抵销后净额列示的递延所得税资产或负债" w:id="277"/>
      <w:bookmarkEnd w:id="27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207,603.64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255,974.00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20,908,022.37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19,817,902.31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未确认递延所得税资产明细" w:id="278"/>
      <w:bookmarkEnd w:id="27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2,404,393.07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1,808,000.27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73,685,030.58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97,211,299.32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76,089,423.65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99,019,299.59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未确认递延所得税资产的可抵扣亏损将于以下年度到期" w:id="279"/>
      <w:bookmarkEnd w:id="27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5、其他非流动资产" w:id="280"/>
      <w:bookmarkEnd w:id="280"/>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四川省润泽名诚商业管理有限公司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广州物产美通贸易有限公司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319" w:lineRule="auto" w:before="115"/>
        <w:ind w:right="1169"/>
        <w:jc w:val="left"/>
      </w:pPr>
      <w:r>
        <w:rPr/>
        <w:t>注</w:t>
      </w:r>
      <w:r>
        <w:rPr>
          <w:rFonts w:ascii="Times New Roman" w:hAnsi="Times New Roman" w:cs="Times New Roman" w:eastAsia="Times New Roman" w:hint="default"/>
        </w:rPr>
        <w:t>1</w:t>
      </w:r>
      <w:r>
        <w:rPr/>
        <w:t>：拉卡拉与四川省润泽名诚商业管理有限公司签订房屋买卖合同，合同金额为人民币</w:t>
      </w:r>
      <w:r>
        <w:rPr>
          <w:rFonts w:ascii="Times New Roman" w:hAnsi="Times New Roman" w:cs="Times New Roman" w:eastAsia="Times New Roman" w:hint="default"/>
        </w:rPr>
        <w:t>15,000</w:t>
      </w:r>
      <w:r>
        <w:rPr/>
        <w:t>万元，</w:t>
      </w:r>
      <w:r>
        <w:rPr>
          <w:rFonts w:ascii="Times New Roman" w:hAnsi="Times New Roman" w:cs="Times New Roman" w:eastAsia="Times New Roman" w:hint="default"/>
        </w:rPr>
        <w:t>2019</w:t>
      </w:r>
      <w:r>
        <w:rPr/>
        <w:t>年度已支付购房</w:t>
      </w:r>
      <w:r>
        <w:rPr>
          <w:spacing w:val="-87"/>
        </w:rPr>
        <w:t> </w:t>
      </w:r>
      <w:r>
        <w:rPr/>
        <w:t>款</w:t>
      </w:r>
      <w:r>
        <w:rPr>
          <w:rFonts w:ascii="Times New Roman" w:hAnsi="Times New Roman" w:cs="Times New Roman" w:eastAsia="Times New Roman" w:hint="default"/>
        </w:rPr>
        <w:t>13,500.00</w:t>
      </w:r>
      <w:r>
        <w:rPr/>
        <w:t>万元，尾款</w:t>
      </w:r>
      <w:r>
        <w:rPr>
          <w:rFonts w:ascii="Times New Roman" w:hAnsi="Times New Roman" w:cs="Times New Roman" w:eastAsia="Times New Roman" w:hint="default"/>
        </w:rPr>
        <w:t>1,500.00</w:t>
      </w:r>
      <w:r>
        <w:rPr/>
        <w:t>万元尚未支付。 注</w:t>
      </w:r>
      <w:r>
        <w:rPr>
          <w:rFonts w:ascii="Times New Roman" w:hAnsi="Times New Roman" w:cs="Times New Roman" w:eastAsia="Times New Roman" w:hint="default"/>
        </w:rPr>
        <w:t>2</w:t>
      </w:r>
      <w:r>
        <w:rPr/>
        <w:t>：拉卡拉全资子公司广州赢达信息咨询有限公司与广州物产美通贸易有限公司签订房屋买卖合同，合同金额为人民币</w:t>
      </w:r>
    </w:p>
    <w:p>
      <w:pPr>
        <w:pStyle w:val="BodyText"/>
        <w:spacing w:line="246" w:lineRule="exact"/>
        <w:ind w:right="1133"/>
        <w:jc w:val="left"/>
      </w:pPr>
      <w:r>
        <w:rPr>
          <w:rFonts w:ascii="Times New Roman" w:hAnsi="Times New Roman" w:cs="Times New Roman" w:eastAsia="Times New Roman" w:hint="default"/>
        </w:rPr>
        <w:t>30,000</w:t>
      </w:r>
      <w:r>
        <w:rPr/>
        <w:t>万元，</w:t>
      </w:r>
      <w:r>
        <w:rPr>
          <w:rFonts w:ascii="Times New Roman" w:hAnsi="Times New Roman" w:cs="Times New Roman" w:eastAsia="Times New Roman" w:hint="default"/>
        </w:rPr>
        <w:t>2019</w:t>
      </w:r>
      <w:r>
        <w:rPr/>
        <w:t>年度已支付购房款</w:t>
      </w:r>
      <w:r>
        <w:rPr>
          <w:rFonts w:ascii="Times New Roman" w:hAnsi="Times New Roman" w:cs="Times New Roman" w:eastAsia="Times New Roman" w:hint="default"/>
        </w:rPr>
        <w:t>21,000.00</w:t>
      </w:r>
      <w:r>
        <w:rPr/>
        <w:t>万元，尾款</w:t>
      </w:r>
      <w:r>
        <w:rPr>
          <w:rFonts w:ascii="Times New Roman" w:hAnsi="Times New Roman" w:cs="Times New Roman" w:eastAsia="Times New Roman" w:hint="default"/>
        </w:rPr>
        <w:t>9,000.00</w:t>
      </w:r>
      <w:r>
        <w:rPr/>
        <w:t>万元尚未支付。</w:t>
      </w:r>
    </w:p>
    <w:p>
      <w:pPr>
        <w:spacing w:after="0" w:line="246" w:lineRule="exact"/>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6、短期借款" w:id="281"/>
      <w:bookmarkEnd w:id="281"/>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短期借款分类" w:id="282"/>
      <w:bookmarkEnd w:id="28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49"/>
        <w:ind w:right="1133"/>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已逾期未偿还的短期借款情况" w:id="283"/>
      <w:bookmarkEnd w:id="28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t>本期末已逾期未偿还的短期借款总额为元，其中重要的已逾期未偿还的短期借款情况如下：</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7、应付票据" w:id="284"/>
      <w:bookmarkEnd w:id="284"/>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28,673,578.32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139,636,166.20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28,673,578.32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139,636,166.20</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18、应付账款" w:id="285"/>
      <w:bookmarkEnd w:id="285"/>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付账款列示" w:id="286"/>
      <w:bookmarkEnd w:id="28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460,736,554.78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349,431,510.88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20,561,240.69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20,282,741.44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2,228,537.76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1,108,674.01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1,094,977.85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999,391.59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992,414.29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27,433.25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485,638,396.37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371,849,751.17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账龄超过1年的重要应付账款" w:id="287"/>
      <w:bookmarkEnd w:id="287"/>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9、预收款项" w:id="288"/>
      <w:bookmarkEnd w:id="288"/>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1）预收款项列示" w:id="289"/>
      <w:bookmarkEnd w:id="28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30,636,086.20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9,679,468.46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889,858.67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3,747,753.03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31,525,944.87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13,427,221.49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预收款项" w:id="290"/>
      <w:bookmarkEnd w:id="290"/>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期末建造合同形成的已结算未完工项目情况" w:id="291"/>
      <w:bookmarkEnd w:id="29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0、应付职工薪酬" w:id="292"/>
      <w:bookmarkEnd w:id="292"/>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付职工薪酬列示" w:id="293"/>
      <w:bookmarkEnd w:id="29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103,536,447.09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646,733,507.61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592,571,628.25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157,698,326.45</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3,289,572.39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80,694,986.04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80,552,517.46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3,432,040.97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161,449.61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5,741,206.15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5,740,925.32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161,730.44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106,987,469.09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733,169,699.80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678,865,071.03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161,292,097.86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短期薪酬列示" w:id="294"/>
      <w:bookmarkEnd w:id="29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101,306,935.26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542,080,700.46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487,994,026.96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155,393,608.76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5,284,064.42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5,185,272.16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173,792.26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1,808,513.85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43,416,694.61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43,340,454.50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1,884,753.96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1,606,103.67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38,426,445.74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38,359,240.38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1,673,309.03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75,524.59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1,918,231.04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1,914,732.84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79,022.79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126,885.59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3,072,017.83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3,066,481.28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132,422.14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307,095.53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54,804,647.41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54,923,215.36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188,527.58</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38,902.45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1,147,400.71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1,128,659.27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57,643.89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103,536,447.09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646,733,507.61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592,571,628.25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157,698,326.45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设定提存计划列示" w:id="295"/>
      <w:bookmarkEnd w:id="29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3,121,758.78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76,853,995.94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76,718,176.25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3,257,578.47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167,813.61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3,840,990.10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3,834,341.21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174,462.50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3,289,572.39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80,694,986.04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80,552,517.46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3,432,040.97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1、应交税费" w:id="296"/>
      <w:bookmarkEnd w:id="296"/>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6,999,030.80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1,998,112.22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25,795,532.19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48,054,454.13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3,702,204.64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2,792,679.34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491,501.93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144,077.73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277,792.15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61,723.53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185,194.83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38,996.31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745,942.14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1,046,463.58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38,197,198.68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54,136,506.84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2、其他应付款" w:id="297"/>
      <w:bookmarkEnd w:id="297"/>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286,443,568.30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206,346,126.70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286,443,568.30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206,346,126.70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其他应付款" w:id="298"/>
      <w:bookmarkEnd w:id="298"/>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按款项性质列示其他应付款" w:id="299"/>
      <w:bookmarkEnd w:id="29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应付保理款项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1,286,392.70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1,571,791.85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242,986,001.12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125,991,132.06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31,344,236.20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28,841,006.96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10,826,938.28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14,942,195.83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286,443,568.30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206,346,126.70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其他应付款" w:id="300"/>
      <w:bookmarkEnd w:id="300"/>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3、其他流动负债" w:id="301"/>
      <w:bookmarkEnd w:id="301"/>
      <w:r>
        <w:rPr>
          <w:b w:val="0"/>
          <w:bCs w:val="0"/>
        </w:rPr>
      </w:r>
      <w:r>
        <w:rPr>
          <w:rFonts w:ascii="Times New Roman" w:hAnsi="Times New Roman" w:cs="Times New Roman" w:eastAsia="Times New Roman" w:hint="default"/>
        </w:rPr>
        <w:t>23</w:t>
      </w:r>
      <w:r>
        <w:rPr/>
        <w:t>、其他流动负债</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清算业务往来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5,116,644,963.30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1,173,132,457.18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5,116,644,963.30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1,173,132,457.18</w:t>
            </w:r>
          </w:p>
        </w:tc>
      </w:tr>
    </w:tbl>
    <w:p>
      <w:pPr>
        <w:pStyle w:val="BodyText"/>
        <w:spacing w:line="240" w:lineRule="auto" w:before="49"/>
        <w:ind w:right="1133"/>
        <w:jc w:val="left"/>
      </w:pPr>
      <w:r>
        <w:rPr/>
        <w:t>短期应付债券的增减变动：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4、股本" w:id="302"/>
      <w:bookmarkEnd w:id="302"/>
      <w:r>
        <w:rPr>
          <w:b w:val="0"/>
          <w:bCs w:val="0"/>
        </w:rPr>
      </w:r>
      <w:r>
        <w:rPr>
          <w:rFonts w:ascii="Times New Roman" w:hAnsi="Times New Roman" w:cs="Times New Roman" w:eastAsia="Times New Roman" w:hint="default"/>
        </w:rPr>
        <w:t>24</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360,000,000.00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40,010,000.00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40,010,000.00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400,010,000.00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5、资本公积" w:id="303"/>
      <w:bookmarkEnd w:id="303"/>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1,207,796,322.34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1,216,051,101.89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23,604,564.14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2,400,242,860.09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2,855,000.00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1,210,651,322.34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1,216,051,101.89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23,604,564.14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2,403,097,860.09</w:t>
            </w:r>
          </w:p>
        </w:tc>
      </w:tr>
    </w:tbl>
    <w:p>
      <w:pPr>
        <w:pStyle w:val="BodyText"/>
        <w:spacing w:line="357" w:lineRule="auto" w:before="49"/>
        <w:ind w:left="513" w:right="0" w:hanging="361"/>
        <w:jc w:val="left"/>
      </w:pPr>
      <w:r>
        <w:rPr/>
        <w:t>其他说明，包括本期增减变动情况、变动原因说明： </w:t>
      </w:r>
      <w:r>
        <w:rPr>
          <w:spacing w:val="-1"/>
        </w:rPr>
        <w:t>说明：本期股本溢价增加</w:t>
      </w:r>
      <w:r>
        <w:rPr>
          <w:rFonts w:ascii="Times New Roman" w:hAnsi="Times New Roman" w:cs="Times New Roman" w:eastAsia="Times New Roman" w:hint="default"/>
          <w:spacing w:val="-1"/>
        </w:rPr>
        <w:t>1,216,051,101.89</w:t>
      </w:r>
      <w:r>
        <w:rPr>
          <w:spacing w:val="-1"/>
        </w:rPr>
        <w:t>元为公开发行股票所致，股本溢价减少</w:t>
      </w:r>
      <w:r>
        <w:rPr>
          <w:rFonts w:ascii="Times New Roman" w:hAnsi="Times New Roman" w:cs="Times New Roman" w:eastAsia="Times New Roman" w:hint="default"/>
          <w:spacing w:val="-1"/>
        </w:rPr>
        <w:t>23,604,564.14</w:t>
      </w:r>
      <w:r>
        <w:rPr>
          <w:spacing w:val="-1"/>
        </w:rPr>
        <w:t>元（不含增值税）为本次</w:t>
      </w:r>
    </w:p>
    <w:p>
      <w:pPr>
        <w:pStyle w:val="BodyText"/>
        <w:spacing w:line="214" w:lineRule="exact"/>
        <w:ind w:right="1133"/>
        <w:jc w:val="left"/>
      </w:pPr>
      <w:r>
        <w:rPr/>
        <w:t>股票发行所支付的扣除承销及保荐费</w:t>
      </w:r>
      <w:r>
        <w:rPr>
          <w:rFonts w:ascii="Times New Roman" w:hAnsi="Times New Roman" w:cs="Times New Roman" w:eastAsia="Times New Roman" w:hint="default"/>
        </w:rPr>
        <w:t>75,471,698.11</w:t>
      </w:r>
      <w:r>
        <w:rPr/>
        <w:t>元（不含增值税）后的其他发行费用，具体见本节三。</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6、其他综合收益" w:id="304"/>
      <w:bookmarkEnd w:id="304"/>
      <w:r>
        <w:rPr>
          <w:b w:val="0"/>
          <w:bCs w:val="0"/>
        </w:rPr>
      </w:r>
      <w:r>
        <w:rPr>
          <w:rFonts w:ascii="Times New Roman" w:hAnsi="Times New Roman" w:cs="Times New Roman" w:eastAsia="Times New Roman" w:hint="default"/>
        </w:rPr>
        <w:t>26</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398"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9"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7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2,381,633.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2,381,633.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2,381,63</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3.53</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2,381,633.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2,381,633.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2,381,63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3.53</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234,400.00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-113,771.6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-113,771.6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120,628.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71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综合收益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234,400.00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-113,771.6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-113,771.6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-113,771</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.60</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234,400.00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2,267,861.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2,267,861.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2,502,26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1.93</w:t>
            </w: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7、盈余公积" w:id="305"/>
      <w:bookmarkEnd w:id="305"/>
      <w:r>
        <w:rPr>
          <w:b w:val="0"/>
          <w:bCs w:val="0"/>
        </w:rPr>
      </w:r>
      <w:r>
        <w:rPr>
          <w:rFonts w:ascii="Times New Roman" w:hAnsi="Times New Roman" w:cs="Times New Roman" w:eastAsia="Times New Roman" w:hint="default"/>
        </w:rPr>
        <w:t>27</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170,316,503.70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76,749,845.93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247,066,349.63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170,316,503.70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76,749,845.93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247,066,349.63</w:t>
            </w:r>
          </w:p>
        </w:tc>
      </w:tr>
    </w:tbl>
    <w:p>
      <w:pPr>
        <w:pStyle w:val="BodyText"/>
        <w:spacing w:line="240" w:lineRule="auto" w:before="49"/>
        <w:ind w:right="1133"/>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8、未分配利润" w:id="306"/>
      <w:bookmarkEnd w:id="306"/>
      <w:r>
        <w:rPr>
          <w:b w:val="0"/>
          <w:bCs w:val="0"/>
        </w:rPr>
      </w:r>
      <w:r>
        <w:rPr>
          <w:rFonts w:ascii="Times New Roman" w:hAnsi="Times New Roman" w:cs="Times New Roman" w:eastAsia="Times New Roman" w:hint="default"/>
        </w:rPr>
        <w:t>28</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1,173,772,938.63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633,740,659.87</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1,173,772,938.63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633,740,659.87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806,342,383.91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599,491,627.18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76,749,845.93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59,459,348.42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1,903,365,476.61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1,173,772,938.63</w:t>
            </w:r>
          </w:p>
        </w:tc>
      </w:tr>
    </w:tbl>
    <w:p>
      <w:pPr>
        <w:pStyle w:val="BodyText"/>
        <w:spacing w:line="240" w:lineRule="auto" w:before="49"/>
        <w:ind w:right="1133"/>
        <w:jc w:val="left"/>
      </w:pPr>
      <w:r>
        <w:rPr/>
        <w:t>调整期初未分配利润明细：</w:t>
      </w:r>
    </w:p>
    <w:p>
      <w:pPr>
        <w:pStyle w:val="BodyText"/>
        <w:spacing w:line="240" w:lineRule="auto" w:before="117"/>
        <w:ind w:right="11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11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1133"/>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9、营业收入和营业成本" w:id="307"/>
      <w:bookmarkEnd w:id="307"/>
      <w:r>
        <w:rPr>
          <w:b w:val="0"/>
          <w:bCs w:val="0"/>
        </w:rPr>
      </w:r>
      <w:r>
        <w:rPr>
          <w:rFonts w:ascii="Times New Roman" w:hAnsi="Times New Roman" w:cs="Times New Roman" w:eastAsia="Times New Roman" w:hint="default"/>
        </w:rPr>
        <w:t>29</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6"/>
        <w:gridCol w:w="1913"/>
        <w:gridCol w:w="190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599" w:right="0"/>
              <w:jc w:val="left"/>
              <w:rPr>
                <w:rFonts w:ascii="Times New Roman" w:hAnsi="Times New Roman" w:cs="Times New Roman" w:eastAsia="Times New Roman" w:hint="default"/>
                <w:sz w:val="18"/>
                <w:szCs w:val="18"/>
              </w:rPr>
            </w:pPr>
            <w:r>
              <w:rPr>
                <w:rFonts w:ascii="Times New Roman"/>
                <w:sz w:val="18"/>
              </w:rPr>
              <w:t>4,899,421,582.02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2,722,715,915.90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8" w:right="0"/>
              <w:jc w:val="left"/>
              <w:rPr>
                <w:rFonts w:ascii="Times New Roman" w:hAnsi="Times New Roman" w:cs="Times New Roman" w:eastAsia="Times New Roman" w:hint="default"/>
                <w:sz w:val="18"/>
                <w:szCs w:val="18"/>
              </w:rPr>
            </w:pPr>
            <w:r>
              <w:rPr>
                <w:rFonts w:ascii="Times New Roman"/>
                <w:sz w:val="18"/>
              </w:rPr>
              <w:t>5,679,411,603.66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2" w:right="0"/>
              <w:jc w:val="left"/>
              <w:rPr>
                <w:rFonts w:ascii="Times New Roman" w:hAnsi="Times New Roman" w:cs="Times New Roman" w:eastAsia="Times New Roman" w:hint="default"/>
                <w:sz w:val="18"/>
                <w:szCs w:val="18"/>
              </w:rPr>
            </w:pPr>
            <w:r>
              <w:rPr>
                <w:rFonts w:ascii="Times New Roman"/>
                <w:sz w:val="18"/>
              </w:rPr>
              <w:t>3,132,321,099.22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4,899,421,582.02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2,722,715,915.90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5,679,411,603.66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3,132,321,099.22</w:t>
            </w:r>
          </w:p>
        </w:tc>
      </w:tr>
    </w:tbl>
    <w:p>
      <w:pPr>
        <w:pStyle w:val="BodyText"/>
        <w:spacing w:line="240" w:lineRule="auto" w:before="49"/>
        <w:ind w:right="1133"/>
        <w:jc w:val="left"/>
      </w:pPr>
      <w:r>
        <w:rPr/>
        <w:t>是否已执行新收入准则</w:t>
      </w:r>
    </w:p>
    <w:p>
      <w:pPr>
        <w:pStyle w:val="BodyText"/>
        <w:spacing w:line="340" w:lineRule="auto" w:before="115"/>
        <w:ind w:right="93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5"/>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2663"/>
        <w:gridCol w:w="1586"/>
        <w:gridCol w:w="1544"/>
        <w:gridCol w:w="1656"/>
        <w:gridCol w:w="1654"/>
      </w:tblGrid>
      <w:tr>
        <w:trPr>
          <w:trHeight w:val="341" w:hRule="exact"/>
        </w:trPr>
        <w:tc>
          <w:tcPr>
            <w:tcW w:w="2663" w:type="dxa"/>
            <w:vMerge w:val="restart"/>
            <w:tcBorders>
              <w:top w:val="nil" w:sz="6" w:space="0" w:color="auto"/>
              <w:left w:val="nil" w:sz="6" w:space="0" w:color="auto"/>
              <w:right w:val="single" w:sz="6" w:space="0" w:color="000000"/>
            </w:tcBorders>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30"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10"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6" w:hRule="exact"/>
        </w:trPr>
        <w:tc>
          <w:tcPr>
            <w:tcW w:w="2663" w:type="dxa"/>
            <w:vMerge/>
            <w:tcBorders>
              <w:left w:val="nil" w:sz="6" w:space="0" w:color="auto"/>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36" w:hRule="exact"/>
        </w:trPr>
        <w:tc>
          <w:tcPr>
            <w:tcW w:w="26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4,346,259,687.05</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2,533,331,453.20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5,220,118,484.85</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2,998,024,290.75</w:t>
            </w:r>
          </w:p>
        </w:tc>
      </w:tr>
      <w:tr>
        <w:trPr>
          <w:trHeight w:val="338" w:hRule="exact"/>
        </w:trPr>
        <w:tc>
          <w:tcPr>
            <w:tcW w:w="26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其中：商户支付服务</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4,337,368,232.10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2,530,453,661.05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5,212,889,894.21</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2,996,850,292.27</w:t>
            </w:r>
          </w:p>
        </w:tc>
      </w:tr>
      <w:tr>
        <w:trPr>
          <w:trHeight w:val="336" w:hRule="exact"/>
        </w:trPr>
        <w:tc>
          <w:tcPr>
            <w:tcW w:w="26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其中：跨境及海外支付手续费</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8,891,454.95</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2,877,792.15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7,228,590.64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1,173,998.48</w:t>
            </w:r>
          </w:p>
        </w:tc>
      </w:tr>
      <w:tr>
        <w:trPr>
          <w:trHeight w:val="338" w:hRule="exact"/>
        </w:trPr>
        <w:tc>
          <w:tcPr>
            <w:tcW w:w="26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商户经营业务</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441,740,271.80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130,330,029.51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201,166,505.44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7,017,570.40</w:t>
            </w:r>
          </w:p>
        </w:tc>
      </w:tr>
      <w:tr>
        <w:trPr>
          <w:trHeight w:val="336" w:hRule="exact"/>
        </w:trPr>
        <w:tc>
          <w:tcPr>
            <w:tcW w:w="26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其中：金融科技服务</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93,533,168.43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2,618,092.98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55,980,023.68</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722,953.58</w:t>
            </w:r>
          </w:p>
        </w:tc>
      </w:tr>
      <w:tr>
        <w:trPr>
          <w:trHeight w:val="339" w:hRule="exact"/>
        </w:trPr>
        <w:tc>
          <w:tcPr>
            <w:tcW w:w="26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其中：电商科技服务</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92,586,969.02</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3,590,566.04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62,264,935.58</w:t>
            </w:r>
          </w:p>
        </w:tc>
        <w:tc>
          <w:tcPr>
            <w:tcW w:w="1654" w:type="dxa"/>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26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其中：信息科技服务</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255,620,134.35</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124,121,370.49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82,921,546.18</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6,294,616.82</w:t>
            </w:r>
          </w:p>
        </w:tc>
      </w:tr>
      <w:tr>
        <w:trPr>
          <w:trHeight w:val="336" w:hRule="exact"/>
        </w:trPr>
        <w:tc>
          <w:tcPr>
            <w:tcW w:w="26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111,421,623.17</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59,054,433.19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258,126,613.37</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127,279,238.07</w:t>
            </w:r>
          </w:p>
        </w:tc>
      </w:tr>
      <w:tr>
        <w:trPr>
          <w:trHeight w:val="338" w:hRule="exact"/>
        </w:trPr>
        <w:tc>
          <w:tcPr>
            <w:tcW w:w="26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4,899,421,582.02</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2,722,715,915.90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5,679,411,603.66</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3,132,321,099.22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0、税金及附加" w:id="308"/>
      <w:bookmarkEnd w:id="308"/>
      <w:r>
        <w:rPr>
          <w:b w:val="0"/>
          <w:bCs w:val="0"/>
        </w:rPr>
      </w:r>
      <w:r>
        <w:rPr>
          <w:rFonts w:ascii="Times New Roman" w:hAnsi="Times New Roman" w:cs="Times New Roman" w:eastAsia="Times New Roman" w:hint="default"/>
        </w:rPr>
        <w:t>30</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4,499,065.32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7,037,777.31</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2,479,211.79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3,245,906.49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3,770,251.87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2,332,201.46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1,690,166.50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1,879,620.39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1,605,871.69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2,165,562.47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2,898,013.32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1,555,461.16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16,942,580.49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18,216,529.28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1、销售费用" w:id="309"/>
      <w:bookmarkEnd w:id="309"/>
      <w:r>
        <w:rPr>
          <w:b w:val="0"/>
          <w:bCs w:val="0"/>
        </w:rPr>
      </w:r>
      <w:r>
        <w:rPr>
          <w:rFonts w:ascii="Times New Roman" w:hAnsi="Times New Roman" w:cs="Times New Roman" w:eastAsia="Times New Roman" w:hint="default"/>
        </w:rPr>
        <w:t>31</w:t>
      </w:r>
      <w:r>
        <w:rPr/>
        <w:t>、销售费用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395,243,099.62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370,364,590.21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广告宣传与市场推广费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224,814,544.16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696,815,082.92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22,441,421.41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21,580,636.29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3,718,125.92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2,241,836.26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培训与会议费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12,886,473.56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9,342,524.01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5,645,373.63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5,831,240.69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9,019,845.04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8,451,878.39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13,774,571.76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10,561,256.57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5,995,185.26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6,616,573.57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终端安装与建设费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6,180,778.28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5,387,926.13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办公用品及消耗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5,269,276.08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8,225,342.62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8,714,797.39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9,619,511.08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713,703,492.11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1,155,038,398.74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2、管理费用" w:id="310"/>
      <w:bookmarkEnd w:id="310"/>
      <w:r>
        <w:rPr>
          <w:b w:val="0"/>
          <w:bCs w:val="0"/>
        </w:rPr>
      </w:r>
      <w:r>
        <w:rPr>
          <w:rFonts w:ascii="Times New Roman" w:hAnsi="Times New Roman" w:cs="Times New Roman" w:eastAsia="Times New Roman" w:hint="default"/>
        </w:rPr>
        <w:t>32</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185,437,089.41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149,373,240.83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16,033,495.25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18,407,616.89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3,672,790.91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5,024,734.45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33,603,707.68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19,355,280.35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法律及咨询服务费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6,815,055.73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7,869,333.79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11,706,066.62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8,290,730.05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办公用品及消耗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3,127,067.46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5,569,462.85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人力资源费用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9,643,322.19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8,699,632.45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2,770,800.34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2,524,299.54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13,554,605.77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11,143,743.67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1,831,623.00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1,892,248.86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13,331,574.16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10,911,609.49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7,229,827.23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3,261,690.36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308,757,025.75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252,323,623.58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3、研发费用" w:id="311"/>
      <w:bookmarkEnd w:id="311"/>
      <w:r>
        <w:rPr>
          <w:b w:val="0"/>
          <w:bCs w:val="0"/>
        </w:rPr>
      </w:r>
      <w:r>
        <w:rPr>
          <w:rFonts w:ascii="Times New Roman" w:hAnsi="Times New Roman" w:cs="Times New Roman" w:eastAsia="Times New Roman" w:hint="default"/>
        </w:rPr>
        <w:t>33</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157,275,842.65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153,714,042.30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1,669,056.58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2,890,136.37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2,262,880.89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2,634,377.75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外包开发费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70,544,530.28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87,844,185.92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3,841,595.81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11,888,474.21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15,949,874.95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12,530,436.10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其他技术费用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1,906,270.11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251,545,845.16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273,407,922.76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4、财务费用" w:id="312"/>
      <w:bookmarkEnd w:id="312"/>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1,431,199.98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1,615,612.38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37,619,716.13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22,974,265.10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-500,542.89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418,091.24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30,557,731.96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127,232,586.24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-6,131,327.08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106,292,024.76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5、其他收益" w:id="313"/>
      <w:bookmarkEnd w:id="313"/>
      <w:r>
        <w:rPr>
          <w:b w:val="0"/>
          <w:bCs w:val="0"/>
        </w:rPr>
      </w:r>
      <w:r>
        <w:rPr>
          <w:rFonts w:ascii="Times New Roman" w:hAnsi="Times New Roman" w:cs="Times New Roman" w:eastAsia="Times New Roman" w:hint="default"/>
        </w:rPr>
        <w:t>35</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27,761,181.39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5,913,900.00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4,672,326.80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498,694.69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209,020.95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32,932,202.88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6,122,920.95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6、投资收益" w:id="314"/>
      <w:bookmarkEnd w:id="314"/>
      <w:r>
        <w:rPr>
          <w:b w:val="0"/>
          <w:bCs w:val="0"/>
        </w:rPr>
      </w:r>
      <w:r>
        <w:rPr>
          <w:rFonts w:ascii="Times New Roman" w:hAnsi="Times New Roman" w:cs="Times New Roman" w:eastAsia="Times New Roman" w:hint="default"/>
        </w:rPr>
        <w:t>36</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-18,847,140.75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-27,635,487.12</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-440,686.46</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729,580.77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-18,847,140.75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-27,346,592.81</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7、信用减值损失" w:id="315"/>
      <w:bookmarkEnd w:id="315"/>
      <w:r>
        <w:rPr>
          <w:b w:val="0"/>
          <w:bCs w:val="0"/>
        </w:rPr>
      </w:r>
      <w:r>
        <w:rPr>
          <w:rFonts w:ascii="Times New Roman" w:hAnsi="Times New Roman" w:cs="Times New Roman" w:eastAsia="Times New Roman" w:hint="default"/>
        </w:rPr>
        <w:t>37</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-148,193.88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29,320.87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-118,873.01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8、资产减值损失" w:id="316"/>
      <w:bookmarkEnd w:id="316"/>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-813,750.49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-1,136,107.45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-311,389.20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594,438.31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681,573.56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1,220,351.14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-443,566.13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678,682.00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9、资产处置收益" w:id="317"/>
      <w:bookmarkEnd w:id="317"/>
      <w:r>
        <w:rPr>
          <w:b w:val="0"/>
          <w:bCs w:val="0"/>
        </w:rPr>
      </w:r>
      <w:r>
        <w:rPr>
          <w:rFonts w:ascii="Times New Roman" w:hAnsi="Times New Roman" w:cs="Times New Roman" w:eastAsia="Times New Roman" w:hint="default"/>
        </w:rPr>
        <w:t>39</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-8,653,544.93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-4,437,912.43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-8,653,544.93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-4,437,912.43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0、营业外收入" w:id="318"/>
      <w:bookmarkEnd w:id="318"/>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26,307,245.07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251,204.21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433,696.56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251,204.21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251,204.21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26,740,941.63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251,204.21</w:t>
            </w:r>
          </w:p>
        </w:tc>
      </w:tr>
    </w:tbl>
    <w:p>
      <w:pPr>
        <w:pStyle w:val="BodyText"/>
        <w:spacing w:line="240" w:lineRule="auto" w:before="49"/>
        <w:ind w:right="1133"/>
        <w:jc w:val="left"/>
      </w:pPr>
      <w:r>
        <w:rPr/>
        <w:t>计入当期损益的政府补助：</w:t>
      </w:r>
    </w:p>
    <w:p>
      <w:pPr>
        <w:pStyle w:val="BodyText"/>
        <w:spacing w:line="240" w:lineRule="auto" w:before="11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政府扶持奖 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18,342,100.0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 补贴款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北京海淀区 人民政府办 公室补贴款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就业局稳岗 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371,145.07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国家知识产 权局专利局 北京代办处 转入款项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26,307,245.0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1、营业外支出" w:id="319"/>
      <w:bookmarkEnd w:id="319"/>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3,917,620.00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3,917,620.00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1,143,506.59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60,725.10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1,143,506.59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5,061,126.59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5,660,725.10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5,061,126.59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2、所得税费用" w:id="320"/>
      <w:bookmarkEnd w:id="320"/>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所得税费用表" w:id="321"/>
      <w:bookmarkEnd w:id="32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73,875,362.96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111,250,243.84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1,138,490.42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20,276,489.51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75,013,853.38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131,526,733.35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会计利润与所得税费用调整过程" w:id="322"/>
      <w:bookmarkEnd w:id="32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891,947,205.37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133,792,080.81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4,492,890.51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-16,912,031.76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-19,043,929.24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-5,178,451.34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研发费加计扣除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-22,136,705.60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75,013,853.38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4" w:lineRule="auto" w:before="118"/>
        <w:ind w:left="152" w:right="8857" w:firstLine="0"/>
        <w:jc w:val="left"/>
        <w:rPr>
          <w:rFonts w:ascii="宋体" w:hAnsi="宋体" w:cs="宋体" w:eastAsia="宋体" w:hint="default"/>
          <w:sz w:val="21"/>
          <w:szCs w:val="21"/>
        </w:rPr>
      </w:pPr>
      <w:bookmarkStart w:name="43、其他综合收益" w:id="323"/>
      <w:bookmarkEnd w:id="323"/>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 </w:t>
      </w:r>
      <w:bookmarkStart w:name="44、现金流量表项目" w:id="324"/>
      <w:bookmarkEnd w:id="324"/>
      <w:r>
        <w:rPr>
          <w:rFonts w:ascii="宋体" w:hAnsi="宋体" w:cs="宋体" w:eastAsia="宋体" w:hint="default"/>
          <w:sz w:val="18"/>
          <w:szCs w:val="18"/>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1133"/>
        <w:jc w:val="left"/>
        <w:rPr>
          <w:b w:val="0"/>
          <w:bCs w:val="0"/>
        </w:rPr>
      </w:pPr>
      <w:bookmarkStart w:name="（1）收到的其他与经营活动有关的现金" w:id="325"/>
      <w:bookmarkEnd w:id="32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政府补助及其他补贴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28,259,876.08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32,430,166.02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押金与保证金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116,994,869.06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27,509,009.23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37,619,716.13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22,974,265.10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34,987,367.36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251,204.21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433,696.56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218,113,032.84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83,347,136.91</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支付的其他与经营活动有关的现金" w:id="326"/>
      <w:bookmarkEnd w:id="32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48,081,831.60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342,982,120.56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310,820,248.12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30,557,731.96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127,232,586.24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5,061,126.59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5,660,725.10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378,600,979.11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491,795,391.06</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收到的其他与投资活动有关的现金" w:id="327"/>
      <w:bookmarkEnd w:id="32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处置其他权益工具投资收益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2,381,633.53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2,381,633.53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支付的其他与投资活动有关的现金" w:id="328"/>
      <w:bookmarkEnd w:id="32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收到的其他与筹资活动有关的现金" w:id="329"/>
      <w:bookmarkEnd w:id="32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联想（天津）商业保理有限公司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65,000,000.00</w:t>
            </w:r>
          </w:p>
        </w:tc>
      </w:tr>
    </w:tbl>
    <w:p>
      <w:pPr>
        <w:pStyle w:val="BodyText"/>
        <w:spacing w:line="240" w:lineRule="auto" w:before="49"/>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6）支付的其他与筹资活动有关的现金" w:id="330"/>
      <w:bookmarkEnd w:id="33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归还联想（天津）商业保理有限公司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募集资金发行费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18,698,903.79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87,698,903.79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BodyText"/>
        <w:spacing w:line="240" w:lineRule="auto" w:before="49"/>
        <w:ind w:right="1133"/>
        <w:jc w:val="left"/>
      </w:pPr>
      <w:r>
        <w:rPr/>
        <w:t>支付的其他与筹资活动有关的现金说明：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23.369995pt;margin-top:454.569977pt;width:151.25pt;height:20.65pt;mso-position-horizontal-relative:page;mso-position-vertical-relative:page;z-index:-1069024" coordorigin="4467,9091" coordsize="3025,413">
            <v:group style="position:absolute;left:4478;top:9102;width:2;height:392" coordorigin="4478,9102" coordsize="2,392">
              <v:shape style="position:absolute;left:4478;top:9102;width:2;height:392" coordorigin="4478,9102" coordsize="0,392" path="m4478,9102l4478,9493e" filled="false" stroked="true" strokeweight="1.08pt" strokecolor="#ffffff">
                <v:path arrowok="t"/>
              </v:shape>
            </v:group>
            <v:group style="position:absolute;left:4489;top:9102;width:3003;height:392" coordorigin="4489,9102" coordsize="3003,392">
              <v:shape style="position:absolute;left:4489;top:9102;width:3003;height:392" coordorigin="4489,9102" coordsize="3003,392" path="m4489,9493l7492,9493,7492,9102,4489,9102,4489,9493xe" filled="true" fillcolor="#ffffff" stroked="false">
                <v:path arrowok="t"/>
                <v:fill type="solid"/>
              </v:shape>
            </v:group>
            <w10:wrap type="none"/>
          </v:group>
        </w:pict>
      </w:r>
    </w:p>
    <w:p>
      <w:pPr>
        <w:pStyle w:val="Heading4"/>
        <w:spacing w:line="240" w:lineRule="auto" w:before="36"/>
        <w:ind w:right="1133"/>
        <w:jc w:val="left"/>
        <w:rPr>
          <w:b w:val="0"/>
          <w:bCs w:val="0"/>
        </w:rPr>
      </w:pPr>
      <w:bookmarkStart w:name="45、现金流量表补充资料" w:id="331"/>
      <w:bookmarkEnd w:id="331"/>
      <w:r>
        <w:rPr>
          <w:b w:val="0"/>
          <w:bCs w:val="0"/>
        </w:rPr>
      </w:r>
      <w:r>
        <w:rPr>
          <w:rFonts w:ascii="Times New Roman" w:hAnsi="Times New Roman" w:cs="Times New Roman" w:eastAsia="Times New Roman" w:hint="default"/>
        </w:rPr>
        <w:t>45</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现金流量表补充资料" w:id="332"/>
      <w:bookmarkEnd w:id="33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84"/>
        <w:gridCol w:w="198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816,933,351.99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606,382,586.21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562,439.14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-678,682.00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173,444,358.32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153,248,931.62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1,980,241.14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978,279.70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2,058,551.65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1,568,044.25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8,653,544.93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4,437,912.43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1,431,199.98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1,615,612.38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18,847,140.75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27,346,592.81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48,370.36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458,587.20</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1,090,120.06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19,817,902.31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7,992,700.62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11,363,356.48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-168,663,598.00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23,975,789.31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248,576,999.07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-228,766,899.02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pacing w:val="-1"/>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74" w:right="0"/>
              <w:jc w:val="left"/>
              <w:rPr>
                <w:rFonts w:ascii="Times New Roman" w:hAnsi="Times New Roman" w:cs="Times New Roman" w:eastAsia="Times New Roman" w:hint="default"/>
                <w:sz w:val="18"/>
                <w:szCs w:val="18"/>
              </w:rPr>
            </w:pPr>
            <w:r>
              <w:rPr>
                <w:rFonts w:ascii="Times New Roman"/>
                <w:sz w:val="18"/>
              </w:rPr>
              <w:t>1,112,955,420.01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621,748,013.68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2,809,124,273.44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1,127,176,991.90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1,127,176,991.90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755,350,994.99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1,681,947,281.54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371,825,996.91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本期支付的取得子公司的现金净额" w:id="333"/>
      <w:bookmarkEnd w:id="33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1pt;mso-position-horizontal-relative:char;mso-position-vertical-relative:line" coordorigin="0,0" coordsize="9586,420">
            <v:group style="position:absolute;left:28;top:14;width:2;height:392" coordorigin="28,14" coordsize="2,392">
              <v:shape style="position:absolute;left:28;top:14;width:2;height:392" coordorigin="28,14" coordsize="0,392" path="m28,14l28,406e" filled="false" stroked="true" strokeweight="1.08pt" strokecolor="#d2d2d2">
                <v:path arrowok="t"/>
              </v:shape>
            </v:group>
            <v:group style="position:absolute;left:4983;top:14;width:2;height:392" coordorigin="4983,14" coordsize="2,392">
              <v:shape style="position:absolute;left:4983;top:14;width:2;height:392" coordorigin="4983,14" coordsize="0,392" path="m4983,14l4983,406e" filled="false" stroked="true" strokeweight="1.2pt" strokecolor="#d2d2d2">
                <v:path arrowok="t"/>
              </v:shape>
            </v:group>
            <v:group style="position:absolute;left:38;top:14;width:4933;height:392" coordorigin="38,14" coordsize="4933,392">
              <v:shape style="position:absolute;left:38;top:14;width:4933;height:392" coordorigin="38,14" coordsize="4933,392" path="m38,406l4971,406,4971,14,38,14,38,406xe" filled="true" fillcolor="#d2d2d2" stroked="false">
                <v:path arrowok="t"/>
                <v:fill type="solid"/>
              </v:shape>
            </v:group>
            <v:group style="position:absolute;left:5016;top:14;width:2;height:392" coordorigin="5016,14" coordsize="2,392">
              <v:shape style="position:absolute;left:5016;top:14;width:2;height:392" coordorigin="5016,14" coordsize="0,392" path="m5016,14l5016,406e" filled="false" stroked="true" strokeweight="1.08pt" strokecolor="#d2d2d2">
                <v:path arrowok="t"/>
              </v:shape>
            </v:group>
            <v:group style="position:absolute;left:9564;top:14;width:2;height:392" coordorigin="9564,14" coordsize="2,392">
              <v:shape style="position:absolute;left:9564;top:14;width:2;height:392" coordorigin="9564,14" coordsize="0,392" path="m9564,14l9564,406e" filled="false" stroked="true" strokeweight="1.2pt" strokecolor="#d2d2d2">
                <v:path arrowok="t"/>
              </v:shape>
            </v:group>
            <v:group style="position:absolute;left:5027;top:14;width:4525;height:392" coordorigin="5027,14" coordsize="4525,392">
              <v:shape style="position:absolute;left:5027;top:14;width:4525;height:392" coordorigin="5027,14" coordsize="4525,392" path="m5027,406l9552,406,9552,14,5027,14,5027,406xe" filled="true" fillcolor="#d2d2d2" stroked="false">
                <v:path arrowok="t"/>
                <v:fill type="solid"/>
              </v:shape>
            </v:group>
            <v:group style="position:absolute;left:14;top:10;width:4979;height:2" coordorigin="14,10" coordsize="4979,2">
              <v:shape style="position:absolute;left:14;top:10;width:4979;height:2" coordorigin="14,10" coordsize="4979,0" path="m14,10l4993,10e" filled="false" stroked="true" strokeweight=".48004pt" strokecolor="#000000">
                <v:path arrowok="t"/>
              </v:shape>
            </v:group>
            <v:group style="position:absolute;left:5003;top:10;width:4573;height:2" coordorigin="5003,10" coordsize="4573,2">
              <v:shape style="position:absolute;left:5003;top:10;width:4573;height:2" coordorigin="5003,10" coordsize="4573,0" path="m5003,10l9576,10e" filled="false" stroked="true" strokeweight=".48004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5;top:410;width:10;height:2" coordorigin="5,410" coordsize="10,2">
              <v:shape style="position:absolute;left:5;top:410;width:10;height:2" coordorigin="5,410" coordsize="10,0" path="m5,410l14,410e" filled="false" stroked="true" strokeweight=".47998pt" strokecolor="#000000">
                <v:path arrowok="t"/>
              </v:shape>
            </v:group>
            <v:group style="position:absolute;left:14;top:410;width:4979;height:2" coordorigin="14,410" coordsize="4979,2">
              <v:shape style="position:absolute;left:14;top:410;width:4979;height:2" coordorigin="14,410" coordsize="4979,0" path="m14,410l4993,410e" filled="false" stroked="true" strokeweight=".47998pt" strokecolor="#000000">
                <v:path arrowok="t"/>
              </v:shape>
            </v:group>
            <v:group style="position:absolute;left:4998;top:5;width:2;height:411" coordorigin="4998,5" coordsize="2,411">
              <v:shape style="position:absolute;left:4998;top:5;width:2;height:411" coordorigin="4998,5" coordsize="0,411" path="m4998,5l4998,415e" filled="false" stroked="true" strokeweight=".47998pt" strokecolor="#000000">
                <v:path arrowok="t"/>
              </v:shape>
            </v:group>
            <v:group style="position:absolute;left:5003;top:410;width:4573;height:2" coordorigin="5003,410" coordsize="4573,2">
              <v:shape style="position:absolute;left:5003;top:410;width:4573;height:2" coordorigin="5003,410" coordsize="4573,0" path="m5003,410l9576,410e" filled="false" stroked="true" strokeweight=".47998pt" strokecolor="#000000">
                <v:path arrowok="t"/>
              </v:shape>
            </v:group>
            <v:group style="position:absolute;left:9580;top:5;width:2;height:411" coordorigin="9580,5" coordsize="2,411">
              <v:shape style="position:absolute;left:9580;top:5;width:2;height:411" coordorigin="9580,5" coordsize="0,411" path="m9580,5l9580,415e" filled="false" stroked="true" strokeweight=".47998pt" strokecolor="#000000">
                <v:path arrowok="t"/>
              </v:shape>
              <v:shape style="position:absolute;left:710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北京大树保险经纪有限责任公司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18,187,108.08</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北京大树保险经纪有限责任公司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18,187,108.08</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61,812,891.92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本期收到的处置子公司的现金净额" w:id="334"/>
      <w:bookmarkEnd w:id="33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现金和现金等价物的构成" w:id="335"/>
      <w:bookmarkEnd w:id="33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2,809,124,273.44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1,127,176,991.90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11,195.23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5,830.53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2,809,113,078.21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1,127,171,161.37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2,809,124,273.44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1,127,176,991.90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6、所有权或使用权受到限制的资产" w:id="336"/>
      <w:bookmarkEnd w:id="336"/>
      <w:r>
        <w:rPr>
          <w:b w:val="0"/>
          <w:bCs w:val="0"/>
        </w:rPr>
      </w:r>
      <w:r>
        <w:rPr>
          <w:rFonts w:ascii="Times New Roman" w:hAnsi="Times New Roman" w:cs="Times New Roman" w:eastAsia="Times New Roman" w:hint="default"/>
        </w:rPr>
        <w:t>46</w:t>
      </w:r>
      <w:r>
        <w:rPr/>
        <w:t>、所有权或使用权受到限制的资产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5,362,506,176.18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客户备付金、汇票保证金</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5,362,506,176.18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7、外币货币性项目" w:id="337"/>
      <w:bookmarkEnd w:id="337"/>
      <w:r>
        <w:rPr>
          <w:b w:val="0"/>
          <w:bCs w:val="0"/>
        </w:rPr>
      </w:r>
      <w:r>
        <w:rPr>
          <w:rFonts w:ascii="Times New Roman" w:hAnsi="Times New Roman" w:cs="Times New Roman" w:eastAsia="Times New Roman" w:hint="default"/>
        </w:rPr>
        <w:t>47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外币货币性项目" w:id="338"/>
      <w:bookmarkEnd w:id="33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43" w:right="0"/>
              <w:jc w:val="left"/>
              <w:rPr>
                <w:rFonts w:ascii="Times New Roman" w:hAnsi="Times New Roman" w:cs="Times New Roman" w:eastAsia="Times New Roman" w:hint="default"/>
                <w:sz w:val="18"/>
                <w:szCs w:val="18"/>
              </w:rPr>
            </w:pPr>
            <w:r>
              <w:rPr>
                <w:rFonts w:ascii="Times New Roman"/>
                <w:sz w:val="18"/>
              </w:rPr>
              <w:t>141,175.97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6" w:right="0"/>
              <w:jc w:val="left"/>
              <w:rPr>
                <w:rFonts w:ascii="Times New Roman" w:hAnsi="Times New Roman" w:cs="Times New Roman" w:eastAsia="Times New Roman" w:hint="default"/>
                <w:sz w:val="18"/>
                <w:szCs w:val="18"/>
              </w:rPr>
            </w:pPr>
            <w:r>
              <w:rPr>
                <w:rFonts w:ascii="Times New Roman"/>
                <w:sz w:val="18"/>
              </w:rPr>
              <w:t>984,871.80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59" w:lineRule="auto" w:before="118"/>
        <w:ind w:right="1133"/>
        <w:jc w:val="left"/>
        <w:rPr>
          <w:b w:val="0"/>
          <w:bCs w:val="0"/>
        </w:rPr>
      </w:pPr>
      <w:bookmarkStart w:name="（2）境外经营实体说明，包括对于重要的境外经营实体，应披露其境外主要经营地、记账" w:id="339"/>
      <w:bookmarkEnd w:id="33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48、政府补助" w:id="340"/>
      <w:bookmarkEnd w:id="340"/>
      <w:r>
        <w:rPr>
          <w:b w:val="0"/>
          <w:bCs w:val="0"/>
        </w:rPr>
      </w:r>
      <w:r>
        <w:rPr>
          <w:rFonts w:ascii="Times New Roman" w:hAnsi="Times New Roman" w:cs="Times New Roman" w:eastAsia="Times New Roman" w:hint="default"/>
        </w:rPr>
        <w:t>48</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政府补助基本情况" w:id="341"/>
      <w:bookmarkEnd w:id="34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17,391,200.00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1,994,200.00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1,994,200.00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793,781.39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793,781.39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27,761,181.39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27,761,181.39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政府补助退回情况" w:id="342"/>
      <w:bookmarkEnd w:id="342"/>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bookmarkStart w:name="八、合并范围的变更" w:id="343"/>
      <w:bookmarkEnd w:id="343"/>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非同一控制下企业合并" w:id="344"/>
      <w:bookmarkEnd w:id="34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本期发生的非同一控制下企业合并" w:id="345"/>
      <w:bookmarkEnd w:id="34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北京大树保 险经纪有限 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工商完成变 更且已支付 全部价款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合并成本及商誉" w:id="346"/>
      <w:bookmarkEnd w:id="34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48,006,088.10</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6"/>
              <w:jc w:val="left"/>
              <w:rPr>
                <w:rFonts w:ascii="宋体" w:hAnsi="宋体" w:cs="宋体" w:eastAsia="宋体"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 的金额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31,993,911.90</w:t>
            </w:r>
          </w:p>
        </w:tc>
      </w:tr>
    </w:tbl>
    <w:p>
      <w:pPr>
        <w:pStyle w:val="BodyText"/>
        <w:spacing w:line="360" w:lineRule="auto" w:before="49"/>
        <w:ind w:right="6074"/>
        <w:jc w:val="left"/>
      </w:pPr>
      <w:r>
        <w:rPr/>
        <w:t>合并成本公允价值的确定方法、或有对价及其变动的说明： 大额商誉形成的主要原因：</w:t>
      </w:r>
    </w:p>
    <w:p>
      <w:pPr>
        <w:pStyle w:val="BodyText"/>
        <w:spacing w:line="240" w:lineRule="auto" w:before="24"/>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被购买方于购买日可辨认资产、负债" w:id="347"/>
      <w:bookmarkEnd w:id="34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48,986,676.63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48,986,676.63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18,187,108.08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18,187,108.08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28,811,194.65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28,811,194.65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323,134.64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323,134.64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612,255.06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612,255.06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1,032,465.75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1,032,465.75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20,518.45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20,518.45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980,588.53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980,588.53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10,895.41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10,895.41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441,933.25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441,933.25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518,341.33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518,341.33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9,418.54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9,418.54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48,006,088.10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48,006,088.10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48,006,088.10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48,006,088.10</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bookmarkStart w:name="（4）购买日之前持有的股权按照公允价值重新计量产生的利得或损失" w:id="348"/>
      <w:bookmarkEnd w:id="34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349"/>
      <w:bookmarkEnd w:id="34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350"/>
      <w:bookmarkEnd w:id="35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2、其他原因的合并范围变动" w:id="351"/>
      <w:bookmarkEnd w:id="351"/>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3" w:right="3914" w:hanging="361"/>
        <w:jc w:val="left"/>
      </w:pPr>
      <w:r>
        <w:rPr/>
        <w:t>说明其他原因导致的合并范围变动（如，新设子公司、清算子公司等）及其相关情况： 新设子公司：</w:t>
      </w:r>
    </w:p>
    <w:p>
      <w:pPr>
        <w:pStyle w:val="BodyText"/>
        <w:spacing w:line="236" w:lineRule="exact"/>
        <w:ind w:right="0" w:firstLine="360"/>
        <w:jc w:val="left"/>
      </w:pPr>
      <w:r>
        <w:rPr/>
        <w:t>（</w:t>
      </w:r>
      <w:r>
        <w:rPr>
          <w:rFonts w:ascii="Times New Roman" w:hAnsi="Times New Roman" w:cs="Times New Roman" w:eastAsia="Times New Roman" w:hint="default"/>
        </w:rPr>
        <w:t>1</w:t>
      </w:r>
      <w:r>
        <w:rPr/>
        <w:t>）四川拉卡拉汇积天下技术服务有限公司由拉卡拉子公司拉卡拉汇积天下技术服务（北京）有限公司认缴设立，于</w:t>
      </w:r>
    </w:p>
    <w:p>
      <w:pPr>
        <w:pStyle w:val="BodyText"/>
        <w:spacing w:line="300" w:lineRule="auto" w:before="63"/>
        <w:ind w:right="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06</w:t>
      </w:r>
      <w:r>
        <w:rPr>
          <w:spacing w:val="-1"/>
        </w:rPr>
        <w:t>月</w:t>
      </w:r>
      <w:r>
        <w:rPr>
          <w:rFonts w:ascii="Times New Roman" w:hAnsi="Times New Roman" w:cs="Times New Roman" w:eastAsia="Times New Roman" w:hint="default"/>
          <w:spacing w:val="-1"/>
        </w:rPr>
        <w:t>06</w:t>
      </w:r>
      <w:r>
        <w:rPr>
          <w:spacing w:val="-1"/>
        </w:rPr>
        <w:t>日成立，取得仁寿县市场监督管理局核发《企业法人营业执照》，注册资本</w:t>
      </w:r>
      <w:r>
        <w:rPr>
          <w:rFonts w:ascii="Times New Roman" w:hAnsi="Times New Roman" w:cs="Times New Roman" w:eastAsia="Times New Roman" w:hint="default"/>
          <w:spacing w:val="-1"/>
        </w:rPr>
        <w:t>500.00</w:t>
      </w:r>
      <w:r>
        <w:rPr>
          <w:spacing w:val="-1"/>
        </w:rPr>
        <w:t>万元，注册地址：仁寿县视</w:t>
      </w:r>
      <w:r>
        <w:rPr>
          <w:spacing w:val="-73"/>
        </w:rPr>
        <w:t> </w:t>
      </w:r>
      <w:r>
        <w:rPr>
          <w:spacing w:val="-73"/>
        </w:rPr>
      </w:r>
      <w:r>
        <w:rPr/>
        <w:t>高镇中建大道一段</w:t>
      </w:r>
      <w:r>
        <w:rPr>
          <w:rFonts w:ascii="Times New Roman" w:hAnsi="Times New Roman" w:cs="Times New Roman" w:eastAsia="Times New Roman" w:hint="default"/>
        </w:rPr>
        <w:t>2</w:t>
      </w:r>
      <w:r>
        <w:rPr/>
        <w:t>号。</w:t>
      </w:r>
    </w:p>
    <w:p>
      <w:pPr>
        <w:spacing w:after="0" w:line="30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firstLine="360"/>
        <w:jc w:val="both"/>
      </w:pPr>
      <w:r>
        <w:rPr>
          <w:spacing w:val="-4"/>
        </w:rPr>
        <w:t>（</w:t>
      </w:r>
      <w:r>
        <w:rPr>
          <w:rFonts w:ascii="Times New Roman" w:hAnsi="Times New Roman" w:cs="Times New Roman" w:eastAsia="Times New Roman" w:hint="default"/>
          <w:spacing w:val="-4"/>
        </w:rPr>
        <w:t>2</w:t>
      </w:r>
      <w:r>
        <w:rPr>
          <w:spacing w:val="-4"/>
        </w:rPr>
        <w:t>）汇积天下科技服务（厦门）有限公司由拉卡拉子公司拉卡拉汇积天下技术服务（北京）有限公司认缴设立，于</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16</w:t>
      </w:r>
      <w:r>
        <w:rPr/>
        <w:t>日成立，取得厦门市翔安区市场监督管理局核发《企业法人营业执照》，注册资本</w:t>
      </w:r>
      <w:r>
        <w:rPr>
          <w:rFonts w:ascii="Times New Roman" w:hAnsi="Times New Roman" w:cs="Times New Roman" w:eastAsia="Times New Roman" w:hint="default"/>
        </w:rPr>
        <w:t>1,000.00</w:t>
      </w:r>
      <w:r>
        <w:rPr/>
        <w:t>万元，注册地址：厦门</w:t>
      </w:r>
      <w:r>
        <w:rPr>
          <w:spacing w:val="-85"/>
        </w:rPr>
        <w:t> </w:t>
      </w:r>
      <w:r>
        <w:rPr>
          <w:spacing w:val="-85"/>
        </w:rPr>
      </w:r>
      <w:r>
        <w:rPr/>
        <w:t>市翔安区莲亭路</w:t>
      </w:r>
      <w:r>
        <w:rPr>
          <w:rFonts w:ascii="Times New Roman" w:hAnsi="Times New Roman" w:cs="Times New Roman" w:eastAsia="Times New Roman" w:hint="default"/>
        </w:rPr>
        <w:t>843</w:t>
      </w:r>
      <w:r>
        <w:rPr/>
        <w:t>号</w:t>
      </w:r>
      <w:r>
        <w:rPr>
          <w:rFonts w:ascii="Times New Roman" w:hAnsi="Times New Roman" w:cs="Times New Roman" w:eastAsia="Times New Roman" w:hint="default"/>
        </w:rPr>
        <w:t>40#</w:t>
      </w:r>
      <w:r>
        <w:rPr/>
        <w:t>楼</w:t>
      </w:r>
      <w:r>
        <w:rPr>
          <w:rFonts w:ascii="Times New Roman" w:hAnsi="Times New Roman" w:cs="Times New Roman" w:eastAsia="Times New Roman" w:hint="default"/>
        </w:rPr>
        <w:t>401</w:t>
      </w:r>
      <w:r>
        <w:rPr/>
        <w:t>单元</w:t>
      </w:r>
      <w:r>
        <w:rPr>
          <w:rFonts w:ascii="Times New Roman" w:hAnsi="Times New Roman" w:cs="Times New Roman" w:eastAsia="Times New Roman" w:hint="default"/>
        </w:rPr>
        <w:t>A3</w:t>
      </w:r>
      <w:r>
        <w:rPr/>
        <w:t>室。</w:t>
      </w:r>
    </w:p>
    <w:p>
      <w:pPr>
        <w:pStyle w:val="BodyText"/>
        <w:spacing w:line="300" w:lineRule="auto" w:before="13"/>
        <w:ind w:right="1130" w:firstLine="360"/>
        <w:jc w:val="both"/>
      </w:pPr>
      <w:r>
        <w:rPr>
          <w:spacing w:val="-4"/>
        </w:rPr>
        <w:t>（</w:t>
      </w:r>
      <w:r>
        <w:rPr>
          <w:rFonts w:ascii="Times New Roman" w:hAnsi="Times New Roman" w:cs="Times New Roman" w:eastAsia="Times New Roman" w:hint="default"/>
          <w:spacing w:val="-4"/>
        </w:rPr>
        <w:t>3</w:t>
      </w:r>
      <w:r>
        <w:rPr>
          <w:spacing w:val="-4"/>
        </w:rPr>
        <w:t>）汇聚天下科技服务（海南）有限公司由拉卡拉子公司拉卡拉汇积天下技术服务（北京）有限公司认缴设立，于</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日成立，取得海南省市场监督管理局核发《企业法人营业执照》，注册资本</w:t>
      </w:r>
      <w:r>
        <w:rPr>
          <w:rFonts w:ascii="Times New Roman" w:hAnsi="Times New Roman" w:cs="Times New Roman" w:eastAsia="Times New Roman" w:hint="default"/>
        </w:rPr>
        <w:t>1,000.00</w:t>
      </w:r>
      <w:r>
        <w:rPr/>
        <w:t>万元，注册地址：海南省澄迈</w:t>
      </w:r>
      <w:r>
        <w:rPr>
          <w:spacing w:val="-85"/>
        </w:rPr>
        <w:t> </w:t>
      </w:r>
      <w:r>
        <w:rPr/>
        <w:t>县老城高新技术产业示范区海南生态软件园</w:t>
      </w:r>
      <w:r>
        <w:rPr>
          <w:rFonts w:ascii="Times New Roman" w:hAnsi="Times New Roman" w:cs="Times New Roman" w:eastAsia="Times New Roman" w:hint="default"/>
        </w:rPr>
        <w:t>A17</w:t>
      </w:r>
      <w:r>
        <w:rPr/>
        <w:t>幢二层</w:t>
      </w:r>
      <w:r>
        <w:rPr>
          <w:rFonts w:ascii="Times New Roman" w:hAnsi="Times New Roman" w:cs="Times New Roman" w:eastAsia="Times New Roman" w:hint="default"/>
        </w:rPr>
        <w:t>2001</w:t>
      </w:r>
      <w:r>
        <w:rPr/>
        <w:t>。</w:t>
      </w:r>
    </w:p>
    <w:p>
      <w:pPr>
        <w:pStyle w:val="BodyText"/>
        <w:spacing w:line="300" w:lineRule="auto" w:before="13"/>
        <w:ind w:right="1128" w:firstLine="360"/>
        <w:jc w:val="both"/>
      </w:pPr>
      <w:r>
        <w:rPr/>
        <w:t>（</w:t>
      </w:r>
      <w:r>
        <w:rPr>
          <w:rFonts w:ascii="Times New Roman" w:hAnsi="Times New Roman" w:cs="Times New Roman" w:eastAsia="Times New Roman" w:hint="default"/>
        </w:rPr>
        <w:t>4</w:t>
      </w:r>
      <w:r>
        <w:rPr/>
        <w:t>）拉卡拉科技投资有限公司由拉卡拉子公司海南云商互联科技有限公司认缴设立，于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日成立，取得香 港特别行政区公司注册处公司注册证明书。</w:t>
      </w:r>
    </w:p>
    <w:p>
      <w:pPr>
        <w:pStyle w:val="BodyText"/>
        <w:spacing w:line="240" w:lineRule="auto" w:before="31"/>
        <w:ind w:left="513" w:right="0"/>
        <w:jc w:val="left"/>
      </w:pPr>
      <w:r>
        <w:rPr/>
        <w:t>（</w:t>
      </w:r>
      <w:r>
        <w:rPr>
          <w:rFonts w:ascii="Times New Roman" w:hAnsi="Times New Roman" w:cs="Times New Roman" w:eastAsia="Times New Roman" w:hint="default"/>
        </w:rPr>
        <w:t>5</w:t>
      </w:r>
      <w:r>
        <w:rPr/>
        <w:t>）北京腾祥商务服务有限公司由拉卡拉认缴设立，于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29</w:t>
      </w:r>
      <w:r>
        <w:rPr/>
        <w:t>日成立，取得北京市海淀区市场监督管理局核发</w:t>
      </w:r>
    </w:p>
    <w:p>
      <w:pPr>
        <w:pStyle w:val="BodyText"/>
        <w:spacing w:line="240" w:lineRule="auto" w:before="63"/>
        <w:ind w:right="1133"/>
        <w:jc w:val="left"/>
      </w:pPr>
      <w:r>
        <w:rPr/>
        <w:t>《企业法人营业执照》，注册资本</w:t>
      </w:r>
      <w:r>
        <w:rPr>
          <w:rFonts w:ascii="Times New Roman" w:hAnsi="Times New Roman" w:cs="Times New Roman" w:eastAsia="Times New Roman" w:hint="default"/>
        </w:rPr>
        <w:t>3,000.00</w:t>
      </w:r>
      <w:r>
        <w:rPr/>
        <w:t>万元，注册地址：北京市海淀区北清路中关村壹号</w:t>
      </w:r>
      <w:r>
        <w:rPr>
          <w:rFonts w:ascii="Times New Roman" w:hAnsi="Times New Roman" w:cs="Times New Roman" w:eastAsia="Times New Roman" w:hint="default"/>
        </w:rPr>
        <w:t>D1</w:t>
      </w:r>
      <w:r>
        <w:rPr/>
        <w:t>座</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610</w:t>
      </w:r>
      <w:r>
        <w:rPr/>
        <w:t>。</w:t>
      </w:r>
    </w:p>
    <w:p>
      <w:pPr>
        <w:pStyle w:val="BodyText"/>
        <w:spacing w:line="240" w:lineRule="auto" w:before="63"/>
        <w:ind w:left="513" w:right="0"/>
        <w:jc w:val="left"/>
      </w:pPr>
      <w:r>
        <w:rPr/>
        <w:t>（</w:t>
      </w:r>
      <w:r>
        <w:rPr>
          <w:rFonts w:ascii="Times New Roman" w:hAnsi="Times New Roman" w:cs="Times New Roman" w:eastAsia="Times New Roman" w:hint="default"/>
        </w:rPr>
        <w:t>6</w:t>
      </w:r>
      <w:r>
        <w:rPr/>
        <w:t>）广州赢达信息咨询有限公司由拉卡拉认缴设立，于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15</w:t>
      </w:r>
      <w:r>
        <w:rPr/>
        <w:t>日成立，取得广州市天河区工商行政管理局核发</w:t>
      </w:r>
    </w:p>
    <w:p>
      <w:pPr>
        <w:pStyle w:val="BodyText"/>
        <w:spacing w:line="240" w:lineRule="auto" w:before="63"/>
        <w:ind w:right="1133"/>
        <w:jc w:val="left"/>
      </w:pPr>
      <w:r>
        <w:rPr/>
        <w:t>《企业法人营业执照》，注册资本</w:t>
      </w:r>
      <w:r>
        <w:rPr>
          <w:rFonts w:ascii="Times New Roman" w:hAnsi="Times New Roman" w:cs="Times New Roman" w:eastAsia="Times New Roman" w:hint="default"/>
        </w:rPr>
        <w:t>32,000.00</w:t>
      </w:r>
      <w:r>
        <w:rPr/>
        <w:t>万元，注册地址：广州市天河区华夏路</w:t>
      </w:r>
      <w:r>
        <w:rPr>
          <w:rFonts w:ascii="Times New Roman" w:hAnsi="Times New Roman" w:cs="Times New Roman" w:eastAsia="Times New Roman" w:hint="default"/>
        </w:rPr>
        <w:t>26</w:t>
      </w:r>
      <w:r>
        <w:rPr/>
        <w:t>号雅居乐中心第</w:t>
      </w:r>
      <w:r>
        <w:rPr>
          <w:rFonts w:ascii="Times New Roman" w:hAnsi="Times New Roman" w:cs="Times New Roman" w:eastAsia="Times New Roman" w:hint="default"/>
        </w:rPr>
        <w:t>22</w:t>
      </w:r>
      <w:r>
        <w:rPr/>
        <w:t>层。</w:t>
      </w:r>
    </w:p>
    <w:p>
      <w:pPr>
        <w:pStyle w:val="BodyText"/>
        <w:spacing w:line="300" w:lineRule="auto" w:before="63"/>
        <w:ind w:right="1131" w:firstLine="360"/>
        <w:jc w:val="both"/>
      </w:pPr>
      <w:r>
        <w:rPr/>
        <w:t>（</w:t>
      </w:r>
      <w:r>
        <w:rPr>
          <w:rFonts w:ascii="Times New Roman" w:hAnsi="Times New Roman" w:cs="Times New Roman" w:eastAsia="Times New Roman" w:hint="default"/>
        </w:rPr>
        <w:t>7</w:t>
      </w:r>
      <w:r>
        <w:rPr/>
        <w:t>）广州拉卡拉信息技术有限公司由拉卡拉认缴设立，于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日成立，取得广州市黄埔区市场监督管理局核 发《企业法人营业执照》，注册资本</w:t>
      </w:r>
      <w:r>
        <w:rPr>
          <w:rFonts w:ascii="Times New Roman" w:hAnsi="Times New Roman" w:cs="Times New Roman" w:eastAsia="Times New Roman" w:hint="default"/>
        </w:rPr>
        <w:t>6,000.00</w:t>
      </w:r>
      <w:r>
        <w:rPr/>
        <w:t>万元，注册地址：广州市黄埔区中新广州知识城亿创街</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406</w:t>
      </w:r>
      <w:r>
        <w:rPr/>
        <w:t>房之</w:t>
      </w:r>
      <w:r>
        <w:rPr>
          <w:rFonts w:ascii="Times New Roman" w:hAnsi="Times New Roman" w:cs="Times New Roman" w:eastAsia="Times New Roman" w:hint="default"/>
        </w:rPr>
        <w:t>37</w:t>
      </w:r>
      <w:r>
        <w:rPr/>
        <w:t>。</w:t>
      </w:r>
    </w:p>
    <w:p>
      <w:pPr>
        <w:pStyle w:val="BodyText"/>
        <w:spacing w:line="240" w:lineRule="auto" w:before="13"/>
        <w:ind w:left="513" w:right="0"/>
        <w:jc w:val="left"/>
      </w:pPr>
      <w:r>
        <w:rPr/>
        <w:t>（</w:t>
      </w:r>
      <w:r>
        <w:rPr>
          <w:rFonts w:ascii="Times New Roman" w:hAnsi="Times New Roman" w:cs="Times New Roman" w:eastAsia="Times New Roman" w:hint="default"/>
        </w:rPr>
        <w:t>8</w:t>
      </w:r>
      <w:r>
        <w:rPr/>
        <w:t>）拉卡拉國際有限公司由拉卡拉认缴设立，于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日成立，取得香港特别行政区公司注册处公司注册证明书。</w:t>
      </w:r>
    </w:p>
    <w:p>
      <w:pPr>
        <w:pStyle w:val="BodyText"/>
        <w:spacing w:line="300" w:lineRule="auto" w:before="63"/>
        <w:ind w:right="1040" w:firstLine="360"/>
        <w:jc w:val="both"/>
      </w:pPr>
      <w:r>
        <w:rPr/>
        <w:t>（</w:t>
      </w:r>
      <w:r>
        <w:rPr>
          <w:rFonts w:ascii="Times New Roman" w:hAnsi="Times New Roman" w:cs="Times New Roman" w:eastAsia="Times New Roman" w:hint="default"/>
        </w:rPr>
        <w:t>9</w:t>
      </w:r>
      <w:r>
        <w:rPr/>
        <w:t>）海南泛泰科技发展有限公司由拉卡拉认缴设立，于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03</w:t>
      </w:r>
      <w:r>
        <w:rPr/>
        <w:t>日成立，取得海南省市场监督管理局核发《企业 </w:t>
      </w:r>
      <w:r>
        <w:rPr>
          <w:spacing w:val="-4"/>
        </w:rPr>
        <w:t>法人营业执照》，注册资本</w:t>
      </w:r>
      <w:r>
        <w:rPr>
          <w:rFonts w:ascii="Times New Roman" w:hAnsi="Times New Roman" w:cs="Times New Roman" w:eastAsia="Times New Roman" w:hint="default"/>
          <w:spacing w:val="-4"/>
        </w:rPr>
        <w:t>2,000.00</w:t>
      </w:r>
      <w:r>
        <w:rPr>
          <w:spacing w:val="-4"/>
        </w:rPr>
        <w:t>万元，注册地址：海南省澄迈县老城高新技术产业示范区海南生态软件园</w:t>
      </w:r>
      <w:r>
        <w:rPr>
          <w:rFonts w:ascii="Times New Roman" w:hAnsi="Times New Roman" w:cs="Times New Roman" w:eastAsia="Times New Roman" w:hint="default"/>
          <w:spacing w:val="-4"/>
        </w:rPr>
        <w:t>A17</w:t>
      </w:r>
      <w:r>
        <w:rPr>
          <w:spacing w:val="-4"/>
        </w:rPr>
        <w:t>幢二层</w:t>
      </w:r>
      <w:r>
        <w:rPr>
          <w:rFonts w:ascii="Times New Roman" w:hAnsi="Times New Roman" w:cs="Times New Roman" w:eastAsia="Times New Roman" w:hint="default"/>
          <w:spacing w:val="-4"/>
        </w:rPr>
        <w:t>2001</w:t>
      </w:r>
      <w:r>
        <w:rPr>
          <w:spacing w:val="-4"/>
        </w:rPr>
        <w:t>。</w:t>
      </w:r>
    </w:p>
    <w:p>
      <w:pPr>
        <w:pStyle w:val="BodyText"/>
        <w:spacing w:line="300" w:lineRule="auto" w:before="13"/>
        <w:ind w:right="1040" w:firstLine="360"/>
        <w:jc w:val="both"/>
      </w:pPr>
      <w:r>
        <w:rPr>
          <w:spacing w:val="-2"/>
        </w:rPr>
        <w:t>（</w:t>
      </w:r>
      <w:r>
        <w:rPr>
          <w:rFonts w:ascii="Times New Roman" w:hAnsi="Times New Roman" w:cs="Times New Roman" w:eastAsia="Times New Roman" w:hint="default"/>
          <w:spacing w:val="-2"/>
        </w:rPr>
        <w:t>10</w:t>
      </w:r>
      <w:r>
        <w:rPr>
          <w:spacing w:val="-2"/>
        </w:rPr>
        <w:t>）海南嘉驰科技发展有限公司由拉卡拉认缴设立，于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日成立，取得海南省市场监督管理局核发《企业</w:t>
      </w:r>
      <w:r>
        <w:rPr/>
        <w:t> </w:t>
      </w:r>
      <w:r>
        <w:rPr>
          <w:spacing w:val="-4"/>
        </w:rPr>
        <w:t>法人营业执照》，注册资本</w:t>
      </w:r>
      <w:r>
        <w:rPr>
          <w:rFonts w:ascii="Times New Roman" w:hAnsi="Times New Roman" w:cs="Times New Roman" w:eastAsia="Times New Roman" w:hint="default"/>
          <w:spacing w:val="-4"/>
        </w:rPr>
        <w:t>1,000.00</w:t>
      </w:r>
      <w:r>
        <w:rPr>
          <w:spacing w:val="-4"/>
        </w:rPr>
        <w:t>万元，注册地址：海南省澄迈县老城高新技术产业示范区海南生态软件园</w:t>
      </w:r>
      <w:r>
        <w:rPr>
          <w:rFonts w:ascii="Times New Roman" w:hAnsi="Times New Roman" w:cs="Times New Roman" w:eastAsia="Times New Roman" w:hint="default"/>
          <w:spacing w:val="-4"/>
        </w:rPr>
        <w:t>A17</w:t>
      </w:r>
      <w:r>
        <w:rPr>
          <w:spacing w:val="-4"/>
        </w:rPr>
        <w:t>幢二层</w:t>
      </w:r>
      <w:r>
        <w:rPr>
          <w:rFonts w:ascii="Times New Roman" w:hAnsi="Times New Roman" w:cs="Times New Roman" w:eastAsia="Times New Roman" w:hint="default"/>
          <w:spacing w:val="-4"/>
        </w:rPr>
        <w:t>2001</w:t>
      </w:r>
      <w:r>
        <w:rPr>
          <w:spacing w:val="-4"/>
        </w:rPr>
        <w:t>。</w:t>
      </w:r>
    </w:p>
    <w:p>
      <w:pPr>
        <w:pStyle w:val="BodyText"/>
        <w:spacing w:line="300" w:lineRule="auto" w:before="13"/>
        <w:ind w:right="1131" w:firstLine="360"/>
        <w:jc w:val="both"/>
      </w:pPr>
      <w:r>
        <w:rPr>
          <w:spacing w:val="-2"/>
        </w:rPr>
        <w:t>（</w:t>
      </w:r>
      <w:r>
        <w:rPr>
          <w:rFonts w:ascii="Times New Roman" w:hAnsi="Times New Roman" w:cs="Times New Roman" w:eastAsia="Times New Roman" w:hint="default"/>
          <w:spacing w:val="-2"/>
        </w:rPr>
        <w:t>11</w:t>
      </w:r>
      <w:r>
        <w:rPr>
          <w:spacing w:val="-2"/>
        </w:rPr>
        <w:t>）北京考拉鲲鹏科技成长基金合伙企业（有限合伙）由拉卡拉认缴设立，于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日成立，取得北京市海淀</w:t>
      </w:r>
      <w:r>
        <w:rPr/>
        <w:t> </w:t>
      </w:r>
      <w:r>
        <w:rPr>
          <w:spacing w:val="-1"/>
        </w:rPr>
        <w:t>区市场监督管理局核发《企业法人营业执照》，注册地址：海南省澄迈县老城高新技术产业示范区海南生态软件园</w:t>
      </w:r>
      <w:r>
        <w:rPr>
          <w:rFonts w:ascii="Times New Roman" w:hAnsi="Times New Roman" w:cs="Times New Roman" w:eastAsia="Times New Roman" w:hint="default"/>
          <w:spacing w:val="-1"/>
        </w:rPr>
        <w:t>A17</w:t>
      </w:r>
      <w:r>
        <w:rPr>
          <w:spacing w:val="-1"/>
        </w:rPr>
        <w:t>幢二</w:t>
      </w:r>
      <w:r>
        <w:rPr>
          <w:spacing w:val="-69"/>
        </w:rPr>
        <w:t> </w:t>
      </w:r>
      <w:r>
        <w:rPr/>
        <w:t>层</w:t>
      </w:r>
      <w:r>
        <w:rPr>
          <w:rFonts w:ascii="Times New Roman" w:hAnsi="Times New Roman" w:cs="Times New Roman" w:eastAsia="Times New Roman" w:hint="default"/>
        </w:rPr>
        <w:t>2001</w:t>
      </w:r>
      <w:r>
        <w:rPr/>
        <w:t>。</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九、在其他主体中的权益" w:id="352"/>
      <w:bookmarkEnd w:id="352"/>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在子公司中的权益" w:id="353"/>
      <w:bookmarkEnd w:id="35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企业集团的构成" w:id="354"/>
      <w:bookmarkEnd w:id="35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拉卡拉云商网络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拉卡拉云商科技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计算机软硬件开 发、技术服务、 技术转让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北京顺维无限科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天津弘诚科技发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达孜弘诚科技发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海南云商互联科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拉卡拉汇积天下 </w:t>
            </w:r>
            <w:r>
              <w:rPr>
                <w:rFonts w:ascii="宋体" w:hAnsi="宋体" w:cs="宋体" w:eastAsia="宋体" w:hint="default"/>
                <w:spacing w:val="-9"/>
                <w:sz w:val="18"/>
                <w:szCs w:val="18"/>
              </w:rPr>
              <w:t>技术服务（北京）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412" w:lineRule="exact"/>
              <w:ind w:left="2"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66.75pt;height:20.65pt;mso-position-horizontal-relative:char;mso-position-vertical-relative:line" coordorigin="0,0" coordsize="1335,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1314;height:392" coordorigin="22,11" coordsize="1314,392">
                    <v:shape style="position:absolute;left:22;top:11;width:1314;height:392" coordorigin="22,11" coordsize="1314,392" path="m22,402l1335,402,1335,11,22,11,22,40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3"/>
              <w:ind w:right="0"/>
              <w:jc w:val="left"/>
              <w:rPr>
                <w:rFonts w:ascii="Times New Roman" w:hAnsi="Times New Roman" w:cs="Times New Roman" w:eastAsia="Times New Roman" w:hint="default"/>
                <w:sz w:val="26"/>
                <w:szCs w:val="26"/>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计算机软件开 发、技术开发、 技术咨询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拉卡拉汇积天下 </w:t>
            </w:r>
            <w:r>
              <w:rPr>
                <w:rFonts w:ascii="宋体" w:hAnsi="宋体" w:cs="宋体" w:eastAsia="宋体" w:hint="default"/>
                <w:spacing w:val="-9"/>
                <w:sz w:val="18"/>
                <w:szCs w:val="18"/>
              </w:rPr>
              <w:t>商务服务（天津）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天津</w:t>
            </w: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412" w:lineRule="exact"/>
              <w:ind w:left="2"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66.75pt;height:20.65pt;mso-position-horizontal-relative:char;mso-position-vertical-relative:line" coordorigin="0,0" coordsize="1335,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1314;height:392" coordorigin="22,11" coordsize="1314,392">
                    <v:shape style="position:absolute;left:22;top:11;width:1314;height:392" coordorigin="22,11" coordsize="1314,392" path="m22,402l1335,402,1335,11,22,11,22,40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3"/>
              <w:ind w:right="0"/>
              <w:jc w:val="left"/>
              <w:rPr>
                <w:rFonts w:ascii="Times New Roman" w:hAnsi="Times New Roman" w:cs="Times New Roman" w:eastAsia="Times New Roman" w:hint="default"/>
                <w:sz w:val="26"/>
                <w:szCs w:val="26"/>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四川拉卡拉汇积 天下技术服务有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汇积天下科技服 务（厦门）有限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商务服务、电信 业务、包装食品 零售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汇聚天下科技服 务（海南）有限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拉卡拉科技投资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转让、收单服务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北京拉卡拉云闪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北京腾祥商务服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会议服务、财务 咨询、企业管理 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广州赢达信息咨 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北京大树保险经 纪有限责任公司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保险经纪业务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广州拉卡拉信息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拉卡拉國際有限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技术咨询、产品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北京拉卡拉资产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拉卡拉信息科技</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科技信息咨询服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广东云商网联信 息服务有限公司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科技信息咨询服 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海南泛泰科技发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海南嘉驰科技发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北京考拉鲲鹏科 技成长基金合伙 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非证券业务的投 资、投资管理、 投资咨询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pStyle w:val="BodyText"/>
        <w:spacing w:line="357" w:lineRule="auto" w:before="49"/>
        <w:ind w:right="2834"/>
        <w:jc w:val="left"/>
      </w:pPr>
      <w:r>
        <w:rPr/>
        <w:pict>
          <v:shape style="position:absolute;margin-left:74.279999pt;margin-top:-16.198269pt;width:119.1pt;height:15.6pt;mso-position-horizontal-relative:page;mso-position-vertical-relative:paragraph;z-index:-1068928" type="#_x0000_t202" filled="false" stroked="false">
            <v:textbox inset="0,0,0,0">
              <w:txbxContent>
                <w:p>
                  <w:pPr>
                    <w:pStyle w:val="BodyText"/>
                    <w:spacing w:line="205" w:lineRule="exact"/>
                    <w:ind w:left="0" w:right="0"/>
                    <w:jc w:val="left"/>
                  </w:pPr>
                  <w:r>
                    <w:rPr/>
                    <w:t>（有限合伙）</w:t>
                  </w:r>
                </w:p>
              </w:txbxContent>
            </v:textbox>
            <w10:wrap type="none"/>
          </v:shape>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4"/>
        <w:jc w:val="left"/>
      </w:pPr>
      <w:r>
        <w:rPr/>
        <w:t>确定公司是代理人还是委托人的依据： 其他说明：</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bookmarkStart w:name="（2）重要的非全资子公司" w:id="355"/>
      <w:bookmarkEnd w:id="35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3）重要非全资子公司的主要财务信息" w:id="356"/>
      <w:bookmarkEnd w:id="35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使用企业集团资产和清偿企业集团债务的重大限制" w:id="357"/>
      <w:bookmarkEnd w:id="35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向纳入合并财务报表范围的结构化主体提供的财务支持或其他支持" w:id="358"/>
      <w:bookmarkEnd w:id="35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在子公司的所有者权益份额发生变化且仍控制子公司的交易" w:id="359"/>
      <w:bookmarkEnd w:id="35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在子公司所有者权益份额发生变化的情况说明" w:id="360"/>
      <w:bookmarkEnd w:id="36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交易对于少数股东权益及归属于母公司所有者权益的影响" w:id="361"/>
      <w:bookmarkEnd w:id="36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在合营安排或联营企业中的权益" w:id="362"/>
      <w:bookmarkEnd w:id="36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重要的合营企业或联营企业" w:id="363"/>
      <w:bookmarkEnd w:id="36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北京考拉昆略互 联网产业投资基 金（有限合伙）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非证券业务的投 资、投资管理、 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37.90%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33"/>
        <w:jc w:val="left"/>
      </w:pPr>
      <w:r>
        <w:rPr/>
        <w:t>在合营企业或联营企业的持股比例不同于表决权比例的说明：</w:t>
      </w:r>
    </w:p>
    <w:p>
      <w:pPr>
        <w:pStyle w:val="BodyText"/>
        <w:spacing w:line="240" w:lineRule="auto" w:before="115"/>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重要合营企业的主要财务信息" w:id="364"/>
      <w:bookmarkEnd w:id="36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重要联营企业的主要财务信息" w:id="365"/>
      <w:bookmarkEnd w:id="36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93"/>
      </w:tblGrid>
      <w:tr>
        <w:trPr>
          <w:trHeight w:val="404"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产业基金</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产业基金</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160,926,023.43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214,762,455.77</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669,095,213.89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654,699,414.91</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830,021,237.32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869,461,870.68</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223,395.60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122,260.00</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223,395.60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122,260.00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829,797,841.72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869,339,610.68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314,493,382.01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329,479,712.44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4,013,501.89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4,013,501.89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4,013,501.89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4,013,501.89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318,506,883.90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333,493,214.33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-39,541,768.96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-54,224,010.42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-39,541,768.96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-54,224,010.42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不重要的合营企业和联营企业的汇总财务信息" w:id="366"/>
      <w:bookmarkEnd w:id="36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142,727,863.69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28,108,674.01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-3,860,810.32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-5,234,353.95</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-3,860,810.32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-5,234,353.95</w:t>
            </w:r>
          </w:p>
        </w:tc>
      </w:tr>
    </w:tbl>
    <w:p>
      <w:pPr>
        <w:pStyle w:val="BodyText"/>
        <w:spacing w:line="240" w:lineRule="auto" w:before="49"/>
        <w:ind w:right="1133"/>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十、与金融工具相关的风险" w:id="367"/>
      <w:bookmarkEnd w:id="367"/>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3" w:firstLine="360"/>
        <w:jc w:val="both"/>
      </w:pPr>
      <w:r>
        <w:rPr>
          <w:spacing w:val="-4"/>
        </w:rPr>
        <w:t>本公司从事风险管理的目标是在风险和收益之间取得平衡，将风险对经营业绩的负面影响降至最低，使股东权益最大化。</w:t>
      </w:r>
      <w:r>
        <w:rPr/>
        <w:t> </w:t>
      </w:r>
      <w:r>
        <w:rPr>
          <w:spacing w:val="-4"/>
        </w:rPr>
        <w:t>基于该风险管理目标，本公司风险管理的基本策略是确认和分析面临的各种风险，建立适当的风险承受底线和进行风险管理，</w:t>
      </w:r>
      <w:r>
        <w:rPr>
          <w:spacing w:val="-44"/>
        </w:rPr>
        <w:t> </w:t>
      </w:r>
      <w:r>
        <w:rPr>
          <w:spacing w:val="-44"/>
        </w:rPr>
      </w:r>
      <w:r>
        <w:rPr/>
        <w:t>并及时可靠地对各种风险进行监督，将风险控制在限定范围内。</w:t>
      </w:r>
    </w:p>
    <w:p>
      <w:pPr>
        <w:pStyle w:val="BodyText"/>
        <w:spacing w:line="240" w:lineRule="auto" w:before="19"/>
        <w:ind w:left="513" w:right="1133"/>
        <w:jc w:val="left"/>
      </w:pPr>
      <w:r>
        <w:rPr/>
        <w:t>本公司在日常活动中面临各种与金融工具相关的风险，主要包括信用风险、市场风险、流动风险。</w:t>
      </w:r>
    </w:p>
    <w:p>
      <w:pPr>
        <w:spacing w:line="240" w:lineRule="auto" w:before="0"/>
        <w:rPr>
          <w:rFonts w:ascii="宋体" w:hAnsi="宋体" w:cs="宋体" w:eastAsia="宋体" w:hint="default"/>
          <w:sz w:val="18"/>
          <w:szCs w:val="18"/>
        </w:rPr>
      </w:pPr>
    </w:p>
    <w:p>
      <w:pPr>
        <w:pStyle w:val="BodyText"/>
        <w:spacing w:line="300" w:lineRule="auto" w:before="153"/>
        <w:ind w:left="513" w:right="1119" w:hanging="53"/>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信用风险是指金融工具的一方不履行义务，造成另一方发生财务损失的风险。本公司的信用风险主要来自应收款项。为</w:t>
      </w:r>
    </w:p>
    <w:p>
      <w:pPr>
        <w:pStyle w:val="BodyText"/>
        <w:spacing w:line="240" w:lineRule="auto" w:before="32"/>
        <w:ind w:right="1133"/>
        <w:jc w:val="left"/>
      </w:pPr>
      <w:r>
        <w:rPr/>
        <w:t>控制信用风险，本公司分别采取了以下措施。</w:t>
      </w:r>
    </w:p>
    <w:p>
      <w:pPr>
        <w:pStyle w:val="BodyText"/>
        <w:spacing w:line="300" w:lineRule="auto" w:before="76"/>
        <w:ind w:left="513" w:right="11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应收账款 </w:t>
      </w:r>
      <w:r>
        <w:rPr>
          <w:spacing w:val="-2"/>
        </w:rPr>
        <w:t>本公司定期或不定期对采用信用方式交易的客户进行信用评估。根据信用评估结果，本公司选择与经认可的且信用良好</w:t>
      </w:r>
    </w:p>
    <w:p>
      <w:pPr>
        <w:pStyle w:val="BodyText"/>
        <w:spacing w:line="240" w:lineRule="auto" w:before="31"/>
        <w:ind w:right="1133"/>
        <w:jc w:val="left"/>
      </w:pPr>
      <w:r>
        <w:rPr/>
        <w:t>的客户进行交易；公司按月进行应收款检视，严控回款周期，以确保不会面临重大坏账风险。</w:t>
      </w:r>
    </w:p>
    <w:p>
      <w:pPr>
        <w:pStyle w:val="BodyText"/>
        <w:spacing w:line="300" w:lineRule="auto" w:before="76"/>
        <w:ind w:left="513" w:right="1119"/>
        <w:jc w:val="left"/>
      </w:pPr>
      <w:r>
        <w:rPr>
          <w:rFonts w:ascii="Times New Roman" w:hAnsi="Times New Roman" w:cs="Times New Roman" w:eastAsia="Times New Roman" w:hint="default"/>
        </w:rPr>
        <w:t>2.</w:t>
      </w:r>
      <w:r>
        <w:rPr/>
        <w:t>其他应收款 </w:t>
      </w:r>
      <w:r>
        <w:rPr>
          <w:spacing w:val="-2"/>
        </w:rPr>
        <w:t>其他应收款主要系应收押金保证金等，公司对此等款项与相关经济业务一并管理并持续监控，以确保不致面临重大坏账</w:t>
      </w:r>
    </w:p>
    <w:p>
      <w:pPr>
        <w:pStyle w:val="BodyText"/>
        <w:spacing w:line="240" w:lineRule="auto" w:before="31"/>
        <w:ind w:right="1133"/>
        <w:jc w:val="left"/>
      </w:pPr>
      <w:r>
        <w:rPr/>
        <w:t>风险。</w:t>
      </w:r>
    </w:p>
    <w:p>
      <w:pPr>
        <w:spacing w:line="240" w:lineRule="auto" w:before="0"/>
        <w:rPr>
          <w:rFonts w:ascii="宋体" w:hAnsi="宋体" w:cs="宋体" w:eastAsia="宋体" w:hint="default"/>
          <w:sz w:val="18"/>
          <w:szCs w:val="18"/>
        </w:rPr>
      </w:pPr>
    </w:p>
    <w:p>
      <w:pPr>
        <w:pStyle w:val="Heading5"/>
        <w:spacing w:line="240" w:lineRule="auto" w:before="153"/>
        <w:ind w:left="460" w:right="1133"/>
        <w:jc w:val="left"/>
        <w:rPr>
          <w:b w:val="0"/>
          <w:bCs w:val="0"/>
        </w:rPr>
      </w:pPr>
      <w:r>
        <w:rPr>
          <w:rFonts w:ascii="Times New Roman" w:hAnsi="Times New Roman" w:cs="Times New Roman" w:eastAsia="Times New Roman" w:hint="default"/>
        </w:rPr>
        <w:t>2.</w:t>
      </w:r>
      <w:r>
        <w:rPr/>
        <w:t>市场风险</w:t>
      </w:r>
      <w:r>
        <w:rPr>
          <w:b w:val="0"/>
          <w:bCs w:val="0"/>
        </w:rPr>
      </w:r>
    </w:p>
    <w:p>
      <w:pPr>
        <w:spacing w:after="0" w:line="240" w:lineRule="auto"/>
        <w:jc w:val="left"/>
        <w:sectPr>
          <w:pgSz w:w="11910" w:h="16840"/>
          <w:pgMar w:header="877"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right="1119" w:firstLine="360"/>
        <w:jc w:val="left"/>
      </w:pPr>
      <w:r>
        <w:rPr>
          <w:spacing w:val="-2"/>
        </w:rPr>
        <w:t>金融工具的市场风险，是指金融工具的公允价值或未来现金流量因市场价格变动而发生波动的风险，包括利率风险和其</w:t>
      </w:r>
      <w:r>
        <w:rPr/>
        <w:t> 他价格风险。</w:t>
      </w:r>
    </w:p>
    <w:p>
      <w:pPr>
        <w:pStyle w:val="BodyText"/>
        <w:spacing w:line="300" w:lineRule="auto" w:before="17"/>
        <w:ind w:left="513" w:right="3373"/>
        <w:jc w:val="left"/>
      </w:pPr>
      <w:r>
        <w:rPr/>
        <w:t>（</w:t>
      </w:r>
      <w:r>
        <w:rPr>
          <w:rFonts w:ascii="Times New Roman" w:hAnsi="Times New Roman" w:cs="Times New Roman" w:eastAsia="Times New Roman" w:hint="default"/>
        </w:rPr>
        <w:t>1</w:t>
      </w:r>
      <w:r>
        <w:rPr/>
        <w:t>）利率风险 利率风险，是指金融工具的公允价值或未来现金流量因市场利率变动而发生波动的风险。</w:t>
      </w:r>
    </w:p>
    <w:p>
      <w:pPr>
        <w:pStyle w:val="BodyText"/>
        <w:spacing w:line="300" w:lineRule="auto" w:before="31"/>
        <w:ind w:left="460" w:right="2473" w:firstLine="52"/>
        <w:jc w:val="left"/>
      </w:pPr>
      <w:r>
        <w:rPr/>
        <w:t>（</w:t>
      </w:r>
      <w:r>
        <w:rPr>
          <w:rFonts w:ascii="Times New Roman" w:hAnsi="Times New Roman" w:cs="Times New Roman" w:eastAsia="Times New Roman" w:hint="default"/>
        </w:rPr>
        <w:t>2</w:t>
      </w:r>
      <w:r>
        <w:rPr/>
        <w:t>）其他价格风险 公司谨慎判断权益投资可能存在的价格风险，区别不同情况，采取相应的应对措施。</w:t>
      </w:r>
    </w:p>
    <w:p>
      <w:pPr>
        <w:spacing w:line="240" w:lineRule="auto" w:before="3"/>
        <w:rPr>
          <w:rFonts w:ascii="宋体" w:hAnsi="宋体" w:cs="宋体" w:eastAsia="宋体" w:hint="default"/>
          <w:sz w:val="26"/>
          <w:szCs w:val="26"/>
        </w:rPr>
      </w:pPr>
    </w:p>
    <w:p>
      <w:pPr>
        <w:pStyle w:val="BodyText"/>
        <w:spacing w:line="300" w:lineRule="auto"/>
        <w:ind w:left="513" w:right="1119" w:hanging="53"/>
        <w:jc w:val="left"/>
      </w:pP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b/>
          <w:bCs/>
          <w:w w:val="99"/>
        </w:rPr>
        <w:t> </w:t>
      </w:r>
      <w:r>
        <w:rPr>
          <w:spacing w:val="-2"/>
        </w:rPr>
        <w:t>流动风险，是指企业在履行以交付现金或其他金融资产的方式结算的义务时发生资金短缺的风险。公司的策略是确保拥</w:t>
      </w:r>
    </w:p>
    <w:p>
      <w:pPr>
        <w:pStyle w:val="BodyText"/>
        <w:spacing w:line="300" w:lineRule="auto" w:before="31"/>
        <w:ind w:right="1124"/>
        <w:jc w:val="left"/>
      </w:pPr>
      <w:r>
        <w:rPr/>
        <w:t>有充足的现金以偿还到期债务。流动性风险由本公司的财务部门集中控制。财务部门通过监控现金余额与对未来</w:t>
      </w:r>
      <w:r>
        <w:rPr>
          <w:rFonts w:ascii="Times New Roman" w:hAnsi="Times New Roman" w:cs="Times New Roman" w:eastAsia="Times New Roman" w:hint="default"/>
        </w:rPr>
        <w:t>6</w:t>
      </w:r>
      <w:r>
        <w:rPr/>
        <w:t>个月现金</w:t>
      </w:r>
      <w:r>
        <w:rPr>
          <w:spacing w:val="-82"/>
        </w:rPr>
        <w:t> </w:t>
      </w:r>
      <w:r>
        <w:rPr/>
        <w:t>流量的滚动预测，确保公司在所有合理预测的情况下拥有充足的资金保证。</w:t>
      </w:r>
    </w:p>
    <w:p>
      <w:pPr>
        <w:spacing w:line="240" w:lineRule="auto" w:before="4"/>
        <w:rPr>
          <w:rFonts w:ascii="宋体" w:hAnsi="宋体" w:cs="宋体" w:eastAsia="宋体" w:hint="default"/>
          <w:sz w:val="26"/>
          <w:szCs w:val="26"/>
        </w:rPr>
      </w:pPr>
    </w:p>
    <w:p>
      <w:pPr>
        <w:pStyle w:val="BodyText"/>
        <w:spacing w:line="240" w:lineRule="auto"/>
        <w:ind w:left="513" w:right="1133"/>
        <w:jc w:val="left"/>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37"/>
        <w:gridCol w:w="1556"/>
        <w:gridCol w:w="1387"/>
        <w:gridCol w:w="1359"/>
        <w:gridCol w:w="1342"/>
        <w:gridCol w:w="1601"/>
      </w:tblGrid>
      <w:tr>
        <w:trPr>
          <w:trHeight w:val="348" w:hRule="exact"/>
        </w:trPr>
        <w:tc>
          <w:tcPr>
            <w:tcW w:w="1937"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724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6" w:hRule="exact"/>
        </w:trPr>
        <w:tc>
          <w:tcPr>
            <w:tcW w:w="1937" w:type="dxa"/>
            <w:vMerge/>
            <w:tcBorders>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2" w:right="0"/>
              <w:jc w:val="left"/>
              <w:rPr>
                <w:rFonts w:ascii="Times New Roman" w:hAnsi="Times New Roman" w:cs="Times New Roman" w:eastAsia="Times New Roman" w:hint="default"/>
                <w:sz w:val="18"/>
                <w:szCs w:val="18"/>
              </w:rPr>
            </w:pPr>
            <w:r>
              <w:rPr>
                <w:rFonts w:ascii="Times New Roman"/>
                <w:sz w:val="18"/>
              </w:rPr>
              <w:t>489,410,133.10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36" w:right="0"/>
              <w:jc w:val="left"/>
              <w:rPr>
                <w:rFonts w:ascii="Times New Roman" w:hAnsi="Times New Roman" w:cs="Times New Roman" w:eastAsia="Times New Roman" w:hint="default"/>
                <w:sz w:val="18"/>
                <w:szCs w:val="18"/>
              </w:rPr>
            </w:pPr>
            <w:r>
              <w:rPr>
                <w:rFonts w:ascii="Times New Roman"/>
                <w:sz w:val="18"/>
              </w:rPr>
              <w:t>20,561,240.69</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98" w:right="-1"/>
              <w:jc w:val="left"/>
              <w:rPr>
                <w:rFonts w:ascii="Times New Roman" w:hAnsi="Times New Roman" w:cs="Times New Roman" w:eastAsia="Times New Roman" w:hint="default"/>
                <w:sz w:val="18"/>
                <w:szCs w:val="18"/>
              </w:rPr>
            </w:pPr>
            <w:r>
              <w:rPr>
                <w:rFonts w:ascii="Times New Roman"/>
                <w:sz w:val="18"/>
              </w:rPr>
              <w:t>2,228,537.76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81" w:right="-1"/>
              <w:jc w:val="left"/>
              <w:rPr>
                <w:rFonts w:ascii="Times New Roman" w:hAnsi="Times New Roman" w:cs="Times New Roman" w:eastAsia="Times New Roman" w:hint="default"/>
                <w:sz w:val="18"/>
                <w:szCs w:val="18"/>
              </w:rPr>
            </w:pPr>
            <w:r>
              <w:rPr>
                <w:rFonts w:ascii="Times New Roman"/>
                <w:sz w:val="18"/>
              </w:rPr>
              <w:t>2,112,063.14</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1" w:right="0"/>
              <w:jc w:val="left"/>
              <w:rPr>
                <w:rFonts w:ascii="Times New Roman" w:hAnsi="Times New Roman" w:cs="Times New Roman" w:eastAsia="Times New Roman" w:hint="default"/>
                <w:sz w:val="18"/>
                <w:szCs w:val="18"/>
              </w:rPr>
            </w:pPr>
            <w:r>
              <w:rPr>
                <w:rFonts w:ascii="Times New Roman"/>
                <w:sz w:val="18"/>
              </w:rPr>
              <w:t>514,311,974.69</w:t>
            </w:r>
          </w:p>
        </w:tc>
      </w:tr>
    </w:tbl>
    <w:p>
      <w:pPr>
        <w:pStyle w:val="BodyText"/>
        <w:spacing w:line="300" w:lineRule="auto" w:before="8"/>
        <w:ind w:left="513" w:right="0" w:firstLine="24"/>
        <w:jc w:val="left"/>
      </w:pPr>
      <w:r>
        <w:rPr>
          <w:rFonts w:ascii="Times New Roman" w:hAnsi="Times New Roman" w:cs="Times New Roman" w:eastAsia="Times New Roman" w:hint="default"/>
          <w:b/>
          <w:bCs/>
        </w:rPr>
        <w:t>4.</w:t>
      </w:r>
      <w:r>
        <w:rPr>
          <w:rFonts w:ascii="宋体" w:hAnsi="宋体" w:cs="宋体" w:eastAsia="宋体" w:hint="default"/>
          <w:b/>
          <w:bCs/>
        </w:rPr>
        <w:t>客户备付金监管风险</w:t>
      </w:r>
      <w:r>
        <w:rPr>
          <w:rFonts w:ascii="宋体" w:hAnsi="宋体" w:cs="宋体" w:eastAsia="宋体" w:hint="default"/>
          <w:b/>
          <w:bCs/>
          <w:w w:val="99"/>
        </w:rPr>
        <w:t> </w:t>
      </w:r>
      <w:r>
        <w:rPr>
          <w:spacing w:val="-2"/>
        </w:rPr>
        <w:t>客户备付金是支付机构为办理客户委托的支付业务而实际收到的预收待付货币资金。资金必须全额缴存至支付机构在备</w:t>
      </w:r>
    </w:p>
    <w:p>
      <w:pPr>
        <w:pStyle w:val="BodyText"/>
        <w:spacing w:line="316" w:lineRule="auto" w:before="31"/>
        <w:ind w:right="1129"/>
        <w:jc w:val="both"/>
      </w:pPr>
      <w:r>
        <w:rPr>
          <w:spacing w:val="-2"/>
        </w:rPr>
        <w:t>付金开立的备付金专用存款账户，只能用于办理客户委托的支付业务和其他监管规定的情形。资金的使用和安全受到中国人</w:t>
      </w:r>
      <w:r>
        <w:rPr>
          <w:spacing w:val="-64"/>
        </w:rPr>
        <w:t> </w:t>
      </w:r>
      <w:r>
        <w:rPr>
          <w:spacing w:val="-64"/>
        </w:rPr>
      </w:r>
      <w:r>
        <w:rPr>
          <w:spacing w:val="-2"/>
        </w:rPr>
        <w:t>民银行及分支机构严格监管，监管手段不局限于备付金存管系统的存管银行、支付机构和人行三方间数据对接和相互核对校</w:t>
      </w:r>
      <w:r>
        <w:rPr>
          <w:spacing w:val="-64"/>
        </w:rPr>
        <w:t> </w:t>
      </w:r>
      <w:r>
        <w:rPr>
          <w:spacing w:val="-64"/>
        </w:rPr>
      </w:r>
      <w:r>
        <w:rPr>
          <w:spacing w:val="-2"/>
        </w:rPr>
        <w:t>验，现场和非现场检查等。本公司严格按照《非金融机构支付服务管理办法》和《支付机构客户备付金存管办法》的规定执</w:t>
      </w:r>
      <w:r>
        <w:rPr>
          <w:spacing w:val="-68"/>
        </w:rPr>
        <w:t> </w:t>
      </w:r>
      <w:r>
        <w:rPr>
          <w:spacing w:val="-68"/>
        </w:rPr>
      </w:r>
      <w:r>
        <w:rPr>
          <w:spacing w:val="-2"/>
        </w:rPr>
        <w:t>行，制定相关执行制度和操作规范，上线监管系统和资金风控系统。客户备付金由本公司的清结算部独立集中运营管理，下</w:t>
      </w:r>
      <w:r>
        <w:rPr>
          <w:spacing w:val="-64"/>
        </w:rPr>
        <w:t> </w:t>
      </w:r>
      <w:r>
        <w:rPr>
          <w:spacing w:val="-64"/>
        </w:rPr>
      </w:r>
      <w:r>
        <w:rPr>
          <w:spacing w:val="-2"/>
        </w:rPr>
        <w:t>设各类风险隔离、相互监控的岗位、逐级审批流程和定期检查机制。对于各类违规使用备付金情形，中国人民银行及其分支</w:t>
      </w:r>
      <w:r>
        <w:rPr>
          <w:spacing w:val="-63"/>
        </w:rPr>
        <w:t> </w:t>
      </w:r>
      <w:r>
        <w:rPr>
          <w:spacing w:val="-63"/>
        </w:rPr>
      </w:r>
      <w:r>
        <w:rPr/>
        <w:t>机构将依据《非金融机构支付服务管理办法》的相关规定进行处罚。</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0"/>
        <w:jc w:val="both"/>
        <w:rPr>
          <w:b w:val="0"/>
          <w:bCs w:val="0"/>
        </w:rPr>
      </w:pPr>
      <w:bookmarkStart w:name="十一、关联方及关联交易" w:id="368"/>
      <w:bookmarkEnd w:id="368"/>
      <w:r>
        <w:rPr>
          <w:b w:val="0"/>
          <w:bCs w:val="0"/>
        </w:rPr>
      </w: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本企业的母公司情况" w:id="369"/>
      <w:bookmarkEnd w:id="36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8594"/>
        <w:jc w:val="left"/>
      </w:pPr>
      <w:r>
        <w:rPr/>
        <w:t>本企业的母公司情况的说明 本企业最终控制方是。 其他说明：</w:t>
      </w:r>
    </w:p>
    <w:p>
      <w:pPr>
        <w:pStyle w:val="BodyText"/>
        <w:spacing w:line="316" w:lineRule="auto" w:before="26"/>
        <w:ind w:right="8954"/>
        <w:jc w:val="left"/>
      </w:pPr>
      <w:r>
        <w:rPr/>
        <w:t>本企业无实际控制人。 本企业股东情况说明：</w:t>
      </w:r>
    </w:p>
    <w:p>
      <w:pPr>
        <w:spacing w:line="240" w:lineRule="auto" w:before="9"/>
        <w:rPr>
          <w:rFonts w:ascii="宋体" w:hAnsi="宋体" w:cs="宋体" w:eastAsia="宋体" w:hint="default"/>
          <w:sz w:val="24"/>
          <w:szCs w:val="24"/>
        </w:rPr>
      </w:pPr>
    </w:p>
    <w:tbl>
      <w:tblPr>
        <w:tblW w:w="0" w:type="auto"/>
        <w:jc w:val="left"/>
        <w:tblInd w:w="573" w:type="dxa"/>
        <w:tblLayout w:type="fixed"/>
        <w:tblCellMar>
          <w:top w:w="0" w:type="dxa"/>
          <w:left w:w="0" w:type="dxa"/>
          <w:bottom w:w="0" w:type="dxa"/>
          <w:right w:w="0" w:type="dxa"/>
        </w:tblCellMar>
        <w:tblLook w:val="01E0"/>
      </w:tblPr>
      <w:tblGrid>
        <w:gridCol w:w="5103"/>
        <w:gridCol w:w="1982"/>
        <w:gridCol w:w="1561"/>
      </w:tblGrid>
      <w:tr>
        <w:trPr>
          <w:trHeight w:val="348"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投资人名称</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4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联想控股股份有限公司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28.244</w:t>
            </w:r>
          </w:p>
        </w:tc>
      </w:tr>
      <w:tr>
        <w:trPr>
          <w:trHeight w:val="346"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6.906</w:t>
            </w:r>
          </w:p>
        </w:tc>
      </w:tr>
      <w:tr>
        <w:trPr>
          <w:trHeight w:val="348"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孙浩然</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4.854</w:t>
            </w:r>
          </w:p>
        </w:tc>
      </w:tr>
      <w:tr>
        <w:trPr>
          <w:trHeight w:val="348"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天津众英桥投资管理企业（有限合伙）</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3.303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573" w:type="dxa"/>
        <w:tblLayout w:type="fixed"/>
        <w:tblCellMar>
          <w:top w:w="0" w:type="dxa"/>
          <w:left w:w="0" w:type="dxa"/>
          <w:bottom w:w="0" w:type="dxa"/>
          <w:right w:w="0" w:type="dxa"/>
        </w:tblCellMar>
        <w:tblLook w:val="01E0"/>
      </w:tblPr>
      <w:tblGrid>
        <w:gridCol w:w="5103"/>
        <w:gridCol w:w="1982"/>
        <w:gridCol w:w="1561"/>
      </w:tblGrid>
      <w:tr>
        <w:trPr>
          <w:trHeight w:val="348"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达孜鹤鸣永创投资管理中心（有限合伙）</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5.018</w:t>
            </w:r>
          </w:p>
        </w:tc>
      </w:tr>
      <w:tr>
        <w:trPr>
          <w:trHeight w:val="346"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拉萨经济技术开发区台宝南山创业投资管理中心（有限合伙）</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3.687</w:t>
            </w:r>
          </w:p>
        </w:tc>
      </w:tr>
      <w:tr>
        <w:trPr>
          <w:trHeight w:val="348"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戴启军</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2.915</w:t>
            </w:r>
          </w:p>
        </w:tc>
      </w:tr>
      <w:tr>
        <w:trPr>
          <w:trHeight w:val="346"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达孜昆仑新正创业投资中心（有限合伙）</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3.606</w:t>
            </w:r>
          </w:p>
        </w:tc>
      </w:tr>
      <w:tr>
        <w:trPr>
          <w:trHeight w:val="348"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4.509</w:t>
            </w:r>
          </w:p>
        </w:tc>
      </w:tr>
      <w:tr>
        <w:trPr>
          <w:trHeight w:val="346"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北京海德润正投资有限公司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1.765</w:t>
            </w:r>
          </w:p>
        </w:tc>
      </w:tr>
      <w:tr>
        <w:trPr>
          <w:trHeight w:val="348"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徐氢</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1.62</w:t>
            </w:r>
          </w:p>
        </w:tc>
      </w:tr>
      <w:tr>
        <w:trPr>
          <w:trHeight w:val="348"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北京蓝色光标数据科技股份有限公司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1.55</w:t>
            </w:r>
          </w:p>
        </w:tc>
      </w:tr>
      <w:tr>
        <w:trPr>
          <w:trHeight w:val="346" w:hRule="exact"/>
        </w:trPr>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67.977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47" w:lineRule="auto" w:before="177"/>
        <w:ind w:left="152" w:right="4274" w:firstLine="0"/>
        <w:jc w:val="left"/>
        <w:rPr>
          <w:rFonts w:ascii="宋体" w:hAnsi="宋体" w:cs="宋体" w:eastAsia="宋体" w:hint="default"/>
          <w:sz w:val="21"/>
          <w:szCs w:val="21"/>
        </w:rPr>
      </w:pPr>
      <w:bookmarkStart w:name="2、本企业的子公司情况" w:id="370"/>
      <w:bookmarkEnd w:id="37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71"/>
      <w:bookmarkEnd w:id="37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6"/>
        <w:ind w:right="2294"/>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考拉征信服务有限公司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云码智能（深圳）科技有限公司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江苏千米网络科技股份有限公司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其他关联方情况" w:id="372"/>
      <w:bookmarkEnd w:id="37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北京拉卡拉小额贷款有限责任公司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受本公司主要投资者个人、关键管理人员施加重大影响的其 他企业</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广州拉卡拉网络小额贷款有限责任公司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受本公司主要投资者个人、关键管理人员施加重大影响的其 他企业</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拉卡拉科技发展有限公司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受本公司主要投资者个人、关键管理人员施加重大影响的其 他企业</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重庆市拉卡拉小额贷款有限责任公司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受本公司主要投资者个人、关键管理人员施加重大影响的其 他企业</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深圳众赢维融科技有限公司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受本公司主要投资者个人、关键管理人员施加重大影响的其 他企业</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昆仑天地科技发展有限公司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受本公司主要投资者个人、关键管理人员施加重大影响的其 他企业</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联想（天津）商业保理有限公司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上市公司根据实质重于形式的原则认定的，其他与公司有特 殊关系、可能造成公司对其有利益倾斜的法人或者其他组织</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北京今久广告传播有限责任公司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上市公司根据实质重于形式的原则认定的，其他与公司有特 殊关系、可能造成公司对其有利益倾斜的法人或者其他组织</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关联交易情况" w:id="373"/>
      <w:bookmarkEnd w:id="37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购销商品、提供和接受劳务的关联交易" w:id="374"/>
      <w:bookmarkEnd w:id="37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江苏千米网络科技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18,867,924.60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云码智能（深圳）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18,526,947.18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23,600,000.00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21,817,764.29</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云码智能（深圳）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471,698.10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包头农村商业银行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137,105.41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深圳众赢维融科技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64,872.63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123,766.04</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考拉征信服务有限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31,760.75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10,176,356.40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昆仑天地科技发展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14,524.19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181,520.00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北京云考拉信用管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2,760.75</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广州拉卡拉网络小额贷款有限 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60,453,303.08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8,068,255.69</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重庆市拉卡拉小额贷款有限责 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9,541,407.55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665,256.09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北京拉卡拉小额贷款有限责任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7,231,626.43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6,679,350.94</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包头农村商业银行股份有限公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413,566.14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1,983,350.25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包头农村商业银行股份有限公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136,984.47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考拉征信服务有限公司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4,463,207.47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拉卡拉科技发展有限公司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158,441.29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519,114.22</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联想控股股份有限公司及其控 制企业</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88,873.20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联想控股股份有限公司及其控 制企业</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1,147,252.99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深圳众赢维融科技有限公司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271,160.40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云码智能（深圳）科技有限公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44,585.40</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关联受托管理/承包及委托管理/出包情况" w:id="375"/>
      <w:bookmarkEnd w:id="37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pStyle w:val="BodyText"/>
        <w:spacing w:line="338"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33"/>
        <w:jc w:val="left"/>
      </w:pPr>
      <w:r>
        <w:rPr/>
        <w:t>关联管理</w:t>
      </w:r>
      <w:r>
        <w:rPr>
          <w:rFonts w:ascii="Times New Roman" w:hAnsi="Times New Roman" w:cs="Times New Roman" w:eastAsia="Times New Roman" w:hint="default"/>
        </w:rPr>
        <w:t>/</w:t>
      </w:r>
      <w:r>
        <w:rPr/>
        <w:t>出包情况说明</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关联租赁情况" w:id="376"/>
      <w:bookmarkEnd w:id="37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北京拉卡拉小额贷款有限责 任公司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20,517,114.53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15,315,715.55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考拉征信服务有限公司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793,791.07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2,233,173.01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云码智能（深圳）科技有限公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74,439.64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223,318.96</w:t>
            </w:r>
          </w:p>
        </w:tc>
      </w:tr>
    </w:tbl>
    <w:p>
      <w:pPr>
        <w:pStyle w:val="BodyText"/>
        <w:spacing w:line="240" w:lineRule="auto" w:before="49"/>
        <w:ind w:right="1133"/>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考拉征信服务有限公司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房租租赁</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8" w:right="0"/>
              <w:jc w:val="left"/>
              <w:rPr>
                <w:rFonts w:ascii="Times New Roman" w:hAnsi="Times New Roman" w:cs="Times New Roman" w:eastAsia="Times New Roman" w:hint="default"/>
                <w:sz w:val="18"/>
                <w:szCs w:val="18"/>
              </w:rPr>
            </w:pPr>
            <w:r>
              <w:rPr>
                <w:rFonts w:ascii="Times New Roman"/>
                <w:sz w:val="18"/>
              </w:rPr>
              <w:t>2,211,336.11</w:t>
            </w:r>
          </w:p>
        </w:tc>
      </w:tr>
    </w:tbl>
    <w:p>
      <w:pPr>
        <w:pStyle w:val="BodyText"/>
        <w:spacing w:line="240" w:lineRule="auto" w:before="49"/>
        <w:ind w:right="1133"/>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关联担保情况" w:id="377"/>
      <w:bookmarkEnd w:id="37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8"/>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关联方资金拆借" w:id="378"/>
      <w:bookmarkEnd w:id="37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联想（天津）商业保理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6）关联方资产转让、债务重组情况" w:id="379"/>
      <w:bookmarkEnd w:id="379"/>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关键管理人员报酬" w:id="380"/>
      <w:bookmarkEnd w:id="38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11,224,416.00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13,994,820.00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8）其他关联交易" w:id="381"/>
      <w:bookmarkEnd w:id="381"/>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2"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月，拉卡拉全资子公司北京腾祥商务服务有限公司与北京今久广告传播有限责任公司签订房屋买卖合同，房</w:t>
      </w:r>
      <w:r>
        <w:rPr/>
        <w:t> 屋转让价款上限</w:t>
      </w:r>
      <w:r>
        <w:rPr>
          <w:rFonts w:ascii="Times New Roman" w:hAnsi="Times New Roman" w:cs="Times New Roman" w:eastAsia="Times New Roman" w:hint="default"/>
        </w:rPr>
        <w:t>2,500.00</w:t>
      </w:r>
      <w:r>
        <w:rPr/>
        <w:t>万元，购置房屋用于办公使用，房屋位于北京市朝阳区崔各庄乡大望京村环境整治土地储备项目</w:t>
      </w:r>
      <w:r>
        <w:rPr>
          <w:spacing w:val="-19"/>
        </w:rPr>
        <w:t> </w:t>
      </w:r>
      <w:r>
        <w:rPr>
          <w:rFonts w:ascii="Times New Roman" w:hAnsi="Times New Roman" w:cs="Times New Roman" w:eastAsia="Times New Roman" w:hint="default"/>
        </w:rPr>
        <w:t>3</w:t>
      </w:r>
    </w:p>
    <w:p>
      <w:pPr>
        <w:pStyle w:val="BodyText"/>
        <w:spacing w:line="240" w:lineRule="auto" w:before="13"/>
        <w:ind w:right="1133"/>
        <w:jc w:val="left"/>
      </w:pPr>
      <w:r>
        <w:rPr/>
        <w:t>号地 </w:t>
      </w:r>
      <w:r>
        <w:rPr>
          <w:rFonts w:ascii="Times New Roman" w:hAnsi="Times New Roman" w:cs="Times New Roman" w:eastAsia="Times New Roman" w:hint="default"/>
        </w:rPr>
        <w:t>1008-627 </w:t>
      </w:r>
      <w:r>
        <w:rPr/>
        <w:t>地块商业金融项目用地四号商务办公楼（中国锦）</w:t>
      </w:r>
      <w:r>
        <w:rPr>
          <w:rFonts w:ascii="Times New Roman" w:hAnsi="Times New Roman" w:cs="Times New Roman" w:eastAsia="Times New Roman" w:hint="default"/>
        </w:rPr>
        <w:t>47 </w:t>
      </w:r>
      <w:r>
        <w:rPr/>
        <w:t>层 </w:t>
      </w:r>
      <w:r>
        <w:rPr>
          <w:rFonts w:ascii="Times New Roman" w:hAnsi="Times New Roman" w:cs="Times New Roman" w:eastAsia="Times New Roman" w:hint="default"/>
        </w:rPr>
        <w:t>4706</w:t>
      </w:r>
      <w:r>
        <w:rPr>
          <w:rFonts w:ascii="Times New Roman" w:hAnsi="Times New Roman" w:cs="Times New Roman" w:eastAsia="Times New Roman" w:hint="default"/>
          <w:spacing w:val="41"/>
        </w:rPr>
        <w:t> </w:t>
      </w:r>
      <w:r>
        <w:rPr/>
        <w:t>室，拉卡拉于</w:t>
      </w:r>
      <w:r>
        <w:rPr>
          <w:rFonts w:ascii="Times New Roman" w:hAnsi="Times New Roman" w:cs="Times New Roman" w:eastAsia="Times New Roman" w:hint="default"/>
        </w:rPr>
        <w:t>2019</w:t>
      </w:r>
      <w:r>
        <w:rPr/>
        <w:t>年度已支付购房款与契税</w:t>
      </w:r>
    </w:p>
    <w:p>
      <w:pPr>
        <w:pStyle w:val="BodyText"/>
        <w:spacing w:line="240" w:lineRule="auto" w:before="63"/>
        <w:ind w:right="1133"/>
        <w:jc w:val="left"/>
      </w:pPr>
      <w:r>
        <w:rPr>
          <w:rFonts w:ascii="Times New Roman" w:hAnsi="Times New Roman" w:cs="Times New Roman" w:eastAsia="Times New Roman" w:hint="default"/>
        </w:rPr>
        <w:t>2,266.00</w:t>
      </w:r>
      <w:r>
        <w:rPr/>
        <w:t>万元，并于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日办理完房屋产权变更。</w:t>
      </w:r>
    </w:p>
    <w:p>
      <w:pPr>
        <w:pStyle w:val="BodyText"/>
        <w:spacing w:line="240" w:lineRule="auto" w:before="63"/>
        <w:ind w:left="0" w:right="1037"/>
        <w:jc w:val="right"/>
      </w:pPr>
      <w:r>
        <w:rPr>
          <w:rFonts w:ascii="Times New Roman" w:hAnsi="Times New Roman" w:cs="Times New Roman" w:eastAsia="Times New Roman" w:hint="default"/>
          <w:spacing w:val="-3"/>
        </w:rPr>
        <w:t>2</w:t>
      </w: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日，拉卡拉在包头农村商业银行股份有限公司开立的一般存款账户银行存款余额</w:t>
      </w:r>
      <w:r>
        <w:rPr>
          <w:rFonts w:ascii="Times New Roman" w:hAnsi="Times New Roman" w:cs="Times New Roman" w:eastAsia="Times New Roman" w:hint="default"/>
          <w:spacing w:val="-3"/>
        </w:rPr>
        <w:t>212,527,968.34</w:t>
      </w:r>
      <w:r>
        <w:rPr>
          <w:spacing w:val="-3"/>
        </w:rPr>
        <w:t>元，</w:t>
      </w:r>
    </w:p>
    <w:p>
      <w:pPr>
        <w:pStyle w:val="BodyText"/>
        <w:spacing w:line="240" w:lineRule="auto" w:before="63"/>
        <w:ind w:right="1133"/>
        <w:jc w:val="left"/>
      </w:pPr>
      <w:r>
        <w:rPr>
          <w:rFonts w:ascii="Times New Roman" w:hAnsi="Times New Roman" w:cs="Times New Roman" w:eastAsia="Times New Roman" w:hint="default"/>
        </w:rPr>
        <w:t>2019</w:t>
      </w:r>
      <w:r>
        <w:rPr/>
        <w:t>年度实现利息收入</w:t>
      </w:r>
      <w:r>
        <w:rPr>
          <w:rFonts w:ascii="Times New Roman" w:hAnsi="Times New Roman" w:cs="Times New Roman" w:eastAsia="Times New Roman" w:hint="default"/>
        </w:rPr>
        <w:t>7,717,344.67</w:t>
      </w:r>
      <w:r>
        <w:rPr/>
        <w:t>元。</w:t>
      </w:r>
    </w:p>
    <w:p>
      <w:pPr>
        <w:pStyle w:val="BodyText"/>
        <w:spacing w:line="300" w:lineRule="auto" w:before="63"/>
        <w:ind w:right="1131"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月，拉卡拉与拉卡拉网络技术有限公司签署了《大树保险股权转让协议》，拉卡拉以</w:t>
      </w:r>
      <w:r>
        <w:rPr>
          <w:rFonts w:ascii="Times New Roman" w:hAnsi="Times New Roman" w:cs="Times New Roman" w:eastAsia="Times New Roman" w:hint="default"/>
        </w:rPr>
        <w:t>8,000.00</w:t>
      </w:r>
      <w:r>
        <w:rPr/>
        <w:t>万元的价格收 </w:t>
      </w:r>
      <w:r>
        <w:rPr>
          <w:spacing w:val="-1"/>
        </w:rPr>
        <w:t>购北京大树保险经纪有限责任公司</w:t>
      </w:r>
      <w:r>
        <w:rPr>
          <w:rFonts w:ascii="Times New Roman" w:hAnsi="Times New Roman" w:cs="Times New Roman" w:eastAsia="Times New Roman" w:hint="default"/>
          <w:spacing w:val="-1"/>
        </w:rPr>
        <w:t>100%</w:t>
      </w:r>
      <w:r>
        <w:rPr>
          <w:spacing w:val="-1"/>
        </w:rPr>
        <w:t>的股权，拉卡拉于</w:t>
      </w:r>
      <w:r>
        <w:rPr>
          <w:rFonts w:ascii="Times New Roman" w:hAnsi="Times New Roman" w:cs="Times New Roman" w:eastAsia="Times New Roman" w:hint="default"/>
          <w:spacing w:val="-1"/>
        </w:rPr>
        <w:t>2019</w:t>
      </w:r>
      <w:r>
        <w:rPr>
          <w:spacing w:val="-1"/>
        </w:rPr>
        <w:t>年度已支付收购价款</w:t>
      </w:r>
      <w:r>
        <w:rPr>
          <w:rFonts w:ascii="Times New Roman" w:hAnsi="Times New Roman" w:cs="Times New Roman" w:eastAsia="Times New Roman" w:hint="default"/>
          <w:spacing w:val="-1"/>
        </w:rPr>
        <w:t>8,000.00</w:t>
      </w:r>
      <w:r>
        <w:rPr>
          <w:spacing w:val="-1"/>
        </w:rPr>
        <w:t>万元，并于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日办理</w:t>
      </w:r>
      <w:r>
        <w:rPr>
          <w:spacing w:val="-86"/>
        </w:rPr>
        <w:t> </w:t>
      </w:r>
      <w:r>
        <w:rPr>
          <w:spacing w:val="-86"/>
        </w:rPr>
      </w:r>
      <w:r>
        <w:rPr/>
        <w:t>完成工商变更。</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bookmarkStart w:name="6、关联方应收应付款项" w:id="382"/>
      <w:bookmarkEnd w:id="38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项目" w:id="383"/>
      <w:bookmarkEnd w:id="38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北京拉卡拉小额贷 款有限公司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1,143,667.89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11,436.68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包头农村商业银行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371,544.52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3,715.45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广州拉卡拉网络小 额贷款有限责任公 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53,840.70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538.41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重庆拉卡拉小额贷 款有限责任公司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23,523.06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拉卡拉科技发展有 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9,790.45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97.90</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18"/>
              <w:jc w:val="left"/>
              <w:rPr>
                <w:rFonts w:ascii="宋体" w:hAnsi="宋体" w:cs="宋体" w:eastAsia="宋体" w:hint="default"/>
                <w:sz w:val="18"/>
                <w:szCs w:val="18"/>
              </w:rPr>
            </w:pPr>
            <w:r>
              <w:rPr>
                <w:rFonts w:ascii="宋体" w:hAnsi="宋体" w:cs="宋体" w:eastAsia="宋体" w:hint="default"/>
                <w:sz w:val="18"/>
                <w:szCs w:val="18"/>
              </w:rPr>
              <w:t>北京云考拉信息管 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2,239.25</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应付项目" w:id="384"/>
      <w:bookmarkEnd w:id="38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广州拉卡拉网络小额贷款有 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49,899,396.48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24,932,158.42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拉卡拉科技发展有限公司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33,389,573.42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重庆市拉卡拉小额贷款有限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20,804,774.12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50,980,833.49</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北京拉卡拉小额贷款有限责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17,137,102.52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27,891,370.07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拉卡拉电子商务有限公司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1,071,073.29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云码智能（深圳）科技有限公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1,468,790.00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2,876,364.25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包头农村商业银行股份有限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177,608.32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拉卡拉电子商务有限公司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132,727.31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考拉征信服务有限公司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214,082.82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昆仑天地科技发展有限公司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5,498.40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联想（天津）商业保理有限公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35,405,333.33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7、关联方承诺" w:id="385"/>
      <w:bookmarkEnd w:id="38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99" w:lineRule="auto" w:before="0"/>
        <w:ind w:left="152" w:right="8345" w:firstLine="0"/>
        <w:jc w:val="left"/>
        <w:rPr>
          <w:rFonts w:ascii="宋体" w:hAnsi="宋体" w:cs="宋体" w:eastAsia="宋体" w:hint="default"/>
          <w:sz w:val="18"/>
          <w:szCs w:val="18"/>
        </w:rPr>
      </w:pPr>
      <w:bookmarkStart w:name="8、其他" w:id="386"/>
      <w:bookmarkEnd w:id="38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承诺及或有事项" w:id="387"/>
      <w:bookmarkEnd w:id="387"/>
      <w:r>
        <w:rPr>
          <w:rFonts w:ascii="宋体" w:hAnsi="宋体" w:cs="宋体" w:eastAsia="宋体" w:hint="default"/>
          <w:b/>
          <w:bCs/>
          <w:w w:val="100"/>
          <w:sz w:val="21"/>
          <w:szCs w:val="21"/>
        </w:rPr>
      </w: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bookmarkStart w:name="1、重要承诺事项" w:id="388"/>
      <w:bookmarkEnd w:id="38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Heading4"/>
        <w:spacing w:line="240" w:lineRule="auto" w:before="161"/>
        <w:ind w:right="1133"/>
        <w:jc w:val="left"/>
        <w:rPr>
          <w:b w:val="0"/>
          <w:bCs w:val="0"/>
        </w:rPr>
      </w:pPr>
      <w:bookmarkStart w:name="2、或有事项" w:id="389"/>
      <w:bookmarkEnd w:id="38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资产负债表日存在的重要或有事项" w:id="390"/>
      <w:bookmarkEnd w:id="39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公司没有需要披露的重要或有事项，也应予以说明" w:id="391"/>
      <w:bookmarkEnd w:id="39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392"/>
      <w:bookmarkEnd w:id="39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资产负债表日后事项" w:id="393"/>
      <w:bookmarkEnd w:id="393"/>
      <w:r>
        <w:rPr>
          <w:rFonts w:ascii="宋体" w:hAnsi="宋体" w:cs="宋体" w:eastAsia="宋体" w:hint="default"/>
          <w:b/>
          <w:bCs/>
          <w:w w:val="100"/>
          <w:sz w:val="21"/>
          <w:szCs w:val="21"/>
        </w:rPr>
      </w: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1133"/>
        <w:jc w:val="left"/>
        <w:rPr>
          <w:b w:val="0"/>
          <w:bCs w:val="0"/>
        </w:rPr>
      </w:pPr>
      <w:bookmarkStart w:name="1、重要的非调整事项" w:id="394"/>
      <w:bookmarkEnd w:id="394"/>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209.177002pt;margin-top:55.671722pt;width:206.25pt;height:109.2pt;mso-position-horizontal-relative:page;mso-position-vertical-relative:paragraph;z-index:-10688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0" w:right="0" w:firstLine="902"/>
                    <w:jc w:val="left"/>
                  </w:pPr>
                  <w:r>
                    <w:rPr/>
                    <w:t>电商科技、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旅游等行业影响较大，</w:t>
                  </w:r>
                </w:p>
              </w:txbxContent>
            </v:textbox>
            <w10:wrap type="none"/>
          </v:shape>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715"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54" w:hRule="exact"/>
        </w:trPr>
        <w:tc>
          <w:tcPr>
            <w:tcW w:w="2494" w:type="dxa"/>
            <w:tcBorders>
              <w:top w:val="single" w:sz="4" w:space="0" w:color="000000"/>
              <w:left w:val="single" w:sz="4" w:space="0" w:color="000000"/>
              <w:bottom w:val="nil" w:sz="6" w:space="0" w:color="auto"/>
              <w:right w:val="single" w:sz="4" w:space="0" w:color="000000"/>
            </w:tcBorders>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公司主营业务主要为中小微</w:t>
            </w:r>
          </w:p>
        </w:tc>
        <w:tc>
          <w:tcPr>
            <w:tcW w:w="2391" w:type="dxa"/>
            <w:vMerge w:val="restart"/>
            <w:tcBorders>
              <w:top w:val="single" w:sz="4" w:space="0" w:color="000000"/>
              <w:left w:val="single" w:sz="4" w:space="0" w:color="000000"/>
              <w:right w:val="single" w:sz="4" w:space="0" w:color="000000"/>
            </w:tcBorders>
          </w:tcPr>
          <w:p>
            <w:pPr>
              <w:pStyle w:val="TableParagraph"/>
              <w:spacing w:line="2184" w:lineRule="exact"/>
              <w:ind w:left="2" w:right="-51"/>
              <w:jc w:val="left"/>
              <w:rPr>
                <w:rFonts w:ascii="宋体" w:hAnsi="宋体" w:cs="宋体" w:eastAsia="宋体" w:hint="default"/>
                <w:sz w:val="20"/>
                <w:szCs w:val="20"/>
              </w:rPr>
            </w:pPr>
            <w:r>
              <w:rPr>
                <w:rFonts w:ascii="宋体" w:hAnsi="宋体" w:cs="宋体" w:eastAsia="宋体" w:hint="default"/>
                <w:position w:val="-43"/>
                <w:sz w:val="20"/>
                <w:szCs w:val="20"/>
              </w:rPr>
              <w:pict>
                <v:group style="width:118.95pt;height:109.2pt;mso-position-horizontal-relative:char;mso-position-vertical-relative:line" coordorigin="0,0" coordsize="2379,2184">
                  <v:group style="position:absolute;left:0;top:0;width:2379;height:2184" coordorigin="0,0" coordsize="2379,2184">
                    <v:shape style="position:absolute;left:0;top:0;width:2379;height:2184" coordorigin="0,0" coordsize="2379,2184" path="m0,2184l2379,2184,2379,0,0,0,0,2184xe" filled="true" fillcolor="#ffffff" stroked="false">
                      <v:path arrowok="t"/>
                      <v:fill type="solid"/>
                    </v:shape>
                  </v:group>
                </v:group>
              </w:pict>
            </w:r>
            <w:r>
              <w:rPr>
                <w:rFonts w:ascii="宋体" w:hAnsi="宋体" w:cs="宋体" w:eastAsia="宋体" w:hint="default"/>
                <w:position w:val="-43"/>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tc>
        <w:tc>
          <w:tcPr>
            <w:tcW w:w="2391" w:type="dxa"/>
            <w:vMerge w:val="restart"/>
            <w:tcBorders>
              <w:top w:val="single" w:sz="4" w:space="0" w:color="000000"/>
              <w:left w:val="single" w:sz="4" w:space="0" w:color="000000"/>
              <w:right w:val="single" w:sz="4" w:space="0" w:color="000000"/>
            </w:tcBorders>
          </w:tcPr>
          <w:p>
            <w:pPr/>
          </w:p>
        </w:tc>
      </w:tr>
      <w:tr>
        <w:trPr>
          <w:trHeight w:val="311"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商户提供线上与线下的支付</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业务、金融科技、</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信息科技等服务。本次疫情</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短期内对国内餐饮、酒店、</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但公司服务的商户区域和行</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4" w:hRule="exact"/>
        </w:trPr>
        <w:tc>
          <w:tcPr>
            <w:tcW w:w="2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新型冠状病毒疫情影响</w:t>
            </w: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业分布广泛且规模巨大，上</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1"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述行业的商户交易量占比较</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小，预计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年一季度交易</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量与同期相比略有下滑，疫</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情结束后，公司交易量将回</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升，保持增长。此次疫情不</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会对公司的财务状况与经营</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60" w:hRule="exact"/>
        </w:trPr>
        <w:tc>
          <w:tcPr>
            <w:tcW w:w="2494" w:type="dxa"/>
            <w:tcBorders>
              <w:top w:val="nil" w:sz="6" w:space="0" w:color="auto"/>
              <w:left w:val="single" w:sz="4" w:space="0" w:color="000000"/>
              <w:bottom w:val="single" w:sz="4" w:space="0" w:color="000000"/>
              <w:right w:val="single" w:sz="4" w:space="0" w:color="000000"/>
            </w:tcBorders>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成果造成重大不利影响。</w:t>
            </w: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383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新设子公司</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月，公司投资设立 全资子公司广州拉卡拉普惠 融资担保有限责任公司，注 册资本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亿元、法定代表人 高铁兵、公司住所广州市天 河区华厦路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号雅居乐中心</w:t>
            </w:r>
          </w:p>
          <w:p>
            <w:pPr>
              <w:pStyle w:val="TableParagraph"/>
              <w:spacing w:line="314" w:lineRule="auto" w:before="3"/>
              <w:ind w:left="24" w:right="17"/>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日取得广州市天河区工商行 政管理局颁发的统一社会信 用代码为 </w:t>
            </w:r>
            <w:r>
              <w:rPr>
                <w:rFonts w:ascii="Times New Roman" w:hAnsi="Times New Roman" w:cs="Times New Roman" w:eastAsia="Times New Roman" w:hint="default"/>
                <w:sz w:val="18"/>
                <w:szCs w:val="18"/>
              </w:rPr>
              <w:t>91440101MA5D4DX800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营业</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执照。</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8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申请银行授信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7"/>
              <w:jc w:val="left"/>
              <w:rPr>
                <w:rFonts w:ascii="宋体" w:hAnsi="宋体" w:cs="宋体" w:eastAsia="宋体" w:hint="default"/>
                <w:sz w:val="18"/>
                <w:szCs w:val="18"/>
              </w:rPr>
            </w:pPr>
            <w:r>
              <w:rPr>
                <w:rFonts w:ascii="宋体" w:hAnsi="宋体" w:cs="宋体" w:eastAsia="宋体" w:hint="default"/>
                <w:sz w:val="18"/>
                <w:szCs w:val="18"/>
              </w:rPr>
              <w:t>根据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日召 开的第二届董事会第二十六 次会议审议通过《关于审议 公司向银行申请综合额度授 </w:t>
            </w:r>
            <w:r>
              <w:rPr>
                <w:rFonts w:ascii="宋体" w:hAnsi="宋体" w:cs="宋体" w:eastAsia="宋体" w:hint="default"/>
                <w:spacing w:val="-12"/>
                <w:sz w:val="18"/>
                <w:szCs w:val="18"/>
              </w:rPr>
              <w:t>信的议案》，公司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年拟</w:t>
            </w:r>
            <w:r>
              <w:rPr>
                <w:rFonts w:ascii="宋体" w:hAnsi="宋体" w:cs="宋体" w:eastAsia="宋体" w:hint="default"/>
                <w:spacing w:val="-88"/>
                <w:sz w:val="18"/>
                <w:szCs w:val="18"/>
              </w:rPr>
              <w:t> </w:t>
            </w:r>
            <w:r>
              <w:rPr>
                <w:rFonts w:ascii="宋体" w:hAnsi="宋体" w:cs="宋体" w:eastAsia="宋体" w:hint="default"/>
                <w:sz w:val="18"/>
                <w:szCs w:val="18"/>
              </w:rPr>
              <w:t>向银行等金融机构申请授信 额度为不超过人民币</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 或等值外币（包括但不限于 流动资金贷款、银行承兑汇 票、非融资性保函、国内信 用证、商票保贴等品种，在 不超过总授信额度范围内， 最终以各银行实际核准的信 </w:t>
            </w:r>
            <w:r>
              <w:rPr>
                <w:rFonts w:ascii="宋体" w:hAnsi="宋体" w:cs="宋体" w:eastAsia="宋体" w:hint="default"/>
                <w:spacing w:val="-9"/>
                <w:sz w:val="18"/>
                <w:szCs w:val="18"/>
              </w:rPr>
              <w:t>用额度为准），在此额度内由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公司根据实际资金需求进行 银行借贷。</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496"/>
        <w:gridCol w:w="2295"/>
        <w:gridCol w:w="2391"/>
        <w:gridCol w:w="2391"/>
      </w:tblGrid>
      <w:tr>
        <w:trPr>
          <w:trHeight w:val="602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根据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日召 开的第二届董事会第二十六 次会议审议通过《关于审议 收购广州众赢及深圳众赢两 家公司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股权既关联交 </w:t>
            </w:r>
            <w:r>
              <w:rPr>
                <w:rFonts w:ascii="宋体" w:hAnsi="宋体" w:cs="宋体" w:eastAsia="宋体" w:hint="default"/>
                <w:spacing w:val="-9"/>
                <w:sz w:val="18"/>
                <w:szCs w:val="18"/>
              </w:rPr>
              <w:t>易的议案》，公司拟使用自有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190,941.4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万元收 购关联方西藏考拉金科网络 科技服务有限公司持有的广 州众赢维融智能科技有限公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股权以及拟使用自 有资金人民币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20,746.8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收购关联方西藏考拉科技发 展有限公司、孙陶然、西藏 联投企慧企业管理有限公 司、非关联方西藏纳顺网络 科技合伙企业（有限合伙） 合计持有的深圳众赢维融科 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2、利润分配情况" w:id="395"/>
      <w:bookmarkEnd w:id="39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800,020,000.00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四、其他重要事项" w:id="396"/>
      <w:bookmarkEnd w:id="396"/>
      <w:r>
        <w:rPr>
          <w:b w:val="0"/>
          <w:bCs w:val="0"/>
        </w:rPr>
      </w: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前期会计差错更正" w:id="397"/>
      <w:bookmarkEnd w:id="397"/>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追溯重述法" w:id="398"/>
      <w:bookmarkEnd w:id="398"/>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未来适用法" w:id="399"/>
      <w:bookmarkEnd w:id="399"/>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33"/>
        <w:jc w:val="left"/>
        <w:rPr>
          <w:b w:val="0"/>
          <w:bCs w:val="0"/>
        </w:rPr>
      </w:pPr>
      <w:bookmarkStart w:name="2、债务重组" w:id="400"/>
      <w:bookmarkEnd w:id="40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3、资产置换" w:id="401"/>
      <w:bookmarkEnd w:id="40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非货币性资产交换" w:id="402"/>
      <w:bookmarkEnd w:id="402"/>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2）其他资产置换" w:id="403"/>
      <w:bookmarkEnd w:id="403"/>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年金计划" w:id="404"/>
      <w:bookmarkEnd w:id="404"/>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5、终止经营" w:id="405"/>
      <w:bookmarkEnd w:id="405"/>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分部信息" w:id="406"/>
      <w:bookmarkEnd w:id="406"/>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报告分部的确定依据与会计政策" w:id="407"/>
      <w:bookmarkEnd w:id="40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报告分部的财务信息" w:id="408"/>
      <w:bookmarkEnd w:id="40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公司无报告分部的，或者不能披露各报告分部的资产总额和负债总额的，应说明原因" w:id="409"/>
      <w:bookmarkEnd w:id="409"/>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其他说明" w:id="410"/>
      <w:bookmarkEnd w:id="410"/>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7、其他对投资者决策有影响的重要交易和事项" w:id="411"/>
      <w:bookmarkEnd w:id="411"/>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8、其他" w:id="412"/>
      <w:bookmarkEnd w:id="412"/>
      <w:r>
        <w:rPr>
          <w:b w:val="0"/>
          <w:bCs w:val="0"/>
        </w:rPr>
      </w: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pStyle w:val="Heading5"/>
        <w:spacing w:line="240" w:lineRule="auto"/>
        <w:ind w:right="1133"/>
        <w:jc w:val="left"/>
        <w:rPr>
          <w:b w:val="0"/>
          <w:bCs w:val="0"/>
        </w:rPr>
      </w:pPr>
      <w:r>
        <w:rPr/>
        <w:t>清算资金待结算款</w:t>
      </w:r>
      <w:r>
        <w:rPr>
          <w:b w:val="0"/>
          <w:bCs w:val="0"/>
        </w:rPr>
      </w:r>
    </w:p>
    <w:p>
      <w:pPr>
        <w:spacing w:line="240" w:lineRule="auto" w:before="1"/>
        <w:rPr>
          <w:rFonts w:ascii="宋体" w:hAnsi="宋体" w:cs="宋体" w:eastAsia="宋体" w:hint="default"/>
          <w:b/>
          <w:bCs/>
          <w:sz w:val="29"/>
          <w:szCs w:val="29"/>
        </w:rPr>
      </w:pPr>
    </w:p>
    <w:tbl>
      <w:tblPr>
        <w:tblW w:w="0" w:type="auto"/>
        <w:jc w:val="left"/>
        <w:tblInd w:w="145" w:type="dxa"/>
        <w:tblLayout w:type="fixed"/>
        <w:tblCellMar>
          <w:top w:w="0" w:type="dxa"/>
          <w:left w:w="0" w:type="dxa"/>
          <w:bottom w:w="0" w:type="dxa"/>
          <w:right w:w="0" w:type="dxa"/>
        </w:tblCellMar>
        <w:tblLook w:val="01E0"/>
      </w:tblPr>
      <w:tblGrid>
        <w:gridCol w:w="2172"/>
        <w:gridCol w:w="2770"/>
        <w:gridCol w:w="2771"/>
      </w:tblGrid>
      <w:tr>
        <w:trPr>
          <w:trHeight w:val="348"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待结算款</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1,922,374,345.48</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5,191,664,667.15</w:t>
            </w:r>
          </w:p>
        </w:tc>
      </w:tr>
      <w:tr>
        <w:trPr>
          <w:trHeight w:val="346"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待结算款</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1,922,374,345.48</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5,191,664,667.15</w:t>
            </w:r>
          </w:p>
        </w:tc>
      </w:tr>
    </w:tbl>
    <w:p>
      <w:pPr>
        <w:spacing w:line="240" w:lineRule="auto" w:before="1"/>
        <w:rPr>
          <w:rFonts w:ascii="宋体" w:hAnsi="宋体" w:cs="宋体" w:eastAsia="宋体" w:hint="default"/>
          <w:b/>
          <w:bCs/>
          <w:sz w:val="21"/>
          <w:szCs w:val="21"/>
        </w:rPr>
      </w:pPr>
    </w:p>
    <w:p>
      <w:pPr>
        <w:pStyle w:val="BodyText"/>
        <w:spacing w:line="300" w:lineRule="auto" w:before="44"/>
        <w:ind w:right="0" w:firstLine="300"/>
        <w:jc w:val="left"/>
      </w:pPr>
      <w:r>
        <w:rPr/>
        <w:t>注：</w:t>
      </w:r>
      <w:r>
        <w:rPr>
          <w:spacing w:val="-5"/>
        </w:rPr>
        <w:t> </w:t>
      </w:r>
      <w:r>
        <w:rPr>
          <w:spacing w:val="-2"/>
        </w:rPr>
        <w:t>应收、应付待结算款主要是按照银联的银行卡收单业务规则，</w:t>
      </w:r>
      <w:r>
        <w:rPr>
          <w:rFonts w:ascii="Times New Roman" w:hAnsi="Times New Roman" w:cs="Times New Roman" w:eastAsia="Times New Roman" w:hint="default"/>
          <w:spacing w:val="-2"/>
        </w:rPr>
        <w:t>T</w:t>
      </w:r>
      <w:r>
        <w:rPr>
          <w:spacing w:val="-2"/>
        </w:rPr>
        <w:t>日的收单交易统一在</w:t>
      </w:r>
      <w:r>
        <w:rPr>
          <w:rFonts w:ascii="Times New Roman" w:hAnsi="Times New Roman" w:cs="Times New Roman" w:eastAsia="Times New Roman" w:hint="default"/>
          <w:spacing w:val="-2"/>
        </w:rPr>
        <w:t>T+1</w:t>
      </w:r>
      <w:r>
        <w:rPr>
          <w:spacing w:val="-2"/>
        </w:rPr>
        <w:t>进行资金清算，为此</w:t>
      </w:r>
      <w:r>
        <w:rPr>
          <w:rFonts w:ascii="Times New Roman" w:hAnsi="Times New Roman" w:cs="Times New Roman" w:eastAsia="Times New Roman" w:hint="default"/>
          <w:spacing w:val="-2"/>
        </w:rPr>
        <w:t>T</w:t>
      </w:r>
      <w:r>
        <w:rPr>
          <w:spacing w:val="-2"/>
        </w:rPr>
        <w:t>日银</w:t>
      </w:r>
      <w:r>
        <w:rPr/>
        <w:t> </w:t>
      </w:r>
      <w:r>
        <w:rPr>
          <w:spacing w:val="-2"/>
        </w:rPr>
        <w:t>联也未清算给拉卡拉，拉卡拉也未结算给商户，未在资产负债表日体现应收、应付债权。拉卡拉内部为了业务清分和内部核</w:t>
      </w:r>
    </w:p>
    <w:p>
      <w:pPr>
        <w:spacing w:after="0" w:line="300" w:lineRule="auto"/>
        <w:jc w:val="left"/>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算等需要，核算了应收应付待结算款项。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pStyle w:val="Heading2"/>
        <w:spacing w:line="240" w:lineRule="auto"/>
        <w:ind w:right="1133"/>
        <w:jc w:val="left"/>
        <w:rPr>
          <w:b w:val="0"/>
          <w:bCs w:val="0"/>
        </w:rPr>
      </w:pPr>
      <w:bookmarkStart w:name="十五、母公司财务报表主要项目注释" w:id="413"/>
      <w:bookmarkEnd w:id="413"/>
      <w:r>
        <w:rPr>
          <w:b w:val="0"/>
          <w:bCs w:val="0"/>
        </w:rPr>
      </w: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 w:id="414"/>
      <w:bookmarkEnd w:id="41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分类披露" w:id="415"/>
      <w:bookmarkEnd w:id="41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80,715,1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36.16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1,077,49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79,637,64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5.35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46,522,59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680,734.7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45,841,858.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80,115,3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20.20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1,077,49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79,037,82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9.39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46,050,05</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4.18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98.98%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680,734.7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45,369,319.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、关联方组合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599,815.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599,815.9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472,538.9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472,538.96</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80,715,1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36.16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1,077,49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0.81</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79,637,64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5.35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46,522,59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680,734.7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45,841,858.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1,077,490.81</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77,223,756.93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772,237.57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1,995,512.00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99,775.60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484,590.52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72,688.58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364,706.57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46,754.18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23,377.09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80,115,320.20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1,077,490.81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357"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77,823,572.89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1,995,512.00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484,590.52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411,460.75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364,706.57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46,754.18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80,715,136.16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本期计提、收回或转回的坏账准备情况" w:id="416"/>
      <w:bookmarkEnd w:id="41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680,734.72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586,983.04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190,226.95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1,077,490.81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680,734.72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586,983.04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190,226.95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1,077,490.81</w:t>
            </w:r>
          </w:p>
        </w:tc>
      </w:tr>
    </w:tbl>
    <w:p>
      <w:pPr>
        <w:pStyle w:val="BodyText"/>
        <w:spacing w:line="240" w:lineRule="auto" w:before="49"/>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本期实际核销的应收账款情况" w:id="417"/>
      <w:bookmarkEnd w:id="41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190,226.95</w:t>
            </w:r>
          </w:p>
        </w:tc>
      </w:tr>
    </w:tbl>
    <w:p>
      <w:pPr>
        <w:pStyle w:val="BodyText"/>
        <w:spacing w:line="240" w:lineRule="auto" w:before="49"/>
        <w:ind w:right="1133"/>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按欠款方归集的期末余额前五名的应收账款情况" w:id="418"/>
      <w:bookmarkEnd w:id="41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33,485,760.00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334,857.60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4,709,202.67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47,092.03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3,768,539.63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37,685.40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3,097,187.87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30,971.88</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2,860,853.00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28,608.53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47,921,543.17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59.37%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因金融资产转移而终止确认的应收账款" w:id="419"/>
      <w:bookmarkEnd w:id="41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6）转移应收账款且继续涉入形成的资产、负债金额" w:id="420"/>
      <w:bookmarkEnd w:id="42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其他应收款" w:id="421"/>
      <w:bookmarkEnd w:id="42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352,455,229.95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289,881,351.44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352,455,229.95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289,881,351.44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其他应收款" w:id="422"/>
      <w:bookmarkEnd w:id="422"/>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其他应收款按款项性质分类情况" w:id="423"/>
      <w:bookmarkEnd w:id="42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押金、保证金与备用金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8,790,987.94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7,526,921.35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1,068,864.35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1,210,532.15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内部其他应收款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342,752,325.25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281,334,975.69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352,612,177.54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290,072,429.19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坏账准备计提情况" w:id="424"/>
      <w:bookmarkEnd w:id="42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7"/>
        <w:gridCol w:w="1651"/>
        <w:gridCol w:w="2098"/>
        <w:gridCol w:w="2101"/>
        <w:gridCol w:w="1805"/>
      </w:tblGrid>
      <w:tr>
        <w:trPr>
          <w:trHeight w:val="401" w:hRule="exact"/>
        </w:trPr>
        <w:tc>
          <w:tcPr>
            <w:tcW w:w="1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7" w:hRule="exact"/>
        </w:trPr>
        <w:tc>
          <w:tcPr>
            <w:tcW w:w="1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6" w:hRule="exact"/>
        </w:trPr>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4"/>
              <w:ind w:left="24"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17"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17"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33,871.39</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34,130.16</w:t>
            </w:r>
          </w:p>
        </w:tc>
      </w:tr>
      <w:tr>
        <w:trPr>
          <w:trHeight w:val="401"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33,871.39</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34,130.16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221,855,844.68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125,829,873.11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1,448,511.11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3,477,948.64</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1,188,262.64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244,301.00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2,045,385.00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352,612,177.54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收回或转回的坏账准备情况" w:id="425"/>
      <w:bookmarkEnd w:id="42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本期计提坏账准备情况：</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191,077.75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40,269.84</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74,400.00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156,947.59</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191,077.75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40,269.84</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74,400.00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156,947.59</w:t>
            </w:r>
          </w:p>
        </w:tc>
      </w:tr>
    </w:tbl>
    <w:p>
      <w:pPr>
        <w:pStyle w:val="BodyText"/>
        <w:spacing w:line="240" w:lineRule="auto" w:before="49"/>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本期实际核销的其他应收款情况" w:id="426"/>
      <w:bookmarkEnd w:id="42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实际核销的其他应收款项</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74,400.00</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1133"/>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按欠款方归集的期末余额前五名的其他应收款情况" w:id="427"/>
      <w:bookmarkEnd w:id="42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134,610,884.75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年以内、</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38.18%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54,141,440.50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年以内、</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344,252,325.25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97.63%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涉及政府补助的应收款项" w:id="428"/>
      <w:bookmarkEnd w:id="42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7）因金融资产转移而终止确认的其他应收款" w:id="429"/>
      <w:bookmarkEnd w:id="42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8）转移其他应收款且继续涉入形成的资产、负债金额" w:id="430"/>
      <w:bookmarkEnd w:id="43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长期股权投资" w:id="431"/>
      <w:bookmarkEnd w:id="43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1,476,903,885.00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1,476,903,885.00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1,001,976,000.00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1,001,976,000.00</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629,368,003.47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629,368,003.47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530,165,614.35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530,165,614.35</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2,106,271,888.47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2,106,271,888.47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1,532,141,614.35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1,532,141,614.35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对子公司投资" w:id="432"/>
      <w:bookmarkEnd w:id="43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北京拉卡拉资 产管理有限公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拉卡拉云商科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拉卡拉云商网 络有限公司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达孜弘诚科技 发展有限公司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北京拉卡拉云 闪科技有限公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海南云商互联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拉卡拉信息科 </w:t>
            </w:r>
            <w:r>
              <w:rPr>
                <w:rFonts w:ascii="宋体" w:hAnsi="宋体" w:cs="宋体" w:eastAsia="宋体" w:hint="default"/>
                <w:spacing w:val="-7"/>
                <w:sz w:val="18"/>
                <w:szCs w:val="18"/>
              </w:rPr>
              <w:t>技（上海）有限</w:t>
            </w:r>
            <w:r>
              <w:rPr>
                <w:rFonts w:ascii="宋体" w:hAnsi="宋体" w:cs="宋体" w:eastAsia="宋体" w:hint="default"/>
                <w:sz w:val="18"/>
                <w:szCs w:val="18"/>
              </w:rPr>
              <w:t>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21,876,000.00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10,335,000.00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32,211,000.00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广州赢达信息 咨询有限公司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212,460,000.0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212,460,000.00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天津弘诚科技 发展有限公司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13,206,000.00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13,206,000.00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北京腾祥商务 服务有限公司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拉卡拉國際有 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10,926,885.00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10,926,885.00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广州拉卡拉信 息技术有限公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北京大树保险 经纪有限责任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北京考拉鲲鹏 科技成长基金 </w:t>
            </w:r>
            <w:r>
              <w:rPr>
                <w:rFonts w:ascii="宋体" w:hAnsi="宋体" w:cs="宋体" w:eastAsia="宋体" w:hint="default"/>
                <w:spacing w:val="-7"/>
                <w:sz w:val="18"/>
                <w:szCs w:val="18"/>
              </w:rPr>
              <w:t>合伙企业（有限</w:t>
            </w:r>
            <w:r>
              <w:rPr>
                <w:rFonts w:ascii="宋体" w:hAnsi="宋体" w:cs="宋体" w:eastAsia="宋体" w:hint="default"/>
                <w:sz w:val="18"/>
                <w:szCs w:val="18"/>
              </w:rPr>
              <w:t> 合伙）</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1,001,976,000.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474,927,885.0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1,476,903,885.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对联营、合营企业投资" w:id="433"/>
      <w:bookmarkEnd w:id="43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北京唯致 动力网络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12,874,47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1,550.53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12,876,02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北京考拉 昆略互联 网产业投 资基金</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333,493,2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-14,986,3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30.43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318,506,8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83.90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5"/>
          <w:pgSz w:w="11910" w:h="16840"/>
          <w:pgMar w:footer="980" w:header="877"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北京考拉 昆仑信息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5,543,959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68,895.13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5,612,854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考拉昆仑 信用管理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178,253,9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-4,347,40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180,386,5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66.76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江苏千米 网络科技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111,985,6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530,165,6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118,480,0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-19,277,6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10.88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629,368,0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03.47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530,165,6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14.35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118,480,0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-19,277,6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10.88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629,368,0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03.47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其他说明" w:id="434"/>
      <w:bookmarkEnd w:id="43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4、营业收入和营业成本" w:id="435"/>
      <w:bookmarkEnd w:id="43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4,737,274,864.41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3,051,582,427.70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5,341,943,001.44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3,234,347,052.92</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4,737,274,864.41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3,051,582,427.70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5,341,943,001.44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3,234,347,052.92</w:t>
            </w:r>
          </w:p>
        </w:tc>
      </w:tr>
    </w:tbl>
    <w:p>
      <w:pPr>
        <w:pStyle w:val="BodyText"/>
        <w:spacing w:line="240" w:lineRule="auto" w:before="49"/>
        <w:ind w:right="1133"/>
        <w:jc w:val="left"/>
      </w:pPr>
      <w:r>
        <w:rPr/>
        <w:t>是否已执行新收入准则</w:t>
      </w:r>
    </w:p>
    <w:p>
      <w:pPr>
        <w:pStyle w:val="BodyText"/>
        <w:spacing w:line="340" w:lineRule="auto" w:before="115"/>
        <w:ind w:right="93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5、投资收益" w:id="436"/>
      <w:bookmarkEnd w:id="43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-19,277,610.88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-25,971,761.11</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4,224,881.86</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729,580.77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-19,277,610.88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-21,017,298.48</w:t>
            </w:r>
          </w:p>
        </w:tc>
      </w:tr>
    </w:tbl>
    <w:p>
      <w:pPr>
        <w:spacing w:after="0" w:line="240" w:lineRule="auto"/>
        <w:jc w:val="right"/>
        <w:rPr>
          <w:rFonts w:ascii="Times New Roman" w:hAnsi="Times New Roman" w:cs="Times New Roman" w:eastAsia="Times New Roman" w:hint="default"/>
          <w:sz w:val="18"/>
          <w:szCs w:val="18"/>
        </w:rPr>
        <w:sectPr>
          <w:footerReference w:type="default" r:id="rId56"/>
          <w:pgSz w:w="11910" w:h="16840"/>
          <w:pgMar w:footer="980" w:header="877" w:top="1060" w:bottom="1160" w:left="980" w:right="0"/>
          <w:pgNumType w:start="201"/>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六、补充资料" w:id="437"/>
      <w:bookmarkEnd w:id="437"/>
      <w:r>
        <w:rPr>
          <w:b w:val="0"/>
          <w:bCs w:val="0"/>
        </w:rPr>
      </w:r>
      <w:r>
        <w:rPr/>
        <w:t>十六、补充资料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当期非经常性损益明细表" w:id="438"/>
      <w:bookmarkEnd w:id="43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-8,653,544.93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27,761,181.39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-4,311,227.69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1,724,021.91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13,072,386.86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净资产收益率及每股收益" w:id="439"/>
      <w:bookmarkEnd w:id="43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3、境内外会计准则下会计数据差异" w:id="440"/>
      <w:bookmarkEnd w:id="44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中国会计准则披露的财务报告中净利润和净资产差异情况" w:id="441"/>
      <w:bookmarkEnd w:id="44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1133"/>
        <w:jc w:val="left"/>
        <w:rPr>
          <w:b w:val="0"/>
          <w:bCs w:val="0"/>
        </w:rPr>
      </w:pPr>
      <w:bookmarkStart w:name="（2）同时按照境外会计准则与按中国会计准则披露的财务报告中净利润和净资产差异情况" w:id="442"/>
      <w:bookmarkEnd w:id="44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59" w:lineRule="auto"/>
        <w:ind w:right="1133"/>
        <w:jc w:val="left"/>
        <w:rPr>
          <w:b w:val="0"/>
          <w:bCs w:val="0"/>
        </w:rPr>
      </w:pPr>
      <w:bookmarkStart w:name="（3）境内外会计准则下会计数据差异原因说明，对已经境外审计机构审计的数据进行差异" w:id="443"/>
      <w:bookmarkEnd w:id="44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4"/>
        <w:spacing w:line="240" w:lineRule="auto"/>
        <w:ind w:right="1133"/>
        <w:jc w:val="left"/>
        <w:rPr>
          <w:b w:val="0"/>
          <w:bCs w:val="0"/>
        </w:rPr>
      </w:pPr>
      <w:bookmarkStart w:name="4、其他" w:id="444"/>
      <w:bookmarkEnd w:id="44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33"/>
        <w:jc w:val="left"/>
        <w:rPr>
          <w:b w:val="0"/>
          <w:bCs w:val="0"/>
        </w:rPr>
      </w:pPr>
      <w:bookmarkStart w:name="第十三节备查文件目录" w:id="445"/>
      <w:bookmarkEnd w:id="445"/>
      <w:r>
        <w:rPr>
          <w:b w:val="0"/>
          <w:bCs w:val="0"/>
        </w:rPr>
      </w:r>
      <w:bookmarkStart w:name="_bookmark12" w:id="446"/>
      <w:bookmarkEnd w:id="446"/>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133"/>
        <w:jc w:val="left"/>
      </w:pPr>
      <w:r>
        <w:rPr/>
        <w:t>（一）载有公司负责人、主管会计工作负责人、会计机构负责人签名并盖章的财务报表；</w:t>
      </w:r>
    </w:p>
    <w:p>
      <w:pPr>
        <w:pStyle w:val="BodyText"/>
        <w:spacing w:line="240" w:lineRule="auto" w:before="117"/>
        <w:ind w:right="1133"/>
        <w:jc w:val="left"/>
      </w:pPr>
      <w:r>
        <w:rPr/>
        <w:t>（二）载有会计师事务所盖章、注册会计师签名并盖章的审计报告原件；</w:t>
      </w:r>
    </w:p>
    <w:p>
      <w:pPr>
        <w:pStyle w:val="BodyText"/>
        <w:spacing w:line="240" w:lineRule="auto" w:before="117"/>
        <w:ind w:right="1133"/>
        <w:jc w:val="left"/>
      </w:pPr>
      <w:r>
        <w:rPr/>
        <w:t>（三）报告期内在中国证监会指定网站上公开披露过的所有公司文件的正本及公告的原稿；</w:t>
      </w:r>
    </w:p>
    <w:p>
      <w:pPr>
        <w:pStyle w:val="BodyText"/>
        <w:spacing w:line="240" w:lineRule="auto" w:before="115"/>
        <w:ind w:right="1133"/>
        <w:jc w:val="left"/>
      </w:pPr>
      <w:r>
        <w:rPr/>
        <w:t>（四）其他相关资料</w:t>
      </w:r>
    </w:p>
    <w:sectPr>
      <w:pgSz w:w="11910" w:h="16840"/>
      <w:pgMar w:header="877"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0584" type="#_x0000_t75" stroked="false">
          <v:imagedata r:id="rId1" o:title=""/>
        </v:shape>
      </w:pict>
    </w:r>
    <w:r>
      <w:rPr/>
      <w:pict>
        <v:shape style="position:absolute;margin-left:533.099976pt;margin-top:795.637939pt;width:6.5pt;height:11pt;mso-position-horizontal-relative:page;mso-position-vertical-relative:page;z-index:-10705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9912" type="#_x0000_t75" stroked="false">
          <v:imagedata r:id="rId1" o:title=""/>
        </v:shape>
      </w:pict>
    </w:r>
    <w:r>
      <w:rPr/>
      <w:pict>
        <v:shape style="position:absolute;margin-left:527.659973pt;margin-top:781.933899pt;width:13.15pt;height:11pt;mso-position-horizontal-relative:page;mso-position-vertical-relative:page;z-index:-1069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47</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0536" type="#_x0000_t75" stroked="false">
          <v:imagedata r:id="rId1" o:title=""/>
        </v:shape>
      </w:pict>
    </w:r>
    <w:r>
      <w:rPr/>
      <w:pict>
        <v:shape style="position:absolute;margin-left:527.659973pt;margin-top:781.933899pt;width:13.15pt;height:11pt;mso-position-horizontal-relative:page;mso-position-vertical-relative:page;z-index:-1070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9672" type="#_x0000_t75" stroked="false">
          <v:imagedata r:id="rId1" o:title=""/>
        </v:shape>
      </w:pict>
    </w:r>
    <w:r>
      <w:rPr/>
      <w:pict>
        <v:shape style="position:absolute;margin-left:527.659973pt;margin-top:781.933899pt;width:13.15pt;height:11pt;mso-position-horizontal-relative:page;mso-position-vertical-relative:page;z-index:-1069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55</w:t>
                </w:r>
                <w:r>
                  <w:rPr/>
                  <w:fldChar w:fldCharType="end"/>
                </w:r>
                <w:r>
                  <w:rPr>
                    <w:rFonts w:ascii="Times New Roman"/>
                    <w:spacing w:val="1"/>
                  </w:rPr>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9624" type="#_x0000_t75" stroked="false">
          <v:imagedata r:id="rId1" o:title=""/>
        </v:shape>
      </w:pict>
    </w:r>
    <w:r>
      <w:rPr/>
      <w:pict>
        <v:shape style="position:absolute;margin-left:524.099976pt;margin-top:781.933899pt;width:15.7pt;height:11pt;mso-position-horizontal-relative:page;mso-position-vertical-relative:page;z-index:-10696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9576" type="#_x0000_t75" stroked="false">
          <v:imagedata r:id="rId1" o:title=""/>
        </v:shape>
      </w:pict>
    </w:r>
    <w:r>
      <w:rPr/>
      <w:pict>
        <v:shape style="position:absolute;margin-left:523.099976pt;margin-top:781.933899pt;width:17.7pt;height:11pt;mso-position-horizontal-relative:page;mso-position-vertical-relative:page;z-index:-1069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9528" type="#_x0000_t75" stroked="false">
          <v:imagedata r:id="rId1" o:title=""/>
        </v:shape>
      </w:pict>
    </w:r>
    <w:r>
      <w:rPr/>
      <w:pict>
        <v:shape style="position:absolute;margin-left:523.460022pt;margin-top:781.933899pt;width:17.3pt;height:11pt;mso-position-horizontal-relative:page;mso-position-vertical-relative:page;z-index:-1069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9480" type="#_x0000_t75" stroked="false">
          <v:imagedata r:id="rId1" o:title=""/>
        </v:shape>
      </w:pict>
    </w:r>
    <w:r>
      <w:rPr/>
      <w:pict>
        <v:shape style="position:absolute;margin-left:523.099976pt;margin-top:781.933899pt;width:17.7pt;height:11pt;mso-position-horizontal-relative:page;mso-position-vertical-relative:page;z-index:-1069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9432" type="#_x0000_t75" stroked="false">
          <v:imagedata r:id="rId1" o:title=""/>
        </v:shape>
      </w:pict>
    </w:r>
    <w:r>
      <w:rPr/>
      <w:pict>
        <v:shape style="position:absolute;margin-left:523.099976pt;margin-top:781.933899pt;width:17.7pt;height:11pt;mso-position-horizontal-relative:page;mso-position-vertical-relative:page;z-index:-1069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133</w:t>
                </w:r>
                <w:r>
                  <w:rPr/>
                  <w:fldChar w:fldCharType="end"/>
                </w:r>
                <w:r>
                  <w:rPr>
                    <w:rFonts w:ascii="Times New Roman"/>
                    <w:spacing w:val="1"/>
                  </w:rPr>
                </w:r>
                <w:r>
                  <w:rPr>
                    <w:rFonts w:ascii="Times New Roman"/>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9384" type="#_x0000_t75" stroked="false">
          <v:imagedata r:id="rId1" o:title=""/>
        </v:shape>
      </w:pict>
    </w:r>
    <w:r>
      <w:rPr/>
      <w:pict>
        <v:shape style="position:absolute;margin-left:524.099976pt;margin-top:781.933899pt;width:15.7pt;height:11pt;mso-position-horizontal-relative:page;mso-position-vertical-relative:page;z-index:-10693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9336" type="#_x0000_t75" stroked="false">
          <v:imagedata r:id="rId1" o:title=""/>
        </v:shape>
      </w:pict>
    </w:r>
    <w:r>
      <w:rPr/>
      <w:pict>
        <v:shape style="position:absolute;margin-left:523.099976pt;margin-top:781.933899pt;width:17.7pt;height:11pt;mso-position-horizontal-relative:page;mso-position-vertical-relative:page;z-index:-1069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6pt;height:11.5pt;mso-position-horizontal-relative:page;mso-position-vertical-relative:page;z-index:-1070608"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01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70128"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01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70080"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00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70032"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00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69984"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699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69936"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698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69840"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698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69792"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697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69744"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697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69696"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04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70464"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04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70416"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03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70368"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03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70320"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02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70272"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3.070007pt;margin-top:42.865608pt;width:186.6pt;height:11.5pt;mso-position-horizontal-relative:page;mso-position-vertical-relative:page;z-index:-1070248"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3.070007pt;margin-top:42.865608pt;width:186.6pt;height:11.5pt;mso-position-horizontal-relative:page;mso-position-vertical-relative:page;z-index:-1070224"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702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6pt;height:11.5pt;mso-position-horizontal-relative:page;mso-position-vertical-relative:page;z-index:-1070176" type="#_x0000_t202" filled="false" stroked="false">
          <v:textbox inset="0,0,0,0">
            <w:txbxContent>
              <w:p>
                <w:pPr>
                  <w:pStyle w:val="BodyText"/>
                  <w:spacing w:line="214" w:lineRule="exact"/>
                  <w:ind w:left="20" w:right="0"/>
                  <w:jc w:val="left"/>
                </w:pPr>
                <w:r>
                  <w:rPr/>
                  <w:t>拉卡拉支付股份有限公司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96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lakala.com/" TargetMode="External"/><Relationship Id="rId10" Type="http://schemas.openxmlformats.org/officeDocument/2006/relationships/hyperlink" Target="mailto:contact@lakala.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header" Target="header7.xml"/><Relationship Id="rId24" Type="http://schemas.openxmlformats.org/officeDocument/2006/relationships/footer" Target="footer8.xml"/><Relationship Id="rId25" Type="http://schemas.openxmlformats.org/officeDocument/2006/relationships/header" Target="header8.xml"/><Relationship Id="rId26" Type="http://schemas.openxmlformats.org/officeDocument/2006/relationships/footer" Target="footer9.xml"/><Relationship Id="rId27" Type="http://schemas.openxmlformats.org/officeDocument/2006/relationships/header" Target="header9.xml"/><Relationship Id="rId28" Type="http://schemas.openxmlformats.org/officeDocument/2006/relationships/footer" Target="footer10.xml"/><Relationship Id="rId29" Type="http://schemas.openxmlformats.org/officeDocument/2006/relationships/header" Target="header10.xml"/><Relationship Id="rId30" Type="http://schemas.openxmlformats.org/officeDocument/2006/relationships/footer" Target="footer11.xml"/><Relationship Id="rId31" Type="http://schemas.openxmlformats.org/officeDocument/2006/relationships/header" Target="header11.xml"/><Relationship Id="rId32" Type="http://schemas.openxmlformats.org/officeDocument/2006/relationships/footer" Target="footer12.xml"/><Relationship Id="rId33" Type="http://schemas.openxmlformats.org/officeDocument/2006/relationships/header" Target="header12.xml"/><Relationship Id="rId34" Type="http://schemas.openxmlformats.org/officeDocument/2006/relationships/footer" Target="footer13.xml"/><Relationship Id="rId35" Type="http://schemas.openxmlformats.org/officeDocument/2006/relationships/header" Target="header13.xml"/><Relationship Id="rId36" Type="http://schemas.openxmlformats.org/officeDocument/2006/relationships/footer" Target="footer14.xml"/><Relationship Id="rId37" Type="http://schemas.openxmlformats.org/officeDocument/2006/relationships/header" Target="head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15.xml"/><Relationship Id="rId41" Type="http://schemas.openxmlformats.org/officeDocument/2006/relationships/footer" Target="footer17.xml"/><Relationship Id="rId42" Type="http://schemas.openxmlformats.org/officeDocument/2006/relationships/header" Target="header16.xml"/><Relationship Id="rId43" Type="http://schemas.openxmlformats.org/officeDocument/2006/relationships/footer" Target="footer18.xml"/><Relationship Id="rId44" Type="http://schemas.openxmlformats.org/officeDocument/2006/relationships/header" Target="header17.xml"/><Relationship Id="rId45" Type="http://schemas.openxmlformats.org/officeDocument/2006/relationships/footer" Target="footer19.xml"/><Relationship Id="rId46" Type="http://schemas.openxmlformats.org/officeDocument/2006/relationships/header" Target="header18.xml"/><Relationship Id="rId47" Type="http://schemas.openxmlformats.org/officeDocument/2006/relationships/footer" Target="footer20.xml"/><Relationship Id="rId48" Type="http://schemas.openxmlformats.org/officeDocument/2006/relationships/footer" Target="footer21.xml"/><Relationship Id="rId49" Type="http://schemas.openxmlformats.org/officeDocument/2006/relationships/image" Target="media/image3.jpeg"/><Relationship Id="rId50" Type="http://schemas.openxmlformats.org/officeDocument/2006/relationships/footer" Target="footer22.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footer" Target="footer2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拉卡拉支付股份有限公司</dc:creator>
  <dc:title>拉卡拉支付股份有限公司2019年年度报告全文</dc:title>
  <dcterms:created xsi:type="dcterms:W3CDTF">2020-05-19T03:10:22Z</dcterms:created>
  <dcterms:modified xsi:type="dcterms:W3CDTF">2020-05-19T03:10:22Z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Office Word 2007</vt:lpwstr>
  </property>
  <property fmtid="{D5CDD505-2E9C-101B-9397-08002B2CF9AE}" pid="4" name="LastSaved">
    <vt:filetime>2020-05-18T00:00:00Z</vt:filetime>
  </property>
</Properties>
</file>