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365250" cy="120713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365250" cy="1207135"/>
                    </a:xfrm>
                    <a:prstGeom prst="rect"/>
                  </pic:spPr>
                </pic:pic>
              </a:graphicData>
            </a:graphic>
          </wp:inline>
        </w:drawing>
      </w:r>
    </w:p>
    <w:p>
      <w:pPr>
        <w:widowControl w:val="0"/>
        <w:spacing w:after="219" w:line="1" w:lineRule="exact"/>
      </w:pPr>
    </w:p>
    <w:p>
      <w:pPr>
        <w:pStyle w:val="Style2"/>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天阳宏业科技股份有限公司</w:t>
      </w:r>
      <w:bookmarkEnd w:id="0"/>
      <w:bookmarkEnd w:id="1"/>
      <w:bookmarkEnd w:id="2"/>
    </w:p>
    <w:p>
      <w:pPr>
        <w:pStyle w:val="Style4"/>
        <w:keepNext/>
        <w:keepLines/>
        <w:widowControl w:val="0"/>
        <w:shd w:val="clear" w:color="auto" w:fill="auto"/>
        <w:bidi w:val="0"/>
        <w:spacing w:before="0" w:after="60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3"/>
      <w:bookmarkEnd w:id="4"/>
      <w:bookmarkEnd w:id="5"/>
    </w:p>
    <w:p>
      <w:pPr>
        <w:pStyle w:val="Style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641" w:right="970" w:bottom="2641"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4"/>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0"/>
        <w:keepNext w:val="0"/>
        <w:keepLines w:val="0"/>
        <w:widowControl w:val="0"/>
        <w:shd w:val="clear" w:color="auto" w:fill="auto"/>
        <w:bidi w:val="0"/>
        <w:spacing w:before="0" w:line="629" w:lineRule="exact"/>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9"/>
    </w:p>
    <w:p>
      <w:pPr>
        <w:pStyle w:val="Style10"/>
        <w:keepNext w:val="0"/>
        <w:keepLines w:val="0"/>
        <w:widowControl w:val="0"/>
        <w:shd w:val="clear" w:color="auto" w:fill="auto"/>
        <w:bidi w:val="0"/>
        <w:spacing w:before="0" w:line="634" w:lineRule="exact"/>
        <w:ind w:left="0" w:right="0"/>
        <w:jc w:val="both"/>
      </w:pPr>
      <w:r>
        <w:rPr>
          <w:color w:val="000000"/>
          <w:spacing w:val="0"/>
          <w:w w:val="100"/>
          <w:position w:val="0"/>
        </w:rPr>
        <w:t>公司负责人欧阳建平、主管会计工作负责人张庆勋及会计机构负责人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 主管人员</w:t>
      </w:r>
      <w:r>
        <w:rPr>
          <w:rFonts w:ascii="Times New Roman" w:eastAsia="Times New Roman" w:hAnsi="Times New Roman" w:cs="Times New Roman"/>
          <w:color w:val="000000"/>
          <w:spacing w:val="0"/>
          <w:w w:val="100"/>
          <w:position w:val="0"/>
        </w:rPr>
        <w:t>）</w:t>
      </w:r>
      <w:r>
        <w:rPr>
          <w:color w:val="000000"/>
          <w:spacing w:val="0"/>
          <w:w w:val="100"/>
          <w:position w:val="0"/>
        </w:rPr>
        <w:t>陈艳萍声明：保证本年度报告中财务报告的真实、准确、完整。</w:t>
      </w:r>
    </w:p>
    <w:p>
      <w:pPr>
        <w:pStyle w:val="Style1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line="621" w:lineRule="exact"/>
        <w:ind w:left="0" w:right="0"/>
        <w:jc w:val="both"/>
      </w:pPr>
      <w:r>
        <w:rPr>
          <w:color w:val="000000"/>
          <w:spacing w:val="0"/>
          <w:w w:val="100"/>
          <w:position w:val="0"/>
        </w:rPr>
        <w:t>公司在发展过程中，可能存在市场竞争风险、技术与产品开发质量风险、 核心技术人员和关键管理人员流失风险、商誉减值风险、人力成本上升风险、 应收账款发生坏账风险、募集资金投资项目实施风险等，敬请投资者查阅本报 告第三节之</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“2</w:t>
      </w:r>
      <w:r>
        <w:rPr>
          <w:color w:val="000000"/>
          <w:spacing w:val="0"/>
          <w:w w:val="100"/>
          <w:position w:val="0"/>
        </w:rPr>
        <w:t>、公司可能面对的风险</w:t>
      </w:r>
      <w:r>
        <w:rPr>
          <w:rFonts w:ascii="Times New Roman" w:eastAsia="Times New Roman" w:hAnsi="Times New Roman" w:cs="Times New Roman"/>
          <w:color w:val="000000"/>
          <w:spacing w:val="0"/>
          <w:w w:val="100"/>
          <w:position w:val="0"/>
        </w:rPr>
        <w:t>”</w:t>
      </w:r>
      <w:r>
        <w:rPr>
          <w:color w:val="000000"/>
          <w:spacing w:val="0"/>
          <w:w w:val="100"/>
          <w:position w:val="0"/>
        </w:rPr>
        <w:t>的内容。</w:t>
      </w:r>
    </w:p>
    <w:p>
      <w:pPr>
        <w:pStyle w:val="Style10"/>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69" w:right="970" w:bottom="1969"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224,682,030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w:t>
      </w:r>
    </w:p>
    <w:p>
      <w:pPr>
        <w:pStyle w:val="Style2"/>
        <w:keepNext/>
        <w:keepLines/>
        <w:widowControl w:val="0"/>
        <w:shd w:val="clear" w:color="auto" w:fill="auto"/>
        <w:bidi w:val="0"/>
        <w:spacing w:before="0" w:after="150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13"/>
        <w:keepNext w:val="0"/>
        <w:keepLines w:val="0"/>
        <w:widowControl w:val="0"/>
        <w:shd w:val="clear" w:color="auto" w:fill="auto"/>
        <w:tabs>
          <w:tab w:leader="dot" w:pos="9605"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3"/>
        <w:keepNext w:val="0"/>
        <w:keepLines w:val="0"/>
        <w:widowControl w:val="0"/>
        <w:shd w:val="clear" w:color="auto" w:fill="auto"/>
        <w:tabs>
          <w:tab w:leader="dot" w:pos="9605" w:val="right"/>
        </w:tabs>
        <w:bidi w:val="0"/>
        <w:spacing w:before="0" w:line="240" w:lineRule="auto"/>
        <w:ind w:left="0" w:right="0" w:firstLine="0"/>
        <w:jc w:val="left"/>
      </w:pPr>
      <w:hyperlink w:anchor="bookmark2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3"/>
        <w:keepNext w:val="0"/>
        <w:keepLines w:val="0"/>
        <w:widowControl w:val="0"/>
        <w:shd w:val="clear" w:color="auto" w:fill="auto"/>
        <w:tabs>
          <w:tab w:leader="dot" w:pos="9605" w:val="right"/>
        </w:tabs>
        <w:bidi w:val="0"/>
        <w:spacing w:before="0" w:line="240" w:lineRule="auto"/>
        <w:ind w:left="0" w:right="0" w:firstLine="0"/>
        <w:jc w:val="left"/>
      </w:pPr>
      <w:hyperlink w:anchor="bookmark67"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3"/>
        <w:keepNext w:val="0"/>
        <w:keepLines w:val="0"/>
        <w:widowControl w:val="0"/>
        <w:shd w:val="clear" w:color="auto" w:fill="auto"/>
        <w:tabs>
          <w:tab w:leader="dot" w:pos="9605" w:val="right"/>
        </w:tabs>
        <w:bidi w:val="0"/>
        <w:spacing w:before="0" w:line="240" w:lineRule="auto"/>
        <w:ind w:left="0" w:right="0" w:firstLine="0"/>
        <w:jc w:val="left"/>
      </w:pPr>
      <w:hyperlink w:anchor="bookmark273"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hyperlink>
    </w:p>
    <w:p>
      <w:pPr>
        <w:pStyle w:val="Style13"/>
        <w:keepNext w:val="0"/>
        <w:keepLines w:val="0"/>
        <w:widowControl w:val="0"/>
        <w:shd w:val="clear" w:color="auto" w:fill="auto"/>
        <w:tabs>
          <w:tab w:leader="dot" w:pos="9605" w:val="right"/>
        </w:tabs>
        <w:bidi w:val="0"/>
        <w:spacing w:before="0" w:line="240" w:lineRule="auto"/>
        <w:ind w:left="0" w:right="0" w:firstLine="0"/>
        <w:jc w:val="left"/>
      </w:pPr>
      <w:hyperlink w:anchor="bookmark451"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13"/>
        <w:keepNext w:val="0"/>
        <w:keepLines w:val="0"/>
        <w:widowControl w:val="0"/>
        <w:shd w:val="clear" w:color="auto" w:fill="auto"/>
        <w:tabs>
          <w:tab w:leader="dot" w:pos="9605" w:val="right"/>
        </w:tabs>
        <w:bidi w:val="0"/>
        <w:spacing w:before="0" w:line="240" w:lineRule="auto"/>
        <w:ind w:left="0" w:right="0" w:firstLine="0"/>
        <w:jc w:val="left"/>
      </w:pPr>
      <w:hyperlink w:anchor="bookmark466"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64</w:t>
        </w:r>
      </w:hyperlink>
    </w:p>
    <w:p>
      <w:pPr>
        <w:pStyle w:val="Style13"/>
        <w:keepNext w:val="0"/>
        <w:keepLines w:val="0"/>
        <w:widowControl w:val="0"/>
        <w:shd w:val="clear" w:color="auto" w:fill="auto"/>
        <w:tabs>
          <w:tab w:leader="dot" w:pos="9605" w:val="right"/>
        </w:tabs>
        <w:bidi w:val="0"/>
        <w:spacing w:before="0" w:line="240" w:lineRule="auto"/>
        <w:ind w:left="0" w:right="0" w:firstLine="0"/>
        <w:jc w:val="left"/>
      </w:pPr>
      <w:hyperlink w:anchor="bookmark604"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88</w:t>
        </w:r>
      </w:hyperlink>
    </w:p>
    <w:p>
      <w:pPr>
        <w:pStyle w:val="Style13"/>
        <w:keepNext w:val="0"/>
        <w:keepLines w:val="0"/>
        <w:widowControl w:val="0"/>
        <w:shd w:val="clear" w:color="auto" w:fill="auto"/>
        <w:tabs>
          <w:tab w:leader="dot" w:pos="9605" w:val="right"/>
        </w:tabs>
        <w:bidi w:val="0"/>
        <w:spacing w:before="0" w:line="240" w:lineRule="auto"/>
        <w:ind w:left="0" w:right="0" w:firstLine="0"/>
        <w:jc w:val="left"/>
      </w:pPr>
      <w:hyperlink w:anchor="bookmark670"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95</w:t>
        </w:r>
      </w:hyperlink>
    </w:p>
    <w:p>
      <w:pPr>
        <w:pStyle w:val="Style13"/>
        <w:keepNext w:val="0"/>
        <w:keepLines w:val="0"/>
        <w:widowControl w:val="0"/>
        <w:shd w:val="clear" w:color="auto" w:fill="auto"/>
        <w:tabs>
          <w:tab w:leader="dot" w:pos="9605" w:val="right"/>
        </w:tabs>
        <w:bidi w:val="0"/>
        <w:spacing w:before="0" w:line="240" w:lineRule="auto"/>
        <w:ind w:left="0" w:right="0" w:firstLine="0"/>
        <w:jc w:val="left"/>
      </w:pPr>
      <w:hyperlink w:anchor="bookmark675"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96</w:t>
        </w:r>
      </w:hyperlink>
    </w:p>
    <w:p>
      <w:pPr>
        <w:pStyle w:val="Style13"/>
        <w:keepNext w:val="0"/>
        <w:keepLines w:val="0"/>
        <w:widowControl w:val="0"/>
        <w:shd w:val="clear" w:color="auto" w:fill="auto"/>
        <w:tabs>
          <w:tab w:leader="dot" w:pos="9605" w:val="right"/>
        </w:tabs>
        <w:bidi w:val="0"/>
        <w:spacing w:before="0" w:line="240" w:lineRule="auto"/>
        <w:ind w:left="0" w:right="0" w:firstLine="0"/>
        <w:jc w:val="left"/>
        <w:sectPr>
          <w:footnotePr>
            <w:pos w:val="pageBottom"/>
            <w:numFmt w:val="decimal"/>
            <w:numRestart w:val="continuous"/>
          </w:footnotePr>
          <w:pgSz w:w="11900" w:h="16840"/>
          <w:pgMar w:top="2857" w:right="1123" w:bottom="2857" w:left="1109" w:header="0" w:footer="3" w:gutter="0"/>
          <w:cols w:space="720"/>
          <w:noEndnote/>
          <w:rtlGutter w:val="0"/>
          <w:docGrid w:linePitch="360"/>
        </w:sectPr>
      </w:pPr>
      <w:hyperlink w:anchor="bookmark678"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97</w:t>
        </w:r>
      </w:hyperlink>
      <w:r>
        <w:fldChar w:fldCharType="end"/>
      </w:r>
    </w:p>
    <w:p>
      <w:pPr>
        <w:pStyle w:val="Style4"/>
        <w:keepNext/>
        <w:keepLines/>
        <w:widowControl w:val="0"/>
        <w:shd w:val="clear" w:color="auto" w:fill="auto"/>
        <w:bidi w:val="0"/>
        <w:spacing w:before="640" w:after="880" w:line="240" w:lineRule="auto"/>
        <w:ind w:left="0" w:right="0" w:firstLine="0"/>
        <w:jc w:val="center"/>
      </w:pPr>
      <w:bookmarkStart w:id="13" w:name="bookmark13"/>
      <w:bookmarkStart w:id="14" w:name="bookmark14"/>
      <w:bookmarkStart w:id="15" w:name="bookmark15"/>
      <w:r>
        <w:rPr>
          <w:color w:val="000000"/>
          <w:spacing w:val="0"/>
          <w:w w:val="100"/>
          <w:position w:val="0"/>
        </w:rPr>
        <w:t>备查文件目录</w:t>
      </w:r>
      <w:bookmarkEnd w:id="13"/>
      <w:bookmarkEnd w:id="14"/>
      <w:bookmarkEnd w:id="15"/>
    </w:p>
    <w:p>
      <w:pPr>
        <w:pStyle w:val="Style16"/>
        <w:keepNext w:val="0"/>
        <w:keepLines w:val="0"/>
        <w:widowControl w:val="0"/>
        <w:shd w:val="clear" w:color="auto" w:fill="auto"/>
        <w:tabs>
          <w:tab w:pos="430" w:val="left"/>
        </w:tabs>
        <w:bidi w:val="0"/>
        <w:spacing w:before="0" w:after="140" w:line="240" w:lineRule="auto"/>
        <w:ind w:left="0" w:right="0" w:firstLine="0"/>
        <w:jc w:val="left"/>
      </w:pPr>
      <w:bookmarkStart w:id="16" w:name="bookmark16"/>
      <w:r>
        <w:rPr>
          <w:color w:val="000000"/>
          <w:spacing w:val="0"/>
          <w:w w:val="100"/>
          <w:position w:val="0"/>
        </w:rPr>
        <w:t>一</w:t>
      </w:r>
      <w:bookmarkEnd w:id="16"/>
      <w:r>
        <w:rPr>
          <w:color w:val="000000"/>
          <w:spacing w:val="0"/>
          <w:w w:val="100"/>
          <w:position w:val="0"/>
        </w:rPr>
        <w:t>、</w:t>
        <w:tab/>
        <w:t>载有公司法定代表人、主管会计工作负责人、会计机构负责人签名并盖章的财务报表;</w:t>
      </w:r>
    </w:p>
    <w:p>
      <w:pPr>
        <w:pStyle w:val="Style16"/>
        <w:keepNext w:val="0"/>
        <w:keepLines w:val="0"/>
        <w:widowControl w:val="0"/>
        <w:shd w:val="clear" w:color="auto" w:fill="auto"/>
        <w:tabs>
          <w:tab w:pos="430" w:val="left"/>
        </w:tabs>
        <w:bidi w:val="0"/>
        <w:spacing w:before="0" w:after="140" w:line="240" w:lineRule="auto"/>
        <w:ind w:left="0" w:right="0" w:firstLine="0"/>
        <w:jc w:val="left"/>
      </w:pPr>
      <w:bookmarkStart w:id="17" w:name="bookmark17"/>
      <w:r>
        <w:rPr>
          <w:color w:val="000000"/>
          <w:spacing w:val="0"/>
          <w:w w:val="100"/>
          <w:position w:val="0"/>
        </w:rPr>
        <w:t>二</w:t>
      </w:r>
      <w:bookmarkEnd w:id="17"/>
      <w:r>
        <w:rPr>
          <w:color w:val="000000"/>
          <w:spacing w:val="0"/>
          <w:w w:val="100"/>
          <w:position w:val="0"/>
        </w:rPr>
        <w:t>、</w:t>
        <w:tab/>
        <w:t>载有会计师事务所盖章、注册会计师签名并盖章的审计报告原件；</w:t>
      </w:r>
    </w:p>
    <w:p>
      <w:pPr>
        <w:pStyle w:val="Style16"/>
        <w:keepNext w:val="0"/>
        <w:keepLines w:val="0"/>
        <w:widowControl w:val="0"/>
        <w:shd w:val="clear" w:color="auto" w:fill="auto"/>
        <w:tabs>
          <w:tab w:pos="430" w:val="left"/>
        </w:tabs>
        <w:bidi w:val="0"/>
        <w:spacing w:before="0" w:after="140" w:line="240" w:lineRule="auto"/>
        <w:ind w:left="0" w:right="0" w:firstLine="0"/>
        <w:jc w:val="left"/>
      </w:pPr>
      <w:bookmarkStart w:id="18" w:name="bookmark18"/>
      <w:r>
        <w:rPr>
          <w:color w:val="000000"/>
          <w:spacing w:val="0"/>
          <w:w w:val="100"/>
          <w:position w:val="0"/>
        </w:rPr>
        <w:t>三</w:t>
      </w:r>
      <w:bookmarkEnd w:id="18"/>
      <w:r>
        <w:rPr>
          <w:color w:val="000000"/>
          <w:spacing w:val="0"/>
          <w:w w:val="100"/>
          <w:position w:val="0"/>
        </w:rPr>
        <w:t>、</w:t>
        <w:tab/>
        <w:t>报告期内在中国证监会指定网站上公开披露过的所有公司文件的正本及公告的原稿；</w:t>
      </w:r>
    </w:p>
    <w:p>
      <w:pPr>
        <w:pStyle w:val="Style16"/>
        <w:keepNext w:val="0"/>
        <w:keepLines w:val="0"/>
        <w:widowControl w:val="0"/>
        <w:shd w:val="clear" w:color="auto" w:fill="auto"/>
        <w:tabs>
          <w:tab w:pos="430" w:val="left"/>
        </w:tabs>
        <w:bidi w:val="0"/>
        <w:spacing w:before="0" w:after="140" w:line="240" w:lineRule="auto"/>
        <w:ind w:left="0" w:right="0" w:firstLine="0"/>
        <w:jc w:val="left"/>
      </w:pPr>
      <w:bookmarkStart w:id="19" w:name="bookmark19"/>
      <w:r>
        <w:rPr>
          <w:color w:val="000000"/>
          <w:spacing w:val="0"/>
          <w:w w:val="100"/>
          <w:position w:val="0"/>
        </w:rPr>
        <w:t>四</w:t>
      </w:r>
      <w:bookmarkEnd w:id="19"/>
      <w:r>
        <w:rPr>
          <w:color w:val="000000"/>
          <w:spacing w:val="0"/>
          <w:w w:val="100"/>
          <w:position w:val="0"/>
        </w:rPr>
        <w:t>、</w:t>
        <w:tab/>
        <w:t>其它备查文件。</w:t>
      </w:r>
      <w:r>
        <w:br w:type="page"/>
      </w:r>
    </w:p>
    <w:p>
      <w:pPr>
        <w:pStyle w:val="Style4"/>
        <w:keepNext/>
        <w:keepLines/>
        <w:widowControl w:val="0"/>
        <w:shd w:val="clear" w:color="auto" w:fill="auto"/>
        <w:bidi w:val="0"/>
        <w:spacing w:before="0" w:after="800" w:line="240" w:lineRule="auto"/>
        <w:ind w:left="0" w:right="0" w:firstLine="0"/>
        <w:jc w:val="center"/>
      </w:pPr>
      <w:bookmarkStart w:id="20" w:name="bookmark20"/>
      <w:bookmarkStart w:id="21" w:name="bookmark21"/>
      <w:bookmarkStart w:id="22" w:name="bookmark22"/>
      <w:r>
        <w:rPr>
          <w:color w:val="000000"/>
          <w:spacing w:val="0"/>
          <w:w w:val="100"/>
          <w:position w:val="0"/>
        </w:rPr>
        <w:t>释义</w:t>
      </w:r>
      <w:bookmarkEnd w:id="20"/>
      <w:bookmarkEnd w:id="21"/>
      <w:bookmarkEnd w:id="22"/>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公司、本公司、天阳科技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天阳宏业科技股份有限公司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厦门赞扬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厦门赞扬丰硕软件技术有限公司，公司子公司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无锡天阳</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无锡天阳宏业软件技术有限公司，公司子公司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银恒通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北京银恒通电子科技有限公司，公司子公司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鼎信天威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北京鼎信天威科技有限公司，公司子公司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天阳融信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北京天阳融信科技有限公司，公司子公司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卡洛其</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北京卡洛其咨询有限公司，公司子公司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天津卡洛其</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卡洛其（天津）企业管理咨询有限公司，卡洛其子公司，公司孙公司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香港卡洛其</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香港卡洛其咨询有限公司，卡洛其子公司，公司孙公司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天阳融数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北京天阳融数科技有限公司，公司子公司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西藏天阳</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西藏天阳华瑞科技有限公司，公司子公司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天阳胜合</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天阳胜合科技（北京）有限公司，公司子公司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同创安胜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北京同创安胜咨询服务中心（有限合伙），公司子公司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德惠众合</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北京德惠众合信息技术有限公司，公司参股公司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艾秀信安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北京艾秀信安科技有限公司，公司参股公司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柯莱特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柯莱特信息技术有限公司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北京天阳宏业投资管理合伙企业（有限合伙）</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时间投资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北京时间投资合伙企业（有限合伙）</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中华人民共和国财政部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天阳宏业科技股份有限公司股东大会</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天阳宏业科技股份有限公司董事会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天阳宏业科技股份有限公司监事会</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PMO</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Project Management Office</w:t>
            </w:r>
            <w:r>
              <w:rPr>
                <w:color w:val="000000"/>
                <w:spacing w:val="0"/>
                <w:w w:val="100"/>
                <w:position w:val="0"/>
              </w:rPr>
              <w:t>，</w:t>
            </w:r>
            <w:r>
              <w:rPr>
                <w:color w:val="000000"/>
                <w:spacing w:val="0"/>
                <w:w w:val="100"/>
                <w:position w:val="0"/>
              </w:rPr>
              <w:t>项目管理中心，负责监督项目在执行过程 中的各项管理指标，并及时预警、凸显问题，协调相关部门推进问题 解决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Information Technology</w:t>
            </w:r>
            <w:r>
              <w:rPr>
                <w:color w:val="000000"/>
                <w:spacing w:val="0"/>
                <w:w w:val="100"/>
                <w:position w:val="0"/>
              </w:rPr>
              <w:t>，信息技术的英文缩写</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智能技术帮助企业收集、管理和分析数据，并将这些数据转化为有用 的信息，为管理者提供经营决策依据</w:t>
            </w:r>
          </w:p>
        </w:tc>
      </w:tr>
    </w:tbl>
    <w:p>
      <w:pPr>
        <w:spacing w:lineRule="exact" w:line="1"/>
        <w:rPr>
          <w:sz w:val="2"/>
          <w:szCs w:val="2"/>
        </w:rPr>
      </w:pPr>
      <w:r>
        <w:br w:type="page"/>
      </w:r>
    </w:p>
    <w:p>
      <w:pPr>
        <w:pStyle w:val="Style4"/>
        <w:keepNext/>
        <w:keepLines/>
        <w:widowControl w:val="0"/>
        <w:shd w:val="clear" w:color="auto" w:fill="auto"/>
        <w:bidi w:val="0"/>
        <w:spacing w:before="0" w:after="540" w:line="240" w:lineRule="auto"/>
        <w:ind w:left="0" w:right="0" w:firstLine="0"/>
        <w:jc w:val="center"/>
      </w:pPr>
      <w:bookmarkStart w:id="23" w:name="bookmark23"/>
      <w:bookmarkStart w:id="24" w:name="bookmark24"/>
      <w:bookmarkStart w:id="25" w:name="bookmark25"/>
      <w:r>
        <w:rPr>
          <w:color w:val="000000"/>
          <w:spacing w:val="0"/>
          <w:w w:val="100"/>
          <w:position w:val="0"/>
        </w:rPr>
        <w:t>第二节公司简介和主要财务指标</w:t>
      </w:r>
      <w:bookmarkEnd w:id="23"/>
      <w:bookmarkEnd w:id="24"/>
      <w:bookmarkEnd w:id="25"/>
    </w:p>
    <w:p>
      <w:pPr>
        <w:pStyle w:val="Style21"/>
        <w:keepNext/>
        <w:keepLines/>
        <w:widowControl w:val="0"/>
        <w:shd w:val="clear" w:color="auto" w:fill="auto"/>
        <w:bidi w:val="0"/>
        <w:spacing w:before="0" w:after="320" w:line="240" w:lineRule="auto"/>
        <w:ind w:left="0" w:right="0" w:firstLine="240"/>
        <w:jc w:val="left"/>
      </w:pPr>
      <w:bookmarkStart w:id="26" w:name="bookmark26"/>
      <w:bookmarkStart w:id="27" w:name="bookmark27"/>
      <w:bookmarkStart w:id="28" w:name="bookmark28"/>
      <w:bookmarkStart w:id="29" w:name="bookmark29"/>
      <w:r>
        <w:rPr>
          <w:color w:val="000000"/>
          <w:spacing w:val="0"/>
          <w:w w:val="100"/>
          <w:position w:val="0"/>
        </w:rPr>
        <w:t>、公司信息</w:t>
      </w:r>
      <w:bookmarkEnd w:id="27"/>
      <w:bookmarkEnd w:id="28"/>
      <w:bookmarkEnd w:id="29"/>
      <w:bookmarkEnd w:id="26"/>
    </w:p>
    <w:tbl>
      <w:tblPr>
        <w:tblOverlap w:val="never"/>
        <w:jc w:val="center"/>
        <w:tblLayout w:type="fixed"/>
      </w:tblPr>
      <w:tblGrid>
        <w:gridCol w:w="2294"/>
        <w:gridCol w:w="729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942"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天阳科技</w:t>
              <w:tab/>
              <w:t>股票代码</w:t>
              <w:tab/>
            </w:r>
            <w:r>
              <w:rPr>
                <w:rFonts w:ascii="Times New Roman" w:eastAsia="Times New Roman" w:hAnsi="Times New Roman" w:cs="Times New Roman"/>
                <w:color w:val="000000"/>
                <w:spacing w:val="0"/>
                <w:w w:val="100"/>
                <w:position w:val="0"/>
                <w:sz w:val="18"/>
                <w:szCs w:val="18"/>
              </w:rPr>
              <w:t>300872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天阳宏业科技股份有限公司</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天阳科技</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Tansun Technology Co., Ltd.</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TANSUN</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拉萨经济技术开发区林琼岗东一路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号西藏西欣商贸有限公司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608</w:t>
            </w:r>
            <w:r>
              <w:rPr>
                <w:color w:val="000000"/>
                <w:spacing w:val="0"/>
                <w:w w:val="100"/>
                <w:position w:val="0"/>
              </w:rPr>
              <w:t>房</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850000</w:t>
            </w:r>
          </w:p>
        </w:tc>
      </w:tr>
      <w:tr>
        <w:trPr>
          <w:trHeight w:val="133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日由北京市海淀区花园路</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804</w:t>
            </w:r>
            <w:r>
              <w:rPr>
                <w:color w:val="000000"/>
                <w:spacing w:val="0"/>
                <w:w w:val="100"/>
                <w:position w:val="0"/>
              </w:rPr>
              <w:t>室变更为北京市海淀区花园路</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307</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日由北京市海淀区花园路</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307</w:t>
            </w:r>
            <w:r>
              <w:rPr>
                <w:color w:val="000000"/>
                <w:spacing w:val="0"/>
                <w:w w:val="100"/>
                <w:position w:val="0"/>
              </w:rPr>
              <w:t>室变更为北京市海淀区中 关村大街</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层十三层办公</w:t>
            </w:r>
            <w:r>
              <w:rPr>
                <w:rFonts w:ascii="Times New Roman" w:eastAsia="Times New Roman" w:hAnsi="Times New Roman" w:cs="Times New Roman"/>
                <w:color w:val="000000"/>
                <w:spacing w:val="0"/>
                <w:w w:val="100"/>
                <w:position w:val="0"/>
                <w:sz w:val="18"/>
                <w:szCs w:val="18"/>
              </w:rPr>
              <w:t xml:space="preserve">1318 </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日由北京市海淀区中关村大街</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层十三层办公</w:t>
            </w:r>
            <w:r>
              <w:rPr>
                <w:rFonts w:ascii="Times New Roman" w:eastAsia="Times New Roman" w:hAnsi="Times New Roman" w:cs="Times New Roman"/>
                <w:color w:val="000000"/>
                <w:spacing w:val="0"/>
                <w:w w:val="100"/>
                <w:position w:val="0"/>
                <w:sz w:val="18"/>
                <w:szCs w:val="18"/>
              </w:rPr>
              <w:t>1318</w:t>
            </w:r>
            <w:r>
              <w:rPr>
                <w:color w:val="000000"/>
                <w:spacing w:val="0"/>
                <w:w w:val="100"/>
                <w:position w:val="0"/>
              </w:rPr>
              <w:t>号变更为现注册地址。</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北京市朝阳区阜通东大街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单元</w:t>
            </w:r>
            <w:r>
              <w:rPr>
                <w:rFonts w:ascii="Times New Roman" w:eastAsia="Times New Roman" w:hAnsi="Times New Roman" w:cs="Times New Roman"/>
                <w:color w:val="000000"/>
                <w:spacing w:val="0"/>
                <w:w w:val="100"/>
                <w:position w:val="0"/>
                <w:sz w:val="18"/>
                <w:szCs w:val="18"/>
              </w:rPr>
              <w:t>121005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"http://www.tansun.com.cn" </w:instrText>
            </w:r>
            <w:r>
              <w:fldChar w:fldCharType="separate"/>
            </w:r>
            <w:r>
              <w:rPr>
                <w:rFonts w:ascii="Times New Roman" w:eastAsia="Times New Roman" w:hAnsi="Times New Roman" w:cs="Times New Roman"/>
                <w:color w:val="000000"/>
                <w:spacing w:val="0"/>
                <w:w w:val="100"/>
                <w:position w:val="0"/>
                <w:sz w:val="18"/>
                <w:szCs w:val="18"/>
              </w:rPr>
              <w:t>www.tansun.com.cn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ir@tansun. com.cn</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二</w:t>
      </w:r>
      <w:bookmarkEnd w:id="32"/>
      <w:r>
        <w:rPr>
          <w:color w:val="000000"/>
          <w:spacing w:val="0"/>
          <w:w w:val="100"/>
          <w:position w:val="0"/>
        </w:rPr>
        <w:t>、联系人和联系方式</w:t>
      </w:r>
      <w:bookmarkEnd w:id="30"/>
      <w:bookmarkEnd w:id="31"/>
      <w:bookmarkEnd w:id="33"/>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谢金英</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北京市朝阳区阜通东大街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单元</w:t>
            </w:r>
            <w:r>
              <w:rPr>
                <w:rFonts w:ascii="Times New Roman" w:eastAsia="Times New Roman" w:hAnsi="Times New Roman" w:cs="Times New Roman"/>
                <w:color w:val="000000"/>
                <w:spacing w:val="0"/>
                <w:w w:val="100"/>
                <w:position w:val="0"/>
                <w:sz w:val="18"/>
                <w:szCs w:val="18"/>
              </w:rPr>
              <w:t>121005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北京市朝阳区阜通东大街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单元</w:t>
            </w:r>
            <w:r>
              <w:rPr>
                <w:rFonts w:ascii="Times New Roman" w:eastAsia="Times New Roman" w:hAnsi="Times New Roman" w:cs="Times New Roman"/>
                <w:color w:val="000000"/>
                <w:spacing w:val="0"/>
                <w:w w:val="100"/>
                <w:position w:val="0"/>
                <w:sz w:val="18"/>
                <w:szCs w:val="18"/>
              </w:rPr>
              <w:t>121005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219"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0891-6401153</w:t>
              <w:tab/>
              <w:t>010-50955911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1219"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0891-6401153</w:t>
              <w:tab/>
              <w:t>010-50955911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1224"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0891-6123692</w:t>
              <w:tab/>
              <w:t>010-50955905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1229"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0891-6123692</w:t>
              <w:tab/>
              <w:t>010-50955905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ir@tansun. com. cn</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"mailto:ir@tansun.com" </w:instrText>
            </w:r>
            <w:r>
              <w:fldChar w:fldCharType="separate"/>
            </w:r>
            <w:r>
              <w:rPr>
                <w:rFonts w:ascii="Times New Roman" w:eastAsia="Times New Roman" w:hAnsi="Times New Roman" w:cs="Times New Roman"/>
                <w:color w:val="000000"/>
                <w:spacing w:val="0"/>
                <w:w w:val="100"/>
                <w:position w:val="0"/>
                <w:sz w:val="18"/>
                <w:szCs w:val="18"/>
              </w:rPr>
              <w:t>ir@tansun.com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三</w:t>
      </w:r>
      <w:bookmarkEnd w:id="36"/>
      <w:r>
        <w:rPr>
          <w:color w:val="000000"/>
          <w:spacing w:val="0"/>
          <w:w w:val="100"/>
          <w:position w:val="0"/>
        </w:rPr>
        <w:t>、信息披露及备置地点</w:t>
      </w:r>
      <w:bookmarkEnd w:id="34"/>
      <w:bookmarkEnd w:id="35"/>
      <w:bookmarkEnd w:id="37"/>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http://www.szse.cn</w:t>
            </w:r>
            <w:r>
              <w:fldChar w:fldCharType="end"/>
            </w:r>
            <w:r>
              <w:rPr>
                <w:color w:val="000000"/>
                <w:spacing w:val="0"/>
                <w:w w:val="100"/>
                <w:position w:val="0"/>
              </w:rPr>
              <w:t>)</w:t>
            </w:r>
          </w:p>
        </w:tc>
      </w:tr>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《中国证券报》《上海证券报》《证券时报》《证券日报》及巨潮资讯网 (</w:t>
            </w:r>
            <w:r>
              <w:rPr>
                <w:rFonts w:ascii="Times New Roman" w:eastAsia="Times New Roman" w:hAnsi="Times New Roman" w:cs="Times New Roman"/>
                <w:color w:val="000000"/>
                <w:spacing w:val="0"/>
                <w:w w:val="100"/>
                <w:position w:val="0"/>
                <w:sz w:val="18"/>
                <w:szCs w:val="18"/>
              </w:rPr>
              <w:t xml:space="preserve">http://www. cninfo. </w:t>
            </w: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证券事务部</w:t>
            </w:r>
          </w:p>
        </w:tc>
      </w:tr>
    </w:tbl>
    <w:p>
      <w:pPr>
        <w:spacing w:lineRule="exact" w:line="1"/>
        <w:rPr>
          <w:sz w:val="2"/>
          <w:szCs w:val="2"/>
        </w:rPr>
      </w:pPr>
      <w:r>
        <w:br w:type="page"/>
      </w:r>
    </w:p>
    <w:p>
      <w:pPr>
        <w:pStyle w:val="Style21"/>
        <w:keepNext/>
        <w:keepLines/>
        <w:widowControl w:val="0"/>
        <w:shd w:val="clear" w:color="auto" w:fill="auto"/>
        <w:bidi w:val="0"/>
        <w:spacing w:before="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四</w:t>
      </w:r>
      <w:bookmarkEnd w:id="40"/>
      <w:r>
        <w:rPr>
          <w:color w:val="000000"/>
          <w:spacing w:val="0"/>
          <w:w w:val="100"/>
          <w:position w:val="0"/>
        </w:rPr>
        <w:t>、其他有关资料</w:t>
      </w:r>
      <w:bookmarkEnd w:id="38"/>
      <w:bookmarkEnd w:id="39"/>
      <w:bookmarkEnd w:id="41"/>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李峰、刘黎</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上海市静安区南京西路</w:t>
            </w:r>
            <w:r>
              <w:rPr>
                <w:rFonts w:ascii="Times New Roman" w:eastAsia="Times New Roman" w:hAnsi="Times New Roman" w:cs="Times New Roman"/>
                <w:color w:val="000000"/>
                <w:spacing w:val="0"/>
                <w:w w:val="100"/>
                <w:position w:val="0"/>
                <w:sz w:val="18"/>
                <w:szCs w:val="18"/>
              </w:rPr>
              <w:t xml:space="preserve">1266 </w:t>
            </w:r>
            <w:r>
              <w:rPr>
                <w:color w:val="000000"/>
                <w:spacing w:val="0"/>
                <w:w w:val="100"/>
                <w:position w:val="0"/>
              </w:rPr>
              <w:t>号恒隆广场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号办公楼</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过震、吴长海</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上市后至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4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五</w:t>
      </w:r>
      <w:bookmarkEnd w:id="44"/>
      <w:r>
        <w:rPr>
          <w:color w:val="000000"/>
          <w:spacing w:val="0"/>
          <w:w w:val="100"/>
          <w:position w:val="0"/>
        </w:rPr>
        <w:t>、主要会计数据和财务指标</w:t>
      </w:r>
      <w:bookmarkEnd w:id="42"/>
      <w:bookmarkEnd w:id="43"/>
      <w:bookmarkEnd w:id="45"/>
    </w:p>
    <w:p>
      <w:pPr>
        <w:pStyle w:val="Style16"/>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1,776,093,004.39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1,315,327,683.98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1,062,127,620.38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98,992,071.37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133,786,814.55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108,298,406.53</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50,722,874.06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109,269,431.13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94,632,638.03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-231,372,951.97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-194,178,926.81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-20,838,327.56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2,976,404,919.22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2,724,304,249.44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1,344,458,519.79</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2,301,630,972.68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2,207,239,321.60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944,271,888.45</w:t>
            </w:r>
          </w:p>
        </w:tc>
      </w:tr>
    </w:tbl>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16"/>
        <w:keepNext w:val="0"/>
        <w:keepLines w:val="0"/>
        <w:widowControl w:val="0"/>
        <w:shd w:val="clear" w:color="auto" w:fill="auto"/>
        <w:bidi w:val="0"/>
        <w:spacing w:before="0" w:after="12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r>
        <w:br w:type="page"/>
      </w:r>
    </w:p>
    <w:p>
      <w:pPr>
        <w:pStyle w:val="Style21"/>
        <w:keepNext/>
        <w:keepLines/>
        <w:widowControl w:val="0"/>
        <w:shd w:val="clear" w:color="auto" w:fill="auto"/>
        <w:bidi w:val="0"/>
        <w:spacing w:before="0" w:after="38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rPr>
        <w:t>六</w:t>
      </w:r>
      <w:bookmarkEnd w:id="48"/>
      <w:r>
        <w:rPr>
          <w:color w:val="000000"/>
          <w:spacing w:val="0"/>
          <w:w w:val="100"/>
          <w:position w:val="0"/>
        </w:rPr>
        <w:t>、分季度主要财务指标</w:t>
      </w:r>
      <w:bookmarkEnd w:id="46"/>
      <w:bookmarkEnd w:id="47"/>
      <w:bookmarkEnd w:id="49"/>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392,195,626.04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388,242,170.55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473,301,968.55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522,353,239.25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11,823,791.16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64,720,787.84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43,691,514.54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-21,244,022.17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7,507,905.69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27,897,511.54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38,807,963.34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-23,490,506.51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-279,559,717.46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-77,818,581.13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-100,769,857.04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226,775,203.66</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tabs>
          <w:tab w:pos="522" w:val="left"/>
        </w:tabs>
        <w:bidi w:val="0"/>
        <w:spacing w:before="0" w:after="380" w:line="240" w:lineRule="auto"/>
        <w:ind w:left="0" w:right="0" w:firstLine="0"/>
        <w:jc w:val="both"/>
      </w:pPr>
      <w:bookmarkStart w:id="50" w:name="bookmark50"/>
      <w:bookmarkStart w:id="51" w:name="bookmark51"/>
      <w:bookmarkStart w:id="52" w:name="bookmark52"/>
      <w:bookmarkStart w:id="53" w:name="bookmark53"/>
      <w:r>
        <w:rPr>
          <w:color w:val="000000"/>
          <w:spacing w:val="0"/>
          <w:w w:val="100"/>
          <w:position w:val="0"/>
        </w:rPr>
        <w:t>七</w:t>
      </w:r>
      <w:bookmarkEnd w:id="52"/>
      <w:r>
        <w:rPr>
          <w:color w:val="000000"/>
          <w:spacing w:val="0"/>
          <w:w w:val="100"/>
          <w:position w:val="0"/>
        </w:rPr>
        <w:t>、</w:t>
        <w:tab/>
        <w:t>境内外会计准则下会计数据差异</w:t>
      </w:r>
      <w:bookmarkEnd w:id="50"/>
      <w:bookmarkEnd w:id="51"/>
      <w:bookmarkEnd w:id="53"/>
    </w:p>
    <w:p>
      <w:pPr>
        <w:pStyle w:val="Style27"/>
        <w:keepNext/>
        <w:keepLines/>
        <w:widowControl w:val="0"/>
        <w:shd w:val="clear" w:color="auto" w:fill="auto"/>
        <w:tabs>
          <w:tab w:pos="403" w:val="left"/>
        </w:tabs>
        <w:bidi w:val="0"/>
        <w:spacing w:before="0" w:line="240" w:lineRule="auto"/>
        <w:ind w:left="0" w:right="0" w:firstLine="0"/>
        <w:jc w:val="both"/>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1</w:t>
      </w:r>
      <w:bookmarkEnd w:id="56"/>
      <w:r>
        <w:rPr>
          <w:color w:val="000000"/>
          <w:spacing w:val="0"/>
          <w:w w:val="100"/>
          <w:position w:val="0"/>
        </w:rPr>
        <w:t>、</w:t>
        <w:tab/>
        <w:t>同时按照国际会计准则与按照中国会计准则披露的财务报告中净利润和净资产差异情况</w:t>
      </w:r>
      <w:bookmarkEnd w:id="54"/>
      <w:bookmarkEnd w:id="55"/>
      <w:bookmarkEnd w:id="57"/>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03" w:val="left"/>
        </w:tabs>
        <w:bidi w:val="0"/>
        <w:spacing w:before="0" w:line="240" w:lineRule="auto"/>
        <w:ind w:left="0" w:right="0" w:firstLine="0"/>
        <w:jc w:val="both"/>
      </w:pPr>
      <w:bookmarkStart w:id="58" w:name="bookmark58"/>
      <w:bookmarkStart w:id="59" w:name="bookmark59"/>
      <w:bookmarkStart w:id="60" w:name="bookmark60"/>
      <w:bookmarkStart w:id="61" w:name="bookmark61"/>
      <w:r>
        <w:rPr>
          <w:rFonts w:ascii="Times New Roman" w:eastAsia="Times New Roman" w:hAnsi="Times New Roman" w:cs="Times New Roman"/>
          <w:color w:val="000000"/>
          <w:spacing w:val="0"/>
          <w:w w:val="100"/>
          <w:position w:val="0"/>
        </w:rPr>
        <w:t>2</w:t>
      </w:r>
      <w:bookmarkEnd w:id="60"/>
      <w:r>
        <w:rPr>
          <w:color w:val="000000"/>
          <w:spacing w:val="0"/>
          <w:w w:val="100"/>
          <w:position w:val="0"/>
        </w:rPr>
        <w:t>、</w:t>
        <w:tab/>
        <w:t>同时按照境外会计准则与按照中国会计准则披露的财务报告中净利润和净资产差异情况</w:t>
      </w:r>
      <w:bookmarkEnd w:id="58"/>
      <w:bookmarkEnd w:id="59"/>
      <w:bookmarkEnd w:id="61"/>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after="380" w:line="240" w:lineRule="auto"/>
        <w:ind w:left="0" w:right="0" w:firstLine="0"/>
        <w:jc w:val="both"/>
      </w:pPr>
      <w:bookmarkStart w:id="62" w:name="bookmark62"/>
      <w:bookmarkStart w:id="63" w:name="bookmark63"/>
      <w:bookmarkStart w:id="64" w:name="bookmark64"/>
      <w:bookmarkStart w:id="65" w:name="bookmark65"/>
      <w:r>
        <w:rPr>
          <w:color w:val="000000"/>
          <w:spacing w:val="0"/>
          <w:w w:val="100"/>
          <w:position w:val="0"/>
        </w:rPr>
        <w:t>八</w:t>
      </w:r>
      <w:bookmarkEnd w:id="64"/>
      <w:r>
        <w:rPr>
          <w:color w:val="000000"/>
          <w:spacing w:val="0"/>
          <w:w w:val="100"/>
          <w:position w:val="0"/>
        </w:rPr>
        <w:t>、</w:t>
        <w:tab/>
        <w:t>非经常性损益项目及金额</w:t>
      </w:r>
      <w:bookmarkEnd w:id="62"/>
      <w:bookmarkEnd w:id="63"/>
      <w:bookmarkEnd w:id="65"/>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-148,162.15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26,815,106.13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23,350,614.06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15,456,406.82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7,657,340.65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3,704,509.63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-136,766.03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-143,117.91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-221,637.25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3,769,123.32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405,672.20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84,715.77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4,783,507.42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2,536,814.93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1,564,871.68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51,089.63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-59,316.99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48,269,197.31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24,517,383.42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13,665,768.50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302" w:lineRule="exact"/>
        <w:ind w:left="0" w:right="0" w:firstLine="0"/>
        <w:jc w:val="both"/>
        <w:sectPr>
          <w:footnotePr>
            <w:pos w:val="pageBottom"/>
            <w:numFmt w:val="decimal"/>
            <w:numRestart w:val="continuous"/>
          </w:footnotePr>
          <w:pgSz w:w="11900" w:h="16840"/>
          <w:pgMar w:top="1441" w:right="1133" w:bottom="1446" w:left="1089"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4"/>
        <w:keepNext/>
        <w:keepLines/>
        <w:widowControl w:val="0"/>
        <w:shd w:val="clear" w:color="auto" w:fill="auto"/>
        <w:bidi w:val="0"/>
        <w:spacing w:before="520" w:after="580" w:line="240" w:lineRule="auto"/>
        <w:ind w:left="0" w:right="0" w:firstLine="0"/>
        <w:jc w:val="center"/>
      </w:pPr>
      <w:bookmarkStart w:id="66" w:name="bookmark66"/>
      <w:bookmarkStart w:id="67" w:name="bookmark67"/>
      <w:bookmarkStart w:id="68" w:name="bookmark68"/>
      <w:r>
        <w:rPr>
          <w:color w:val="000000"/>
          <w:spacing w:val="0"/>
          <w:w w:val="100"/>
          <w:position w:val="0"/>
        </w:rPr>
        <w:t>第三节管理层讨论与分析</w:t>
      </w:r>
      <w:bookmarkEnd w:id="66"/>
      <w:bookmarkEnd w:id="67"/>
      <w:bookmarkEnd w:id="68"/>
    </w:p>
    <w:p>
      <w:pPr>
        <w:pStyle w:val="Style21"/>
        <w:keepNext/>
        <w:keepLines/>
        <w:widowControl w:val="0"/>
        <w:shd w:val="clear" w:color="auto" w:fill="auto"/>
        <w:bidi w:val="0"/>
        <w:spacing w:before="0" w:after="240" w:line="240" w:lineRule="auto"/>
        <w:ind w:left="0" w:right="0" w:firstLine="0"/>
        <w:jc w:val="both"/>
      </w:pPr>
      <w:bookmarkStart w:id="69" w:name="bookmark69"/>
      <w:bookmarkStart w:id="70" w:name="bookmark70"/>
      <w:bookmarkStart w:id="71" w:name="bookmark71"/>
      <w:bookmarkStart w:id="72" w:name="bookmark72"/>
      <w:bookmarkStart w:id="73" w:name="bookmark73"/>
      <w:r>
        <w:rPr>
          <w:color w:val="000000"/>
          <w:spacing w:val="0"/>
          <w:w w:val="100"/>
          <w:position w:val="0"/>
        </w:rPr>
        <w:t>一</w:t>
      </w:r>
      <w:bookmarkEnd w:id="72"/>
      <w:r>
        <w:rPr>
          <w:color w:val="000000"/>
          <w:spacing w:val="0"/>
          <w:w w:val="100"/>
          <w:position w:val="0"/>
        </w:rPr>
        <w:t>、报告期内公司所处行业情况</w:t>
      </w:r>
      <w:bookmarkEnd w:id="70"/>
      <w:bookmarkEnd w:id="71"/>
      <w:bookmarkEnd w:id="73"/>
      <w:bookmarkEnd w:id="69"/>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公司主营业务为向以银行为主的金融机构提供咨询、金融科技产品、金融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服务、云计算和运营服务，公司所在细分行 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软件和信息技术服务业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金融软件和信息技术服务业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，该行业属于国家鼓励发展的战略性、基础性和先导性产 业，软件技术的广泛应用能够加强高新技术在传统产业的应用，推动更多领域新技术、新产品、新模式、新业态从广度和深 度层面蓬勃发展，促进国家产业结构转型和经济发展。国家历来高度重视软件行业的发展，国务院及相关政府部门先后颁布 了一系列鼓励、支持软件行业发展的法律法规和政策文件，为软件行业发展创造了良好的政策环境，有利于公司持续快速发 展。</w:t>
      </w:r>
    </w:p>
    <w:p>
      <w:pPr>
        <w:pStyle w:val="Style16"/>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年是中国人民银行印发《金融科技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FinTech</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发展规划</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》通知中规定的最后一年，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年，建立 健全我国金融科技发展的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四梁八柱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，进一步增强金融业科技应用能力，实现金融与科技深度融合、协调发展，明显增强人 民群众对数字化、网络化、智能化金融产品和服务的满意度，使我国金融科技发展居于国际领先水平。实现金融科技应用先 进可控、金融服务能力稳步增强、金融风控水平明显提高、金融监管效能持续提升、金融科技支撑不断完善、金融科技产业 繁荣发展。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在规划的指引下，金融科技明确了发展方向、任务和路径，有力推动了金融科技良性有序发展，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四梁八柱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构建将推动我国金融科技从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立柱架梁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全面迈入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积厚成势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新阶段。</w:t>
      </w:r>
    </w:p>
    <w:p>
      <w:pPr>
        <w:pStyle w:val="Style16"/>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年也是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开局之年，在十四五规划中明确提出要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迎接数字时代，激活数据要素潜能，推进网络强国建设， 加快建设数字经济、数字社会、数字政府，以数字化转型整体驱动生产方式、生活方式和治理方式变革。''金融行业在十四 五期间将以分布式架构转型与信创作为新支点，持续引发新一轮的软硬件等</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基础设施的升级与重塑，由此带动银行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投资 进一步保持高速增长，智能化与数字化建设成为重中之重。</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年初中国人民银行印发了《金融科技发展规划（</w:t>
      </w:r>
      <w:r>
        <w:rPr>
          <w:rFonts w:ascii="Times New Roman" w:eastAsia="Times New Roman" w:hAnsi="Times New Roman" w:cs="Times New Roman"/>
          <w:color w:val="000000"/>
          <w:spacing w:val="0"/>
          <w:w w:val="100"/>
          <w:position w:val="0"/>
          <w:sz w:val="18"/>
          <w:szCs w:val="18"/>
        </w:rPr>
        <w:t xml:space="preserve">2022-2025 </w:t>
      </w:r>
      <w:r>
        <w:rPr>
          <w:color w:val="000000"/>
          <w:spacing w:val="0"/>
          <w:w w:val="100"/>
          <w:position w:val="0"/>
        </w:rPr>
        <w:t>年）》、中国银保监会办公厅印发了《关于银行业保险业数字化转型的指导意见》，这两份文件将会极大地推动整个金融行 业，尤其是银行业的数字化转型。文件指出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金融科技作为技术驱动的金融创新，是深化金融供给侧结构性改革、增强金融 服务实体经济能力的重要引擎。数字经济的蓬勃兴起为金融创新发展构筑广阔舞台，数字技术的快速演进为金融数字化转型 注入充沛活力，金融科技逐步迈入高质量发展的新阶段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，文件同时为金融科技制定了其发展目标：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）金融业数字化转型更 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）数据要素潜能释放更充分，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）金融服务提质增效更显著，</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）金融科技治理体系更健全，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）关键核心技术应用更深 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）数字基础设施建设更先进。</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架构转型、信创以及严监管等三驾马车的强力驱动下，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年度中国银行业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解决方案市场继续呈现出旺盛的增长 态势。根据赛迪顾问于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月权威发布的《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中国银行业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解决方案市场份额分析报告》表明，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年年度中国银行 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解决方案市场的整体规模达到</w:t>
      </w:r>
      <w:r>
        <w:rPr>
          <w:rFonts w:ascii="Times New Roman" w:eastAsia="Times New Roman" w:hAnsi="Times New Roman" w:cs="Times New Roman"/>
          <w:color w:val="000000"/>
          <w:spacing w:val="0"/>
          <w:w w:val="100"/>
          <w:position w:val="0"/>
          <w:sz w:val="18"/>
          <w:szCs w:val="18"/>
        </w:rPr>
        <w:t>384.6</w:t>
      </w:r>
      <w:r>
        <w:rPr>
          <w:color w:val="000000"/>
          <w:spacing w:val="0"/>
          <w:w w:val="100"/>
          <w:position w:val="0"/>
        </w:rPr>
        <w:t>亿元人民币，比</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25.20%</w:t>
      </w:r>
      <w:r>
        <w:rPr>
          <w:color w:val="000000"/>
          <w:spacing w:val="0"/>
          <w:w w:val="100"/>
          <w:position w:val="0"/>
        </w:rPr>
        <w:t>，创下历史新高。预计到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年时中国银行业</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解决方案市场规模将突破一千亿元，达到</w:t>
      </w:r>
      <w:r>
        <w:rPr>
          <w:rFonts w:ascii="Times New Roman" w:eastAsia="Times New Roman" w:hAnsi="Times New Roman" w:cs="Times New Roman"/>
          <w:color w:val="000000"/>
          <w:spacing w:val="0"/>
          <w:w w:val="100"/>
          <w:position w:val="0"/>
          <w:sz w:val="18"/>
          <w:szCs w:val="18"/>
        </w:rPr>
        <w:t>1181.2</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年的年均复合增长率为</w:t>
      </w:r>
      <w:r>
        <w:rPr>
          <w:rFonts w:ascii="Times New Roman" w:eastAsia="Times New Roman" w:hAnsi="Times New Roman" w:cs="Times New Roman"/>
          <w:color w:val="000000"/>
          <w:spacing w:val="0"/>
          <w:w w:val="100"/>
          <w:position w:val="0"/>
          <w:sz w:val="18"/>
          <w:szCs w:val="18"/>
        </w:rPr>
        <w:t>25.10%</w:t>
      </w:r>
      <w:r>
        <w:rPr>
          <w:color w:val="000000"/>
          <w:spacing w:val="0"/>
          <w:w w:val="100"/>
          <w:position w:val="0"/>
        </w:rPr>
        <w:t>。展望未来，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 将建设现代央行制度完善现代金融监管体系，中国银行业发展将持续向好，银行以分布式架构转型与信创作为新支点，将持 续引发新一轮的软硬件等</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基础设施的升级与重塑，由此带动银行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投资进一步保持高速增长，智能化与数字化建设成为重 中之重。</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投资的高速增长为公司未来的业绩增长提供了有力的保障，公司在分布式架构和微服务技术方面的研发已投入 多年，通过利用分布式架构和微服务等创新技术，不断升级产品，持续为金融行业提供更高、更新、更专业的价值服务。</w:t>
      </w:r>
    </w:p>
    <w:p>
      <w:pPr>
        <w:pStyle w:val="Style16"/>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年我国信创产业规模和产业结构进入发力期，信创市场空间显著扩大。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年金融行业信创业务稳步推进，由边缘 （办公管理系统）到核心（核心业务系统）有序突破，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年金融信创试点持续扩容，金融信创将进入加速期，带来包括金 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规划及业务咨询、金融科技产品、金融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服务、云计算及运营服务和系统集成业务等全方位的市场项目机会，这也为金 融科技公司带来了持续增长的机遇。</w:t>
      </w:r>
    </w:p>
    <w:p>
      <w:pPr>
        <w:pStyle w:val="Style21"/>
        <w:keepNext/>
        <w:keepLines/>
        <w:widowControl w:val="0"/>
        <w:shd w:val="clear" w:color="auto" w:fill="auto"/>
        <w:bidi w:val="0"/>
        <w:spacing w:before="0" w:after="24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rPr>
        <w:t>二</w:t>
      </w:r>
      <w:bookmarkEnd w:id="76"/>
      <w:r>
        <w:rPr>
          <w:color w:val="000000"/>
          <w:spacing w:val="0"/>
          <w:w w:val="100"/>
          <w:position w:val="0"/>
        </w:rPr>
        <w:t>、报告期内公司从事的主要业务</w:t>
      </w:r>
      <w:bookmarkEnd w:id="74"/>
      <w:bookmarkEnd w:id="75"/>
      <w:bookmarkEnd w:id="77"/>
    </w:p>
    <w:p>
      <w:pPr>
        <w:pStyle w:val="Style16"/>
        <w:keepNext w:val="0"/>
        <w:keepLines w:val="0"/>
        <w:widowControl w:val="0"/>
        <w:shd w:val="clear" w:color="auto" w:fill="auto"/>
        <w:bidi w:val="0"/>
        <w:spacing w:before="0" w:after="100" w:line="313" w:lineRule="exact"/>
        <w:ind w:left="0" w:right="0"/>
        <w:jc w:val="both"/>
      </w:pPr>
      <w:bookmarkStart w:id="78" w:name="bookmark78"/>
      <w:r>
        <w:rPr>
          <w:color w:val="000000"/>
          <w:spacing w:val="0"/>
          <w:w w:val="100"/>
          <w:position w:val="0"/>
        </w:rPr>
        <w:t>（</w:t>
      </w:r>
      <w:bookmarkEnd w:id="78"/>
      <w:r>
        <w:rPr>
          <w:color w:val="000000"/>
          <w:spacing w:val="0"/>
          <w:w w:val="100"/>
          <w:position w:val="0"/>
        </w:rPr>
        <w:t>一）主要业务、主要产品概况</w:t>
      </w:r>
    </w:p>
    <w:p>
      <w:pPr>
        <w:pStyle w:val="Style16"/>
        <w:keepNext w:val="0"/>
        <w:keepLines w:val="0"/>
        <w:widowControl w:val="0"/>
        <w:shd w:val="clear" w:color="auto" w:fill="auto"/>
        <w:tabs>
          <w:tab w:pos="707" w:val="left"/>
        </w:tabs>
        <w:bidi w:val="0"/>
        <w:spacing w:before="0" w:after="0" w:line="360" w:lineRule="auto"/>
        <w:ind w:left="0" w:right="0"/>
        <w:jc w:val="both"/>
      </w:pPr>
      <w:bookmarkStart w:id="79" w:name="bookmark79"/>
      <w:r>
        <w:rPr>
          <w:rFonts w:ascii="Times New Roman" w:eastAsia="Times New Roman" w:hAnsi="Times New Roman" w:cs="Times New Roman"/>
          <w:color w:val="000000"/>
          <w:spacing w:val="0"/>
          <w:w w:val="100"/>
          <w:position w:val="0"/>
          <w:sz w:val="18"/>
          <w:szCs w:val="18"/>
        </w:rPr>
        <w:t>1</w:t>
      </w:r>
      <w:bookmarkEnd w:id="79"/>
      <w:r>
        <w:rPr>
          <w:color w:val="000000"/>
          <w:spacing w:val="0"/>
          <w:w w:val="100"/>
          <w:position w:val="0"/>
        </w:rPr>
        <w:t>、</w:t>
        <w:tab/>
        <w:t>主要业务概况：</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公司是近年来国内规模最大、成长最快的银行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解决方案提供商之一。公司服务于以银行为主的金融行业客户，凭借自 主研发的核心技术和产品，围绕银行的资产（信贷、交易银行和供应链金融）风险管理、核心业务系统等关键业务领域和关 键科技领域，向客户提供业务系统建设相关的全生命周期的服务，致力于帮助客户提升获客、业务流程处理和风险管理等关 键业务环节的效率，用国内自主可控的金融科技，保障银行金融业务的安全稳定运行，助力银行解决企业融资、零售业务转 型和普惠金融等产业热点、难点问题。公司是金融科技创新服务的重要贡献者，持续赋能中国金融行业数字化转型，为客户 提供咨询、金融科技产品、金融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服务、云计算及运营服务，是激活金融领域创新活力、推动金融科技迈入更高水平的重要 力量。</w:t>
      </w:r>
    </w:p>
    <w:p>
      <w:pPr>
        <w:pStyle w:val="Style16"/>
        <w:keepNext w:val="0"/>
        <w:keepLines w:val="0"/>
        <w:widowControl w:val="0"/>
        <w:shd w:val="clear" w:color="auto" w:fill="auto"/>
        <w:bidi w:val="0"/>
        <w:spacing w:before="0" w:after="100" w:line="313" w:lineRule="exact"/>
        <w:ind w:left="0" w:right="0"/>
        <w:jc w:val="both"/>
      </w:pPr>
      <w:r>
        <w:rPr>
          <w:color w:val="000000"/>
          <w:spacing w:val="0"/>
          <w:w w:val="100"/>
          <w:position w:val="0"/>
        </w:rPr>
        <w:t>公司经过十八年的发展，已积累了丰富的行业技术储备、项目实施经验、以及强大的高端咨询人才团队，建立了覆盖全 国主要银行的营销网络，在金融行业信息化领域占据市场领先地位，树立了良好的品牌形象，已经成为银行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行业内第一梯 队的解决方案和服务供应商。公司的信用卡、风险管理、客户关系管理、信贷管理、商业智能及交易银行细分产品在行业排 名前三。公司已拥有了一批优质、稳定的核心战略客户，同时公司也在积极拓展新的优质客户，进一步完善客户和区域布局， 创造新的业绩增长点。目前公司已经为超过三百家金融行业客户提供了相关产品和服务，覆盖政策性银行、国有银行、股份 制银行、地方性商业银行等金融机构，在行业内拥有较高的品牌声誉。</w:t>
      </w:r>
    </w:p>
    <w:p>
      <w:pPr>
        <w:pStyle w:val="Style16"/>
        <w:keepNext w:val="0"/>
        <w:keepLines w:val="0"/>
        <w:widowControl w:val="0"/>
        <w:shd w:val="clear" w:color="auto" w:fill="auto"/>
        <w:tabs>
          <w:tab w:pos="707" w:val="left"/>
        </w:tabs>
        <w:bidi w:val="0"/>
        <w:spacing w:before="0" w:after="0" w:line="360" w:lineRule="auto"/>
        <w:ind w:left="0" w:right="0"/>
        <w:jc w:val="both"/>
      </w:pPr>
      <w:bookmarkStart w:id="80" w:name="bookmark80"/>
      <w:r>
        <w:rPr>
          <w:rFonts w:ascii="Times New Roman" w:eastAsia="Times New Roman" w:hAnsi="Times New Roman" w:cs="Times New Roman"/>
          <w:color w:val="000000"/>
          <w:spacing w:val="0"/>
          <w:w w:val="100"/>
          <w:position w:val="0"/>
          <w:sz w:val="18"/>
          <w:szCs w:val="18"/>
        </w:rPr>
        <w:t>2</w:t>
      </w:r>
      <w:bookmarkEnd w:id="80"/>
      <w:r>
        <w:rPr>
          <w:color w:val="000000"/>
          <w:spacing w:val="0"/>
          <w:w w:val="100"/>
          <w:position w:val="0"/>
        </w:rPr>
        <w:t>、</w:t>
        <w:tab/>
        <w:t>主要产品及应用：</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公司专注于银行主要业务相关的系统建设，利用包括云计算和分布式计算、大数据、人工智能、区块链技术、移动应用、 测试和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运维监控等在内的新一代金融科技，为客户提供咨询、金融科技产品、金融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服务、云计算及运营服务。</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具体分类如下：</w:t>
      </w:r>
    </w:p>
    <w:p>
      <w:pPr>
        <w:pStyle w:val="Style16"/>
        <w:keepNext w:val="0"/>
        <w:keepLines w:val="0"/>
        <w:widowControl w:val="0"/>
        <w:shd w:val="clear" w:color="auto" w:fill="auto"/>
        <w:tabs>
          <w:tab w:pos="765" w:val="left"/>
        </w:tabs>
        <w:bidi w:val="0"/>
        <w:spacing w:before="0" w:after="0" w:line="313" w:lineRule="exact"/>
        <w:ind w:left="0" w:right="0"/>
        <w:jc w:val="both"/>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咨询服务业务</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咨询服务业务是指通过深入分析金融行业客户的具体情况，从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规划、项目管理、业务咨询等方向提出可落地的咨询建 议和解决方案，切实有效地帮助每个客户解决在实践中发生的实际问题，帮助客户发掘和把握市场机遇，实现高效率的运作 和管理。公司咨询服务主要包括</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科技规划、全栈式信创咨询、金融业务咨询、数字化转型及数据资产管理咨询等。咨询服 务范围既包括传统金融领域</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规划，也涵盖了互联网金融、金融科技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FinTech</w:t>
      </w:r>
      <w:r>
        <w:rPr>
          <w:color w:val="000000"/>
          <w:spacing w:val="0"/>
          <w:w w:val="100"/>
          <w:position w:val="0"/>
        </w:rPr>
        <w:t>）</w:t>
      </w:r>
      <w:r>
        <w:rPr>
          <w:color w:val="000000"/>
          <w:spacing w:val="0"/>
          <w:w w:val="100"/>
          <w:position w:val="0"/>
        </w:rPr>
        <w:t>等新型前沿领域。咨询服务是高价值服务， 提升品牌影响力，促使其他业务发展。</w:t>
      </w:r>
    </w:p>
    <w:p>
      <w:pPr>
        <w:pStyle w:val="Style16"/>
        <w:keepNext w:val="0"/>
        <w:keepLines w:val="0"/>
        <w:widowControl w:val="0"/>
        <w:shd w:val="clear" w:color="auto" w:fill="auto"/>
        <w:tabs>
          <w:tab w:pos="765" w:val="left"/>
        </w:tabs>
        <w:bidi w:val="0"/>
        <w:spacing w:before="0" w:after="0" w:line="313" w:lineRule="exact"/>
        <w:ind w:left="0" w:right="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金融科技产品</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金融科技产品是指公司面向金融行业客户，针对具体业务，基于公司或者客户指定的平台和产品，进行满足客户个性化 需求的软件开发或系统优化。银行资产和风控业务领域是银行</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左右收入和业务来源，公司聚焦于银行资产和风控业务等 关键业务领域，提供信贷管理、风险管理、交易银行、信用卡及零售金融、大数据及营销、征信监管、智能渠道和通用技术 等具有行业优势竞争地位的产品及整体解决方案，其中信用卡、风险管理、客户关系管理、信贷管理、商业智能及交易银行 细分产品在行业排名前三。公司在金融行业中不断探索新技术、新思维，利用分布式架构、大数据技术等创新技术，不断升 级金融科技产品，未来持续为金融行业提供更高、更新、更专业的金融科技产品。</w:t>
      </w:r>
    </w:p>
    <w:p>
      <w:pPr>
        <w:pStyle w:val="Style16"/>
        <w:keepNext w:val="0"/>
        <w:keepLines w:val="0"/>
        <w:widowControl w:val="0"/>
        <w:shd w:val="clear" w:color="auto" w:fill="auto"/>
        <w:tabs>
          <w:tab w:pos="765" w:val="left"/>
        </w:tabs>
        <w:bidi w:val="0"/>
        <w:spacing w:before="0" w:after="0" w:line="313" w:lineRule="exact"/>
        <w:ind w:left="0" w:right="0"/>
        <w:jc w:val="both"/>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公司为金融行业提供重要</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项目建设全生命周期质量保障服务，主要包括项目管理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PMO</w:t>
      </w:r>
      <w:r>
        <w:rPr>
          <w:color w:val="000000"/>
          <w:spacing w:val="0"/>
          <w:w w:val="100"/>
          <w:position w:val="0"/>
        </w:rPr>
        <w:t>）、</w:t>
      </w:r>
      <w:r>
        <w:rPr>
          <w:color w:val="000000"/>
          <w:spacing w:val="0"/>
          <w:w w:val="100"/>
          <w:position w:val="0"/>
        </w:rPr>
        <w:t>专业测试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测试工具和数 据迁移等。项目管理服务主要包括项目群整体管理、项目群计划与进度管理、问题与风险管理、投产演练及上线管理、监管 报备指导等；专业测试服务包括银行核心项目群测试解决方案、银行信贷项目群测试解决方案、保险核心项目群测试解决方 案、性能测试及数据测试；数据迁移服务是通过专业化的数据迁移实施，保障既有业务的连续性，将存量的数据进行清理和 补录后，迁移到新系统中，保证更换系统后所有客户服务和业务操作顺利进行，保证所有账务核算结果准确。</w:t>
      </w:r>
    </w:p>
    <w:p>
      <w:pPr>
        <w:pStyle w:val="Style16"/>
        <w:keepNext w:val="0"/>
        <w:keepLines w:val="0"/>
        <w:widowControl w:val="0"/>
        <w:shd w:val="clear" w:color="auto" w:fill="auto"/>
        <w:tabs>
          <w:tab w:pos="765" w:val="left"/>
        </w:tabs>
        <w:bidi w:val="0"/>
        <w:spacing w:before="0" w:after="0" w:line="313" w:lineRule="exact"/>
        <w:ind w:left="0" w:right="0"/>
        <w:jc w:val="both"/>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云计算</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云计算是中小银行数字化转型升级的必然趋势。公司为中小银行提供从</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层至</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层的整体云解决方案。在</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层， 通过同合作伙伴合作，为金融行业客户提供一个稳定的云底座。在</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层，充分利用过去十几年在技术平台、数据平台和</w:t>
      </w:r>
      <w:r>
        <w:rPr>
          <w:rFonts w:ascii="Times New Roman" w:eastAsia="Times New Roman" w:hAnsi="Times New Roman" w:cs="Times New Roman"/>
          <w:color w:val="000000"/>
          <w:spacing w:val="0"/>
          <w:w w:val="100"/>
          <w:position w:val="0"/>
          <w:sz w:val="18"/>
          <w:szCs w:val="18"/>
        </w:rPr>
        <w:t xml:space="preserve">aPaaS </w:t>
      </w:r>
      <w:r>
        <w:rPr>
          <w:color w:val="000000"/>
          <w:spacing w:val="0"/>
          <w:w w:val="100"/>
          <w:position w:val="0"/>
        </w:rPr>
        <w:t>平台上的投入研发积累，把这些在银行中接受了长期严苛考验的产品转化成云化服务提供给客户。在</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 xml:space="preserve">层，可细分为金融 </w:t>
      </w:r>
      <w:r>
        <w:rPr>
          <w:color w:val="000000"/>
          <w:spacing w:val="0"/>
          <w:w w:val="100"/>
          <w:position w:val="0"/>
        </w:rPr>
        <w:t>云、产融云及数据云。金融云是解决银行内部的数字化转型问题，专注于银行创新的业务领域、银行的关键业务环节及对于 数字化水平依赖度程度较高的领域；产融云是帮助产业的数字化转型，整合产业</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厂商和行业数字化转型厂商，通过提升 产业的数字化水平，为金融业务的开展提供场景数据和流量；数据云是为银行的数字化转型提供外部的数据资产。</w:t>
      </w:r>
    </w:p>
    <w:p>
      <w:pPr>
        <w:pStyle w:val="Style16"/>
        <w:keepNext w:val="0"/>
        <w:keepLines w:val="0"/>
        <w:widowControl w:val="0"/>
        <w:shd w:val="clear" w:color="auto" w:fill="auto"/>
        <w:bidi w:val="0"/>
        <w:spacing w:before="0" w:after="0" w:line="313" w:lineRule="exact"/>
        <w:ind w:left="0" w:right="0"/>
        <w:jc w:val="both"/>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sz w:val="18"/>
          <w:szCs w:val="18"/>
        </w:rPr>
        <w:t>5</w:t>
      </w:r>
      <w:r>
        <w:rPr>
          <w:color w:val="000000"/>
          <w:spacing w:val="0"/>
          <w:w w:val="100"/>
          <w:position w:val="0"/>
        </w:rPr>
        <w:t>）运营服务</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公司利用优势科技产品提供业务运营服务，提升业务附加值，主要包含营销和客户运营、供应链金融运营、信用卡业务 代运营及贷后资产管理运营等。</w:t>
      </w:r>
    </w:p>
    <w:p>
      <w:pPr>
        <w:pStyle w:val="Style16"/>
        <w:keepNext w:val="0"/>
        <w:keepLines w:val="0"/>
        <w:widowControl w:val="0"/>
        <w:shd w:val="clear" w:color="auto" w:fill="auto"/>
        <w:tabs>
          <w:tab w:pos="877" w:val="left"/>
        </w:tabs>
        <w:bidi w:val="0"/>
        <w:spacing w:before="0" w:after="120" w:line="313" w:lineRule="exact"/>
        <w:ind w:left="0" w:right="0"/>
        <w:jc w:val="both"/>
      </w:pPr>
      <w:bookmarkStart w:id="86" w:name="bookmark86"/>
      <w:r>
        <w:rPr>
          <w:color w:val="000000"/>
          <w:spacing w:val="0"/>
          <w:w w:val="100"/>
          <w:position w:val="0"/>
        </w:rPr>
        <w:t>（</w:t>
      </w:r>
      <w:bookmarkEnd w:id="86"/>
      <w:r>
        <w:rPr>
          <w:color w:val="000000"/>
          <w:spacing w:val="0"/>
          <w:w w:val="100"/>
          <w:position w:val="0"/>
        </w:rPr>
        <w:t>二）</w:t>
        <w:tab/>
        <w:t>公司主要经营模式</w:t>
      </w:r>
    </w:p>
    <w:p>
      <w:pPr>
        <w:pStyle w:val="Style16"/>
        <w:keepNext w:val="0"/>
        <w:keepLines w:val="0"/>
        <w:widowControl w:val="0"/>
        <w:shd w:val="clear" w:color="auto" w:fill="auto"/>
        <w:tabs>
          <w:tab w:pos="680" w:val="left"/>
        </w:tabs>
        <w:bidi w:val="0"/>
        <w:spacing w:before="0" w:after="0" w:line="360" w:lineRule="auto"/>
        <w:ind w:left="0" w:right="0"/>
        <w:jc w:val="both"/>
      </w:pPr>
      <w:bookmarkStart w:id="87" w:name="bookmark87"/>
      <w:r>
        <w:rPr>
          <w:rFonts w:ascii="Times New Roman" w:eastAsia="Times New Roman" w:hAnsi="Times New Roman" w:cs="Times New Roman"/>
          <w:color w:val="000000"/>
          <w:spacing w:val="0"/>
          <w:w w:val="100"/>
          <w:position w:val="0"/>
          <w:sz w:val="18"/>
          <w:szCs w:val="18"/>
        </w:rPr>
        <w:t>1</w:t>
      </w:r>
      <w:bookmarkEnd w:id="87"/>
      <w:r>
        <w:rPr>
          <w:color w:val="000000"/>
          <w:spacing w:val="0"/>
          <w:w w:val="100"/>
          <w:position w:val="0"/>
        </w:rPr>
        <w:t>、</w:t>
        <w:tab/>
        <w:t>技术服务模式</w:t>
      </w:r>
    </w:p>
    <w:p>
      <w:pPr>
        <w:pStyle w:val="Style16"/>
        <w:keepNext w:val="0"/>
        <w:keepLines w:val="0"/>
        <w:widowControl w:val="0"/>
        <w:shd w:val="clear" w:color="auto" w:fill="auto"/>
        <w:tabs>
          <w:tab w:pos="790" w:val="left"/>
        </w:tabs>
        <w:bidi w:val="0"/>
        <w:spacing w:before="0" w:after="0" w:line="313" w:lineRule="exact"/>
        <w:ind w:left="0" w:right="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公司根据客户的需求，利用自有知识产权产品开发满足其需求的软件系统。</w:t>
      </w:r>
    </w:p>
    <w:p>
      <w:pPr>
        <w:pStyle w:val="Style16"/>
        <w:keepNext w:val="0"/>
        <w:keepLines w:val="0"/>
        <w:widowControl w:val="0"/>
        <w:shd w:val="clear" w:color="auto" w:fill="auto"/>
        <w:tabs>
          <w:tab w:pos="790" w:val="left"/>
        </w:tabs>
        <w:bidi w:val="0"/>
        <w:spacing w:before="0" w:after="0" w:line="313" w:lineRule="exact"/>
        <w:ind w:left="0" w:right="0"/>
        <w:jc w:val="both"/>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公司向客户提供人力和技术支持，以客户需求为导向协助完成软件系统的开发。</w:t>
      </w:r>
    </w:p>
    <w:p>
      <w:pPr>
        <w:pStyle w:val="Style16"/>
        <w:keepNext w:val="0"/>
        <w:keepLines w:val="0"/>
        <w:widowControl w:val="0"/>
        <w:shd w:val="clear" w:color="auto" w:fill="auto"/>
        <w:tabs>
          <w:tab w:pos="790" w:val="left"/>
        </w:tabs>
        <w:bidi w:val="0"/>
        <w:spacing w:before="0" w:after="0" w:line="313" w:lineRule="exact"/>
        <w:ind w:left="0" w:right="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公司根据客户需求，提供专业测试服务、数据迁移服务。</w:t>
      </w:r>
    </w:p>
    <w:p>
      <w:pPr>
        <w:pStyle w:val="Style16"/>
        <w:keepNext w:val="0"/>
        <w:keepLines w:val="0"/>
        <w:widowControl w:val="0"/>
        <w:shd w:val="clear" w:color="auto" w:fill="auto"/>
        <w:tabs>
          <w:tab w:pos="790" w:val="left"/>
        </w:tabs>
        <w:bidi w:val="0"/>
        <w:spacing w:before="0" w:after="0" w:line="313" w:lineRule="exact"/>
        <w:ind w:left="0" w:right="0"/>
        <w:jc w:val="both"/>
      </w:pPr>
      <w:bookmarkStart w:id="91" w:name="bookmark91"/>
      <w:r>
        <w:rPr>
          <w:color w:val="000000"/>
          <w:spacing w:val="0"/>
          <w:w w:val="100"/>
          <w:position w:val="0"/>
        </w:rPr>
        <w:t>（</w:t>
      </w:r>
      <w:bookmarkEnd w:id="9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公司根据客户需求，提供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基础设施技术咨询规划、业务咨询及项目管理服务。</w:t>
      </w:r>
    </w:p>
    <w:p>
      <w:pPr>
        <w:pStyle w:val="Style16"/>
        <w:keepNext w:val="0"/>
        <w:keepLines w:val="0"/>
        <w:widowControl w:val="0"/>
        <w:shd w:val="clear" w:color="auto" w:fill="auto"/>
        <w:tabs>
          <w:tab w:pos="790" w:val="left"/>
        </w:tabs>
        <w:bidi w:val="0"/>
        <w:spacing w:before="0" w:after="0" w:line="313" w:lineRule="exact"/>
        <w:ind w:left="0" w:right="0"/>
        <w:jc w:val="both"/>
      </w:pPr>
      <w:bookmarkStart w:id="92" w:name="bookmark92"/>
      <w:r>
        <w:rPr>
          <w:color w:val="000000"/>
          <w:spacing w:val="0"/>
          <w:w w:val="100"/>
          <w:position w:val="0"/>
        </w:rPr>
        <w:t>（</w:t>
      </w:r>
      <w:bookmarkEnd w:id="9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公司定期和不定期对客户的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系统进行技术支持和运行维护。</w:t>
      </w:r>
    </w:p>
    <w:p>
      <w:pPr>
        <w:pStyle w:val="Style16"/>
        <w:keepNext w:val="0"/>
        <w:keepLines w:val="0"/>
        <w:widowControl w:val="0"/>
        <w:shd w:val="clear" w:color="auto" w:fill="auto"/>
        <w:tabs>
          <w:tab w:pos="790" w:val="left"/>
        </w:tabs>
        <w:bidi w:val="0"/>
        <w:spacing w:before="0" w:after="120" w:line="313" w:lineRule="exact"/>
        <w:ind w:left="0" w:right="0"/>
        <w:jc w:val="both"/>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公司根据客户需求，提供云计算服务和业务运营服务。</w:t>
      </w:r>
    </w:p>
    <w:p>
      <w:pPr>
        <w:pStyle w:val="Style16"/>
        <w:keepNext w:val="0"/>
        <w:keepLines w:val="0"/>
        <w:widowControl w:val="0"/>
        <w:shd w:val="clear" w:color="auto" w:fill="auto"/>
        <w:tabs>
          <w:tab w:pos="694" w:val="left"/>
        </w:tabs>
        <w:bidi w:val="0"/>
        <w:spacing w:before="0" w:after="0" w:line="360" w:lineRule="auto"/>
        <w:ind w:left="0" w:right="0"/>
        <w:jc w:val="both"/>
      </w:pPr>
      <w:bookmarkStart w:id="94" w:name="bookmark94"/>
      <w:r>
        <w:rPr>
          <w:rFonts w:ascii="Times New Roman" w:eastAsia="Times New Roman" w:hAnsi="Times New Roman" w:cs="Times New Roman"/>
          <w:color w:val="000000"/>
          <w:spacing w:val="0"/>
          <w:w w:val="100"/>
          <w:position w:val="0"/>
          <w:sz w:val="18"/>
          <w:szCs w:val="18"/>
        </w:rPr>
        <w:t>2</w:t>
      </w:r>
      <w:bookmarkEnd w:id="94"/>
      <w:r>
        <w:rPr>
          <w:color w:val="000000"/>
          <w:spacing w:val="0"/>
          <w:w w:val="100"/>
          <w:position w:val="0"/>
        </w:rPr>
        <w:t>、</w:t>
        <w:tab/>
        <w:t>营销模式</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公司以银行为主的金融机构为目标客户，向其直接销售软件产品及服务。针对客户的招标，公司设立了专门部门及人员 对招标信息进行收集，在通过内部销售支持系统完成项目机会中标概率评估后进行投标。</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公司以自主软件为核心，根据客户的特殊需求对软件进行二次开发，同时为客户提供咨询、方案设计、系统实施及相关 技术服务。公司根据收入比例、区域、产品特点制定了不同的营销体系并进行管理，主要包括：</w:t>
      </w:r>
    </w:p>
    <w:p>
      <w:pPr>
        <w:pStyle w:val="Style16"/>
        <w:keepNext w:val="0"/>
        <w:keepLines w:val="0"/>
        <w:widowControl w:val="0"/>
        <w:shd w:val="clear" w:color="auto" w:fill="auto"/>
        <w:tabs>
          <w:tab w:pos="852" w:val="left"/>
        </w:tabs>
        <w:bidi w:val="0"/>
        <w:spacing w:before="0" w:after="0" w:line="315" w:lineRule="exact"/>
        <w:ind w:left="0" w:right="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大客户体系：针对营业收入较大或潜在的大客户，公司专门针对这些大客户进行营销工作，并负责与该客户有关 的服务跟踪和售后保障等。</w:t>
      </w:r>
    </w:p>
    <w:p>
      <w:pPr>
        <w:pStyle w:val="Style16"/>
        <w:keepNext w:val="0"/>
        <w:keepLines w:val="0"/>
        <w:widowControl w:val="0"/>
        <w:shd w:val="clear" w:color="auto" w:fill="auto"/>
        <w:tabs>
          <w:tab w:pos="871" w:val="left"/>
        </w:tabs>
        <w:bidi w:val="0"/>
        <w:spacing w:before="0" w:after="0" w:line="315" w:lineRule="exact"/>
        <w:ind w:left="0" w:right="0"/>
        <w:jc w:val="both"/>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区域银行体系：对于城商行、农商行、农信社等数量大，业务共性大的客户，公司按照地域或客户类型，进行针 对性的营销工作，并负责与该客户有关的服务跟踪和售后保障等。</w:t>
      </w:r>
    </w:p>
    <w:p>
      <w:pPr>
        <w:pStyle w:val="Style16"/>
        <w:keepNext w:val="0"/>
        <w:keepLines w:val="0"/>
        <w:widowControl w:val="0"/>
        <w:shd w:val="clear" w:color="auto" w:fill="auto"/>
        <w:bidi w:val="0"/>
        <w:spacing w:before="0" w:after="0" w:line="315" w:lineRule="exact"/>
        <w:ind w:left="0" w:right="0"/>
        <w:jc w:val="both"/>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垂直产品体系：对非银金融机构、互联网金融企业等类别客户，按照产品垂直领域类型，进行针对性的营销工作， 并负责与该客户有关的产品售前、交付、售后保障服务等。</w:t>
      </w:r>
    </w:p>
    <w:p>
      <w:pPr>
        <w:pStyle w:val="Style16"/>
        <w:keepNext w:val="0"/>
        <w:keepLines w:val="0"/>
        <w:widowControl w:val="0"/>
        <w:shd w:val="clear" w:color="auto" w:fill="auto"/>
        <w:tabs>
          <w:tab w:pos="877" w:val="left"/>
        </w:tabs>
        <w:bidi w:val="0"/>
        <w:spacing w:before="0" w:after="0" w:line="315" w:lineRule="exact"/>
        <w:ind w:left="0" w:right="0"/>
        <w:jc w:val="both"/>
      </w:pPr>
      <w:bookmarkStart w:id="98" w:name="bookmark98"/>
      <w:r>
        <w:rPr>
          <w:color w:val="000000"/>
          <w:spacing w:val="0"/>
          <w:w w:val="100"/>
          <w:position w:val="0"/>
        </w:rPr>
        <w:t>（</w:t>
      </w:r>
      <w:bookmarkEnd w:id="98"/>
      <w:r>
        <w:rPr>
          <w:color w:val="000000"/>
          <w:spacing w:val="0"/>
          <w:w w:val="100"/>
          <w:position w:val="0"/>
        </w:rPr>
        <w:t>三）</w:t>
        <w:tab/>
        <w:t>报告期内公司主要完成的工作</w:t>
      </w:r>
    </w:p>
    <w:p>
      <w:pPr>
        <w:pStyle w:val="Style16"/>
        <w:keepNext w:val="0"/>
        <w:keepLines w:val="0"/>
        <w:widowControl w:val="0"/>
        <w:shd w:val="clear" w:color="auto" w:fill="auto"/>
        <w:bidi w:val="0"/>
        <w:spacing w:before="0" w:after="120" w:line="315" w:lineRule="exact"/>
        <w:ind w:left="0" w:right="0"/>
        <w:jc w:val="both"/>
      </w:pPr>
      <w:r>
        <w:rPr>
          <w:color w:val="000000"/>
          <w:spacing w:val="0"/>
          <w:w w:val="100"/>
          <w:position w:val="0"/>
        </w:rPr>
        <w:t>报告期内，公司业务规模发展较快、技术能力不断提高，综合行业排名和细分领域行业排名稳步提升。公司始终秉持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 务社会，普惠金融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的理念，持续打造成为金融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业核心服务商及金融科技行业领军者，赋能中国金融行业数字化转型。</w:t>
      </w:r>
    </w:p>
    <w:p>
      <w:pPr>
        <w:pStyle w:val="Style16"/>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、业务方面：</w:t>
      </w:r>
    </w:p>
    <w:p>
      <w:pPr>
        <w:pStyle w:val="Style16"/>
        <w:keepNext w:val="0"/>
        <w:keepLines w:val="0"/>
        <w:widowControl w:val="0"/>
        <w:shd w:val="clear" w:color="auto" w:fill="auto"/>
        <w:tabs>
          <w:tab w:pos="866" w:val="left"/>
        </w:tabs>
        <w:bidi w:val="0"/>
        <w:spacing w:before="0" w:after="0" w:line="315" w:lineRule="exact"/>
        <w:ind w:left="0" w:right="0"/>
        <w:jc w:val="both"/>
      </w:pPr>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信用卡业务持续保持高速发展，细分领域行业排名第一。在信用卡核心市场新中标了某国有大型商业银行及某全 国性股份制银行的信用卡核心系统项目，同时也助力某国有大型商业银行信用卡核心系统完成第一阶段投产；在信用零售的 市场也成功新签约了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多家客户，其中包含一家海外客户，正式将多年积累成熟的信用网贷平台服务于海外客户，正式迈出 信用网贷海外业务的开拓步伐；在信用卡产品研发端，继续保持产品研发升级计划，除了在原有的规划路径下，更多将客户 交付过程中的功能进行重构回归，我们始终秉承产品研发的一贯理念，将最优秀的解决方案提炼总结，以客户价值最大化， 为客户创造最先进、最成熟的产品解决方案为目标持续研发，创造国内完全自主可控的新一代开放式信用支付核心产品。</w:t>
      </w:r>
    </w:p>
    <w:p>
      <w:pPr>
        <w:pStyle w:val="Style16"/>
        <w:keepNext w:val="0"/>
        <w:keepLines w:val="0"/>
        <w:widowControl w:val="0"/>
        <w:shd w:val="clear" w:color="auto" w:fill="auto"/>
        <w:tabs>
          <w:tab w:pos="866" w:val="left"/>
        </w:tabs>
        <w:bidi w:val="0"/>
        <w:spacing w:before="0" w:after="0" w:line="315" w:lineRule="exact"/>
        <w:ind w:left="0" w:right="0"/>
        <w:jc w:val="both"/>
      </w:pPr>
      <w:bookmarkStart w:id="100" w:name="bookmark100"/>
      <w:r>
        <w:rPr>
          <w:color w:val="000000"/>
          <w:spacing w:val="0"/>
          <w:w w:val="100"/>
          <w:position w:val="0"/>
        </w:rPr>
        <w:t>（</w:t>
      </w:r>
      <w:bookmarkEnd w:id="1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金融风险管理领域继续加大人工智能、云计算、大数据、物联网、区块链等金融科技核心驱动要素的深化应用和 融合赋能，并积极配合头部金融机构完成信创国产化相关落地，为金融机构数字化转型提供高附加值综合</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服务。其中，公 司承建的某国有大型商业银行的投资与交易业务智能管控风险平台，基于分布式计算技术实现了高性能的市场风险计量引 擎，支持曲线曲面、头寸、市场参考数据管理、风险监测、管理分析等核心功能，全面替换国外知名品牌厂商软件，完成投 资交易业务的全流程自主研发，获得了亚洲银行家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年国际大奖；承建的某全国性股份制银行企业级估值平台，基于微服 务架构，采用自研估值模型，提供覆盖全机构、全资产、多法人的企业级估值服务，已实现多达</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种主流估值模型，且结合 日常经营管理与决策分析所需，创造性地实现了情景分析、压力测试、损益归因、损益预测等多维管理分析功能，实现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估值管理，全面提升企业级估值管理能力；承建的某区域性头部城商行</w:t>
      </w:r>
      <w:r>
        <w:rPr>
          <w:rFonts w:ascii="Times New Roman" w:eastAsia="Times New Roman" w:hAnsi="Times New Roman" w:cs="Times New Roman"/>
          <w:color w:val="000000"/>
          <w:spacing w:val="0"/>
          <w:w w:val="100"/>
          <w:position w:val="0"/>
          <w:sz w:val="18"/>
          <w:szCs w:val="18"/>
        </w:rPr>
        <w:t>IFRS9</w:t>
      </w:r>
      <w:r>
        <w:rPr>
          <w:color w:val="000000"/>
          <w:spacing w:val="0"/>
          <w:w w:val="100"/>
          <w:position w:val="0"/>
        </w:rPr>
        <w:t xml:space="preserve">减估值系统，实现了全栈国产化，作为 该城商行第一个全栈国产化项目试点，为后续信创推进奠定了良好的基础；承建的某省级农信社内部评级授信系统项目，基 </w:t>
      </w:r>
      <w:r>
        <w:rPr>
          <w:color w:val="000000"/>
          <w:spacing w:val="0"/>
          <w:w w:val="100"/>
          <w:position w:val="0"/>
        </w:rPr>
        <w:t>于云计算、</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NLP</w:t>
      </w:r>
      <w:r>
        <w:rPr>
          <w:color w:val="000000"/>
          <w:spacing w:val="0"/>
          <w:w w:val="100"/>
          <w:position w:val="0"/>
        </w:rPr>
        <w:t>等技术，在传统内评系统完善功能之上，一方面实现向前延展，打通合同、证件、票据、报表等多种 关键信息的数字化自动获取，另一方面向后深化，加强了评级在额度授信领域的应用，为业务提供更为精细化的管理支撑， 该项目的技术实践为银行云服务落地推进奠定了良好基础。</w:t>
      </w:r>
    </w:p>
    <w:p>
      <w:pPr>
        <w:pStyle w:val="Style16"/>
        <w:keepNext w:val="0"/>
        <w:keepLines w:val="0"/>
        <w:widowControl w:val="0"/>
        <w:shd w:val="clear" w:color="auto" w:fill="auto"/>
        <w:tabs>
          <w:tab w:pos="841" w:val="left"/>
        </w:tabs>
        <w:bidi w:val="0"/>
        <w:spacing w:before="0" w:after="0" w:line="315" w:lineRule="exact"/>
        <w:ind w:left="0" w:right="0"/>
        <w:jc w:val="both"/>
      </w:pPr>
      <w:bookmarkStart w:id="101" w:name="bookmark101"/>
      <w:r>
        <w:rPr>
          <w:color w:val="000000"/>
          <w:spacing w:val="0"/>
          <w:w w:val="100"/>
          <w:position w:val="0"/>
        </w:rPr>
        <w:t>（</w:t>
      </w:r>
      <w:bookmarkEnd w:id="10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数据业务领域，公司敏锐的抓住了银行信创国产化、数字化转型的趋势，依托探道</w:t>
      </w:r>
      <w:r>
        <w:rPr>
          <w:rFonts w:ascii="Times New Roman" w:eastAsia="Times New Roman" w:hAnsi="Times New Roman" w:cs="Times New Roman"/>
          <w:color w:val="000000"/>
          <w:spacing w:val="0"/>
          <w:w w:val="100"/>
          <w:position w:val="0"/>
          <w:sz w:val="18"/>
          <w:szCs w:val="18"/>
        </w:rPr>
        <w:t>TanData</w:t>
      </w:r>
      <w:r>
        <w:rPr>
          <w:color w:val="000000"/>
          <w:spacing w:val="0"/>
          <w:w w:val="100"/>
          <w:position w:val="0"/>
        </w:rPr>
        <w:t>数据中台系列软件产品， 为金融企业客户提供涵盖包括数据中台建设、数据治理咨询、数据资产管理、大数据分析等领域的体系化解决方案。报告期 内，公司重点在实时数据处理方向发力，助力某国有银行、多家全国性股份制银行和多家头部商业银行实现数据时效性和业 务价值的极大提升。同时，公司通过参与多个省级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地方金融监管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地方农业大数据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等项目，积极参与 政务金融生态体系建设及绿色农业、普惠金融等场景开拓。</w:t>
      </w:r>
    </w:p>
    <w:p>
      <w:pPr>
        <w:pStyle w:val="Style16"/>
        <w:keepNext w:val="0"/>
        <w:keepLines w:val="0"/>
        <w:widowControl w:val="0"/>
        <w:shd w:val="clear" w:color="auto" w:fill="auto"/>
        <w:tabs>
          <w:tab w:pos="841" w:val="left"/>
        </w:tabs>
        <w:bidi w:val="0"/>
        <w:spacing w:before="0" w:after="0" w:line="315" w:lineRule="exact"/>
        <w:ind w:left="0" w:right="0"/>
        <w:jc w:val="both"/>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营销业务领域，帮助银行全力提升客户运营与数字化营销能力。其中标签系列产品以其强大的功能优势，丰富的 标签体系，在行业中处于领先地位。在运营方面，以数据为驱动力，营销产品工具为抓手，在多家银行开展联合运营业务， 为客户带来业务价值的持续提升。</w:t>
      </w:r>
    </w:p>
    <w:p>
      <w:pPr>
        <w:pStyle w:val="Style16"/>
        <w:keepNext w:val="0"/>
        <w:keepLines w:val="0"/>
        <w:widowControl w:val="0"/>
        <w:shd w:val="clear" w:color="auto" w:fill="auto"/>
        <w:bidi w:val="0"/>
        <w:spacing w:before="0" w:after="0" w:line="315" w:lineRule="exact"/>
        <w:ind w:left="0" w:right="0"/>
        <w:jc w:val="both"/>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sz w:val="18"/>
          <w:szCs w:val="18"/>
        </w:rPr>
        <w:t>5</w:t>
      </w:r>
      <w:r>
        <w:rPr>
          <w:color w:val="000000"/>
          <w:spacing w:val="0"/>
          <w:w w:val="100"/>
          <w:position w:val="0"/>
        </w:rPr>
        <w:t>） 监管科技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RegTech</w:t>
      </w:r>
      <w:r>
        <w:rPr>
          <w:color w:val="000000"/>
          <w:spacing w:val="0"/>
          <w:w w:val="100"/>
          <w:position w:val="0"/>
        </w:rPr>
        <w:t>）</w:t>
      </w:r>
      <w:r>
        <w:rPr>
          <w:color w:val="000000"/>
          <w:spacing w:val="0"/>
          <w:w w:val="100"/>
          <w:position w:val="0"/>
        </w:rPr>
        <w:t>领域，公司依托成熟的探秘</w:t>
      </w:r>
      <w:r>
        <w:rPr>
          <w:rFonts w:ascii="Times New Roman" w:eastAsia="Times New Roman" w:hAnsi="Times New Roman" w:cs="Times New Roman"/>
          <w:color w:val="000000"/>
          <w:spacing w:val="0"/>
          <w:w w:val="100"/>
          <w:position w:val="0"/>
          <w:sz w:val="18"/>
          <w:szCs w:val="18"/>
        </w:rPr>
        <w:t>TanBiz</w:t>
      </w:r>
      <w:r>
        <w:rPr>
          <w:color w:val="000000"/>
          <w:spacing w:val="0"/>
          <w:w w:val="100"/>
          <w:position w:val="0"/>
        </w:rPr>
        <w:t>监管产品，抓住人民银行新一代征信、银保监会</w:t>
      </w:r>
      <w:r>
        <w:rPr>
          <w:rFonts w:ascii="Times New Roman" w:eastAsia="Times New Roman" w:hAnsi="Times New Roman" w:cs="Times New Roman"/>
          <w:color w:val="000000"/>
          <w:spacing w:val="0"/>
          <w:w w:val="100"/>
          <w:position w:val="0"/>
          <w:sz w:val="18"/>
          <w:szCs w:val="18"/>
        </w:rPr>
        <w:t xml:space="preserve">EAST5.0 </w:t>
      </w:r>
      <w:r>
        <w:rPr>
          <w:color w:val="000000"/>
          <w:spacing w:val="0"/>
          <w:w w:val="100"/>
          <w:position w:val="0"/>
        </w:rPr>
        <w:t>等监管新规的契机，在数十家金融机构成功部署，同时也参与了某大型金融科技企业下一代监管产品的开发。</w:t>
      </w:r>
    </w:p>
    <w:p>
      <w:pPr>
        <w:pStyle w:val="Style16"/>
        <w:keepNext w:val="0"/>
        <w:keepLines w:val="0"/>
        <w:widowControl w:val="0"/>
        <w:shd w:val="clear" w:color="auto" w:fill="auto"/>
        <w:tabs>
          <w:tab w:pos="841" w:val="left"/>
        </w:tabs>
        <w:bidi w:val="0"/>
        <w:spacing w:before="0" w:after="0" w:line="315" w:lineRule="exact"/>
        <w:ind w:left="0" w:right="0"/>
        <w:jc w:val="both"/>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大资产业务报告期内基于业务规模扩大需要，进行了资产业务组织架构升级；实现战略发展模式升级，深耕大客 户；发布了</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化的供应链金融云版本，完成了信贷平台一体化研发，实现了信贷业务需求结构化、场景一体化设计的换代 升级；参与了邮储银行信贷平台全面切换上线，建设银行全行级对公信贷平台重构及上线切换等有标志性意义的项目。</w:t>
      </w:r>
    </w:p>
    <w:p>
      <w:pPr>
        <w:pStyle w:val="Style16"/>
        <w:keepNext w:val="0"/>
        <w:keepLines w:val="0"/>
        <w:widowControl w:val="0"/>
        <w:shd w:val="clear" w:color="auto" w:fill="auto"/>
        <w:tabs>
          <w:tab w:pos="846" w:val="left"/>
        </w:tabs>
        <w:bidi w:val="0"/>
        <w:spacing w:before="0" w:after="0" w:line="315" w:lineRule="exact"/>
        <w:ind w:left="0" w:right="0"/>
        <w:jc w:val="both"/>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咨询业务在报告期内结合国家十四五规划对金融行业的方向性要求，根据银行未来的发展趋势与行业自身的业务 特点，从业务、科技、数据等不同维度提炼银行业数字化建设的需求与特点，为多家不同性质的银行差异化的制定了未来五 年数字化转型与科技建设规划方案。公司加大项目管理工具研发力度，为各类项目提供科学、便捷的管理工具并形成创新管 理模式，大大节约了人员投入的成本并提升了项目管理的效率。项目管理团队助力某城商行成功实现了在半年内顺利组建， 并在整合原有两家银行的过程中提供专家保障服务，其中涉及总账、数据迁移、监管报送、项目管理等核心内容。</w:t>
      </w:r>
    </w:p>
    <w:p>
      <w:pPr>
        <w:pStyle w:val="Style16"/>
        <w:keepNext w:val="0"/>
        <w:keepLines w:val="0"/>
        <w:widowControl w:val="0"/>
        <w:shd w:val="clear" w:color="auto" w:fill="auto"/>
        <w:tabs>
          <w:tab w:pos="846" w:val="left"/>
        </w:tabs>
        <w:bidi w:val="0"/>
        <w:spacing w:before="0" w:after="0" w:line="315" w:lineRule="exact"/>
        <w:ind w:left="0" w:right="0"/>
        <w:jc w:val="both"/>
      </w:pPr>
      <w:bookmarkStart w:id="106" w:name="bookmark106"/>
      <w:r>
        <w:rPr>
          <w:color w:val="000000"/>
          <w:spacing w:val="0"/>
          <w:w w:val="100"/>
          <w:position w:val="0"/>
        </w:rPr>
        <w:t>（</w:t>
      </w:r>
      <w:bookmarkEnd w:id="106"/>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专业测试领域继续加大测试能力建设，持续积累银行核心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数字人民币等大型项目群测试解决方 案、大数据测试解决方案、信创国产化测试解决方案等，研发配套的测试工具体系，为金融机构提供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系统的一站式专业测 试服务，积极配合头部金融机构完成数字化转型、信创国产化、</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系统建设。其中，承接的某国有银行数字人民币测试项目， 运用自动化技术对多渠道进行全场景测试，开展异常和破坏性测试，确保数字人民币在各种场景下的可靠性。承接的某全国 性股份制银行国产化核心系统测试项目，针对全国产化技术栈，包括：国产化的服务器、操作系统、数据库、云平台、中间 件等，开展分布式组件测试、性能测试、高可用性测试、混沌测试、扩展性测试、稳定性测试等，确保核心系统信创国产化 落地的质量。</w:t>
      </w:r>
    </w:p>
    <w:p>
      <w:pPr>
        <w:pStyle w:val="Style16"/>
        <w:keepNext w:val="0"/>
        <w:keepLines w:val="0"/>
        <w:widowControl w:val="0"/>
        <w:shd w:val="clear" w:color="auto" w:fill="auto"/>
        <w:tabs>
          <w:tab w:pos="674" w:val="left"/>
        </w:tabs>
        <w:bidi w:val="0"/>
        <w:spacing w:before="0" w:after="0" w:line="315" w:lineRule="exact"/>
        <w:ind w:left="0" w:right="0"/>
        <w:jc w:val="both"/>
      </w:pPr>
      <w:bookmarkStart w:id="107" w:name="bookmark107"/>
      <w:r>
        <w:rPr>
          <w:rFonts w:ascii="Times New Roman" w:eastAsia="Times New Roman" w:hAnsi="Times New Roman" w:cs="Times New Roman"/>
          <w:color w:val="000000"/>
          <w:spacing w:val="0"/>
          <w:w w:val="100"/>
          <w:position w:val="0"/>
          <w:sz w:val="18"/>
          <w:szCs w:val="18"/>
        </w:rPr>
        <w:t>2</w:t>
      </w:r>
      <w:bookmarkEnd w:id="107"/>
      <w:r>
        <w:rPr>
          <w:color w:val="000000"/>
          <w:spacing w:val="0"/>
          <w:w w:val="100"/>
          <w:position w:val="0"/>
        </w:rPr>
        <w:t>、</w:t>
        <w:tab/>
        <w:t>持续加大研发投入</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公司一直非常重视研发工作，过去几年的快速发展，也是得益于在产品的创新和研发方面大力投入，公司会继续坚持这 样的发展战略，公司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年研发费用投入</w:t>
      </w:r>
      <w:r>
        <w:rPr>
          <w:rFonts w:ascii="Times New Roman" w:eastAsia="Times New Roman" w:hAnsi="Times New Roman" w:cs="Times New Roman"/>
          <w:color w:val="000000"/>
          <w:spacing w:val="0"/>
          <w:w w:val="100"/>
          <w:position w:val="0"/>
          <w:sz w:val="18"/>
          <w:szCs w:val="18"/>
        </w:rPr>
        <w:t>25,534.73</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77.63%</w:t>
      </w:r>
      <w:r>
        <w:rPr>
          <w:color w:val="000000"/>
          <w:spacing w:val="0"/>
          <w:w w:val="100"/>
          <w:position w:val="0"/>
        </w:rPr>
        <w:t>，重点在技术平台、技术工具、业务组件和可重 用的技术和业务资产方面加强研发，为客户提供持续的高质量的产品、解决方案及服务。</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公司现已形成了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研究院和专业事业部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两级研发体系，研究院承担公司基础技术平台产品和工具研发，专业事业部承担 金融行业中的业务领域应用产品和解决方案的研发，确保了公司的技术支撑能力、业务创新能力的可持续性。</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年研发投 入增强了公司在信用卡、信贷、风险、数据、云计算等核心产品线的技术能力及项目交付效率，提高了公司行业细分领域的 市场竞争力和占有率。</w:t>
      </w:r>
    </w:p>
    <w:p>
      <w:pPr>
        <w:pStyle w:val="Style16"/>
        <w:keepNext w:val="0"/>
        <w:keepLines w:val="0"/>
        <w:widowControl w:val="0"/>
        <w:shd w:val="clear" w:color="auto" w:fill="auto"/>
        <w:tabs>
          <w:tab w:pos="674" w:val="left"/>
        </w:tabs>
        <w:bidi w:val="0"/>
        <w:spacing w:before="0" w:after="0" w:line="312" w:lineRule="exact"/>
        <w:ind w:left="0" w:right="0"/>
        <w:jc w:val="both"/>
      </w:pPr>
      <w:bookmarkStart w:id="108" w:name="bookmark108"/>
      <w:r>
        <w:rPr>
          <w:rFonts w:ascii="Times New Roman" w:eastAsia="Times New Roman" w:hAnsi="Times New Roman" w:cs="Times New Roman"/>
          <w:color w:val="000000"/>
          <w:spacing w:val="0"/>
          <w:w w:val="100"/>
          <w:position w:val="0"/>
          <w:sz w:val="18"/>
          <w:szCs w:val="18"/>
        </w:rPr>
        <w:t>3</w:t>
      </w:r>
      <w:bookmarkEnd w:id="108"/>
      <w:r>
        <w:rPr>
          <w:color w:val="000000"/>
          <w:spacing w:val="0"/>
          <w:w w:val="100"/>
          <w:position w:val="0"/>
        </w:rPr>
        <w:t>、</w:t>
        <w:tab/>
        <w:t>运营管理</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公司持续加强运营管理体系的组织及能力建设，提升销售、交付、过程改善和信息安全的综合管理和服务能力。重点加 强了项目交付与回款的运营服务支撑能力，从公司级到事业部级，建立多维度、多层次、跨部门回款跟踪管理体系、优化跟 踪流程，加强日常和专项跟踪管理工作。持续提高公司运营</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系统对公司业务发展的支撑作用，实现从商机、签约、实施、 交付到回款的全流程跟踪与管理，进一步促进经营目标的有效达成。</w:t>
      </w:r>
    </w:p>
    <w:p>
      <w:pPr>
        <w:pStyle w:val="Style21"/>
        <w:keepNext/>
        <w:keepLines/>
        <w:widowControl w:val="0"/>
        <w:shd w:val="clear" w:color="auto" w:fill="auto"/>
        <w:bidi w:val="0"/>
        <w:spacing w:before="0" w:after="26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三</w:t>
      </w:r>
      <w:bookmarkEnd w:id="111"/>
      <w:r>
        <w:rPr>
          <w:color w:val="000000"/>
          <w:spacing w:val="0"/>
          <w:w w:val="100"/>
          <w:position w:val="0"/>
        </w:rPr>
        <w:t>、核心竞争力分析</w:t>
      </w:r>
      <w:bookmarkEnd w:id="109"/>
      <w:bookmarkEnd w:id="110"/>
      <w:bookmarkEnd w:id="112"/>
    </w:p>
    <w:p>
      <w:pPr>
        <w:pStyle w:val="Style16"/>
        <w:keepNext w:val="0"/>
        <w:keepLines w:val="0"/>
        <w:widowControl w:val="0"/>
        <w:shd w:val="clear" w:color="auto" w:fill="auto"/>
        <w:tabs>
          <w:tab w:pos="656" w:val="left"/>
        </w:tabs>
        <w:bidi w:val="0"/>
        <w:spacing w:before="0" w:after="0" w:line="315" w:lineRule="exact"/>
        <w:ind w:left="0" w:right="0"/>
        <w:jc w:val="left"/>
      </w:pPr>
      <w:bookmarkStart w:id="113" w:name="bookmark113"/>
      <w:r>
        <w:rPr>
          <w:rFonts w:ascii="Times New Roman" w:eastAsia="Times New Roman" w:hAnsi="Times New Roman" w:cs="Times New Roman"/>
          <w:color w:val="000000"/>
          <w:spacing w:val="0"/>
          <w:w w:val="100"/>
          <w:position w:val="0"/>
          <w:sz w:val="18"/>
          <w:szCs w:val="18"/>
        </w:rPr>
        <w:t>1</w:t>
      </w:r>
      <w:bookmarkEnd w:id="113"/>
      <w:r>
        <w:rPr>
          <w:color w:val="000000"/>
          <w:spacing w:val="0"/>
          <w:w w:val="100"/>
          <w:position w:val="0"/>
        </w:rPr>
        <w:t>、</w:t>
        <w:tab/>
        <w:t>核心业务突出，行业地位领先</w:t>
      </w:r>
    </w:p>
    <w:p>
      <w:pPr>
        <w:pStyle w:val="Style16"/>
        <w:keepNext w:val="0"/>
        <w:keepLines w:val="0"/>
        <w:widowControl w:val="0"/>
        <w:shd w:val="clear" w:color="auto" w:fill="auto"/>
        <w:bidi w:val="0"/>
        <w:spacing w:before="0" w:after="0" w:line="315" w:lineRule="exact"/>
        <w:ind w:left="0" w:right="0"/>
        <w:jc w:val="left"/>
      </w:pPr>
      <w:r>
        <w:rPr>
          <w:color w:val="000000"/>
          <w:spacing w:val="0"/>
          <w:w w:val="100"/>
          <w:position w:val="0"/>
        </w:rPr>
        <w:t>公司的业务分为咨询、金融科技产品、金融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服务、云计算和运营服务五大模块，其中公司的金融科技产品聚焦于银行 的关键业务领域及关键创新环节。正是源于对优势业务的战略聚焦，市场排名不断提升。根据赛迪顾问于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月权威发 布的《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中国银行业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解决方案市场份额分析报告》，公司总体市场竞争排名第四名，其中信用卡和风险管理专项排名第 一，客户关系管理专项排名第二，交易银行、信贷管理和商业智能专项排名第三。公司通过持续加强在信用卡、风险管理、 信贷、交易银行、数据中台和智能营销的研发，增强了上述领域的市场竞争力，成功争取了一批具有行业影响力的项目。同 时公司测试服务和咨询服务业务也处于行业领先地位。</w:t>
      </w:r>
    </w:p>
    <w:p>
      <w:pPr>
        <w:pStyle w:val="Style16"/>
        <w:keepNext w:val="0"/>
        <w:keepLines w:val="0"/>
        <w:widowControl w:val="0"/>
        <w:shd w:val="clear" w:color="auto" w:fill="auto"/>
        <w:tabs>
          <w:tab w:pos="674" w:val="left"/>
        </w:tabs>
        <w:bidi w:val="0"/>
        <w:spacing w:before="0" w:after="0" w:line="315" w:lineRule="exact"/>
        <w:ind w:left="0" w:right="0"/>
        <w:jc w:val="left"/>
      </w:pPr>
      <w:bookmarkStart w:id="114" w:name="bookmark114"/>
      <w:r>
        <w:rPr>
          <w:rFonts w:ascii="Times New Roman" w:eastAsia="Times New Roman" w:hAnsi="Times New Roman" w:cs="Times New Roman"/>
          <w:color w:val="000000"/>
          <w:spacing w:val="0"/>
          <w:w w:val="100"/>
          <w:position w:val="0"/>
          <w:sz w:val="18"/>
          <w:szCs w:val="18"/>
        </w:rPr>
        <w:t>2</w:t>
      </w:r>
      <w:bookmarkEnd w:id="114"/>
      <w:r>
        <w:rPr>
          <w:color w:val="000000"/>
          <w:spacing w:val="0"/>
          <w:w w:val="100"/>
          <w:position w:val="0"/>
        </w:rPr>
        <w:t>、</w:t>
        <w:tab/>
        <w:t>研发竞争力优势</w:t>
      </w:r>
    </w:p>
    <w:p>
      <w:pPr>
        <w:pStyle w:val="Style16"/>
        <w:keepNext w:val="0"/>
        <w:keepLines w:val="0"/>
        <w:widowControl w:val="0"/>
        <w:shd w:val="clear" w:color="auto" w:fill="auto"/>
        <w:bidi w:val="0"/>
        <w:spacing w:before="0" w:after="0" w:line="315" w:lineRule="exact"/>
        <w:ind w:left="0" w:right="0"/>
        <w:jc w:val="left"/>
      </w:pPr>
      <w:r>
        <w:rPr>
          <w:color w:val="000000"/>
          <w:spacing w:val="0"/>
          <w:w w:val="100"/>
          <w:position w:val="0"/>
        </w:rPr>
        <w:t>公司在银行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解决方案领域积累了丰富的产品研发、实施服务和技术创新经验，在部分细分领域提出了完整的一体化行 业解决方案并积累了众多的成功案例。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年公司持续加大研发与投入，累计投入</w:t>
      </w:r>
      <w:r>
        <w:rPr>
          <w:rFonts w:ascii="Times New Roman" w:eastAsia="Times New Roman" w:hAnsi="Times New Roman" w:cs="Times New Roman"/>
          <w:color w:val="000000"/>
          <w:spacing w:val="0"/>
          <w:w w:val="100"/>
          <w:position w:val="0"/>
          <w:sz w:val="18"/>
          <w:szCs w:val="18"/>
        </w:rPr>
        <w:t>25,534.73</w:t>
      </w:r>
      <w:r>
        <w:rPr>
          <w:color w:val="000000"/>
          <w:spacing w:val="0"/>
          <w:w w:val="100"/>
          <w:position w:val="0"/>
        </w:rPr>
        <w:t>万元，占收入比例</w:t>
      </w:r>
      <w:r>
        <w:rPr>
          <w:rFonts w:ascii="Times New Roman" w:eastAsia="Times New Roman" w:hAnsi="Times New Roman" w:cs="Times New Roman"/>
          <w:color w:val="000000"/>
          <w:spacing w:val="0"/>
          <w:w w:val="100"/>
          <w:position w:val="0"/>
          <w:sz w:val="18"/>
          <w:szCs w:val="18"/>
        </w:rPr>
        <w:t>14.38%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年公司继续按照募集资金投资项目的规划进一步推进新一代银行业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解决方案建设项目、产业链金融综合服务平台升级项目 和研发中心升级项目的建设，使公司主要产品得到完善升级，增强公司的软件开发能力、自主创新能力；同时公司也加大在 云计算方面的研发投入，增强核心竞争力，为后续云业务拓展奠定坚实基础。</w:t>
      </w:r>
    </w:p>
    <w:p>
      <w:pPr>
        <w:pStyle w:val="Style16"/>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年初中国人民银行印发了《金融科技发展规划（</w:t>
      </w:r>
      <w:r>
        <w:rPr>
          <w:rFonts w:ascii="Times New Roman" w:eastAsia="Times New Roman" w:hAnsi="Times New Roman" w:cs="Times New Roman"/>
          <w:color w:val="000000"/>
          <w:spacing w:val="0"/>
          <w:w w:val="100"/>
          <w:position w:val="0"/>
          <w:sz w:val="18"/>
          <w:szCs w:val="18"/>
        </w:rPr>
        <w:t>2022-2025</w:t>
      </w:r>
      <w:r>
        <w:rPr>
          <w:color w:val="000000"/>
          <w:spacing w:val="0"/>
          <w:w w:val="100"/>
          <w:position w:val="0"/>
        </w:rPr>
        <w:t>年）》、中国银保监会办公厅印发了《关于银行业保险 业数字化转型的指导意见》，这两份文件将会极大地推动整个金融行业，尤其是银行业的数字化转型，银行业的数字化转型 正演变成一种势不可挡的趋势。然而中小银行由于其自身科技投资的不足、专业人才的短缺、以及现有组织机制无法满足数 字化转型对组织敏捷性的要求，这些都导致了中小银行不可能采取同大型国有银行及股份制银行一样的银行科技自建模式来 实现其数字化转型，采用云化的数字化方式，在场景端、数据端、技术端和运营端的开放合作，是中小银行数字化转型的一 个必由之路。公司在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年加大了在云计算领域的研发投入，研发项目包括智能风控云、云管理平台等，希望以云计算的模 式赋能中小银行的数字化转型，为公司实现跨越式发展提供新动力。</w:t>
      </w:r>
    </w:p>
    <w:p>
      <w:pPr>
        <w:pStyle w:val="Style16"/>
        <w:keepNext w:val="0"/>
        <w:keepLines w:val="0"/>
        <w:widowControl w:val="0"/>
        <w:shd w:val="clear" w:color="auto" w:fill="auto"/>
        <w:bidi w:val="0"/>
        <w:spacing w:before="0" w:after="100" w:line="313" w:lineRule="exact"/>
        <w:ind w:left="0" w:right="0"/>
        <w:jc w:val="left"/>
      </w:pPr>
      <w:r>
        <w:rPr>
          <w:color w:val="000000"/>
          <w:spacing w:val="0"/>
          <w:w w:val="100"/>
          <w:position w:val="0"/>
        </w:rPr>
        <w:t>公司为高新技术企业，拥有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项发明专利、</w:t>
      </w:r>
      <w:r>
        <w:rPr>
          <w:rFonts w:ascii="Times New Roman" w:eastAsia="Times New Roman" w:hAnsi="Times New Roman" w:cs="Times New Roman"/>
          <w:color w:val="000000"/>
          <w:spacing w:val="0"/>
          <w:w w:val="100"/>
          <w:position w:val="0"/>
          <w:sz w:val="18"/>
          <w:szCs w:val="18"/>
        </w:rPr>
        <w:t>459</w:t>
      </w:r>
      <w:r>
        <w:rPr>
          <w:color w:val="000000"/>
          <w:spacing w:val="0"/>
          <w:w w:val="100"/>
          <w:position w:val="0"/>
        </w:rPr>
        <w:t>项软著权，拥有</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级认证、软件测试成熟度模型集成（</w:t>
      </w:r>
      <w:r>
        <w:rPr>
          <w:rFonts w:ascii="Times New Roman" w:eastAsia="Times New Roman" w:hAnsi="Times New Roman" w:cs="Times New Roman"/>
          <w:color w:val="000000"/>
          <w:spacing w:val="0"/>
          <w:w w:val="100"/>
          <w:position w:val="0"/>
          <w:sz w:val="18"/>
          <w:szCs w:val="18"/>
        </w:rPr>
        <w:t>TMMi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级 认证、</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质量管理体系认证、</w:t>
      </w:r>
      <w:r>
        <w:rPr>
          <w:rFonts w:ascii="Times New Roman" w:eastAsia="Times New Roman" w:hAnsi="Times New Roman" w:cs="Times New Roman"/>
          <w:color w:val="000000"/>
          <w:spacing w:val="0"/>
          <w:w w:val="100"/>
          <w:position w:val="0"/>
          <w:sz w:val="18"/>
          <w:szCs w:val="18"/>
        </w:rPr>
        <w:t>ISO20000</w:t>
      </w:r>
      <w:r>
        <w:rPr>
          <w:color w:val="000000"/>
          <w:spacing w:val="0"/>
          <w:w w:val="100"/>
          <w:position w:val="0"/>
        </w:rPr>
        <w:t>信息技术服务管理体系认证、</w:t>
      </w:r>
      <w:r>
        <w:rPr>
          <w:rFonts w:ascii="Times New Roman" w:eastAsia="Times New Roman" w:hAnsi="Times New Roman" w:cs="Times New Roman"/>
          <w:color w:val="000000"/>
          <w:spacing w:val="0"/>
          <w:w w:val="100"/>
          <w:position w:val="0"/>
          <w:sz w:val="18"/>
          <w:szCs w:val="18"/>
        </w:rPr>
        <w:t>IS027001</w:t>
      </w:r>
      <w:r>
        <w:rPr>
          <w:color w:val="000000"/>
          <w:spacing w:val="0"/>
          <w:w w:val="100"/>
          <w:position w:val="0"/>
        </w:rPr>
        <w:t>信息安全管理体系认证、</w:t>
      </w:r>
      <w:r>
        <w:rPr>
          <w:rFonts w:ascii="Times New Roman" w:eastAsia="Times New Roman" w:hAnsi="Times New Roman" w:cs="Times New Roman"/>
          <w:color w:val="000000"/>
          <w:spacing w:val="0"/>
          <w:w w:val="100"/>
          <w:position w:val="0"/>
          <w:sz w:val="18"/>
          <w:szCs w:val="18"/>
        </w:rPr>
        <w:t>ISO22301</w:t>
      </w:r>
      <w:r>
        <w:rPr>
          <w:color w:val="000000"/>
          <w:spacing w:val="0"/>
          <w:w w:val="100"/>
          <w:position w:val="0"/>
        </w:rPr>
        <w:t>业务 联系性管理体系、</w:t>
      </w:r>
      <w:r>
        <w:rPr>
          <w:rFonts w:ascii="Times New Roman" w:eastAsia="Times New Roman" w:hAnsi="Times New Roman" w:cs="Times New Roman"/>
          <w:color w:val="000000"/>
          <w:spacing w:val="0"/>
          <w:w w:val="100"/>
          <w:position w:val="0"/>
          <w:sz w:val="18"/>
          <w:szCs w:val="18"/>
        </w:rPr>
        <w:t>CCRC</w:t>
      </w:r>
      <w:r>
        <w:rPr>
          <w:color w:val="000000"/>
          <w:spacing w:val="0"/>
          <w:w w:val="100"/>
          <w:position w:val="0"/>
        </w:rPr>
        <w:t>信息安全服务资质认证（软件安全开发和安全运维方向）等资质。</w:t>
      </w:r>
    </w:p>
    <w:p>
      <w:pPr>
        <w:pStyle w:val="Style16"/>
        <w:keepNext w:val="0"/>
        <w:keepLines w:val="0"/>
        <w:widowControl w:val="0"/>
        <w:shd w:val="clear" w:color="auto" w:fill="auto"/>
        <w:tabs>
          <w:tab w:pos="674" w:val="left"/>
        </w:tabs>
        <w:bidi w:val="0"/>
        <w:spacing w:before="0" w:after="0" w:line="360" w:lineRule="auto"/>
        <w:ind w:left="0" w:right="0"/>
        <w:jc w:val="left"/>
      </w:pPr>
      <w:bookmarkStart w:id="115" w:name="bookmark115"/>
      <w:r>
        <w:rPr>
          <w:rFonts w:ascii="Times New Roman" w:eastAsia="Times New Roman" w:hAnsi="Times New Roman" w:cs="Times New Roman"/>
          <w:color w:val="000000"/>
          <w:spacing w:val="0"/>
          <w:w w:val="100"/>
          <w:position w:val="0"/>
          <w:sz w:val="18"/>
          <w:szCs w:val="18"/>
        </w:rPr>
        <w:t>3</w:t>
      </w:r>
      <w:bookmarkEnd w:id="115"/>
      <w:r>
        <w:rPr>
          <w:color w:val="000000"/>
          <w:spacing w:val="0"/>
          <w:w w:val="100"/>
          <w:position w:val="0"/>
        </w:rPr>
        <w:t>、</w:t>
        <w:tab/>
        <w:t>客户结构优势</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近年来，与公司开展合作的银行客户逐年大幅增加，公司累计已与三百多家金融行业客户建立良好的合作关系，</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覆盖国内所有主要银行、客户结构不断优化。目前，公司业务涵盖了包括政策性银行、国有银行、股份制银行、城市商业银 行和农村信用合作社在内的，层次完整的银行业客户体系。公司与政策性银行、国有银行、股份制银行等在内的资产规模超 过万亿的大型银行客户建立了紧密的合作关系，并成为公司的主要客户。公司与大型银行客户合作的业务收入规模占比较高 并呈持续增长态势。大型银行客户具有价值高、市场规模大、增长速度快的优势，与大型银行客户的持续合作充分体现了大 行对公司产品和解决方案高度地认可，能为公司带来大规模稳定的收入和利润，促进公司产品服务和专业能力稳步提高，也 提升了公司在行业内的品牌影响力，有利于进一步拓展和获取更多的优质银行客户。</w:t>
      </w:r>
    </w:p>
    <w:p>
      <w:pPr>
        <w:pStyle w:val="Style16"/>
        <w:keepNext w:val="0"/>
        <w:keepLines w:val="0"/>
        <w:widowControl w:val="0"/>
        <w:shd w:val="clear" w:color="auto" w:fill="auto"/>
        <w:tabs>
          <w:tab w:pos="674" w:val="left"/>
        </w:tabs>
        <w:bidi w:val="0"/>
        <w:spacing w:before="0" w:after="0" w:line="313" w:lineRule="exact"/>
        <w:ind w:left="0" w:right="0"/>
        <w:jc w:val="left"/>
      </w:pPr>
      <w:bookmarkStart w:id="116" w:name="bookmark116"/>
      <w:r>
        <w:rPr>
          <w:rFonts w:ascii="Times New Roman" w:eastAsia="Times New Roman" w:hAnsi="Times New Roman" w:cs="Times New Roman"/>
          <w:color w:val="000000"/>
          <w:spacing w:val="0"/>
          <w:w w:val="100"/>
          <w:position w:val="0"/>
          <w:sz w:val="18"/>
          <w:szCs w:val="18"/>
        </w:rPr>
        <w:t>4</w:t>
      </w:r>
      <w:bookmarkEnd w:id="116"/>
      <w:r>
        <w:rPr>
          <w:color w:val="000000"/>
          <w:spacing w:val="0"/>
          <w:w w:val="100"/>
          <w:position w:val="0"/>
        </w:rPr>
        <w:t>、</w:t>
        <w:tab/>
        <w:t>金融咨询服务行业龙头</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金融咨询作为银行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解决方案的顶层设计，具有极其重要的地位。咨询公司通过深入分析金融行业客户的具体情况，提 出有针对性的、可落地的咨询建议和解决方案，能够有效地帮助客户解决实际问题，实现高效率的运作和管理。公司的全资 子公司卡洛其结合国家十四五规划对金融行业的方向性要求，根据银行未来的发展趋势与行业自身的业务特点，从业务、科 技、数据等不同维度提炼银行业数字化建设的需求与特点，为多家不同性质的银行差异化的制定未来五年数字化转型与科技 建设规划方案，满足客户对业务创新、管理创新和降低成本的需求，帮助银行提高自主可控率、信息安全和业务安全水平， 咨询能力在行业内处于领先地位。</w:t>
      </w:r>
    </w:p>
    <w:p>
      <w:pPr>
        <w:pStyle w:val="Style16"/>
        <w:keepNext w:val="0"/>
        <w:keepLines w:val="0"/>
        <w:widowControl w:val="0"/>
        <w:shd w:val="clear" w:color="auto" w:fill="auto"/>
        <w:tabs>
          <w:tab w:pos="674" w:val="left"/>
        </w:tabs>
        <w:bidi w:val="0"/>
        <w:spacing w:before="0" w:after="0" w:line="313" w:lineRule="exact"/>
        <w:ind w:left="0" w:right="0"/>
        <w:jc w:val="left"/>
      </w:pPr>
      <w:bookmarkStart w:id="117" w:name="bookmark117"/>
      <w:r>
        <w:rPr>
          <w:rFonts w:ascii="Times New Roman" w:eastAsia="Times New Roman" w:hAnsi="Times New Roman" w:cs="Times New Roman"/>
          <w:color w:val="000000"/>
          <w:spacing w:val="0"/>
          <w:w w:val="100"/>
          <w:position w:val="0"/>
          <w:sz w:val="18"/>
          <w:szCs w:val="18"/>
        </w:rPr>
        <w:t>5</w:t>
      </w:r>
      <w:bookmarkEnd w:id="117"/>
      <w:r>
        <w:rPr>
          <w:color w:val="000000"/>
          <w:spacing w:val="0"/>
          <w:w w:val="100"/>
          <w:position w:val="0"/>
        </w:rPr>
        <w:t>、</w:t>
        <w:tab/>
        <w:t>业务发展与国家政策相匹配</w:t>
      </w:r>
    </w:p>
    <w:p>
      <w:pPr>
        <w:pStyle w:val="Style16"/>
        <w:keepNext w:val="0"/>
        <w:keepLines w:val="0"/>
        <w:widowControl w:val="0"/>
        <w:numPr>
          <w:ilvl w:val="0"/>
          <w:numId w:val="1"/>
        </w:numPr>
        <w:shd w:val="clear" w:color="auto" w:fill="auto"/>
        <w:bidi w:val="0"/>
        <w:spacing w:before="0" w:after="0" w:line="313" w:lineRule="exact"/>
        <w:ind w:left="0" w:right="0"/>
        <w:jc w:val="left"/>
      </w:pPr>
      <w:bookmarkStart w:id="118" w:name="bookmark118"/>
      <w:bookmarkEnd w:id="118"/>
      <w:r>
        <w:rPr>
          <w:color w:val="000000"/>
          <w:spacing w:val="0"/>
          <w:w w:val="100"/>
          <w:position w:val="0"/>
        </w:rPr>
        <w:t>金融安全</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金融安全是国家安全的重要组成部分，同时也是一国经济发展的基础。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自主可控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是金融行业近年来在</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投资方面的要 求，信创成为了未来行业增长的主要驱动因素之一。公司的相关业务发展与国家政策相匹配，并顺应了市场的发展趋势，近 </w:t>
      </w:r>
      <w:r>
        <w:rPr>
          <w:color w:val="000000"/>
          <w:spacing w:val="0"/>
          <w:w w:val="100"/>
          <w:position w:val="0"/>
        </w:rPr>
        <w:t>年来，公司更加重视在相关解决方案上的研发与投入，特别是在产品国产化和自主可控方面，不断深入，基于开源或自主研 发项目，不断升级技术领域的深度和能力，采用自主可控的云计算和分布式计算技术，替代国外的系统软件和应用软件产品， 极大降低了成本，提高信息安全性，满足国内大用户量、大数据量和大交易量环境下稳定可靠运行的需求。</w:t>
      </w:r>
    </w:p>
    <w:p>
      <w:pPr>
        <w:pStyle w:val="Style16"/>
        <w:keepNext w:val="0"/>
        <w:keepLines w:val="0"/>
        <w:widowControl w:val="0"/>
        <w:numPr>
          <w:ilvl w:val="0"/>
          <w:numId w:val="1"/>
        </w:numPr>
        <w:shd w:val="clear" w:color="auto" w:fill="auto"/>
        <w:tabs>
          <w:tab w:pos="693" w:val="left"/>
        </w:tabs>
        <w:bidi w:val="0"/>
        <w:spacing w:before="0" w:after="0" w:line="315" w:lineRule="exact"/>
        <w:ind w:left="0" w:right="0"/>
        <w:jc w:val="both"/>
      </w:pPr>
      <w:bookmarkStart w:id="119" w:name="bookmark119"/>
      <w:bookmarkEnd w:id="119"/>
      <w:r>
        <w:rPr>
          <w:color w:val="000000"/>
          <w:spacing w:val="0"/>
          <w:w w:val="100"/>
          <w:position w:val="0"/>
        </w:rPr>
        <w:t>金融零售</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公司聚焦在以信用卡核心系统为中心的零售金融，建设从渠道、认证、场景、商户、支付等业务领域入手，统一规划、 统一运营，提高各类业务办理效率，实现申请、调额和催收等流程规范集中化管理，系统基于微服务、分布式架构设计、积 木般的模块化组件搭建，在开展代运营业务时可根据体量灵活扩展，很好地满足了银行发展金融零售对操作层面的要求。</w:t>
      </w:r>
    </w:p>
    <w:p>
      <w:pPr>
        <w:pStyle w:val="Style16"/>
        <w:keepNext w:val="0"/>
        <w:keepLines w:val="0"/>
        <w:widowControl w:val="0"/>
        <w:numPr>
          <w:ilvl w:val="0"/>
          <w:numId w:val="1"/>
        </w:numPr>
        <w:shd w:val="clear" w:color="auto" w:fill="auto"/>
        <w:tabs>
          <w:tab w:pos="693" w:val="left"/>
        </w:tabs>
        <w:bidi w:val="0"/>
        <w:spacing w:before="0" w:after="0" w:line="315" w:lineRule="exact"/>
        <w:ind w:left="0" w:right="0"/>
        <w:jc w:val="both"/>
      </w:pPr>
      <w:bookmarkStart w:id="120" w:name="bookmark120"/>
      <w:bookmarkEnd w:id="120"/>
      <w:r>
        <w:rPr>
          <w:color w:val="000000"/>
          <w:spacing w:val="0"/>
          <w:w w:val="100"/>
          <w:position w:val="0"/>
        </w:rPr>
        <w:t>中小企业融资</w:t>
      </w:r>
    </w:p>
    <w:p>
      <w:pPr>
        <w:pStyle w:val="Style16"/>
        <w:keepNext w:val="0"/>
        <w:keepLines w:val="0"/>
        <w:widowControl w:val="0"/>
        <w:shd w:val="clear" w:color="auto" w:fill="auto"/>
        <w:bidi w:val="0"/>
        <w:spacing w:before="0" w:after="100" w:line="315" w:lineRule="exact"/>
        <w:ind w:left="0" w:right="0"/>
        <w:jc w:val="both"/>
      </w:pPr>
      <w:r>
        <w:rPr>
          <w:color w:val="000000"/>
          <w:spacing w:val="0"/>
          <w:w w:val="100"/>
          <w:position w:val="0"/>
        </w:rPr>
        <w:t>公司在国家政策以及银行需求的引导下，结合大数据、云计算、区块链和人工智能等技术，研发出自主可控的产品，有 效推进了中小企业融资和普惠金融业务的发展。具体来说，公司信贷管理产品体系中包含了供应链金融和中小企业融资系统， 从而为中小企业建立了便捷的融资渠道，减少其融资成本，提高其获得融资的成功率。另一方面，公司建立了完善且成熟的 风险管理产品体系，其中的内部评级系统和风险预警平台，为普惠金融业务发展提供高效客户识别和风险管控。通过智慧营 销平台，帮助中小银行在批量获客和活客方面提升营销能力。</w:t>
      </w:r>
    </w:p>
    <w:p>
      <w:pPr>
        <w:pStyle w:val="Style16"/>
        <w:keepNext w:val="0"/>
        <w:keepLines w:val="0"/>
        <w:widowControl w:val="0"/>
        <w:shd w:val="clear" w:color="auto" w:fill="auto"/>
        <w:bidi w:val="0"/>
        <w:spacing w:before="0" w:after="0" w:line="360" w:lineRule="auto"/>
        <w:ind w:left="0" w:right="0"/>
        <w:jc w:val="both"/>
      </w:pPr>
      <w:bookmarkStart w:id="121" w:name="bookmark121"/>
      <w:r>
        <w:rPr>
          <w:rFonts w:ascii="Times New Roman" w:eastAsia="Times New Roman" w:hAnsi="Times New Roman" w:cs="Times New Roman"/>
          <w:color w:val="000000"/>
          <w:spacing w:val="0"/>
          <w:w w:val="100"/>
          <w:position w:val="0"/>
          <w:sz w:val="18"/>
          <w:szCs w:val="18"/>
        </w:rPr>
        <w:t>6</w:t>
      </w:r>
      <w:bookmarkEnd w:id="121"/>
      <w:r>
        <w:rPr>
          <w:color w:val="000000"/>
          <w:spacing w:val="0"/>
          <w:w w:val="100"/>
          <w:position w:val="0"/>
        </w:rPr>
        <w:t>、团队优势</w:t>
      </w:r>
    </w:p>
    <w:p>
      <w:pPr>
        <w:pStyle w:val="Style16"/>
        <w:keepNext w:val="0"/>
        <w:keepLines w:val="0"/>
        <w:widowControl w:val="0"/>
        <w:shd w:val="clear" w:color="auto" w:fill="auto"/>
        <w:bidi w:val="0"/>
        <w:spacing w:before="0" w:after="380" w:line="315"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年营业收入年均复合增长率为</w:t>
      </w:r>
      <w:r>
        <w:rPr>
          <w:rFonts w:ascii="Times New Roman" w:eastAsia="Times New Roman" w:hAnsi="Times New Roman" w:cs="Times New Roman"/>
          <w:color w:val="000000"/>
          <w:spacing w:val="0"/>
          <w:w w:val="100"/>
          <w:position w:val="0"/>
          <w:sz w:val="18"/>
          <w:szCs w:val="18"/>
        </w:rPr>
        <w:t>36.13%</w:t>
      </w:r>
      <w:r>
        <w:rPr>
          <w:color w:val="000000"/>
          <w:spacing w:val="0"/>
          <w:w w:val="100"/>
          <w:position w:val="0"/>
        </w:rPr>
        <w:t>，高于行业平均增长速度。公司的核心管理团队（包括中层的干 部），年轻、稳定且具有拼搏精神，公司具备高速成长的基因。</w:t>
      </w:r>
    </w:p>
    <w:p>
      <w:pPr>
        <w:pStyle w:val="Style21"/>
        <w:keepNext/>
        <w:keepLines/>
        <w:widowControl w:val="0"/>
        <w:shd w:val="clear" w:color="auto" w:fill="auto"/>
        <w:bidi w:val="0"/>
        <w:spacing w:before="0" w:after="3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四</w:t>
      </w:r>
      <w:bookmarkEnd w:id="124"/>
      <w:r>
        <w:rPr>
          <w:color w:val="000000"/>
          <w:spacing w:val="0"/>
          <w:w w:val="100"/>
          <w:position w:val="0"/>
        </w:rPr>
        <w:t>、主营业务分析</w:t>
      </w:r>
      <w:bookmarkEnd w:id="122"/>
      <w:bookmarkEnd w:id="123"/>
      <w:bookmarkEnd w:id="125"/>
    </w:p>
    <w:p>
      <w:pPr>
        <w:pStyle w:val="Style27"/>
        <w:keepNext/>
        <w:keepLines/>
        <w:widowControl w:val="0"/>
        <w:shd w:val="clear" w:color="auto" w:fill="auto"/>
        <w:bidi w:val="0"/>
        <w:spacing w:before="0" w:after="240" w:line="240" w:lineRule="auto"/>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1</w:t>
      </w:r>
      <w:bookmarkEnd w:id="128"/>
      <w:r>
        <w:rPr>
          <w:color w:val="000000"/>
          <w:spacing w:val="0"/>
          <w:w w:val="100"/>
          <w:position w:val="0"/>
        </w:rPr>
        <w:t>、概述</w:t>
      </w:r>
      <w:bookmarkEnd w:id="126"/>
      <w:bookmarkEnd w:id="127"/>
      <w:bookmarkEnd w:id="129"/>
    </w:p>
    <w:p>
      <w:pPr>
        <w:pStyle w:val="Style16"/>
        <w:keepNext w:val="0"/>
        <w:keepLines w:val="0"/>
        <w:widowControl w:val="0"/>
        <w:shd w:val="clear" w:color="auto" w:fill="auto"/>
        <w:bidi w:val="0"/>
        <w:spacing w:before="0" w:after="0" w:line="313" w:lineRule="exact"/>
        <w:ind w:left="0" w:right="0" w:firstLine="56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177,609.3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35.03%</w:t>
      </w:r>
      <w:r>
        <w:rPr>
          <w:color w:val="000000"/>
          <w:spacing w:val="0"/>
          <w:w w:val="100"/>
          <w:position w:val="0"/>
        </w:rPr>
        <w:t>，公司业务呈现出良好的成长性。主要源于以下几个 方面：（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）受益于银行业数字化转型的全面推进，银行业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解决方案市场规模的持续增长，而公司主要业务方向聚焦在银 行的关键业务领域和关键科技领域，既有市场规模大且高速成长；（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）公司拥有层次完整的银行业客户体系，其中，资产 过万亿的大型银行客户占比较高，客户特点规模大、增速快；同时公司在</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多个城市建立本地化、专业化的研发和服务团 队，交付能力强；（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）公司加大营销力度，建立覆盖全国主要银行的营销体系；公司已拥有了一批优质、稳定的核心战略 客户，同时公司也在积极拓展新客户，进一步完善客户和区域布局，创造新的业绩增长点，其中公司与建设银行、邮储银行、 光大银行、宁波银行、兴业银行等一批重要客户业务规模持续增长。（</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）公司持续加大研发投入，充足的技术储备有力支 持了公司业务的可持续发展。</w:t>
      </w:r>
    </w:p>
    <w:p>
      <w:pPr>
        <w:pStyle w:val="Style16"/>
        <w:keepNext w:val="0"/>
        <w:keepLines w:val="0"/>
        <w:widowControl w:val="0"/>
        <w:shd w:val="clear" w:color="auto" w:fill="auto"/>
        <w:bidi w:val="0"/>
        <w:spacing w:before="0" w:after="0" w:line="314" w:lineRule="exact"/>
        <w:ind w:left="0" w:right="0" w:firstLine="560"/>
        <w:jc w:val="both"/>
      </w:pPr>
      <w:r>
        <w:rPr>
          <w:color w:val="000000"/>
          <w:spacing w:val="0"/>
          <w:w w:val="100"/>
          <w:position w:val="0"/>
        </w:rPr>
        <w:t>报告期内，归属于上市公司股东的净利润为</w:t>
      </w:r>
      <w:r>
        <w:rPr>
          <w:rFonts w:ascii="Times New Roman" w:eastAsia="Times New Roman" w:hAnsi="Times New Roman" w:cs="Times New Roman"/>
          <w:color w:val="000000"/>
          <w:spacing w:val="0"/>
          <w:w w:val="100"/>
          <w:position w:val="0"/>
          <w:sz w:val="18"/>
          <w:szCs w:val="18"/>
        </w:rPr>
        <w:t>9,899.21</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26.01%</w:t>
      </w:r>
      <w:r>
        <w:rPr>
          <w:color w:val="000000"/>
          <w:spacing w:val="0"/>
          <w:w w:val="100"/>
          <w:position w:val="0"/>
        </w:rPr>
        <w:t>；扣除非经常性损益后归属于上市公司股 东的净利润</w:t>
      </w:r>
      <w:r>
        <w:rPr>
          <w:rFonts w:ascii="Times New Roman" w:eastAsia="Times New Roman" w:hAnsi="Times New Roman" w:cs="Times New Roman"/>
          <w:color w:val="000000"/>
          <w:spacing w:val="0"/>
          <w:w w:val="100"/>
          <w:position w:val="0"/>
          <w:sz w:val="18"/>
          <w:szCs w:val="18"/>
        </w:rPr>
        <w:t>5,072.29</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53.58%</w:t>
      </w:r>
      <w:r>
        <w:rPr>
          <w:color w:val="000000"/>
          <w:spacing w:val="0"/>
          <w:w w:val="100"/>
          <w:position w:val="0"/>
        </w:rPr>
        <w:t>。主要为：（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）公司业务规模持续增长，员工人数增加且竞争激烈，使得人均 成本提升，导致报告期营业成本增幅高于营业收入增幅；（</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）为加强技术创新及保持技术领先优势，提升核心竞争力，公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年研发费用</w:t>
      </w:r>
      <w:r>
        <w:rPr>
          <w:rFonts w:ascii="Times New Roman" w:eastAsia="Times New Roman" w:hAnsi="Times New Roman" w:cs="Times New Roman"/>
          <w:color w:val="000000"/>
          <w:spacing w:val="0"/>
          <w:w w:val="100"/>
          <w:position w:val="0"/>
          <w:sz w:val="18"/>
          <w:szCs w:val="18"/>
        </w:rPr>
        <w:t>23,656.24</w:t>
      </w:r>
      <w:r>
        <w:rPr>
          <w:color w:val="000000"/>
          <w:spacing w:val="0"/>
          <w:w w:val="100"/>
          <w:position w:val="0"/>
        </w:rPr>
        <w:t>万元，占收入比例</w:t>
      </w:r>
      <w:r>
        <w:rPr>
          <w:rFonts w:ascii="Times New Roman" w:eastAsia="Times New Roman" w:hAnsi="Times New Roman" w:cs="Times New Roman"/>
          <w:color w:val="000000"/>
          <w:spacing w:val="0"/>
          <w:w w:val="100"/>
          <w:position w:val="0"/>
          <w:sz w:val="18"/>
          <w:szCs w:val="18"/>
        </w:rPr>
        <w:t>13.32%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）报告期授予第二类限制性股票，由此产生股份支付费用</w:t>
      </w:r>
      <w:r>
        <w:rPr>
          <w:rFonts w:ascii="Times New Roman" w:eastAsia="Times New Roman" w:hAnsi="Times New Roman" w:cs="Times New Roman"/>
          <w:color w:val="000000"/>
          <w:spacing w:val="0"/>
          <w:w w:val="100"/>
          <w:position w:val="0"/>
          <w:sz w:val="18"/>
          <w:szCs w:val="18"/>
        </w:rPr>
        <w:t xml:space="preserve">4,036.93 </w:t>
      </w:r>
      <w:r>
        <w:rPr>
          <w:color w:val="000000"/>
          <w:spacing w:val="0"/>
          <w:w w:val="100"/>
          <w:position w:val="0"/>
        </w:rPr>
        <w:t>万元；综上因素，导致报告期内公司营业收入增加，而归属于上市公司股东的净利润及扣除非经常性损益后归属于上市公司 股东的净利润出现下降趋势。</w:t>
      </w:r>
    </w:p>
    <w:p>
      <w:pPr>
        <w:pStyle w:val="Style16"/>
        <w:keepNext w:val="0"/>
        <w:keepLines w:val="0"/>
        <w:widowControl w:val="0"/>
        <w:shd w:val="clear" w:color="auto" w:fill="auto"/>
        <w:bidi w:val="0"/>
        <w:spacing w:before="0" w:after="180" w:line="317" w:lineRule="exact"/>
        <w:ind w:left="0" w:right="0" w:firstLine="560"/>
        <w:jc w:val="both"/>
      </w:pPr>
      <w:r>
        <w:rPr>
          <w:color w:val="000000"/>
          <w:spacing w:val="0"/>
          <w:w w:val="100"/>
          <w:position w:val="0"/>
        </w:rPr>
        <w:t>报告期内，公司累计研发投入共</w:t>
      </w:r>
      <w:r>
        <w:rPr>
          <w:rFonts w:ascii="Times New Roman" w:eastAsia="Times New Roman" w:hAnsi="Times New Roman" w:cs="Times New Roman"/>
          <w:color w:val="000000"/>
          <w:spacing w:val="0"/>
          <w:w w:val="100"/>
          <w:position w:val="0"/>
          <w:sz w:val="18"/>
          <w:szCs w:val="18"/>
        </w:rPr>
        <w:t>25,534.73</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77.63%</w:t>
      </w:r>
      <w:r>
        <w:rPr>
          <w:color w:val="000000"/>
          <w:spacing w:val="0"/>
          <w:w w:val="100"/>
          <w:position w:val="0"/>
        </w:rPr>
        <w:t>。公司为提高银行业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解决方案实施效率，增强市场 核心竞争力，从而持续增加研发投入，公司高度重视提升自主研发能力，不断进行原有产品的升级改造和新产品的开发研究；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年公司按照计划继续投入募集资金投资项目，在基础研发技术方面同时持续跟踪行业的最新发展，加大在云计算领域的 研发投入，以云计算的模式赋能中小银行的数字化转型，为公司实现跨越式发展提供新动力。</w:t>
      </w:r>
      <w:r>
        <w:br w:type="page"/>
      </w:r>
    </w:p>
    <w:p>
      <w:pPr>
        <w:pStyle w:val="Style27"/>
        <w:keepNext/>
        <w:keepLines/>
        <w:widowControl w:val="0"/>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2</w:t>
      </w:r>
      <w:bookmarkEnd w:id="132"/>
      <w:r>
        <w:rPr>
          <w:color w:val="000000"/>
          <w:spacing w:val="0"/>
          <w:w w:val="100"/>
          <w:position w:val="0"/>
        </w:rPr>
        <w:t>、收入与成本</w:t>
      </w:r>
      <w:bookmarkEnd w:id="130"/>
      <w:bookmarkEnd w:id="131"/>
      <w:bookmarkEnd w:id="133"/>
    </w:p>
    <w:p>
      <w:pPr>
        <w:pStyle w:val="Style27"/>
        <w:keepNext/>
        <w:keepLines/>
        <w:widowControl w:val="0"/>
        <w:numPr>
          <w:ilvl w:val="0"/>
          <w:numId w:val="3"/>
        </w:numPr>
        <w:shd w:val="clear" w:color="auto" w:fill="auto"/>
        <w:bidi w:val="0"/>
        <w:spacing w:before="0" w:line="240" w:lineRule="auto"/>
        <w:ind w:left="0" w:right="0" w:firstLine="0"/>
        <w:jc w:val="left"/>
      </w:pPr>
      <w:bookmarkStart w:id="130" w:name="bookmark130"/>
      <w:bookmarkStart w:id="131" w:name="bookmark131"/>
      <w:bookmarkStart w:id="134" w:name="bookmark134"/>
      <w:bookmarkStart w:id="135" w:name="bookmark135"/>
      <w:bookmarkEnd w:id="134"/>
      <w:r>
        <w:rPr>
          <w:color w:val="000000"/>
          <w:spacing w:val="0"/>
          <w:w w:val="100"/>
          <w:position w:val="0"/>
        </w:rPr>
        <w:t>营业收入构成</w:t>
      </w:r>
      <w:bookmarkEnd w:id="130"/>
      <w:bookmarkEnd w:id="131"/>
      <w:bookmarkEnd w:id="135"/>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1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1,776,093,004.39</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1,315,327,683.98</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1,774,116,171.84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1,315,283,647.30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1,976,832.55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4,389.06%</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1,146,280,569.71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882,384,671.74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448,427,761.78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390,513,884.48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121,449,924.68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11,592,360.34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57,957,915.67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30,792,730.74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1,976,832.55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4,389.06%</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684,794,103.83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540,021,574.62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629,812,506.69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449,958,555.79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185,799,198.17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145,530,072.67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94,890,606.56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61,360,910.59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71,647,626.27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45,583,593.99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51,226,719.71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40,752,197.55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46,397,676.23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31,777,562.21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港澳台地区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11,524,566.93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343,216.56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3,257.81%</w:t>
            </w:r>
          </w:p>
        </w:tc>
      </w:tr>
      <w:tr>
        <w:trPr>
          <w:trHeight w:val="398"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1,776,093,004.39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1,315,327,683.98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59"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326"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392,195,626.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388,242,170.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473,301,968.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522,353,239.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212,340,417.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326,432,373.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377,594,868.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398,960,023.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11,823,791.1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64,720,787.8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43,691,514.5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-21,244,022.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-21,838,856.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72,652,961.5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37,485,094.7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45,487,615.1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pStyle w:val="Style16"/>
        <w:keepNext w:val="0"/>
        <w:keepLines w:val="0"/>
        <w:widowControl w:val="0"/>
        <w:shd w:val="clear" w:color="auto" w:fill="auto"/>
        <w:bidi w:val="0"/>
        <w:spacing w:before="0" w:after="0" w:line="316" w:lineRule="exact"/>
        <w:ind w:left="0" w:right="0" w:firstLine="0"/>
        <w:jc w:val="left"/>
      </w:pPr>
      <w:r>
        <w:rPr>
          <w:color w:val="000000"/>
          <w:spacing w:val="0"/>
          <w:w w:val="100"/>
          <w:position w:val="0"/>
        </w:rPr>
        <w:t>说明经营季节性（或周期性）发生的原因及波动风险</w:t>
      </w:r>
    </w:p>
    <w:p>
      <w:pPr>
        <w:pStyle w:val="Style16"/>
        <w:keepNext w:val="0"/>
        <w:keepLines w:val="0"/>
        <w:widowControl w:val="0"/>
        <w:shd w:val="clear" w:color="auto" w:fill="auto"/>
        <w:bidi w:val="0"/>
        <w:spacing w:before="0" w:after="0" w:line="316" w:lineRule="exact"/>
        <w:ind w:left="0" w:right="0" w:firstLine="300"/>
        <w:jc w:val="both"/>
      </w:pPr>
      <w:r>
        <w:rPr>
          <w:color w:val="000000"/>
          <w:spacing w:val="0"/>
          <w:w w:val="100"/>
          <w:position w:val="0"/>
        </w:rPr>
        <w:t>公司收入：公司一至四季度收入占全年收入总额的比例分别为：</w:t>
      </w:r>
      <w:r>
        <w:rPr>
          <w:rFonts w:ascii="Times New Roman" w:eastAsia="Times New Roman" w:hAnsi="Times New Roman" w:cs="Times New Roman"/>
          <w:color w:val="000000"/>
          <w:spacing w:val="0"/>
          <w:w w:val="100"/>
          <w:position w:val="0"/>
          <w:sz w:val="18"/>
          <w:szCs w:val="18"/>
        </w:rPr>
        <w:t>22.08%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21.86%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26.65%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29.41%</w:t>
      </w:r>
      <w:r>
        <w:rPr>
          <w:color w:val="000000"/>
          <w:spacing w:val="0"/>
          <w:w w:val="100"/>
          <w:position w:val="0"/>
        </w:rPr>
        <w:t>，下半年收入明显较 高，主要原因为：公司客户主要是以银行为主的金融机构，该类客户对</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系统采购一般都实施严格的预算管理制度，客户通 常于上半年制定投资计划，通过预算、审批、招标或商务谈判等流程，下半年则陆续签订采购合同、集中开展对供应商开发 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系统进行测试、验收等工作，客户的采购决策和采购实施的季节性特点决定了公司业务呈现出一定的季节性特征，即上 半年营业务收入少于下半年营业务收入。</w:t>
      </w:r>
    </w:p>
    <w:p>
      <w:pPr>
        <w:pStyle w:val="Style16"/>
        <w:keepNext w:val="0"/>
        <w:keepLines w:val="0"/>
        <w:widowControl w:val="0"/>
        <w:shd w:val="clear" w:color="auto" w:fill="auto"/>
        <w:bidi w:val="0"/>
        <w:spacing w:before="0" w:after="380" w:line="322" w:lineRule="exact"/>
        <w:ind w:left="0" w:right="0" w:firstLine="360"/>
        <w:jc w:val="both"/>
      </w:pPr>
      <w:r>
        <w:rPr>
          <w:color w:val="000000"/>
          <w:spacing w:val="0"/>
          <w:w w:val="100"/>
          <w:position w:val="0"/>
        </w:rPr>
        <w:t>公司净利：报告期内，公司二季度净利润最高，主要原因系收到政府补贴款项；四季度净利润最低，主要原因系计提股 份支付费用。扣除前述特殊事项因素影响，公司经营性利润下半年较高，与公司业务呈现的季节性特征相符。</w:t>
      </w:r>
    </w:p>
    <w:p>
      <w:pPr>
        <w:pStyle w:val="Style27"/>
        <w:keepNext/>
        <w:keepLines/>
        <w:widowControl w:val="0"/>
        <w:shd w:val="clear" w:color="auto" w:fill="auto"/>
        <w:bidi w:val="0"/>
        <w:spacing w:before="0" w:line="240" w:lineRule="auto"/>
        <w:ind w:left="0" w:right="0" w:firstLine="0"/>
        <w:jc w:val="both"/>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36"/>
      <w:bookmarkEnd w:id="137"/>
      <w:bookmarkEnd w:id="139"/>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20" w:line="316"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1,774,116,171.84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1,211,619,846.77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1,146,280,569.71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769,304,238.46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448,427,761.78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305,254,149.53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57,957,915.67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26,869,401.88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121,449,924.68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110,192,056.90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w:t>
            </w:r>
          </w:p>
        </w:tc>
      </w:tr>
      <w:tr>
        <w:trPr>
          <w:trHeight w:val="398"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684,794,103.83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471,407,378.21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629,812,506.69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431,997,397.49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185,799,198.17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127,759,277.28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94,890,606.56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71,568,209.66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71,647,626.27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47,029,941.15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51,226,719.71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30,068,856.44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46,397,676.23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24,754,950.93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港澳台地区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11,524,566.93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9,839,652.28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40"/>
      <w:bookmarkEnd w:id="141"/>
      <w:bookmarkEnd w:id="143"/>
    </w:p>
    <w:p>
      <w:pPr>
        <w:pStyle w:val="Style16"/>
        <w:keepNext w:val="0"/>
        <w:keepLines w:val="0"/>
        <w:widowControl w:val="0"/>
        <w:shd w:val="clear" w:color="auto" w:fill="auto"/>
        <w:bidi w:val="0"/>
        <w:spacing w:before="0" w:after="24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7"/>
        <w:keepNext/>
        <w:keepLines/>
        <w:widowControl w:val="0"/>
        <w:shd w:val="clear" w:color="auto" w:fill="auto"/>
        <w:tabs>
          <w:tab w:pos="493" w:val="left"/>
        </w:tabs>
        <w:bidi w:val="0"/>
        <w:spacing w:before="0" w:after="36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44"/>
      <w:bookmarkEnd w:id="145"/>
      <w:bookmarkEnd w:id="147"/>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93" w:val="left"/>
        </w:tabs>
        <w:bidi w:val="0"/>
        <w:spacing w:before="0" w:after="36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8"/>
      <w:bookmarkEnd w:id="149"/>
      <w:bookmarkEnd w:id="151"/>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949,606,650.60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720,295,739.26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31.84%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89,537,407.46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75,911,717.33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17.95%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62,856,299.40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41,393,450.45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51.85%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109,619,489.31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7,057,171.72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1,453.31%</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2,805,816.67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7,206.81%</w:t>
            </w:r>
          </w:p>
        </w:tc>
      </w:tr>
    </w:tbl>
    <w:p>
      <w:pPr>
        <w:pStyle w:val="Style16"/>
        <w:keepNext w:val="0"/>
        <w:keepLines w:val="0"/>
        <w:widowControl w:val="0"/>
        <w:shd w:val="clear" w:color="auto" w:fill="auto"/>
        <w:bidi w:val="0"/>
        <w:spacing w:before="0" w:after="0" w:line="360" w:lineRule="exact"/>
        <w:ind w:left="0" w:right="0" w:firstLine="0"/>
        <w:jc w:val="left"/>
      </w:pPr>
      <w:r>
        <w:rPr>
          <w:color w:val="000000"/>
          <w:spacing w:val="0"/>
          <w:w w:val="100"/>
          <w:position w:val="0"/>
        </w:rPr>
        <w:t>说明</w:t>
      </w:r>
    </w:p>
    <w:p>
      <w:pPr>
        <w:pStyle w:val="Style16"/>
        <w:keepNext w:val="0"/>
        <w:keepLines w:val="0"/>
        <w:widowControl w:val="0"/>
        <w:shd w:val="clear" w:color="auto" w:fill="auto"/>
        <w:bidi w:val="0"/>
        <w:spacing w:before="0" w:after="0" w:line="360" w:lineRule="exact"/>
        <w:ind w:left="0" w:right="0" w:firstLine="0"/>
        <w:jc w:val="left"/>
      </w:pPr>
      <w:r>
        <w:rPr>
          <w:color w:val="000000"/>
          <w:spacing w:val="0"/>
          <w:w w:val="100"/>
          <w:position w:val="0"/>
        </w:rPr>
        <w:t>报告期内，公司主营业务成本按成本性质划分主要包括直接人工成本、项目直接费用、直接材料成本和技术服务费。</w:t>
      </w:r>
    </w:p>
    <w:p>
      <w:pPr>
        <w:pStyle w:val="Style16"/>
        <w:keepNext w:val="0"/>
        <w:keepLines w:val="0"/>
        <w:widowControl w:val="0"/>
        <w:shd w:val="clear" w:color="auto" w:fill="auto"/>
        <w:bidi w:val="0"/>
        <w:spacing w:before="0" w:after="12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主营业务成本构成</w:t>
      </w:r>
    </w:p>
    <w:p>
      <w:pPr>
        <w:pStyle w:val="Style1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949,606,650.60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720,295,739.26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89,537,407.46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75,911,717.33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62,856,299.40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41,393,450.45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109,619,489.31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7,057,171.72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1,453.31%</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52"/>
      <w:bookmarkEnd w:id="153"/>
      <w:bookmarkEnd w:id="155"/>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730"/>
        <w:gridCol w:w="4819"/>
        <w:gridCol w:w="1982"/>
        <w:gridCol w:w="1714"/>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深圳昊天睿阳科技有限公司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长沙湘瓴睿阳科技有限公司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西藏天阳华瑞科技有限公司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天阳胜合科技（北京）有限公司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北京同创安胜咨询服务中心（有限合伙）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香港卡洛其咨询有限公司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bl>
    <w:p>
      <w:pPr>
        <w:spacing w:lineRule="exact" w:line="1"/>
        <w:rPr>
          <w:sz w:val="2"/>
          <w:szCs w:val="2"/>
        </w:rPr>
      </w:pPr>
      <w:r>
        <w:br w:type="page"/>
      </w:r>
    </w:p>
    <w:p>
      <w:pPr>
        <w:pStyle w:val="Style27"/>
        <w:keepNext/>
        <w:keepLines/>
        <w:widowControl w:val="0"/>
        <w:shd w:val="clear" w:color="auto" w:fill="auto"/>
        <w:tabs>
          <w:tab w:pos="493" w:val="left"/>
        </w:tabs>
        <w:bidi w:val="0"/>
        <w:spacing w:before="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w:t>
      </w:r>
      <w:bookmarkEnd w:id="15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6"/>
      <w:bookmarkEnd w:id="157"/>
      <w:bookmarkEnd w:id="159"/>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93" w:val="left"/>
        </w:tabs>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0"/>
      <w:bookmarkEnd w:id="161"/>
      <w:bookmarkEnd w:id="163"/>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642,154,060.42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287,139,809.65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16.17%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129,419,145.18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86,220,985.86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79,825,978.16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59,548,141.57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642,154,060.42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36.15%</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91,687,517.33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30,760,353.68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16.13%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29,638,122.62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15.54%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16,406,548.67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9,729,646.02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5,152,846.34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91,687,517.33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48.07%</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、费用</w:t>
      </w:r>
      <w:bookmarkEnd w:id="164"/>
      <w:bookmarkEnd w:id="165"/>
      <w:bookmarkEnd w:id="16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105,074,754.14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77,392,589.19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35.77%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主要系公司业务增长人员成本增加 所致。</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131,686,621.72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76,331,107.02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72.52%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主要系员工人数增加相应的人员费 用增多及本期新增股份支付费用所 致。</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3,137,347.76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17,747,549.16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主要系报告期内存款利息增多、贷款 利息减少所致。</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236,562,358.88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143,749,597.38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64.57%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主要系公司为提高银行业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 案实施效率，增强市场核心竞争力， 增加研发人员及研发投入所致。</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4</w:t>
      </w:r>
      <w:bookmarkEnd w:id="170"/>
      <w:r>
        <w:rPr>
          <w:color w:val="000000"/>
          <w:spacing w:val="0"/>
          <w:w w:val="100"/>
          <w:position w:val="0"/>
        </w:rPr>
        <w:t>、研发投入</w:t>
      </w:r>
      <w:bookmarkEnd w:id="168"/>
      <w:bookmarkEnd w:id="169"/>
      <w:bookmarkEnd w:id="171"/>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47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新一代银行业</w:t>
            </w:r>
            <w:r>
              <w:rPr>
                <w:rFonts w:ascii="Times New Roman" w:eastAsia="Times New Roman" w:hAnsi="Times New Roman" w:cs="Times New Roman"/>
                <w:color w:val="000000"/>
                <w:spacing w:val="0"/>
                <w:w w:val="100"/>
                <w:position w:val="0"/>
                <w:sz w:val="18"/>
                <w:szCs w:val="18"/>
              </w:rPr>
              <w:t>IT</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本项目基于既有项目经 验、在线运行系统和前 期研究基础，通过开发 网络化授信业务管理系 统、开放式信用卡业务 核心系统、数字化风控 应用服务平台、大数据 综合营销服务平台四大 关键产品，进一步完善 系统功能，提高公司产 品整体质量，从而更好 地满足银行业的业务和 管理需求，进一步提升 公司在银行业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 案领域的竞争力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提升公司品牌与影响力；增 强公司业务解决方案与产品 能力；加强公司业务发展与 营收保障</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继续夯实公司在金融行业的 行业领导地位，为公司持续 营收增长，提供基础保障</w:t>
            </w:r>
          </w:p>
        </w:tc>
      </w:tr>
      <w:tr>
        <w:trPr>
          <w:trHeight w:val="255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产业链金融综合服 务平台升级项目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本项目通过建设产业链 金融综合服务平台，对 业务部门贸易融资相关 金融业务予以系统化的 支持，完成线下业务向 线上业务的转移，并且 根据目前产业链金融业 务的发展情况，完善银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以产业供应链为链条构筑金 融生态圈，从而更快、更精、 更活的为核心企业、上下游 企业提供金融服务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更加深入强化公司在供应链 金融领域的领先排位，为公 司第二曲线业务增长提供强 劲动力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行业务条线，从而推进 产业链业务的全流程在 线电子化，更好地支撑 产业链金融业务的全面 发展，构筑产业金融生 态圈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云管理平台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构建多云管理平台，打 造新一代云操作系统， 实现集约化统一管理异 构云资源，以云原生技 术为基础构建分布式微 服务应用</w:t>
            </w:r>
            <w:r>
              <w:rPr>
                <w:color w:val="000000"/>
                <w:spacing w:val="0"/>
                <w:w w:val="100"/>
                <w:position w:val="0"/>
                <w:sz w:val="18"/>
                <w:szCs w:val="18"/>
              </w:rPr>
              <w:t>，</w:t>
            </w:r>
            <w:r>
              <w:rPr>
                <w:color w:val="000000"/>
                <w:spacing w:val="0"/>
                <w:w w:val="100"/>
                <w:position w:val="0"/>
              </w:rPr>
              <w:t xml:space="preserve">从而实现 </w:t>
            </w:r>
            <w:r>
              <w:rPr>
                <w:rFonts w:ascii="Times New Roman" w:eastAsia="Times New Roman" w:hAnsi="Times New Roman" w:cs="Times New Roman"/>
                <w:color w:val="000000"/>
                <w:spacing w:val="0"/>
                <w:w w:val="100"/>
                <w:position w:val="0"/>
                <w:sz w:val="18"/>
                <w:szCs w:val="18"/>
              </w:rPr>
              <w:t>IaaS/PaaS+/</w:t>
            </w:r>
            <w:r>
              <w:rPr>
                <w:color w:val="000000"/>
                <w:spacing w:val="0"/>
                <w:w w:val="100"/>
                <w:position w:val="0"/>
              </w:rPr>
              <w:t>容器</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rPr>
              <w:t>等的自动化、开发、编 排、交付和管理，并且 提供云使用和成本的管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实现金融行业云计算集约化 管理，打造 </w:t>
            </w:r>
            <w:r>
              <w:rPr>
                <w:rFonts w:ascii="Times New Roman" w:eastAsia="Times New Roman" w:hAnsi="Times New Roman" w:cs="Times New Roman"/>
                <w:color w:val="000000"/>
                <w:spacing w:val="0"/>
                <w:w w:val="100"/>
                <w:position w:val="0"/>
                <w:sz w:val="18"/>
                <w:szCs w:val="18"/>
              </w:rPr>
              <w:t xml:space="preserve">IaaS-PaaS-SaaS </w:t>
            </w:r>
            <w:r>
              <w:rPr>
                <w:color w:val="000000"/>
                <w:spacing w:val="0"/>
                <w:w w:val="100"/>
                <w:position w:val="0"/>
              </w:rPr>
              <w:t>一体化端到端云计算管理平 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支撑公司云计算发展战略， 加强公司在金融行业领域的 领先性，为公司第二业务增 长曲线提供保障</w:t>
            </w:r>
          </w:p>
        </w:tc>
      </w:tr>
      <w:tr>
        <w:trPr>
          <w:trHeight w:val="47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智能风控云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帮助金融机构在自营 </w:t>
            </w:r>
            <w:r>
              <w:rPr>
                <w:rFonts w:ascii="Times New Roman" w:eastAsia="Times New Roman" w:hAnsi="Times New Roman" w:cs="Times New Roman"/>
                <w:color w:val="000000"/>
                <w:spacing w:val="0"/>
                <w:w w:val="100"/>
                <w:position w:val="0"/>
                <w:sz w:val="18"/>
                <w:szCs w:val="18"/>
              </w:rPr>
              <w:t>2C/2B</w:t>
            </w:r>
            <w:r>
              <w:rPr>
                <w:color w:val="000000"/>
                <w:spacing w:val="0"/>
                <w:w w:val="100"/>
                <w:position w:val="0"/>
              </w:rPr>
              <w:t>、</w:t>
            </w:r>
            <w:r>
              <w:rPr>
                <w:color w:val="000000"/>
                <w:spacing w:val="0"/>
                <w:w w:val="100"/>
                <w:position w:val="0"/>
              </w:rPr>
              <w:t>联合贷的商业模 式下，实现个人、小微 企业客户线上贷款业务 的流程自动化，构建贷 前准入及反欺诈，贷中 预警及行为评分、贷后 预警及催收等全流程的 大数据风控体系，帮助 金融机构有效识别借款 人的还款能力和还款意 愿以及贷款目的和不正 当的行为，从而帮助企 业在降低风险的同时， 实现利润最大化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实现云化智能风控，助力银</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行提升风险管理手段和水平</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支撑公司云战略发展，增强 公司在进入垂直领域云计算 应用服务能力</w:t>
            </w:r>
          </w:p>
        </w:tc>
      </w:tr>
      <w:tr>
        <w:trPr>
          <w:trHeight w:val="322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研发中心升级项目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进一步完善研发部门职 能，建设先进研发环境， 加大研发设备及优秀研 发人才的投入，进行大 量前瞻性技术研发并实 现科研成果产业转化， 保证公司产品技术的领 先和新产品的开发，有 效提升公司的技术实 力，巩固行业地位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建设先进研发环境，引进优 秀研发人才，完成科技研发 成果市场转化</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从硬软件两个方面增强公司 研发实力，提升科技成果市 场转化效率</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06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探道数据中台之数</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据门户平台</w:t>
            </w:r>
          </w:p>
        </w:tc>
        <w:tc>
          <w:tcPr>
            <w:tcBorders>
              <w:top w:val="single" w:sz="4"/>
              <w:left w:val="single" w:sz="4"/>
            </w:tcBorders>
            <w:shd w:val="clear" w:color="auto" w:fill="FFFFFF"/>
            <w:vAlign w:val="center"/>
          </w:tcPr>
          <w:p>
            <w:pPr>
              <w:pStyle w:val="Style18"/>
              <w:keepNext w:val="0"/>
              <w:keepLines w:val="0"/>
              <w:widowControl w:val="0"/>
              <w:shd w:val="clear" w:color="auto" w:fill="auto"/>
              <w:tabs>
                <w:tab w:pos="542" w:val="left"/>
              </w:tabs>
              <w:bidi w:val="0"/>
              <w:spacing w:before="0" w:after="0" w:line="312" w:lineRule="exact"/>
              <w:ind w:left="0" w:right="0" w:firstLine="0"/>
              <w:jc w:val="both"/>
            </w:pPr>
            <w:r>
              <w:rPr>
                <w:color w:val="000000"/>
                <w:spacing w:val="0"/>
                <w:w w:val="100"/>
                <w:position w:val="0"/>
              </w:rPr>
              <w:t>（一）</w:t>
              <w:tab/>
              <w:t>业务可行性。经 过前期准备，范围明确， 平台建设需求清晰，内 容主要是常规的数据可 视化展示和统计报表加 工、展现。项目实施所 依赖的绝大部分数据资 源能够在行内</w:t>
            </w:r>
            <w:r>
              <w:rPr>
                <w:rFonts w:ascii="Times New Roman" w:eastAsia="Times New Roman" w:hAnsi="Times New Roman" w:cs="Times New Roman"/>
                <w:color w:val="000000"/>
                <w:spacing w:val="0"/>
                <w:w w:val="100"/>
                <w:position w:val="0"/>
                <w:sz w:val="18"/>
                <w:szCs w:val="18"/>
              </w:rPr>
              <w:t>ODS</w:t>
            </w:r>
            <w:r>
              <w:rPr>
                <w:color w:val="000000"/>
                <w:spacing w:val="0"/>
                <w:w w:val="100"/>
                <w:position w:val="0"/>
              </w:rPr>
              <w:t>、</w:t>
            </w:r>
            <w:r>
              <w:rPr>
                <w:color w:val="000000"/>
                <w:spacing w:val="0"/>
                <w:w w:val="100"/>
                <w:position w:val="0"/>
              </w:rPr>
              <w:t>监 管报送、</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w:t>
            </w:r>
            <w:r>
              <w:rPr>
                <w:color w:val="000000"/>
                <w:spacing w:val="0"/>
                <w:w w:val="100"/>
                <w:position w:val="0"/>
              </w:rPr>
              <w:t>内部等 系统获取，需要定期补 录的少量数据的数据来 源明确。通过平台建设， 能够显著提升数据的管 理决策的支撑能力，提 升监管数据共享能力。</w:t>
            </w:r>
          </w:p>
          <w:p>
            <w:pPr>
              <w:pStyle w:val="Style18"/>
              <w:keepNext w:val="0"/>
              <w:keepLines w:val="0"/>
              <w:widowControl w:val="0"/>
              <w:shd w:val="clear" w:color="auto" w:fill="auto"/>
              <w:tabs>
                <w:tab w:pos="504" w:val="left"/>
              </w:tabs>
              <w:bidi w:val="0"/>
              <w:spacing w:before="0" w:after="0" w:line="312" w:lineRule="exact"/>
              <w:ind w:left="0" w:right="0" w:firstLine="0"/>
              <w:jc w:val="both"/>
            </w:pPr>
            <w:r>
              <w:rPr>
                <w:color w:val="000000"/>
                <w:spacing w:val="0"/>
                <w:w w:val="100"/>
                <w:position w:val="0"/>
              </w:rPr>
              <w:t>（二）</w:t>
              <w:tab/>
              <w:t>技术可行性。项 目建设的主体工作是充</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分利用监管报送、</w:t>
            </w:r>
            <w:r>
              <w:rPr>
                <w:rFonts w:ascii="Times New Roman" w:eastAsia="Times New Roman" w:hAnsi="Times New Roman" w:cs="Times New Roman"/>
                <w:color w:val="000000"/>
                <w:spacing w:val="0"/>
                <w:w w:val="100"/>
                <w:position w:val="0"/>
                <w:sz w:val="18"/>
                <w:szCs w:val="18"/>
              </w:rPr>
              <w:t xml:space="preserve">CRM </w:t>
            </w:r>
            <w:r>
              <w:rPr>
                <w:color w:val="000000"/>
                <w:spacing w:val="0"/>
                <w:w w:val="100"/>
                <w:position w:val="0"/>
              </w:rPr>
              <w:t>系统、</w:t>
            </w:r>
            <w:r>
              <w:rPr>
                <w:rFonts w:ascii="Times New Roman" w:eastAsia="Times New Roman" w:hAnsi="Times New Roman" w:cs="Times New Roman"/>
                <w:color w:val="000000"/>
                <w:spacing w:val="0"/>
                <w:w w:val="100"/>
                <w:position w:val="0"/>
                <w:sz w:val="18"/>
                <w:szCs w:val="18"/>
              </w:rPr>
              <w:t>FTP</w:t>
            </w:r>
            <w:r>
              <w:rPr>
                <w:color w:val="000000"/>
                <w:spacing w:val="0"/>
                <w:w w:val="100"/>
                <w:position w:val="0"/>
              </w:rPr>
              <w:t>系统相关数 据，结合探道中台已有 数据，在此基础上补充 加工部分数据，重新设 计、开发行长驾驶舱模 块。经前期调研，本项 目实施所使用的技术均 为成熟技术，项目建设 所引起的系统架构变化 可控，项目建设引起的 批量执行时间增长可以 通过性能测试和</w:t>
            </w:r>
            <w:r>
              <w:rPr>
                <w:rFonts w:ascii="Times New Roman" w:eastAsia="Times New Roman" w:hAnsi="Times New Roman" w:cs="Times New Roman"/>
                <w:color w:val="000000"/>
                <w:spacing w:val="0"/>
                <w:w w:val="100"/>
                <w:position w:val="0"/>
                <w:sz w:val="18"/>
                <w:szCs w:val="18"/>
              </w:rPr>
              <w:t>ETL</w:t>
            </w:r>
            <w:r>
              <w:rPr>
                <w:color w:val="000000"/>
                <w:spacing w:val="0"/>
                <w:w w:val="100"/>
                <w:position w:val="0"/>
              </w:rPr>
              <w:t>任 务优化进行控制。（三） 项目建设资源。项目建 设所需业务人员齐备， 开发人员充足。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通过建设数据门户平台，解 决全行统一经营指标体系， 加工相关指标数据，以该指 标体系数据支撑经营分析平 台的建设，建立满足全行管 理分析应用需求的管理分析 类门户，实现各类管理分析 应用的统一访问入口和管 理，降低业务人员、管理人 员使用门槛，提升经营决策 信息共享机制的完善。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随着探道数据中台之数据门 户平台的建设，天阳在沉淀 风险领域多年的业务经验， 并结合目前最前沿的监管新 规与信息展示方式；利用目 前成熟</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技术架构，实现商 业银行信息共享交付和获 取，以满足商业银行在经营 决策领域的监管需求与内部 管理需要，为公司在数据门 户这一领域，提高了竞争力。</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探赢之智能</w:t>
            </w:r>
            <w:r>
              <w:rPr>
                <w:rFonts w:ascii="Times New Roman" w:eastAsia="Times New Roman" w:hAnsi="Times New Roman" w:cs="Times New Roman"/>
                <w:color w:val="000000"/>
                <w:spacing w:val="0"/>
                <w:w w:val="100"/>
                <w:position w:val="0"/>
                <w:sz w:val="18"/>
                <w:szCs w:val="18"/>
              </w:rPr>
              <w:t>SCRM</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打造社交化客户互动、 一体化营销执行、场景 化的生态运营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探赢之智能</w:t>
            </w:r>
            <w:r>
              <w:rPr>
                <w:rFonts w:ascii="Times New Roman" w:eastAsia="Times New Roman" w:hAnsi="Times New Roman" w:cs="Times New Roman"/>
                <w:color w:val="000000"/>
                <w:spacing w:val="0"/>
                <w:w w:val="100"/>
                <w:position w:val="0"/>
                <w:sz w:val="18"/>
                <w:szCs w:val="18"/>
              </w:rPr>
              <w:t>SCRM</w:t>
            </w:r>
            <w:r>
              <w:rPr>
                <w:color w:val="000000"/>
                <w:spacing w:val="0"/>
                <w:w w:val="100"/>
                <w:position w:val="0"/>
              </w:rPr>
              <w:t>平台基于 客户洞察的全渠道客户互动 平台，为客户提供各渠道间 无缝协同的统一服务和体验</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随着探赢之智能</w:t>
            </w:r>
            <w:r>
              <w:rPr>
                <w:rFonts w:ascii="Times New Roman" w:eastAsia="Times New Roman" w:hAnsi="Times New Roman" w:cs="Times New Roman"/>
                <w:color w:val="000000"/>
                <w:spacing w:val="0"/>
                <w:w w:val="100"/>
                <w:position w:val="0"/>
                <w:sz w:val="18"/>
                <w:szCs w:val="18"/>
              </w:rPr>
              <w:t>SCRM</w:t>
            </w:r>
            <w:r>
              <w:rPr>
                <w:color w:val="000000"/>
                <w:spacing w:val="0"/>
                <w:w w:val="100"/>
                <w:position w:val="0"/>
              </w:rPr>
              <w:t>的成 熟，功能可以复用到相关项 目，可以缩短项目开发周期， 降低项目开发成本，提升项 目利润率。</w:t>
            </w:r>
          </w:p>
        </w:tc>
      </w:tr>
      <w:tr>
        <w:trPr>
          <w:trHeight w:val="99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探赢之移动营销平 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打造移动化、精益化客 户服务支持平台。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探赢之移动营销平台建立移 动视角下精细个性化客户管 理、链路式智能化的任务执</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随着探赢之移动营销平台的 成熟，逐步占领市场份额并 且支持云上化，功能可以复</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行、组织高效联动的团队协 作、业务导向的经营决策分 析、数字化精准营销运营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用到相关项目，缩短项目开 发周期，降低项目开发成本， 提升项目利润率。</w:t>
            </w:r>
          </w:p>
        </w:tc>
      </w:tr>
      <w:tr>
        <w:trPr>
          <w:trHeight w:val="28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探赢之客户工厂平 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解决银行客户信息管理 的客户信息分散、客户 信息时效性不佳、没有 统一的客户识别等痛 点，构建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内环一中环一 外环''开放式获客体系、 客户信息共享、客户生 命周期数据管理等。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探赢之客户工厂平台以客户 为核心的企业级的</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度客 户数据可视化平台，基于全 域数据联动，形成全方位的 客户认知，通过复杂的数据 关系进行分析得出显而易见 症结，将数据奥秘以浅显的 方式呈现，助力数字营销决 策。</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随着探赢之客户工厂的成 熟，功能可以复用到相关项 目，可以缩短项目开发周期， 降低项目开发成本，提升项 目利润率。</w:t>
            </w:r>
          </w:p>
        </w:tc>
      </w:tr>
      <w:tr>
        <w:trPr>
          <w:trHeight w:val="320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探赢之营销自动化 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打造直通化、全渠道、 自动化、智能化的营销 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探赢之营销自动化平台支持 可视化营销流程设计，几个 点击即可实现营销策略的的 快速迭代发布，不同触达渠 道与各类权益随心组合。结 合银行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客户旅程''思维搭建 营销场景，执行效果及时反 馈，让营销零时差，有效提 升客户满意度与商机转化 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随着探赢之营销自动化平台 的成熟，逐步占领市场份额 并且支持云上化，功能可以 复用到相关项目，缩短项目 开发周期，降低项目开发成 本，提升项目利润率。</w:t>
            </w:r>
          </w:p>
        </w:tc>
      </w:tr>
      <w:tr>
        <w:trPr>
          <w:trHeight w:val="47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风险加权资产管理 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银监会下发了符合《商 业银行资本管理办法</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（试行）》规定的新资本 充足率</w:t>
            </w:r>
            <w:r>
              <w:rPr>
                <w:rFonts w:ascii="Times New Roman" w:eastAsia="Times New Roman" w:hAnsi="Times New Roman" w:cs="Times New Roman"/>
                <w:color w:val="000000"/>
                <w:spacing w:val="0"/>
                <w:w w:val="100"/>
                <w:position w:val="0"/>
                <w:sz w:val="18"/>
                <w:szCs w:val="18"/>
              </w:rPr>
              <w:t>BIII</w:t>
            </w:r>
            <w:r>
              <w:rPr>
                <w:color w:val="000000"/>
                <w:spacing w:val="0"/>
                <w:w w:val="100"/>
                <w:position w:val="0"/>
              </w:rPr>
              <w:t>报表统计制 度，要求商业银行建立 各种方法监管资本以及 风险加权资产（以下简 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RWA"</w:t>
            </w:r>
            <w:r>
              <w:rPr>
                <w:color w:val="000000"/>
                <w:spacing w:val="0"/>
                <w:w w:val="100"/>
                <w:position w:val="0"/>
              </w:rPr>
              <w:t>）</w:t>
            </w:r>
            <w:r>
              <w:rPr>
                <w:color w:val="000000"/>
                <w:spacing w:val="0"/>
                <w:w w:val="100"/>
                <w:position w:val="0"/>
              </w:rPr>
              <w:t>自动生成与 报送机制。为满足监管 要求，推进新资本协议 项目合规达标，并全面 提升银行信用风险管理 专业化能力，提升资本 管理水平，启动风险加 权资产</w:t>
            </w:r>
            <w:r>
              <w:rPr>
                <w:rFonts w:ascii="Times New Roman" w:eastAsia="Times New Roman" w:hAnsi="Times New Roman" w:cs="Times New Roman"/>
                <w:color w:val="000000"/>
                <w:spacing w:val="0"/>
                <w:w w:val="100"/>
                <w:position w:val="0"/>
                <w:sz w:val="18"/>
                <w:szCs w:val="18"/>
              </w:rPr>
              <w:t>RWA</w:t>
            </w:r>
            <w:r>
              <w:rPr>
                <w:color w:val="000000"/>
                <w:spacing w:val="0"/>
                <w:w w:val="100"/>
                <w:position w:val="0"/>
              </w:rPr>
              <w:t>系统项目。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搭建风险加权资产</w:t>
            </w:r>
            <w:r>
              <w:rPr>
                <w:rFonts w:ascii="Times New Roman" w:eastAsia="Times New Roman" w:hAnsi="Times New Roman" w:cs="Times New Roman"/>
                <w:color w:val="000000"/>
                <w:spacing w:val="0"/>
                <w:w w:val="100"/>
                <w:position w:val="0"/>
                <w:sz w:val="18"/>
                <w:szCs w:val="18"/>
              </w:rPr>
              <w:t>RWA</w:t>
            </w:r>
            <w:r>
              <w:rPr>
                <w:color w:val="000000"/>
                <w:spacing w:val="0"/>
                <w:w w:val="100"/>
                <w:position w:val="0"/>
              </w:rPr>
              <w:t>计 量引擎，构造满足监管要求 的各类应用能力（如回溯审 计、压力测试、监管报送等）， 并保证运行系统的高性能、 高可用性、可维护性、易用 性、安全性、可扩展性等技 术特征。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补充公司在全面风险管理方 向的产品线，成熟的产品可 以支撑项目售前、缩短项目 开发周期、降低项目成本、 提升交付效率及项目利润 率。</w:t>
            </w:r>
          </w:p>
        </w:tc>
      </w:tr>
      <w:tr>
        <w:trPr>
          <w:trHeight w:val="162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压力测试管理系统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商业银行的风险主要来 源于资金流动性、利率、 汇率、信用及资产价格 的变动，为应对风险的 产生，商业银行可应用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搭建压力测试管理系统实现 流动性风险、利率风险、市 场风险、信用风险、房地产 及房地产上下游行业的压力 测试及对资本充足水平的压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补充公司在全面风险管理方 向的产品线，成熟的产品可 以支撑项目售前、缩短项目 开发周期、降低项目成本、 提升交付效率及项目利润</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多种方法评估在不利环 境下可以接受到的影 响，其中压力测试是一 种有效的方法，受到国 际货币基金组织</w:t>
            </w:r>
            <w:r>
              <w:rPr>
                <w:rFonts w:ascii="Times New Roman" w:eastAsia="Times New Roman" w:hAnsi="Times New Roman" w:cs="Times New Roman"/>
                <w:color w:val="000000"/>
                <w:spacing w:val="0"/>
                <w:w w:val="100"/>
                <w:position w:val="0"/>
                <w:sz w:val="18"/>
                <w:szCs w:val="18"/>
              </w:rPr>
              <w:t>(IMF)</w:t>
            </w:r>
            <w:r>
              <w:rPr>
                <w:color w:val="000000"/>
                <w:spacing w:val="0"/>
                <w:w w:val="100"/>
                <w:position w:val="0"/>
              </w:rPr>
              <w:t xml:space="preserve">、 </w:t>
            </w:r>
            <w:r>
              <w:rPr>
                <w:color w:val="000000"/>
                <w:spacing w:val="0"/>
                <w:w w:val="100"/>
                <w:position w:val="0"/>
              </w:rPr>
              <w:t>世界银行、巴塞尔委员 会的推荐。</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日，中国银保监会 发布了修订后的《商业 银行压力测试指引》，有 效引导商业银行使用压 力测试工具。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力情况，有效预测银行在''非 正常''情况下风险情况，从而 达到有效管理银行经营风险 的需要。</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率。</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知识库系统研发项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本项目建设范围覆盖： 项目售前、投标、过程、 交付等一系列文档管理 功能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项目资料管理系统化、清晰 化</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公司项目案例资料可以共 享，管理、调阅、审批可以 线上化</w:t>
            </w:r>
          </w:p>
        </w:tc>
      </w:tr>
      <w:tr>
        <w:trPr>
          <w:trHeight w:val="320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估值管理平台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为解决估值取价来源不 统一、会计估值业务需 求未完全落地等方面问 题，帮忙商业银行建立 独立统一的会计估值管 理体系，打造估值管理 系统化平台，实现所有 金融工具''一站式''估值 管理，全面提升会计估 值管理能力。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搭建估值计量引擎，提供本 系统与业务系统、授信系统、 资管系统、账务系统等相关 系统数据接口，以提高系统 的易用性和可维护性。通过 估值计量引擎，实现对金融 产品交易的估值计量。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补充公司在全面风险管理方 向的产品线，成熟的产品可 以支撑项目售前、缩短项目 开发周期、降低项目成本、 提升交付效率及项目利润 率。</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行政办公一体化平 台研发项目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为适应公司远程办公的 需要，开发了员工考勤、 报销、请假等一系列线 上功能，满足实际管理 需要。系统建设内容包 括：报工管理、请假管 理、报销管理。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实现人员远程协同化办公。</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降低管理成本</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运营调度平台研发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本项目建设范围覆盖： 公司项目立项、售前、 交流、投标、进场、实 施、验收等一系列功能， 满足项目管理要求。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实现项目管理线上化。</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管理便捷化</w:t>
            </w:r>
          </w:p>
        </w:tc>
      </w:tr>
      <w:tr>
        <w:trPr>
          <w:trHeight w:val="99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探赢之标签平台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重点打造专业银行客户 标签体系、依托标签式 的管理体系，实现标签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探赢之标签平台对内实现深 度客户经营洞察、精准客户 营销、全面客户服务和有效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随着探赢之标签平台的成熟 和标签体系沉淀，逐步占领 市场份额并且支持云上化，</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生命周期管理、产品推 荐引擎、客群营销效果 评估计算、客群洞察分 析等，支撑银行业务未 来智能化营销体系的发 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风险管控。客户经理通过词 云形象化将客户的标签信 息，通过图像化、差异性直 观展现出来。、直观化识别客 户，快速洞察客户的需求等。 同时客户经理通过线下与客 户互动，打上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高端小区业主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标签。</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功能可以复用到相关项目， 缩短项目开发周期，降低项 目开发成本，提升项目利润 率。</w:t>
            </w:r>
          </w:p>
        </w:tc>
      </w:tr>
      <w:tr>
        <w:trPr>
          <w:trHeight w:val="69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资产保全管理系统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随着金融业市场化程度 越来越高，不良资产处 置手段日新月异，对商 业银行的资产保全管理 和系统建设也提出了更 高的要求。加之金融严 监管、去杠杆背景下、 银行不良资产问题加速 暴露，监管要求银行不 良风险全面出清，银行 处置化解不良资产压力 加大。全面梳理资产保 全业务相关流程，完善 资产保全系统及相关系 统群架构与功能，以提 升银行不良资产的管理 能力，强化信息系统对 不良资产日常管理、处 置、监控、报告的系统 支持，为银行缓解资产 处置压力，后续绩效考 核、决策支持提供依据。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搭建资产保全数据集市，实 现保全数据集中管理。组建 资产移交、资产处置、账户 处理模块的应用功能，满足 资产保全业务管理需求。构 建资产保全工作流引擎，灵 活直观配置流程，满足工作 流程科学管理。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补充公司在全面风险管理方 向的产品线，成熟的产品可 以支撑项目售前、缩短项目 开发周期、降低项目成本、 提升交付效率及项目利润 率。</w:t>
            </w:r>
          </w:p>
        </w:tc>
      </w:tr>
      <w:tr>
        <w:trPr>
          <w:trHeight w:val="351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个人网上银行系统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银恒通个人网上银行系 统为使用户可随时随地 办理金融业务，也使银 行能以便利、高效而又 较为安全的方式为客户 提供传统和创新的服 务，开发个人网上银行 系统，满足用户高效便 利办理金融业务的需 求，提升用户体验，丰 富银行业务内涵。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3" w:lineRule="exact"/>
              <w:ind w:left="0" w:right="0" w:firstLine="0"/>
              <w:jc w:val="both"/>
            </w:pPr>
            <w:r>
              <w:rPr>
                <w:color w:val="000000"/>
                <w:spacing w:val="0"/>
                <w:w w:val="100"/>
                <w:position w:val="0"/>
              </w:rPr>
              <w:t>提升用户体验，丰富银行业 务内涵，实现统一资源管理， 打造一站式、数据统一、智 能化程度最高的产品。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随着推动项目开发进度，个 人网上银行系统产品的成 熟，增加对中小银行业务线 的支持，在项目实施中可以 缩短项目开发周期，降低项 目开发成本，提高市场竞争 能力，同时推动公司稳定发 展。</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保险业务辅助自动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目前在财务结算过程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系统实现支持关联交易对手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系统涉及到对账业务的各个</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379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对账系统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中，有些公司部分账单 信息依靠手工录入，缺 乏固定规范的规则，与 交易对手账单信息无法 准确关联，结算对账工 作依赖于财务人员的线 下手工处理，无相关系 统进行批量处理，影响 财务结算效率及公司流 动性风险管理。为解决 上述问题特开发此系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账单信息、数据导入、账单 校验、批量处理、线上计算、 账单核销、自动匹配账单、 待核销处理、结算标记、计 算币制及汇率、批量退回、 批量结算、导出账单、取消 结算等。</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保险行业。为支持结算处理， 系统支持关联交易对手账单 信息，批量结算、批量退回， 账单核销等技术。进一步完 善保险业务方向对账系统产 品化方向。</w:t>
            </w:r>
          </w:p>
        </w:tc>
      </w:tr>
      <w:tr>
        <w:trPr>
          <w:trHeight w:val="414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交通大数据服务平 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建设交通大数据平台将 分散的重庆交通数据进 行整合，通过大数据技 术手段实现基础数据的 获取，提高信息资源数 据的利用率，建立自有 中心数据库，完成数据 的抽取、集中、加载、 展现，构建统一完善的 数据管理服务，并根据 数据进行建模分析，最 终服务于第三方金融客 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交通大数据服务平台本阶段 主要满足重庆三峡银行、安 诚保险、平安汽车金融中心 三个金融客户的服务需求。</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以行业大数据为核心，运用 大数据建模等技术，建设行 业大数据服务平台，推动行 业大数据在第三方金融机构 中风险计量的应用，为金融 机构风险体系服务及产品合 作运营服务打下坚实基础。</w:t>
            </w:r>
          </w:p>
        </w:tc>
      </w:tr>
      <w:tr>
        <w:trPr>
          <w:trHeight w:val="508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蓝光光盘库管理系 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随着业务快速发展，数 据量的不断增加，对大 量数据存储，数据管理 的需求越发迫切，为解 决业界目前在海量数据 在不同介质中不同期限 的保存方面以及针对大 量数据安全方便的保管 遇到的问题，部署蓝光 光盘库管理系统，以实 现数据备份恢复管理一 体化。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建立海量数据存储管理机 制，结合本行实际，将数据 文件安全保存并进行梳理落 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基于存储介质的安全 性、可靠性、保存年限长等 特点，实现相应数据的长时 间保存。</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将存储数据安全 保障工作系统化，自动化。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建立在线业务系统存储数 据的导出机制。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释放存储 数据存储介质的压力，减少 在线存储的消耗</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预留可供 在线业务系统调用的接口， 实现免维护恢复功能。</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将 数据存储工作持续改进制度 化。</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建立满足监管至少五十年 要求的，从备份到恢复的非 结构化数据一体化解决方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将非结构化数据长期 保存的损失降到最低。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降 低数据传输及调阅过程人为 参与程度，减少</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维护量， 提高</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支持能力。</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解决海 量数据不同期限保留过程中 遇到的存取问题，达到安全 保管大量数据文件，精准调 阅指定文件的目的。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快速 调取长期存储的指定数据， 降低审计成本。</w:t>
            </w:r>
          </w:p>
        </w:tc>
      </w:tr>
    </w:tbl>
    <w:p>
      <w:pPr>
        <w:spacing w:lineRule="exact" w:line="1"/>
        <w:rPr>
          <w:sz w:val="2"/>
          <w:szCs w:val="2"/>
        </w:rPr>
      </w:pPr>
      <w:r>
        <w:br w:type="page"/>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r>
      <w:tr>
        <w:trPr>
          <w:trHeight w:val="398"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90.80%</w:t>
            </w:r>
          </w:p>
        </w:tc>
      </w:tr>
      <w:tr>
        <w:trPr>
          <w:trHeight w:val="398"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255,347,298.08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143,749,597.38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111,309,213.81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18,784,939.20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224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大数据综合营销服务平台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6,565,250.38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基于大数据技术的飞速发展， 根据金融机构客户在疫情时 代的综合营销需求，不断优化 完善我们大数据综合营销服 务平台，通过开发打造银行产 品内部发布渠道，实现集成 式产品仓库，客户软性信息采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集等为企业客户提供一站式 行业解决方案，降低人工客户 费用，提升分配线索转化率， 方便金融机构管理员工和内 部信息交流。</w:t>
            </w: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开放式信用卡业务核心系统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6,181,688.14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信用卡业务核心系统是结合 近年来互联网金融创新应用 需求，在成熟的银行信用卡业 务的基础上，进行的继承与创 新式研发。项目建设主要是将 大数据、人工智能</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与金融 高度融合，通过智能化转型， 提升信用消费及综合服务能 力，改善客户体验，提升信用 卡差异化的核心竞争力。</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r>
      <w:tr>
        <w:trPr>
          <w:trHeight w:val="415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数字化风控应用服务平台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6,038,000.68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基于国内外环境复杂严峻，经 济恢复不均衡、基础不稳固， 银行业面临息差收窄、监管从 严、资产质量劣变和信用风险 上升等多重压力，通过完善智 能风控机制，推进数字化风控 体系建设，加快推进线上化， 深化数字化应用，推动数字风 控在风险管理中赋能发力等 实现以数字化转型为抓手，积 极构建线上化、数字化、智能 化风控体系，使之成为业务发 展的''发动机''与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助推器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r>
    </w:tbl>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公司将内部研究开发项目的支出，区分为研究阶段支出和开发阶段支出。研究阶段的支出，于发生时计入当期损益。开 发阶段的支出，同时满足下列条件的，才能予以资本化，即：完成该无形资产以使其能够使用或出售在技术上具有可行性； 具有完成该无形资产并使用或出售的意图；无形资产产生经济利益的方式，包括能够证明运用该无形资产生产的产品存在市 场或无形资产自身存在市场，无形资产将在内部使用的，能够证明其有用性；有足够的技术、财务资源和其他资源支持，以 完成该无形资产的开发，并有能力使用或出售该无形资产；归属于该无形资产开发阶段的支出能够可靠地计量。</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同时，公司建立了完善的研发管理制度和流程，对开发产品的立项评审、可行性研究论证、研发过程管理、研发结项、 研发成果管理等各个环节进行要求，确保产品开发项目的顺利实施及资本化的准确。</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实际执行中，公司研究开发项目满足上述资本化条件，按照内部管理制度的要求进行了管理，通过了技术可行性及经济 可行性研究并立项后，进入开发阶段。</w:t>
      </w:r>
    </w:p>
    <w:p>
      <w:pPr>
        <w:pStyle w:val="Style27"/>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5</w:t>
      </w:r>
      <w:bookmarkEnd w:id="174"/>
      <w:r>
        <w:rPr>
          <w:color w:val="000000"/>
          <w:spacing w:val="0"/>
          <w:w w:val="100"/>
          <w:position w:val="0"/>
        </w:rPr>
        <w:t>、现金流</w:t>
      </w:r>
      <w:bookmarkEnd w:id="172"/>
      <w:bookmarkEnd w:id="173"/>
      <w:bookmarkEnd w:id="17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1,610,853,627.95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1,124,356,535.60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1,842,226,579.92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1,318,535,462.41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-231,372,951.97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-194,178,926.81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2,761,657,340.65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1,003,812,729.63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2,688,502,062.13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1,165,193,859.64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130.73%</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73,155,278.52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-161,381,130.01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345,033,000.00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1,623,568,193.96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337,608,680.72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446,909,580.23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7,424,319.28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1,176,658,613.73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-150,839,000.21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821,018,200.93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1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894" w:val="left"/>
        </w:tabs>
        <w:bidi w:val="0"/>
        <w:spacing w:before="0" w:after="0" w:line="311" w:lineRule="exact"/>
        <w:ind w:left="0" w:right="0"/>
        <w:jc w:val="both"/>
      </w:pPr>
      <w:bookmarkStart w:id="176" w:name="bookmark176"/>
      <w:r>
        <w:rPr>
          <w:color w:val="000000"/>
          <w:spacing w:val="0"/>
          <w:w w:val="100"/>
          <w:position w:val="0"/>
        </w:rPr>
        <w:t>（</w:t>
      </w:r>
      <w:bookmarkEnd w:id="1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经营活动产生的现金流净额减少，主要原因系①报告期内，公司系统集成项目增多，该类业务需要大量的现金采 购，相应的购买商品、接受劳务支付的现金流出大幅增加，而部分集成项目在期末时点尚未验收回款；②报告期内，公司加 强了应收账款回款管理，使得销售商品、提供劳务收到的现金较上年明显增加且大于收入增长的比例，但随着公司业务规模 的持续扩大，相应的为职工支付的现金持续增长，部分大项目回款周期长与为职工支付的现金均衡发生相比仍然存在差异； 综上因素导致经营活动现金流净额为负。</w:t>
      </w:r>
    </w:p>
    <w:p>
      <w:pPr>
        <w:pStyle w:val="Style16"/>
        <w:keepNext w:val="0"/>
        <w:keepLines w:val="0"/>
        <w:widowControl w:val="0"/>
        <w:shd w:val="clear" w:color="auto" w:fill="auto"/>
        <w:tabs>
          <w:tab w:pos="894" w:val="left"/>
        </w:tabs>
        <w:bidi w:val="0"/>
        <w:spacing w:before="0" w:after="0" w:line="317" w:lineRule="exact"/>
        <w:ind w:left="0" w:right="0"/>
        <w:jc w:val="both"/>
      </w:pPr>
      <w:bookmarkStart w:id="177" w:name="bookmark177"/>
      <w:r>
        <w:rPr>
          <w:color w:val="000000"/>
          <w:spacing w:val="0"/>
          <w:w w:val="100"/>
          <w:position w:val="0"/>
        </w:rPr>
        <w:t>（</w:t>
      </w:r>
      <w:bookmarkEnd w:id="1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投资活动现金流入和流出较上期均增加较多，主要原因系①报告期内本公司购买理财产品、理财产品到期赎回； ②报告期内本公司对北京和顺恒通科技有限公司投资所致。同时，报告期期末本公司购买的部分理财产品到期赎回，取得投 资收益的现金较去年增加，导致投资活动现金流量净额增加。</w:t>
      </w:r>
    </w:p>
    <w:p>
      <w:pPr>
        <w:pStyle w:val="Style16"/>
        <w:keepNext w:val="0"/>
        <w:keepLines w:val="0"/>
        <w:widowControl w:val="0"/>
        <w:shd w:val="clear" w:color="auto" w:fill="auto"/>
        <w:tabs>
          <w:tab w:pos="889" w:val="left"/>
        </w:tabs>
        <w:bidi w:val="0"/>
        <w:spacing w:before="0" w:after="0" w:line="326" w:lineRule="exact"/>
        <w:ind w:left="0" w:right="0"/>
        <w:jc w:val="both"/>
      </w:pPr>
      <w:bookmarkStart w:id="178" w:name="bookmark178"/>
      <w:r>
        <w:rPr>
          <w:color w:val="000000"/>
          <w:spacing w:val="0"/>
          <w:w w:val="100"/>
          <w:position w:val="0"/>
        </w:rPr>
        <w:t>（</w:t>
      </w:r>
      <w:bookmarkEnd w:id="1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筹资活动现金流入和流出较上期减少，主要原因系①报告期内本公司取得和偿还的银行借款较上期增多；②本期 较上期减少发行筹资费。</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22" w:lineRule="exact"/>
        <w:ind w:left="0" w:right="0"/>
        <w:jc w:val="both"/>
      </w:pPr>
      <w:r>
        <w:rPr>
          <w:color w:val="000000"/>
          <w:spacing w:val="0"/>
          <w:w w:val="100"/>
          <w:position w:val="0"/>
        </w:rPr>
        <w:t>报告期内，公司经营活动产生的现金流量净额与净利润的差异为</w:t>
      </w:r>
      <w:r>
        <w:rPr>
          <w:rFonts w:ascii="Times New Roman" w:eastAsia="Times New Roman" w:hAnsi="Times New Roman" w:cs="Times New Roman"/>
          <w:color w:val="000000"/>
          <w:spacing w:val="0"/>
          <w:w w:val="100"/>
          <w:position w:val="0"/>
          <w:sz w:val="18"/>
          <w:szCs w:val="18"/>
        </w:rPr>
        <w:t>-33,316.59</w:t>
      </w:r>
      <w:r>
        <w:rPr>
          <w:color w:val="000000"/>
          <w:spacing w:val="0"/>
          <w:w w:val="100"/>
          <w:position w:val="0"/>
        </w:rPr>
        <w:t>万元，主要原因系经营活动产生的现金流净 额减少，具体原因详见上述说明（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br w:type="page"/>
      </w:r>
    </w:p>
    <w:p>
      <w:pPr>
        <w:pStyle w:val="Style21"/>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五</w:t>
      </w:r>
      <w:bookmarkEnd w:id="181"/>
      <w:r>
        <w:rPr>
          <w:color w:val="000000"/>
          <w:spacing w:val="0"/>
          <w:w w:val="100"/>
          <w:position w:val="0"/>
        </w:rPr>
        <w:t>、非主营业务情况</w:t>
      </w:r>
      <w:bookmarkEnd w:id="179"/>
      <w:bookmarkEnd w:id="180"/>
      <w:bookmarkEnd w:id="182"/>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5,235,891.71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主要系结构性存款产生的 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99,366.63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主要系公司对合同资产计 提坏账的转回</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系收到税控服务费返还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137,046.03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主要系对外捐赠支出等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33,074,399.74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主要系收到的增值税退税</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及政府补助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增值税退税具有可持续性，政 府补助不具有可持续性。</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-23,791,683.03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主要系公司对应收款项计 提坏账准备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系以公司以无形资产入股 北京金实宏成技术有限公 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1"/>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六</w:t>
      </w:r>
      <w:bookmarkEnd w:id="185"/>
      <w:r>
        <w:rPr>
          <w:color w:val="000000"/>
          <w:spacing w:val="0"/>
          <w:w w:val="100"/>
          <w:position w:val="0"/>
        </w:rPr>
        <w:t>、资产及负债状况分析</w:t>
      </w:r>
      <w:bookmarkEnd w:id="183"/>
      <w:bookmarkEnd w:id="184"/>
      <w:bookmarkEnd w:id="186"/>
    </w:p>
    <w:p>
      <w:pPr>
        <w:pStyle w:val="Style27"/>
        <w:keepNext/>
        <w:keepLines/>
        <w:widowControl w:val="0"/>
        <w:shd w:val="clear" w:color="auto" w:fill="auto"/>
        <w:bidi w:val="0"/>
        <w:spacing w:before="0" w:after="36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、资产构成重大变动情况</w:t>
      </w:r>
      <w:bookmarkEnd w:id="187"/>
      <w:bookmarkEnd w:id="188"/>
      <w:bookmarkEnd w:id="190"/>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25"/>
        <w:gridCol w:w="902"/>
        <w:gridCol w:w="1368"/>
        <w:gridCol w:w="88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866,221,058.43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29.10%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1,013,322,382.09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主要系报告期内支付日常成本费用 增多所致。</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1,253,326,122.32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911,693,673.27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主要系收入持续增长相应的应收账 款余额增加所致。</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129,680,885.60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124,585,955.53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278,129,914.54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216,847,776.91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主要系业务规模扩大，在执行项目已 投入待结转成本大幅增加所致。</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68,235,829.07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11,451,668.30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主要系本期新增对外投资所致。</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122,390,312.31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105,093,189.47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bl>
    <w:p>
      <w:pPr>
        <w:spacing w:lineRule="exact" w:line="1"/>
        <w:rPr>
          <w:sz w:val="2"/>
          <w:szCs w:val="2"/>
        </w:rPr>
      </w:pPr>
      <w:r>
        <w:br w:type="page"/>
      </w:r>
    </w:p>
    <w:tbl>
      <w:tblPr>
        <w:tblOverlap w:val="never"/>
        <w:jc w:val="center"/>
        <w:tblLayout w:type="fixed"/>
      </w:tblPr>
      <w:tblGrid>
        <w:gridCol w:w="1378"/>
        <w:gridCol w:w="1325"/>
        <w:gridCol w:w="902"/>
        <w:gridCol w:w="1368"/>
        <w:gridCol w:w="888"/>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11,459,239.42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12,499,894.43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年执行新租赁准则，较期初减少 主要系对使用权资产计提折旧摊销 所致。</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主要系公司新增银行借款所致。</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12,471,648.64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8,220,312.41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主要系业务规模扩大相应的合同预 收款增加所致。</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6,943,282.09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9,477,881.66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年执行新租赁准则，较期初减少 主要系对租赁负债未确认融资费用 摊销所致。</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系购买理财产品结构性存款赎回所 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34,708,899.19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15,701,064.99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主要系保证金押金以及净额法确认 收入下的代收代付款项增加所致。</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741,816.15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主要系购买办公软件所致。</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18,784,939.20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主要系研发费用资本化所致。</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5,252,246.40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3,105,521.12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主要系新办公室装修所致。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16,907,598.67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11,286,977.73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主要系坏账准备、股份支付等增加相 应的可抵扣暂时性差异增加所致。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主要系公司部分采购业务使用票据 方式结算所致。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45,013,479.40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15,457,516.46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主要系业务规模持续扩大，期末应付 采购款增加所致。</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 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4,417,884.32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22,687,328.18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系一年内到期的租赁负债重分类所 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7,172,615.08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系公司取得的保理借款偿还完成所 致。</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369,237.74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系重分类一年以上的合同负债所致。</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36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、以公允价值计量的资产和负债</w:t>
      </w:r>
      <w:bookmarkEnd w:id="191"/>
      <w:bookmarkEnd w:id="192"/>
      <w:bookmarkEnd w:id="194"/>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272"/>
        <w:gridCol w:w="854"/>
        <w:gridCol w:w="1133"/>
        <w:gridCol w:w="648"/>
        <w:gridCol w:w="1478"/>
        <w:gridCol w:w="1416"/>
        <w:gridCol w:w="566"/>
        <w:gridCol w:w="931"/>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价值变动</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提的减</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 产（不含衍生金 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2,610,100,000.00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2,610,100,000.00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2,610,100,000.00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、截至报告期末的资产权利受限情况</w:t>
      </w:r>
      <w:bookmarkEnd w:id="195"/>
      <w:bookmarkEnd w:id="196"/>
      <w:bookmarkEnd w:id="198"/>
    </w:p>
    <w:tbl>
      <w:tblPr>
        <w:tblOverlap w:val="never"/>
        <w:jc w:val="center"/>
        <w:tblLayout w:type="fixed"/>
      </w:tblPr>
      <w:tblGrid>
        <w:gridCol w:w="2962"/>
        <w:gridCol w:w="2875"/>
        <w:gridCol w:w="3840"/>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14,044,186.91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银行承兑汇票保证金</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97,671,293.42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111,715,480.33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1"/>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七</w:t>
      </w:r>
      <w:bookmarkEnd w:id="201"/>
      <w:r>
        <w:rPr>
          <w:color w:val="000000"/>
          <w:spacing w:val="0"/>
          <w:w w:val="100"/>
          <w:position w:val="0"/>
        </w:rPr>
        <w:t>、投资状况分析</w:t>
      </w:r>
      <w:bookmarkEnd w:id="199"/>
      <w:bookmarkEnd w:id="200"/>
      <w:bookmarkEnd w:id="202"/>
    </w:p>
    <w:p>
      <w:pPr>
        <w:pStyle w:val="Style27"/>
        <w:keepNext/>
        <w:keepLines/>
        <w:widowControl w:val="0"/>
        <w:shd w:val="clear" w:color="auto" w:fill="auto"/>
        <w:bidi w:val="0"/>
        <w:spacing w:before="0" w:after="36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1</w:t>
      </w:r>
      <w:bookmarkEnd w:id="205"/>
      <w:r>
        <w:rPr>
          <w:color w:val="000000"/>
          <w:spacing w:val="0"/>
          <w:w w:val="100"/>
          <w:position w:val="0"/>
        </w:rPr>
        <w:t>、总体情况</w:t>
      </w:r>
      <w:bookmarkEnd w:id="203"/>
      <w:bookmarkEnd w:id="204"/>
      <w:bookmarkEnd w:id="206"/>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94,190,632.00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370.95%</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2</w:t>
      </w:r>
      <w:bookmarkEnd w:id="209"/>
      <w:r>
        <w:rPr>
          <w:color w:val="000000"/>
          <w:spacing w:val="0"/>
          <w:w w:val="100"/>
          <w:position w:val="0"/>
        </w:rPr>
        <w:t>、报告期内获取的重大的股权投资情况</w:t>
      </w:r>
      <w:bookmarkEnd w:id="207"/>
      <w:bookmarkEnd w:id="208"/>
      <w:bookmarkEnd w:id="210"/>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754"/>
        <w:gridCol w:w="518"/>
        <w:gridCol w:w="619"/>
        <w:gridCol w:w="619"/>
        <w:gridCol w:w="624"/>
        <w:gridCol w:w="614"/>
        <w:gridCol w:w="619"/>
        <w:gridCol w:w="614"/>
        <w:gridCol w:w="874"/>
        <w:gridCol w:w="566"/>
        <w:gridCol w:w="710"/>
        <w:gridCol w:w="422"/>
        <w:gridCol w:w="686"/>
        <w:gridCol w:w="677"/>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公司名</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截至资产 负债表日 的进展情 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涉诉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披露日</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期（如</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披露索 引（如 有）</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北京和</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顺恒通</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 发、咨 询、转 让、服 务、推广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44,204,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长期股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2021-00 </w:t>
            </w:r>
            <w:r>
              <w:rPr>
                <w:rFonts w:ascii="Times New Roman" w:eastAsia="Times New Roman" w:hAnsi="Times New Roman" w:cs="Times New Roman"/>
                <w:color w:val="000000"/>
                <w:spacing w:val="0"/>
                <w:w w:val="100"/>
                <w:position w:val="0"/>
                <w:sz w:val="18"/>
                <w:szCs w:val="18"/>
              </w:rPr>
              <w:t>3</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北京金</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实宏成</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技术有</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应用软 件服务、 软件开 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无形资</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产评估</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作价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长期股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已设立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2020-01 </w:t>
            </w:r>
            <w:r>
              <w:rPr>
                <w:rFonts w:ascii="Times New Roman" w:eastAsia="Times New Roman" w:hAnsi="Times New Roman" w:cs="Times New Roman"/>
                <w:color w:val="000000"/>
                <w:spacing w:val="0"/>
                <w:w w:val="100"/>
                <w:position w:val="0"/>
                <w:sz w:val="18"/>
                <w:szCs w:val="18"/>
              </w:rPr>
              <w:t>8</w:t>
            </w:r>
          </w:p>
        </w:tc>
      </w:tr>
      <w:tr>
        <w:trPr>
          <w:trHeight w:val="476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西藏天 阳华瑞 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信息技 术、计算 机软硬 件技术 领域内 的技术 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6,800,0</w:t>
            </w:r>
          </w:p>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北京科 创世恒 信息技 术有限 公司、 西藏晋 福瑞 企业管 理有限 公司、 深圳前 海汉华 融投资 管理有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长期股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已设立，截 止报告披 露日尚未 实缴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2021-01 </w:t>
            </w:r>
            <w:r>
              <w:rPr>
                <w:rFonts w:ascii="Times New Roman" w:eastAsia="Times New Roman" w:hAnsi="Times New Roman" w:cs="Times New Roman"/>
                <w:color w:val="000000"/>
                <w:spacing w:val="0"/>
                <w:w w:val="100"/>
                <w:position w:val="0"/>
                <w:sz w:val="18"/>
                <w:szCs w:val="18"/>
              </w:rPr>
              <w:t>9</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航天信</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德智图</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京）科</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8" w:lineRule="exact"/>
              <w:ind w:left="0" w:right="0" w:firstLine="0"/>
              <w:jc w:val="both"/>
            </w:pPr>
            <w:r>
              <w:rPr>
                <w:color w:val="000000"/>
                <w:spacing w:val="0"/>
                <w:w w:val="100"/>
                <w:position w:val="0"/>
              </w:rPr>
              <w:t>技术开 发、技术 推广、技 术转让、 技术咨 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3,685,0</w:t>
            </w:r>
          </w:p>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其他权</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益工具</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2021-03 </w:t>
            </w:r>
            <w:r>
              <w:rPr>
                <w:rFonts w:ascii="Times New Roman" w:eastAsia="Times New Roman" w:hAnsi="Times New Roman" w:cs="Times New Roman"/>
                <w:color w:val="000000"/>
                <w:spacing w:val="0"/>
                <w:w w:val="100"/>
                <w:position w:val="0"/>
                <w:sz w:val="18"/>
                <w:szCs w:val="18"/>
              </w:rPr>
              <w:t>4</w:t>
            </w:r>
          </w:p>
        </w:tc>
      </w:tr>
      <w:tr>
        <w:trPr>
          <w:trHeight w:val="9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深圳昊</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天睿阳</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技术服</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务、技术</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开发、技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长期股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权投资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已设立，截 止报告披 露日尚未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672"/>
        <w:gridCol w:w="754"/>
        <w:gridCol w:w="518"/>
        <w:gridCol w:w="619"/>
        <w:gridCol w:w="619"/>
        <w:gridCol w:w="624"/>
        <w:gridCol w:w="614"/>
        <w:gridCol w:w="619"/>
        <w:gridCol w:w="614"/>
        <w:gridCol w:w="874"/>
        <w:gridCol w:w="566"/>
        <w:gridCol w:w="710"/>
        <w:gridCol w:w="422"/>
        <w:gridCol w:w="686"/>
        <w:gridCol w:w="677"/>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公司名</w:t>
            </w:r>
          </w:p>
          <w:p>
            <w:pPr>
              <w:pStyle w:val="Style18"/>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截至资产 负债表日 的进展情 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披露索 引（如 有）</w:t>
            </w:r>
          </w:p>
        </w:tc>
      </w:tr>
      <w:tr>
        <w:trPr>
          <w:trHeight w:val="161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术咨询、 技术交 流、技术 转让、技 术推广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天阳胜</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合科技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京）有</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 发、技术 推广、技 术转让、 技术咨 询、技术 服务；数 据处理； 软件开 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w:t>
            </w:r>
          </w:p>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宁波胜 合企业 管理合 伙企业 （有限 合伙）、 北京同 创安胜 咨询服 务中心 （有限 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已设立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-814,987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2021-04 </w:t>
            </w:r>
            <w:r>
              <w:rPr>
                <w:rFonts w:ascii="Times New Roman" w:eastAsia="Times New Roman" w:hAnsi="Times New Roman" w:cs="Times New Roman"/>
                <w:color w:val="000000"/>
                <w:spacing w:val="0"/>
                <w:w w:val="100"/>
                <w:position w:val="0"/>
                <w:sz w:val="18"/>
                <w:szCs w:val="18"/>
              </w:rPr>
              <w:t>0</w:t>
            </w:r>
          </w:p>
        </w:tc>
      </w:tr>
      <w:tr>
        <w:trPr>
          <w:trHeight w:val="320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北京同 创安胜 咨询服 务中心 （有限 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经济贸 易咨询； 市场调 查；企业 管理咨 询；教育 咨询；公 共关系 服务；企 业策划。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金咏梅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已设立，截 止报告披 露日尚未 实缴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公告编 号： </w:t>
            </w:r>
            <w:r>
              <w:rPr>
                <w:rFonts w:ascii="Times New Roman" w:eastAsia="Times New Roman" w:hAnsi="Times New Roman" w:cs="Times New Roman"/>
                <w:color w:val="000000"/>
                <w:spacing w:val="0"/>
                <w:w w:val="100"/>
                <w:position w:val="0"/>
                <w:sz w:val="18"/>
                <w:szCs w:val="18"/>
              </w:rPr>
              <w:t xml:space="preserve">2021-04 </w:t>
            </w:r>
            <w:r>
              <w:rPr>
                <w:rFonts w:ascii="Times New Roman" w:eastAsia="Times New Roman" w:hAnsi="Times New Roman" w:cs="Times New Roman"/>
                <w:color w:val="000000"/>
                <w:spacing w:val="0"/>
                <w:w w:val="100"/>
                <w:position w:val="0"/>
                <w:sz w:val="18"/>
                <w:szCs w:val="18"/>
              </w:rPr>
              <w:t>0</w:t>
            </w:r>
          </w:p>
        </w:tc>
      </w:tr>
      <w:tr>
        <w:trPr>
          <w:trHeight w:val="28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长沙湘 瓴睿阳 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 发、软件 开发、技 术转让、 技术咨 询、技术 服务；系 统集成 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已设立，截 止报告披 露日尚未 实缴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94,190, </w:t>
            </w:r>
            <w:r>
              <w:rPr>
                <w:rFonts w:ascii="Times New Roman" w:eastAsia="Times New Roman" w:hAnsi="Times New Roman" w:cs="Times New Roman"/>
                <w:color w:val="000000"/>
                <w:spacing w:val="0"/>
                <w:w w:val="100"/>
                <w:position w:val="0"/>
                <w:sz w:val="18"/>
                <w:szCs w:val="18"/>
              </w:rPr>
              <w:t>632.00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7"/>
        <w:keepNext/>
        <w:keepLines/>
        <w:widowControl w:val="0"/>
        <w:shd w:val="clear" w:color="auto" w:fill="auto"/>
        <w:tabs>
          <w:tab w:pos="378" w:val="left"/>
        </w:tabs>
        <w:bidi w:val="0"/>
        <w:spacing w:before="0" w:line="240" w:lineRule="auto"/>
        <w:ind w:left="0" w:right="0" w:firstLine="0"/>
        <w:jc w:val="both"/>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3</w:t>
      </w:r>
      <w:bookmarkEnd w:id="213"/>
      <w:r>
        <w:rPr>
          <w:color w:val="000000"/>
          <w:spacing w:val="0"/>
          <w:w w:val="100"/>
          <w:position w:val="0"/>
        </w:rPr>
        <w:t>、</w:t>
        <w:tab/>
        <w:t>报告期内正在进行的重大的非股权投资情况</w:t>
      </w:r>
      <w:bookmarkEnd w:id="211"/>
      <w:bookmarkEnd w:id="212"/>
      <w:bookmarkEnd w:id="214"/>
    </w:p>
    <w:p>
      <w:pPr>
        <w:pStyle w:val="Style1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line="240" w:lineRule="auto"/>
        <w:ind w:left="0" w:right="0" w:firstLine="0"/>
        <w:jc w:val="both"/>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4</w:t>
      </w:r>
      <w:bookmarkEnd w:id="217"/>
      <w:r>
        <w:rPr>
          <w:color w:val="000000"/>
          <w:spacing w:val="0"/>
          <w:w w:val="100"/>
          <w:position w:val="0"/>
        </w:rPr>
        <w:t>、</w:t>
        <w:tab/>
        <w:t>以公允价值计量的金融资产</w:t>
      </w:r>
      <w:bookmarkEnd w:id="215"/>
      <w:bookmarkEnd w:id="216"/>
      <w:bookmarkEnd w:id="218"/>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本期公允价</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值变动损益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报告期内售</w:t>
            </w:r>
          </w:p>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出金额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90,000,000</w:t>
            </w:r>
          </w:p>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2,260,444.6</w:t>
            </w:r>
          </w:p>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54,000,000</w:t>
            </w:r>
          </w:p>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1,910,000,000.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5,396,895.9</w:t>
            </w:r>
          </w:p>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2,610,100,000.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7,657,340.6</w:t>
            </w:r>
          </w:p>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5</w:t>
      </w:r>
      <w:bookmarkEnd w:id="221"/>
      <w:r>
        <w:rPr>
          <w:color w:val="000000"/>
          <w:spacing w:val="0"/>
          <w:w w:val="100"/>
          <w:position w:val="0"/>
        </w:rPr>
        <w:t>、募集资金使用情况</w:t>
      </w:r>
      <w:bookmarkEnd w:id="219"/>
      <w:bookmarkEnd w:id="220"/>
      <w:bookmarkEnd w:id="222"/>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keepLines/>
        <w:widowControl w:val="0"/>
        <w:shd w:val="clear" w:color="auto" w:fill="auto"/>
        <w:bidi w:val="0"/>
        <w:spacing w:before="0" w:after="80" w:line="240" w:lineRule="auto"/>
        <w:ind w:left="0" w:right="0" w:firstLine="0"/>
        <w:jc w:val="both"/>
      </w:pPr>
      <w:bookmarkStart w:id="223" w:name="bookmark223"/>
      <w:bookmarkStart w:id="224" w:name="bookmark224"/>
      <w:bookmarkStart w:id="225" w:name="bookmark225"/>
      <w:bookmarkStart w:id="226" w:name="bookmark226"/>
      <w:r>
        <w:rPr>
          <w:color w:val="000000"/>
          <w:spacing w:val="0"/>
          <w:w w:val="100"/>
          <w:position w:val="0"/>
        </w:rPr>
        <w:t>（</w:t>
      </w:r>
      <w:bookmarkEnd w:id="22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3"/>
      <w:bookmarkEnd w:id="224"/>
      <w:bookmarkEnd w:id="226"/>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18"/>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发行股票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并上市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112,917.57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21,221.05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65,056.27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存放于银 行</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112,917.57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21,221.05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65,056.27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47,861.3</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597" w:hRule="exact"/>
        </w:trPr>
        <w:tc>
          <w:tcPr>
            <w:gridSpan w:val="11"/>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2020]1653</w:t>
            </w:r>
            <w:r>
              <w:rPr>
                <w:color w:val="000000"/>
                <w:spacing w:val="0"/>
                <w:w w:val="100"/>
                <w:position w:val="0"/>
              </w:rPr>
              <w:t>号文《关于同意天阳宏业科技股份有限公司首次公开发 行股票注册的批复》的核准，同意天阳科技向社会公众公开发行人民币普通股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5,620</w:t>
            </w:r>
            <w:r>
              <w:rPr>
                <w:color w:val="000000"/>
                <w:spacing w:val="0"/>
                <w:w w:val="100"/>
                <w:position w:val="0"/>
              </w:rPr>
              <w:t>万股。公司公开发行人民币 普通股</w:t>
            </w:r>
            <w:r>
              <w:rPr>
                <w:rFonts w:ascii="Times New Roman" w:eastAsia="Times New Roman" w:hAnsi="Times New Roman" w:cs="Times New Roman"/>
                <w:color w:val="000000"/>
                <w:spacing w:val="0"/>
                <w:w w:val="100"/>
                <w:position w:val="0"/>
                <w:sz w:val="18"/>
                <w:szCs w:val="18"/>
              </w:rPr>
              <w:t>5,620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元，每股发行认购价格为人民币</w:t>
            </w:r>
            <w:r>
              <w:rPr>
                <w:rFonts w:ascii="Times New Roman" w:eastAsia="Times New Roman" w:hAnsi="Times New Roman" w:cs="Times New Roman"/>
                <w:color w:val="000000"/>
                <w:spacing w:val="0"/>
                <w:w w:val="100"/>
                <w:position w:val="0"/>
                <w:sz w:val="18"/>
                <w:szCs w:val="18"/>
              </w:rPr>
              <w:t>21.34</w:t>
            </w:r>
            <w:r>
              <w:rPr>
                <w:color w:val="000000"/>
                <w:spacing w:val="0"/>
                <w:w w:val="100"/>
                <w:position w:val="0"/>
              </w:rPr>
              <w:t>元，共计募集人民币</w:t>
            </w:r>
            <w:r>
              <w:rPr>
                <w:rFonts w:ascii="Times New Roman" w:eastAsia="Times New Roman" w:hAnsi="Times New Roman" w:cs="Times New Roman"/>
                <w:color w:val="000000"/>
                <w:spacing w:val="0"/>
                <w:w w:val="100"/>
                <w:position w:val="0"/>
                <w:sz w:val="18"/>
                <w:szCs w:val="18"/>
              </w:rPr>
              <w:t>119,930.80</w:t>
            </w:r>
            <w:r>
              <w:rPr>
                <w:color w:val="000000"/>
                <w:spacing w:val="0"/>
                <w:w w:val="100"/>
                <w:position w:val="0"/>
              </w:rPr>
              <w:t>万元，扣 除与发行有关的费用（不含增值税）人民币</w:t>
            </w:r>
            <w:r>
              <w:rPr>
                <w:rFonts w:ascii="Times New Roman" w:eastAsia="Times New Roman" w:hAnsi="Times New Roman" w:cs="Times New Roman"/>
                <w:color w:val="000000"/>
                <w:spacing w:val="0"/>
                <w:w w:val="100"/>
                <w:position w:val="0"/>
                <w:sz w:val="18"/>
                <w:szCs w:val="18"/>
              </w:rPr>
              <w:t>7,013.23</w:t>
            </w:r>
            <w:r>
              <w:rPr>
                <w:color w:val="000000"/>
                <w:spacing w:val="0"/>
                <w:w w:val="100"/>
                <w:position w:val="0"/>
              </w:rPr>
              <w:t>万元后实际募集资金净额为人民币</w:t>
            </w:r>
            <w:r>
              <w:rPr>
                <w:rFonts w:ascii="Times New Roman" w:eastAsia="Times New Roman" w:hAnsi="Times New Roman" w:cs="Times New Roman"/>
                <w:color w:val="000000"/>
                <w:spacing w:val="0"/>
                <w:w w:val="100"/>
                <w:position w:val="0"/>
                <w:sz w:val="18"/>
                <w:szCs w:val="18"/>
              </w:rPr>
              <w:t>112,917.57</w:t>
            </w:r>
            <w:r>
              <w:rPr>
                <w:color w:val="000000"/>
                <w:spacing w:val="0"/>
                <w:w w:val="100"/>
                <w:position w:val="0"/>
              </w:rPr>
              <w:t>万元。上述募集资金到 位情况已经大华会计师事务所（特殊普通合伙）审验，并于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日出具大华验字</w:t>
            </w:r>
            <w:r>
              <w:rPr>
                <w:rFonts w:ascii="Times New Roman" w:eastAsia="Times New Roman" w:hAnsi="Times New Roman" w:cs="Times New Roman"/>
                <w:color w:val="000000"/>
                <w:spacing w:val="0"/>
                <w:w w:val="100"/>
                <w:position w:val="0"/>
                <w:sz w:val="18"/>
                <w:szCs w:val="18"/>
              </w:rPr>
              <w:t>[2020]000467</w:t>
            </w:r>
            <w:r>
              <w:rPr>
                <w:color w:val="000000"/>
                <w:spacing w:val="0"/>
                <w:w w:val="100"/>
                <w:position w:val="0"/>
              </w:rPr>
              <w:t>号验资报告。 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日，募集资金累计使用</w:t>
            </w:r>
            <w:r>
              <w:rPr>
                <w:rFonts w:ascii="Times New Roman" w:eastAsia="Times New Roman" w:hAnsi="Times New Roman" w:cs="Times New Roman"/>
                <w:color w:val="000000"/>
                <w:spacing w:val="0"/>
                <w:w w:val="100"/>
                <w:position w:val="0"/>
                <w:sz w:val="18"/>
                <w:szCs w:val="18"/>
              </w:rPr>
              <w:t>65,056.27</w:t>
            </w:r>
            <w:r>
              <w:rPr>
                <w:color w:val="000000"/>
                <w:spacing w:val="0"/>
                <w:w w:val="100"/>
                <w:position w:val="0"/>
              </w:rPr>
              <w:t>万元，募集资金可使用余额</w:t>
            </w:r>
            <w:r>
              <w:rPr>
                <w:rFonts w:ascii="Times New Roman" w:eastAsia="Times New Roman" w:hAnsi="Times New Roman" w:cs="Times New Roman"/>
                <w:color w:val="000000"/>
                <w:spacing w:val="0"/>
                <w:w w:val="100"/>
                <w:position w:val="0"/>
                <w:sz w:val="18"/>
                <w:szCs w:val="18"/>
              </w:rPr>
              <w:t>47,861.30</w:t>
            </w:r>
            <w:r>
              <w:rPr>
                <w:color w:val="000000"/>
                <w:spacing w:val="0"/>
                <w:w w:val="100"/>
                <w:position w:val="0"/>
              </w:rPr>
              <w:t>万元（含利息收入）。本 年度使用募集资金</w:t>
            </w:r>
            <w:r>
              <w:rPr>
                <w:rFonts w:ascii="Times New Roman" w:eastAsia="Times New Roman" w:hAnsi="Times New Roman" w:cs="Times New Roman"/>
                <w:color w:val="000000"/>
                <w:spacing w:val="0"/>
                <w:w w:val="100"/>
                <w:position w:val="0"/>
                <w:sz w:val="18"/>
                <w:szCs w:val="18"/>
              </w:rPr>
              <w:t>21,221.05</w:t>
            </w:r>
            <w:r>
              <w:rPr>
                <w:color w:val="000000"/>
                <w:spacing w:val="0"/>
                <w:w w:val="100"/>
                <w:position w:val="0"/>
              </w:rPr>
              <w:t>万元，累计使用募集资金</w:t>
            </w:r>
            <w:r>
              <w:rPr>
                <w:rFonts w:ascii="Times New Roman" w:eastAsia="Times New Roman" w:hAnsi="Times New Roman" w:cs="Times New Roman"/>
                <w:color w:val="000000"/>
                <w:spacing w:val="0"/>
                <w:w w:val="100"/>
                <w:position w:val="0"/>
                <w:sz w:val="18"/>
                <w:szCs w:val="18"/>
              </w:rPr>
              <w:t>65,056.27</w:t>
            </w:r>
            <w:r>
              <w:rPr>
                <w:color w:val="000000"/>
                <w:spacing w:val="0"/>
                <w:w w:val="100"/>
                <w:position w:val="0"/>
              </w:rPr>
              <w:t>万元，其中募投项目支付</w:t>
            </w:r>
            <w:r>
              <w:rPr>
                <w:rFonts w:ascii="Times New Roman" w:eastAsia="Times New Roman" w:hAnsi="Times New Roman" w:cs="Times New Roman"/>
                <w:color w:val="000000"/>
                <w:spacing w:val="0"/>
                <w:w w:val="100"/>
                <w:position w:val="0"/>
                <w:sz w:val="18"/>
                <w:szCs w:val="18"/>
              </w:rPr>
              <w:t>50,111.96</w:t>
            </w:r>
            <w:r>
              <w:rPr>
                <w:color w:val="000000"/>
                <w:spacing w:val="0"/>
                <w:w w:val="100"/>
                <w:position w:val="0"/>
              </w:rPr>
              <w:t xml:space="preserve">万元，补充流动资金 </w:t>
            </w:r>
            <w:r>
              <w:rPr>
                <w:rFonts w:ascii="Times New Roman" w:eastAsia="Times New Roman" w:hAnsi="Times New Roman" w:cs="Times New Roman"/>
                <w:color w:val="000000"/>
                <w:spacing w:val="0"/>
                <w:w w:val="100"/>
                <w:position w:val="0"/>
                <w:sz w:val="18"/>
                <w:szCs w:val="18"/>
              </w:rPr>
              <w:t>12,944.31</w:t>
            </w:r>
            <w:r>
              <w:rPr>
                <w:color w:val="000000"/>
                <w:spacing w:val="0"/>
                <w:w w:val="100"/>
                <w:position w:val="0"/>
              </w:rPr>
              <w:t>万元，偿还银行贷款支付</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p>
        </w:tc>
      </w:tr>
    </w:tbl>
    <w:p>
      <w:pPr>
        <w:spacing w:lineRule="exact" w:line="1"/>
        <w:rPr>
          <w:sz w:val="2"/>
          <w:szCs w:val="2"/>
        </w:rPr>
      </w:pPr>
      <w:r>
        <w:br w:type="page"/>
      </w:r>
    </w:p>
    <w:p>
      <w:pPr>
        <w:pStyle w:val="Style27"/>
        <w:keepNext/>
        <w:keepLines/>
        <w:widowControl w:val="0"/>
        <w:numPr>
          <w:ilvl w:val="0"/>
          <w:numId w:val="5"/>
        </w:numPr>
        <w:shd w:val="clear" w:color="auto" w:fill="auto"/>
        <w:bidi w:val="0"/>
        <w:spacing w:before="0" w:line="240" w:lineRule="auto"/>
        <w:ind w:left="0" w:right="0" w:firstLine="0"/>
        <w:jc w:val="left"/>
      </w:pPr>
      <w:bookmarkStart w:id="227" w:name="bookmark227"/>
      <w:bookmarkStart w:id="228" w:name="bookmark228"/>
      <w:bookmarkStart w:id="229" w:name="bookmark229"/>
      <w:bookmarkStart w:id="230" w:name="bookmark230"/>
      <w:bookmarkEnd w:id="229"/>
      <w:r>
        <w:rPr>
          <w:color w:val="000000"/>
          <w:spacing w:val="0"/>
          <w:w w:val="100"/>
          <w:position w:val="0"/>
        </w:rPr>
        <w:t>募集资金承诺项目情况</w:t>
      </w:r>
      <w:bookmarkEnd w:id="227"/>
      <w:bookmarkEnd w:id="228"/>
      <w:bookmarkEnd w:id="230"/>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截至期末 投资进度</w:t>
            </w:r>
          </w:p>
          <w:p>
            <w:pPr>
              <w:pStyle w:val="Style18"/>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8"/>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效益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项目可 行性是 否发生 重大变</w:t>
            </w:r>
          </w:p>
          <w:p>
            <w:pPr>
              <w:pStyle w:val="Style18"/>
              <w:keepNext w:val="0"/>
              <w:keepLines w:val="0"/>
              <w:widowControl w:val="0"/>
              <w:shd w:val="clear" w:color="auto" w:fill="auto"/>
              <w:bidi w:val="0"/>
              <w:spacing w:before="0" w:after="0" w:line="314" w:lineRule="exact"/>
              <w:ind w:left="0" w:right="260" w:firstLine="0"/>
              <w:jc w:val="righ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新一代 银行业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 方案建 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20,976.53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20,976.53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产业链</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金融综</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合服务</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平台升</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6,161.02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6,161.02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研发中 心升级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1,930.87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1,930.87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补充流</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动资金</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及偿还</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银行贷</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资项目</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62,068.42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62,068.42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13,931.9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50,111.96</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暂时闲 置超募 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50,849.15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35,849.15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归还银</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行贷款</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3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补充流</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动资金</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(如有)</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7,289.09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超募资 金投向 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50,849.15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50,849.15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7,289.09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14,944.31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112,917.57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112,917.57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21,221.0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65,056.27</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未达到 计划进 度或预 计收益 的情况 和原因</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6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项目可 行性发 生重大 变化的</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情况说 明</w:t>
            </w:r>
          </w:p>
        </w:tc>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超募资 金的金 额、用途 及使用 进展情</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况</w:t>
            </w:r>
          </w:p>
        </w:tc>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006"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日召开第二届董事会第十三次会议和第二届监事会第八次会议、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年第二次临时股东大会决议，审议通过《关于使用部分超募资金永久补充流动资金和偿还银行贷款的议案》，使 用</w:t>
            </w:r>
            <w:r>
              <w:rPr>
                <w:rFonts w:ascii="Times New Roman" w:eastAsia="Times New Roman" w:hAnsi="Times New Roman" w:cs="Times New Roman"/>
                <w:color w:val="000000"/>
                <w:spacing w:val="0"/>
                <w:w w:val="100"/>
                <w:position w:val="0"/>
                <w:sz w:val="18"/>
                <w:szCs w:val="18"/>
              </w:rPr>
              <w:t>15,000.00</w:t>
            </w:r>
            <w:r>
              <w:rPr>
                <w:color w:val="000000"/>
                <w:spacing w:val="0"/>
                <w:w w:val="100"/>
                <w:position w:val="0"/>
              </w:rPr>
              <w:t>万元超募资金永久性补充流动资金和偿还银行贷款，其中</w:t>
            </w:r>
            <w:r>
              <w:rPr>
                <w:rFonts w:ascii="Times New Roman" w:eastAsia="Times New Roman" w:hAnsi="Times New Roman" w:cs="Times New Roman"/>
                <w:color w:val="000000"/>
                <w:spacing w:val="0"/>
                <w:w w:val="100"/>
                <w:position w:val="0"/>
                <w:sz w:val="18"/>
                <w:szCs w:val="18"/>
              </w:rPr>
              <w:t>13,000.00</w:t>
            </w:r>
            <w:r>
              <w:rPr>
                <w:color w:val="000000"/>
                <w:spacing w:val="0"/>
                <w:w w:val="100"/>
                <w:position w:val="0"/>
              </w:rPr>
              <w:t xml:space="preserve">万元用于永久性补充流动资金， </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万元用于偿还银行贷款。截止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日，用于补充流动资金</w:t>
            </w:r>
            <w:r>
              <w:rPr>
                <w:rFonts w:ascii="Times New Roman" w:eastAsia="Times New Roman" w:hAnsi="Times New Roman" w:cs="Times New Roman"/>
                <w:color w:val="000000"/>
                <w:spacing w:val="0"/>
                <w:w w:val="100"/>
                <w:position w:val="0"/>
                <w:sz w:val="18"/>
                <w:szCs w:val="18"/>
              </w:rPr>
              <w:t>12,944.31</w:t>
            </w:r>
            <w:r>
              <w:rPr>
                <w:color w:val="000000"/>
                <w:spacing w:val="0"/>
                <w:w w:val="100"/>
                <w:position w:val="0"/>
              </w:rPr>
              <w:t>万元，用于偿还银行贷 款</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w:t>
            </w:r>
          </w:p>
        </w:tc>
      </w:tr>
      <w:tr>
        <w:trPr>
          <w:trHeight w:val="39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施地点 变更情 况</w:t>
            </w:r>
          </w:p>
        </w:tc>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施方式 调整情 况</w:t>
            </w:r>
          </w:p>
        </w:tc>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w:t>
            </w:r>
          </w:p>
        </w:tc>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07"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8856"/>
      </w:tblGrid>
      <w:tr>
        <w:trPr>
          <w:trHeight w:val="3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及置换</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50"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日召开第二届董事会第十五次会议和第二届监事会第十次会议、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日召开</w:t>
            </w:r>
            <w:r>
              <w:rPr>
                <w:rFonts w:ascii="Times New Roman" w:eastAsia="Times New Roman" w:hAnsi="Times New Roman" w:cs="Times New Roman"/>
                <w:color w:val="000000"/>
                <w:spacing w:val="0"/>
                <w:w w:val="100"/>
                <w:position w:val="0"/>
                <w:sz w:val="18"/>
                <w:szCs w:val="18"/>
              </w:rPr>
              <w:t>2021</w:t>
            </w:r>
          </w:p>
        </w:tc>
      </w:tr>
      <w:tr>
        <w:trPr>
          <w:trHeight w:val="312"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年第一次临时股东大会决议，审议通过《关于使用部分闲置超募资金暂时补充流动资金的议案》，公司计划使用</w:t>
            </w:r>
          </w:p>
        </w:tc>
      </w:tr>
      <w:tr>
        <w:trPr>
          <w:trHeight w:val="312"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金暂时</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部分闲置超募资金暂时补充流动资金，总额不超过人民币</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亿元(含</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亿元)，用于与主营业务相关的生产经</w:t>
            </w:r>
          </w:p>
        </w:tc>
      </w:tr>
      <w:tr>
        <w:trPr>
          <w:trHeight w:val="312"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营。补充流动资金的使用期限自董事会审议通过，并提交</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年第一次临时股东大会审议批准之日起不超过</w:t>
            </w:r>
            <w:r>
              <w:rPr>
                <w:rFonts w:ascii="Times New Roman" w:eastAsia="Times New Roman" w:hAnsi="Times New Roman" w:cs="Times New Roman"/>
                <w:color w:val="000000"/>
                <w:spacing w:val="0"/>
                <w:w w:val="100"/>
                <w:position w:val="0"/>
                <w:sz w:val="18"/>
                <w:szCs w:val="18"/>
              </w:rPr>
              <w:t>12</w:t>
            </w:r>
          </w:p>
        </w:tc>
      </w:tr>
      <w:tr>
        <w:trPr>
          <w:trHeight w:val="312"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个月，到期将归还至超募资金专户。截止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日，公司已将用于暂时补充流动资金的超募资金</w:t>
            </w:r>
            <w:r>
              <w:rPr>
                <w:rFonts w:ascii="Times New Roman" w:eastAsia="Times New Roman" w:hAnsi="Times New Roman" w:cs="Times New Roman"/>
                <w:color w:val="000000"/>
                <w:spacing w:val="0"/>
                <w:w w:val="100"/>
                <w:position w:val="0"/>
                <w:sz w:val="18"/>
                <w:szCs w:val="18"/>
              </w:rPr>
              <w:t>3.52</w:t>
            </w:r>
          </w:p>
        </w:tc>
      </w:tr>
      <w:tr>
        <w:trPr>
          <w:trHeight w:val="677"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亿元全部归还至募集资金专用账户，该笔资金使用期限未超过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个月，不存在暂时用于补充流动资金的闲置超 募资金尚未归还的情况，也不存在违规使用相关资金的情况。</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69"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施出现</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及原因</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日召开第二届董事会第二十一次会议和第二届监事会第十六次会议，审议通过的《关于使</w:t>
            </w:r>
          </w:p>
        </w:tc>
      </w:tr>
      <w:tr>
        <w:trPr>
          <w:trHeight w:val="312"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用的募</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用闲置募集资金、超募资金及自有资金进行现金管理的议案》，公司拟使用最高不超过人民币</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亿元的暂时闲</w:t>
            </w:r>
          </w:p>
        </w:tc>
      </w:tr>
      <w:tr>
        <w:trPr>
          <w:trHeight w:val="312"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置募集资金、超募资金及自有资金进行现金管理，用于购买安全性高、流动性好的理财产品或投资产品。其中使</w:t>
            </w:r>
          </w:p>
        </w:tc>
      </w:tr>
      <w:tr>
        <w:trPr>
          <w:trHeight w:val="312"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用暂时闲置募集资金不超过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亿元，使用暂时闲置超募资金不超过</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亿元、使用暂时闲置自有资金不超过</w:t>
            </w:r>
            <w:r>
              <w:rPr>
                <w:rFonts w:ascii="Times New Roman" w:eastAsia="Times New Roman" w:hAnsi="Times New Roman" w:cs="Times New Roman"/>
                <w:color w:val="000000"/>
                <w:spacing w:val="0"/>
                <w:w w:val="100"/>
                <w:position w:val="0"/>
                <w:sz w:val="18"/>
                <w:szCs w:val="18"/>
              </w:rPr>
              <w:t>5</w:t>
            </w:r>
          </w:p>
        </w:tc>
      </w:tr>
      <w:tr>
        <w:trPr>
          <w:trHeight w:val="355"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去向</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亿元。</w:t>
            </w:r>
          </w:p>
        </w:tc>
      </w:tr>
      <w:tr>
        <w:trPr>
          <w:trHeight w:val="36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及披露</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中存在</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07"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的问题</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或其他</w:t>
            </w: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numPr>
          <w:ilvl w:val="0"/>
          <w:numId w:val="5"/>
        </w:numPr>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bookmarkEnd w:id="233"/>
      <w:r>
        <w:rPr>
          <w:color w:val="000000"/>
          <w:spacing w:val="0"/>
          <w:w w:val="100"/>
          <w:position w:val="0"/>
        </w:rPr>
        <w:t>募集资金变更项目情况</w:t>
      </w:r>
      <w:bookmarkEnd w:id="231"/>
      <w:bookmarkEnd w:id="232"/>
      <w:bookmarkEnd w:id="234"/>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21"/>
        <w:keepNext/>
        <w:keepLines/>
        <w:widowControl w:val="0"/>
        <w:shd w:val="clear" w:color="auto" w:fill="auto"/>
        <w:bidi w:val="0"/>
        <w:spacing w:before="0" w:after="38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八</w:t>
      </w:r>
      <w:bookmarkEnd w:id="237"/>
      <w:r>
        <w:rPr>
          <w:color w:val="000000"/>
          <w:spacing w:val="0"/>
          <w:w w:val="100"/>
          <w:position w:val="0"/>
        </w:rPr>
        <w:t>、重大资产和股权出售</w:t>
      </w:r>
      <w:bookmarkEnd w:id="235"/>
      <w:bookmarkEnd w:id="236"/>
      <w:bookmarkEnd w:id="238"/>
    </w:p>
    <w:p>
      <w:pPr>
        <w:pStyle w:val="Style27"/>
        <w:keepNext/>
        <w:keepLines/>
        <w:widowControl w:val="0"/>
        <w:shd w:val="clear" w:color="auto" w:fill="auto"/>
        <w:bidi w:val="0"/>
        <w:spacing w:before="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1</w:t>
      </w:r>
      <w:bookmarkEnd w:id="241"/>
      <w:r>
        <w:rPr>
          <w:color w:val="000000"/>
          <w:spacing w:val="0"/>
          <w:w w:val="100"/>
          <w:position w:val="0"/>
        </w:rPr>
        <w:t>、出售重大资产情况</w:t>
      </w:r>
      <w:bookmarkEnd w:id="239"/>
      <w:bookmarkEnd w:id="240"/>
      <w:bookmarkEnd w:id="242"/>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7"/>
        <w:keepNext/>
        <w:keepLines/>
        <w:widowControl w:val="0"/>
        <w:shd w:val="clear" w:color="auto" w:fill="auto"/>
        <w:bidi w:val="0"/>
        <w:spacing w:before="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2</w:t>
      </w:r>
      <w:bookmarkEnd w:id="245"/>
      <w:r>
        <w:rPr>
          <w:color w:val="000000"/>
          <w:spacing w:val="0"/>
          <w:w w:val="100"/>
          <w:position w:val="0"/>
        </w:rPr>
        <w:t>、出售重大股权情况</w:t>
      </w:r>
      <w:bookmarkEnd w:id="243"/>
      <w:bookmarkEnd w:id="244"/>
      <w:bookmarkEnd w:id="246"/>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九</w:t>
      </w:r>
      <w:bookmarkEnd w:id="249"/>
      <w:r>
        <w:rPr>
          <w:color w:val="000000"/>
          <w:spacing w:val="0"/>
          <w:w w:val="100"/>
          <w:position w:val="0"/>
        </w:rPr>
        <w:t>、主要控股参股公司分析</w:t>
      </w:r>
      <w:bookmarkEnd w:id="247"/>
      <w:bookmarkEnd w:id="248"/>
      <w:bookmarkEnd w:id="250"/>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北京银恒通</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电子科技有</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343,169,104.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198,489,818.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129,267,260.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7,684,060.50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7,345,194.80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北京鼎信天</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威科技有限</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10,408,163.0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110,992,885.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40,585,873.9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32,926,191.8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8,536,850.69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7,359,712.62</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北京卡洛其 咨询有限公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信息贸易咨 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128,773,816.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109,598,412.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61,044,528.8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18,694,502.3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17,171,898.5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北京天阳融</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数科技有限</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2,040,800.00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38,235,712.5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17,746,876.1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18,599,873.1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10,269,193.9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8,844,691.05</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16"/>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深圳昊天睿阳科技有限公司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长沙湘瓴睿阳科技有限公司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西藏天阳华瑞科技有限公司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天阳胜合科技（北京）有限公司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北京同创安胜咨询服务中心（有限合伙）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香港卡洛其咨询有限公司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主要控股参股公司情况说明</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both"/>
      </w:pPr>
      <w:bookmarkStart w:id="251" w:name="bookmark251"/>
      <w:bookmarkStart w:id="252" w:name="bookmark252"/>
      <w:bookmarkStart w:id="253" w:name="bookmark253"/>
      <w:r>
        <w:rPr>
          <w:color w:val="000000"/>
          <w:spacing w:val="0"/>
          <w:w w:val="100"/>
          <w:position w:val="0"/>
        </w:rPr>
        <w:t>十、公司控制的结构化主体情况</w:t>
      </w:r>
      <w:bookmarkEnd w:id="251"/>
      <w:bookmarkEnd w:id="252"/>
      <w:bookmarkEnd w:id="253"/>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254" w:name="bookmark254"/>
      <w:bookmarkStart w:id="255" w:name="bookmark255"/>
      <w:bookmarkStart w:id="256" w:name="bookmark256"/>
      <w:r>
        <w:rPr>
          <w:color w:val="000000"/>
          <w:spacing w:val="0"/>
          <w:w w:val="100"/>
          <w:position w:val="0"/>
        </w:rPr>
        <w:t>十一、公司未来发展的展望</w:t>
      </w:r>
      <w:bookmarkEnd w:id="254"/>
      <w:bookmarkEnd w:id="255"/>
      <w:bookmarkEnd w:id="256"/>
    </w:p>
    <w:p>
      <w:pPr>
        <w:pStyle w:val="Style16"/>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、公司未来发展战略</w:t>
      </w:r>
    </w:p>
    <w:p>
      <w:pPr>
        <w:pStyle w:val="Style16"/>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年初中国人民银行印发了《金融科技发展规划（</w:t>
      </w:r>
      <w:r>
        <w:rPr>
          <w:rFonts w:ascii="Times New Roman" w:eastAsia="Times New Roman" w:hAnsi="Times New Roman" w:cs="Times New Roman"/>
          <w:color w:val="000000"/>
          <w:spacing w:val="0"/>
          <w:w w:val="100"/>
          <w:position w:val="0"/>
          <w:sz w:val="18"/>
          <w:szCs w:val="18"/>
        </w:rPr>
        <w:t>2022-2025</w:t>
      </w:r>
      <w:r>
        <w:rPr>
          <w:color w:val="000000"/>
          <w:spacing w:val="0"/>
          <w:w w:val="100"/>
          <w:position w:val="0"/>
        </w:rPr>
        <w:t>年）》、中国银保监会办公厅印发了《关于银行业保险 业数字化转型的指导意见》，这两份文件将会极大地推动整个金融行业，尤其是银行业的数字化转型。文件指出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金融科技 作为技术驱动的金融创新，是深化金融供给侧结构性改革、增强金融服务实体经济能力的重要引擎。数字经济的蓬勃兴起为 金融创新发展构筑广阔舞台，数字技术的快速演进为金融数字化转型注入充沛活力，金融科技逐步迈入高质量发展的新阶 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，文件同时为金融科技制定了其发展目标：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）金融业数字化转型更深，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）数据要素潜能释放更充分，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）金融服务提质 增效更显著，</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）金融科技治理体系更健全，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）关键核心技术应用更深化，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）数字基础设施建设更先进。</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中国银行业正在步入一个崭新的金融科技时代，对金融科技的重视程度越来越加强，数字化转型的速度在加快，基础架 构的分布式转型在加速，以云计算、大数据、移动互联、区块链和人工智能为代表的新一轮金融科技正在对中国银行业产生 前所未有的冲击并将引发巨大的变革，未来银行业业务创新、监管升级、技术变革和国产化安全可控是驱动行业快速发展的 持续动力。</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公司将继续深耕金融信息科技服务市场，专注金融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行业细分领域、以致力于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成为金融科技行业的领军者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为目标；以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服务金融、普惠社会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为使命；以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服务客户，为客户创造价值；追求卓越，以贡献者为本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为核心价值观，围绕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专而精， 精而强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的发展理念，通过将募集资金投资于项目的建设，不断增强公司的软件开发能力、自主创新能力，使公司主要产品 得到完善升级及新产品的开发上市，继续巩固和提升公司市场的竞争力，主要包括几个方面：</w:t>
      </w:r>
    </w:p>
    <w:p>
      <w:pPr>
        <w:pStyle w:val="Style16"/>
        <w:keepNext w:val="0"/>
        <w:keepLines w:val="0"/>
        <w:widowControl w:val="0"/>
        <w:shd w:val="clear" w:color="auto" w:fill="auto"/>
        <w:tabs>
          <w:tab w:pos="765" w:val="left"/>
        </w:tabs>
        <w:bidi w:val="0"/>
        <w:spacing w:before="0" w:after="0" w:line="314" w:lineRule="exact"/>
        <w:ind w:left="0" w:right="0"/>
        <w:jc w:val="left"/>
      </w:pPr>
      <w:bookmarkStart w:id="257" w:name="bookmark257"/>
      <w:r>
        <w:rPr>
          <w:color w:val="000000"/>
          <w:spacing w:val="0"/>
          <w:w w:val="100"/>
          <w:position w:val="0"/>
        </w:rPr>
        <w:t>（</w:t>
      </w:r>
      <w:bookmarkEnd w:id="2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以云计算的模式开辟第二增长曲线</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如前所述，银行业的数字化转型正演变成一种势不可挡的趋势。然而中小银行由于其自身科技投资的不足、专业人才的 短缺、以及现有组织机制无法满足数字化转型对组织敏捷性的要求，这些都导致了中小银行不可能采取同大型国有银行及股 份制银行一样的银行科技自建模式来实现其数字化转型，采用云化的数字化方式，在场景端、数据端、技术端和运营端的开 放合作，是中小银行数字化转型的一个必由之路。公司决定同战略合作伙伴一起，共同推进用云计算赋能中小银行的数字化 转型。力争使云计算成为公司的第二增长曲线，为公司实现跨越式发展提供新动力。</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天阳云从</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层贯穿至</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层，是一个整体的解决方案。首先，我们会充分利用合作伙伴在</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层的产品和资源优势， 打造一个稳定的云底座。其次在</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层，我们会充分利用过去十几年在技术平台、数据平台和</w:t>
      </w:r>
      <w:r>
        <w:rPr>
          <w:rFonts w:ascii="Times New Roman" w:eastAsia="Times New Roman" w:hAnsi="Times New Roman" w:cs="Times New Roman"/>
          <w:color w:val="000000"/>
          <w:spacing w:val="0"/>
          <w:w w:val="100"/>
          <w:position w:val="0"/>
          <w:sz w:val="18"/>
          <w:szCs w:val="18"/>
        </w:rPr>
        <w:t>aPaaS</w:t>
      </w:r>
      <w:r>
        <w:rPr>
          <w:color w:val="000000"/>
          <w:spacing w:val="0"/>
          <w:w w:val="100"/>
          <w:position w:val="0"/>
        </w:rPr>
        <w:t>平台上的投入研发积累， 把这些在银行中接受了长期严苛考验的产品转化成云化服务提供给我们的客户。此外</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层不仅仅是我们的云平台，同时我 们也会把这部分能力与合作伙伴共享，为合作伙伴的客户提供服务。</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层，天阳云细分为金融云、产融云及数据云。金融云的目标是解决银行内部的数字化转型问题，专注于银行的创 新的业务领域、银行的关键业务环节及对于数字化水平依赖度程度较高的领域；产融云的定位在于帮助产业的数字化转型， 整合产业</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厂商和行业数字化转型厂商，通过提升产业的数字化水平，为金融业务的开展提供场景数据和流量；数据云的 定位在于为银行的数字化转型去打造一个外部的数据资产。</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三朵云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相对独立，各有各的定位，但又高度依存，协同在一起为银行数字化转型提供服务。首先产融云为金融云提 供流量和场景，同时也会给数据云提供数据；金融云会为产融云里的政企客户和个人客户提供金融服务；最后数据云会结合 来源于产融云的数据，以及来源于外部的数据一起赋能银行的数字化转型。</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我们希望通过整合数字化转型的应用厂商、数据服务厂商的一些能力，赋能行业的数字化转型，成为场景流量和数据的 整合者；通过整合的这些场景流量和数据以及我们自己的科技能力，成为银行数字化转型的一个赋能者。</w:t>
      </w:r>
    </w:p>
    <w:p>
      <w:pPr>
        <w:pStyle w:val="Style16"/>
        <w:keepNext w:val="0"/>
        <w:keepLines w:val="0"/>
        <w:widowControl w:val="0"/>
        <w:shd w:val="clear" w:color="auto" w:fill="auto"/>
        <w:tabs>
          <w:tab w:pos="765" w:val="left"/>
        </w:tabs>
        <w:bidi w:val="0"/>
        <w:spacing w:before="0" w:after="0" w:line="314" w:lineRule="exact"/>
        <w:ind w:left="0" w:right="0"/>
        <w:jc w:val="left"/>
      </w:pPr>
      <w:bookmarkStart w:id="258" w:name="bookmark258"/>
      <w:r>
        <w:rPr>
          <w:color w:val="000000"/>
          <w:spacing w:val="0"/>
          <w:w w:val="100"/>
          <w:position w:val="0"/>
        </w:rPr>
        <w:t>（</w:t>
      </w:r>
      <w:bookmarkEnd w:id="2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夯实银行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解决方案产品及服务市场</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解决方案产品及服务市场是公司的传统业务，是公司业务稳定增长的源泉，公司将夯实银行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解决方案产品及服 务市场，通过不断实现对金融科技中关键技术的创新，逐步开发出一系列具有竞争力的金融应用产品，并通过不断提升产品 的成熟度和应用深度，获得市场的认可并拓展公司业务的生命周期。公司在银行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解决方案领域积累了丰富的产品研发、实 施服务和技术创新经验，在部分细分领域提出了完整的一体化行业解决方案并积累了众多的成功案例，并在多个细分领域处 于行业排名领先地位，未来公司将沿着这条道路继续深入发展，持续打造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业务组件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的综合业务服务模式， 赋能大型银行的数字化转型。</w:t>
      </w:r>
    </w:p>
    <w:p>
      <w:pPr>
        <w:pStyle w:val="Style16"/>
        <w:keepNext w:val="0"/>
        <w:keepLines w:val="0"/>
        <w:widowControl w:val="0"/>
        <w:shd w:val="clear" w:color="auto" w:fill="auto"/>
        <w:tabs>
          <w:tab w:pos="765" w:val="left"/>
        </w:tabs>
        <w:bidi w:val="0"/>
        <w:spacing w:before="0" w:after="200" w:line="314" w:lineRule="exact"/>
        <w:ind w:left="0" w:right="0"/>
        <w:jc w:val="left"/>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继续加大研发投入，持续技术创新</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公司对技术研发和业务创新高度重视，将继续加大科技研发投入的力度、采取高度开拓型的产品研发战略，以客户为中 心，以技术平台、技术工具、业务组件和可重用技术和业务资产为依托，提供持续、高质量的服务，满足客户不断的业务和 科技创新需求。公司基于战略发展考虑，建立了完整的研发体系，涵盖了供应链、信用卡、信贷、大数据营销、风险、票据 等众多金融业务线，以及开发平台、自动化测试、微服务架构、大数据、移动应用等技术方向。云计算已成为公司的第二增 长曲线，公司未来会加大在云计算领域的研发投入。持续加大的研发投入会有效提升公司的技术实力、提升核心竞争力，进 而提升公司在金融科技领域的综合竞争力及行业地位。</w:t>
      </w:r>
    </w:p>
    <w:p>
      <w:pPr>
        <w:pStyle w:val="Style16"/>
        <w:keepNext w:val="0"/>
        <w:keepLines w:val="0"/>
        <w:widowControl w:val="0"/>
        <w:shd w:val="clear" w:color="auto" w:fill="auto"/>
        <w:tabs>
          <w:tab w:pos="765" w:val="left"/>
        </w:tabs>
        <w:bidi w:val="0"/>
        <w:spacing w:before="0" w:after="0" w:line="312" w:lineRule="exact"/>
        <w:ind w:left="0" w:right="0"/>
        <w:jc w:val="both"/>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强化市场领先策略、加大市场营销力度</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公司重视市场营销，将继续加大在市场营销方面的投入，不断完善营销体系、打造营销平台，继续扩大销售团队规模， 建立一支懂业务、高素质、有责任感的强有力的市场营销团队；同时还会为云计算业务建立一个专门的销售团队，提供销售 的整合营销服务；继续完善营销机制，激发销售人员积极性、创造性。继续聚焦并深耕前三十大银行客户，挖掘项目机会、 拓展公司传统既有产品和服务业务线，建立起持续、稳定、紧密的合作关系，使其成为公司的重要战略合作伙伴，形成大规 模的、稳定增长的业务基本盘；同时积极拓展和完善区域基地客户群建设以及拓展中小微银行的云计算业务，为公司业务的 可持续增长、高效率实施打下坚实的基础。</w:t>
      </w:r>
    </w:p>
    <w:p>
      <w:pPr>
        <w:pStyle w:val="Style16"/>
        <w:keepNext w:val="0"/>
        <w:keepLines w:val="0"/>
        <w:widowControl w:val="0"/>
        <w:shd w:val="clear" w:color="auto" w:fill="auto"/>
        <w:tabs>
          <w:tab w:pos="765" w:val="left"/>
        </w:tabs>
        <w:bidi w:val="0"/>
        <w:spacing w:before="0" w:after="0" w:line="312" w:lineRule="exact"/>
        <w:ind w:left="0" w:right="0"/>
        <w:jc w:val="both"/>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稳步推进人才发展战略</w:t>
      </w:r>
    </w:p>
    <w:p>
      <w:pPr>
        <w:pStyle w:val="Style16"/>
        <w:keepNext w:val="0"/>
        <w:keepLines w:val="0"/>
        <w:widowControl w:val="0"/>
        <w:shd w:val="clear" w:color="auto" w:fill="auto"/>
        <w:bidi w:val="0"/>
        <w:spacing w:before="0" w:after="100" w:line="312" w:lineRule="exact"/>
        <w:ind w:left="0" w:right="0"/>
        <w:jc w:val="both"/>
      </w:pPr>
      <w:r>
        <w:rPr>
          <w:color w:val="000000"/>
          <w:spacing w:val="0"/>
          <w:w w:val="100"/>
          <w:position w:val="0"/>
        </w:rPr>
        <w:t>人才是公司保持创新能力和竞争实力的关键因素之一，公司将把提高员工素质和引进高层次人才作为企业发展的重中之 重，继续坚持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，重视人才、引进人才、培养人才；持续完善人力资源政策，一方面加强对现有人员强化业务培训 与能力培养，确保人员能够胜任工作岗位，实现优胜劣汰，另一方面注重外部高素质和行业专家人才的引进，完善引进制度 和激励机制，以促进公司业务解决能力和技术创新能力的提升；同时公司将继续打造人力服务与管理平台，对人员录用、员 工培训、工资薪酬、福利保障、绩效考核、晋升等进行完善规定，推进人才发展战略、提升组织效率将有利于公司的长远可 持续发展。</w:t>
      </w:r>
    </w:p>
    <w:p>
      <w:pPr>
        <w:pStyle w:val="Style16"/>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、公司可能面对的风险</w:t>
      </w:r>
    </w:p>
    <w:p>
      <w:pPr>
        <w:pStyle w:val="Style16"/>
        <w:keepNext w:val="0"/>
        <w:keepLines w:val="0"/>
        <w:widowControl w:val="0"/>
        <w:shd w:val="clear" w:color="auto" w:fill="auto"/>
        <w:tabs>
          <w:tab w:pos="765" w:val="left"/>
        </w:tabs>
        <w:bidi w:val="0"/>
        <w:spacing w:before="0" w:after="0" w:line="312" w:lineRule="exact"/>
        <w:ind w:left="0" w:right="0"/>
        <w:jc w:val="left"/>
      </w:pPr>
      <w:bookmarkStart w:id="262" w:name="bookmark262"/>
      <w:r>
        <w:rPr>
          <w:color w:val="000000"/>
          <w:spacing w:val="0"/>
          <w:w w:val="100"/>
          <w:position w:val="0"/>
        </w:rPr>
        <w:t>（</w:t>
      </w:r>
      <w:bookmarkEnd w:id="2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市场竞争风险</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经过多年发展，公司在银行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解决方案和服务领域已经处于领先地位，占有相对稳固的市场份额并树立了良好的品牌形 象。但随着用户对</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服务需求的不断变化，行业内竞争对手竞争力的不断提高，可能导致公司所处行业竞争加剧。如果公司 在市场竞争中不能有效提升技术水平，不能充分利用现有的市场影响力，无法在当前市场发展形势下迅速扩大自身规模并增 强资金实力，公司将面临较大的市场竞争风险，有可能导致公司的市场地位出现下滑。</w:t>
      </w:r>
    </w:p>
    <w:p>
      <w:pPr>
        <w:pStyle w:val="Style16"/>
        <w:keepNext w:val="0"/>
        <w:keepLines w:val="0"/>
        <w:widowControl w:val="0"/>
        <w:shd w:val="clear" w:color="auto" w:fill="auto"/>
        <w:tabs>
          <w:tab w:pos="765" w:val="left"/>
        </w:tabs>
        <w:bidi w:val="0"/>
        <w:spacing w:before="0" w:after="0" w:line="312" w:lineRule="exact"/>
        <w:ind w:left="0" w:right="0"/>
        <w:jc w:val="both"/>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技术与产品开发质量风险</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软件开发属于技术密集型产业，公司产品技术开发所依赖的技术更新换代速度快。如果相关技术发生重大变革，将影响 公司产品技术开发。公司作为国内规模最大的银行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解决方案提供商之一，其生存和发展很大程度上取决于是否能根据</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技术的更新换代，满足不断变化的客户需求，如果公司不能准确地把握行业技术的发展趋势，在技术开发方向的决策上发生 失误，或不能及时将新技术运用于产品开发和升级，将对公司的市场地位和盈利能力造成不利影响。</w:t>
      </w:r>
    </w:p>
    <w:p>
      <w:pPr>
        <w:pStyle w:val="Style16"/>
        <w:keepNext w:val="0"/>
        <w:keepLines w:val="0"/>
        <w:widowControl w:val="0"/>
        <w:shd w:val="clear" w:color="auto" w:fill="auto"/>
        <w:tabs>
          <w:tab w:pos="765" w:val="left"/>
        </w:tabs>
        <w:bidi w:val="0"/>
        <w:spacing w:before="0" w:after="0" w:line="312" w:lineRule="exact"/>
        <w:ind w:left="0" w:right="0"/>
        <w:jc w:val="both"/>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核心技术人员和关键管理人员流失风险</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软件服务企业一般都面临人员流动性大，知识结构更新快的问题，行业内的市场竞争也越来越体现为高素质人才之间的 竞争。公司目前拥有一支稳定、高素质的技术和管理团队，随着公司业务的高速发展，尤其是募集资金项目的实施，公司对 研发、技术、管理、营销等方面人才的需求将大幅上升，对公司人才引进、培养和保留也提出了更高的要求。如果公司不能 制定行之有效的人力资源管理战略，不积极采取有效的应对措施，公司将面临核心技术人员及关键管理人员流失的风险，公 司的经营业绩将会受到影响。</w:t>
      </w:r>
    </w:p>
    <w:p>
      <w:pPr>
        <w:pStyle w:val="Style16"/>
        <w:keepNext w:val="0"/>
        <w:keepLines w:val="0"/>
        <w:widowControl w:val="0"/>
        <w:shd w:val="clear" w:color="auto" w:fill="auto"/>
        <w:tabs>
          <w:tab w:pos="765" w:val="left"/>
        </w:tabs>
        <w:bidi w:val="0"/>
        <w:spacing w:before="0" w:after="0" w:line="312" w:lineRule="exact"/>
        <w:ind w:left="0" w:right="0"/>
        <w:jc w:val="both"/>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商誉减值风险</w:t>
      </w:r>
    </w:p>
    <w:p>
      <w:pPr>
        <w:pStyle w:val="Style16"/>
        <w:keepNext w:val="0"/>
        <w:keepLines w:val="0"/>
        <w:widowControl w:val="0"/>
        <w:shd w:val="clear" w:color="auto" w:fill="auto"/>
        <w:bidi w:val="0"/>
        <w:spacing w:before="0" w:after="0" w:line="316"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日，公司商誉账面价值为</w:t>
      </w:r>
      <w:r>
        <w:rPr>
          <w:rFonts w:ascii="Times New Roman" w:eastAsia="Times New Roman" w:hAnsi="Times New Roman" w:cs="Times New Roman"/>
          <w:color w:val="000000"/>
          <w:spacing w:val="0"/>
          <w:w w:val="100"/>
          <w:position w:val="0"/>
          <w:sz w:val="18"/>
          <w:szCs w:val="18"/>
        </w:rPr>
        <w:t>12,345.44</w:t>
      </w:r>
      <w:r>
        <w:rPr>
          <w:color w:val="000000"/>
          <w:spacing w:val="0"/>
          <w:w w:val="100"/>
          <w:position w:val="0"/>
        </w:rPr>
        <w:t>万元，主要系收购银恒通、鼎信天威及卡洛其形成的商誉，上述商 誉合计账面价值占净资产的比例为</w:t>
      </w:r>
      <w:r>
        <w:rPr>
          <w:rFonts w:ascii="Times New Roman" w:eastAsia="Times New Roman" w:hAnsi="Times New Roman" w:cs="Times New Roman"/>
          <w:color w:val="000000"/>
          <w:spacing w:val="0"/>
          <w:w w:val="100"/>
          <w:position w:val="0"/>
          <w:sz w:val="18"/>
          <w:szCs w:val="18"/>
        </w:rPr>
        <w:t>5.33%</w:t>
      </w:r>
      <w:r>
        <w:rPr>
          <w:color w:val="000000"/>
          <w:spacing w:val="0"/>
          <w:w w:val="100"/>
          <w:position w:val="0"/>
        </w:rPr>
        <w:t>，占总资产的比例为</w:t>
      </w:r>
      <w:r>
        <w:rPr>
          <w:rFonts w:ascii="Times New Roman" w:eastAsia="Times New Roman" w:hAnsi="Times New Roman" w:cs="Times New Roman"/>
          <w:color w:val="000000"/>
          <w:spacing w:val="0"/>
          <w:w w:val="100"/>
          <w:position w:val="0"/>
          <w:sz w:val="18"/>
          <w:szCs w:val="18"/>
        </w:rPr>
        <w:t>4.15%</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日，被收购公司的业务经营状况符 合预期，公司未对商誉计提减值准备。但是商誉可收回金额受未来相关资产组或资产组组合的销售毛利率、销售增长率、折 现率等参数影响。若未来宏观经济、市场环境、监管政策发生重大变化，公司销售毛利率、净利率和销售增长率下滑，或未 来股东内含报酬率提高导致折现率上升，相关资产组或资产组组合商誉发生减值，公司整体经营业绩存在因商誉减值而大幅 下滑的风险。</w:t>
      </w:r>
    </w:p>
    <w:p>
      <w:pPr>
        <w:pStyle w:val="Style16"/>
        <w:keepNext w:val="0"/>
        <w:keepLines w:val="0"/>
        <w:widowControl w:val="0"/>
        <w:shd w:val="clear" w:color="auto" w:fill="auto"/>
        <w:tabs>
          <w:tab w:pos="765" w:val="left"/>
        </w:tabs>
        <w:bidi w:val="0"/>
        <w:spacing w:before="0" w:after="0" w:line="314" w:lineRule="exact"/>
        <w:ind w:left="0" w:right="0"/>
        <w:jc w:val="both"/>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人力成本上升风险</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公司所处行业属于技术密集型行业，业务发展需要大量的专业技术人才，且主要经营成本为人力成本。报告期内，公司 员工不断增加、公司人力成本上升。未来，随着公司规模的进一步扩张，员工人数将会继续增加，伴随着城市生活成本的上 升、软件专业技术人才的短缺以及行业内公司对人才的争夺加剧等因素，公司人力成本存在持续上升的风险，如果人力成本 增幅超过营业收入增幅，公司的经营业绩将受到一定的影响。</w:t>
      </w:r>
    </w:p>
    <w:p>
      <w:pPr>
        <w:pStyle w:val="Style16"/>
        <w:keepNext w:val="0"/>
        <w:keepLines w:val="0"/>
        <w:widowControl w:val="0"/>
        <w:shd w:val="clear" w:color="auto" w:fill="auto"/>
        <w:tabs>
          <w:tab w:pos="765" w:val="left"/>
        </w:tabs>
        <w:bidi w:val="0"/>
        <w:spacing w:before="0" w:after="0" w:line="314" w:lineRule="exact"/>
        <w:ind w:left="0" w:right="0"/>
        <w:jc w:val="both"/>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应收账款发生坏账风险</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随着公司业务规模不断扩大，营业收入持续增加，公司应收账款增长较快。截止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日，公司应收账款账面净 额为</w:t>
      </w:r>
      <w:r>
        <w:rPr>
          <w:rFonts w:ascii="Times New Roman" w:eastAsia="Times New Roman" w:hAnsi="Times New Roman" w:cs="Times New Roman"/>
          <w:color w:val="000000"/>
          <w:spacing w:val="0"/>
          <w:w w:val="100"/>
          <w:position w:val="0"/>
          <w:sz w:val="18"/>
          <w:szCs w:val="18"/>
        </w:rPr>
        <w:t>125,332.6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万元，占期末流动资产总额的比例为</w:t>
      </w:r>
      <w:r>
        <w:rPr>
          <w:rFonts w:ascii="Times New Roman" w:eastAsia="Times New Roman" w:hAnsi="Times New Roman" w:cs="Times New Roman"/>
          <w:color w:val="000000"/>
          <w:spacing w:val="0"/>
          <w:w w:val="100"/>
          <w:position w:val="0"/>
          <w:sz w:val="18"/>
          <w:szCs w:val="18"/>
        </w:rPr>
        <w:t>48.51%</w:t>
      </w:r>
      <w:r>
        <w:rPr>
          <w:color w:val="000000"/>
          <w:spacing w:val="0"/>
          <w:w w:val="100"/>
          <w:position w:val="0"/>
        </w:rPr>
        <w:t>，占营业收入比例为</w:t>
      </w:r>
      <w:r>
        <w:rPr>
          <w:rFonts w:ascii="Times New Roman" w:eastAsia="Times New Roman" w:hAnsi="Times New Roman" w:cs="Times New Roman"/>
          <w:color w:val="000000"/>
          <w:spacing w:val="0"/>
          <w:w w:val="100"/>
          <w:position w:val="0"/>
          <w:sz w:val="18"/>
          <w:szCs w:val="18"/>
        </w:rPr>
        <w:t>70.57%</w:t>
      </w:r>
      <w:r>
        <w:rPr>
          <w:color w:val="000000"/>
          <w:spacing w:val="0"/>
          <w:w w:val="100"/>
          <w:position w:val="0"/>
        </w:rPr>
        <w:t>。报告期期末，公司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年以内账龄应 收账款余额占比为</w:t>
      </w:r>
      <w:r>
        <w:rPr>
          <w:rFonts w:ascii="Times New Roman" w:eastAsia="Times New Roman" w:hAnsi="Times New Roman" w:cs="Times New Roman"/>
          <w:color w:val="000000"/>
          <w:spacing w:val="0"/>
          <w:w w:val="100"/>
          <w:position w:val="0"/>
          <w:sz w:val="18"/>
          <w:szCs w:val="18"/>
        </w:rPr>
        <w:t>74.26%</w:t>
      </w:r>
      <w:r>
        <w:rPr>
          <w:color w:val="000000"/>
          <w:spacing w:val="0"/>
          <w:w w:val="100"/>
          <w:position w:val="0"/>
        </w:rPr>
        <w:t>，应收账款余额主要为当年确认收入而对应产生的应收账款。</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公司应收账款较高的主要原因在于：①随着公司业务规模的持续扩大、执行项目的不断增加，公司营业收入增幅较快， 公司应收账款随之增加；②公司客户主要为大型银行类金融机构，客户处于相对强势地位，同时银行类客户内部管理规范， 风险控制意识强，控制环节繁多，导致合同签订、验收和付款流程偏长，由此导致银行客户付款周期普遍较长，回款缓慢， 部分当期收入无法当期取得回款，使得公司期末应收账款余额较高。</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公司对应收账款足额提取了坏账准备，随着公司营业收入的增加、客户基础的扩大，公司应收账款余额仍将保持较高水 平。公司应收账款对象绝大部分为银行客户，该类客户信誉度高、资金雄厚、支付能力强，且公司与主要客户保持长期业务 合作关系。如果该类客户信用状况发生重大不利变化，或公司业务规模增长速度超过自身能力范围，将对公司应收账款的回 收产生重大影响。</w:t>
      </w:r>
    </w:p>
    <w:p>
      <w:pPr>
        <w:pStyle w:val="Style16"/>
        <w:keepNext w:val="0"/>
        <w:keepLines w:val="0"/>
        <w:widowControl w:val="0"/>
        <w:shd w:val="clear" w:color="auto" w:fill="auto"/>
        <w:tabs>
          <w:tab w:pos="765" w:val="left"/>
        </w:tabs>
        <w:bidi w:val="0"/>
        <w:spacing w:before="0" w:after="0" w:line="315" w:lineRule="exact"/>
        <w:ind w:left="0" w:right="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募集资金投资项目实施风险</w:t>
      </w:r>
    </w:p>
    <w:p>
      <w:pPr>
        <w:pStyle w:val="Style16"/>
        <w:keepNext w:val="0"/>
        <w:keepLines w:val="0"/>
        <w:widowControl w:val="0"/>
        <w:shd w:val="clear" w:color="auto" w:fill="auto"/>
        <w:bidi w:val="0"/>
        <w:spacing w:before="0" w:after="360" w:line="315" w:lineRule="exact"/>
        <w:ind w:left="0" w:right="0"/>
        <w:jc w:val="both"/>
      </w:pPr>
      <w:r>
        <w:rPr>
          <w:color w:val="000000"/>
          <w:spacing w:val="0"/>
          <w:w w:val="100"/>
          <w:position w:val="0"/>
        </w:rPr>
        <w:t>公司报告期募集资金主要投向为新一代银行业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解决方案建设项目、产业链金融综合服务平台升级项目和研发中心升级 项目。预计项目全部建成后，公司的研发能力及项目实施能力将在现有水平上有较大提升。公司报告期发行募集资金投资项 目的可行性分析是基于当时国内外市场环境、行业发展趋势和技术水平等因素作出的。但上述项目需要一定的建设周期，一 旦市场环境、技术、管理、人才等方面出现重大变化，项目在实施过程中可能受到市场环境、产业政策以及项目管理、产品 及服务市场销售状况等变化因素的不利影响，将影响项目的实施进度，致使项目的开始盈利时间和实际盈利水平与公司预测 出现差异，从而影响公司的预期收益。</w:t>
      </w:r>
    </w:p>
    <w:p>
      <w:pPr>
        <w:pStyle w:val="Style21"/>
        <w:keepNext/>
        <w:keepLines/>
        <w:widowControl w:val="0"/>
        <w:shd w:val="clear" w:color="auto" w:fill="auto"/>
        <w:bidi w:val="0"/>
        <w:spacing w:before="0" w:line="240" w:lineRule="auto"/>
        <w:ind w:left="0" w:right="0" w:firstLine="0"/>
        <w:jc w:val="left"/>
      </w:pPr>
      <w:bookmarkStart w:id="269" w:name="bookmark269"/>
      <w:bookmarkStart w:id="270" w:name="bookmark270"/>
      <w:bookmarkStart w:id="271" w:name="bookmark271"/>
      <w:r>
        <w:rPr>
          <w:color w:val="000000"/>
          <w:spacing w:val="0"/>
          <w:w w:val="100"/>
          <w:position w:val="0"/>
        </w:rPr>
        <w:t>十二、报告期内接待调研、沟通、采访等活动登记表</w:t>
      </w:r>
      <w:bookmarkEnd w:id="269"/>
      <w:bookmarkEnd w:id="270"/>
      <w:bookmarkEnd w:id="271"/>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974"/>
        <w:gridCol w:w="1138"/>
        <w:gridCol w:w="850"/>
        <w:gridCol w:w="1560"/>
        <w:gridCol w:w="1699"/>
        <w:gridCol w:w="206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东兴证券：孙业亮， 先锋基金：孙欣炎、 左远明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投资者关系活动记录</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表（</w:t>
            </w:r>
            <w:r>
              <w:rPr>
                <w:rFonts w:ascii="Times New Roman" w:eastAsia="Times New Roman" w:hAnsi="Times New Roman" w:cs="Times New Roman"/>
                <w:color w:val="000000"/>
                <w:spacing w:val="0"/>
                <w:w w:val="100"/>
                <w:position w:val="0"/>
                <w:sz w:val="18"/>
                <w:szCs w:val="18"/>
              </w:rPr>
              <w:t>2021-01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详见巨潮资讯网投资者关 系活动记录表（</w:t>
            </w:r>
            <w:r>
              <w:rPr>
                <w:rFonts w:ascii="Times New Roman" w:eastAsia="Times New Roman" w:hAnsi="Times New Roman" w:cs="Times New Roman"/>
                <w:color w:val="000000"/>
                <w:spacing w:val="0"/>
                <w:w w:val="100"/>
                <w:position w:val="0"/>
                <w:sz w:val="18"/>
                <w:szCs w:val="18"/>
              </w:rPr>
              <w:t>2021-01</w:t>
            </w:r>
            <w:r>
              <w:rPr>
                <w:color w:val="000000"/>
                <w:spacing w:val="0"/>
                <w:w w:val="100"/>
                <w:position w:val="0"/>
              </w:rPr>
              <w:t>）</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 n</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银河证券王子路、 宁修齐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国嘉资本王 景雷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大合投资李 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长城资管秦晋一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投资者关系活动记录</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表（</w:t>
            </w:r>
            <w:r>
              <w:rPr>
                <w:rFonts w:ascii="Times New Roman" w:eastAsia="Times New Roman" w:hAnsi="Times New Roman" w:cs="Times New Roman"/>
                <w:color w:val="000000"/>
                <w:spacing w:val="0"/>
                <w:w w:val="100"/>
                <w:position w:val="0"/>
                <w:sz w:val="18"/>
                <w:szCs w:val="18"/>
              </w:rPr>
              <w:t>2021-02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详见巨潮资讯网投资者关 系活动记录表（</w:t>
            </w:r>
            <w:r>
              <w:rPr>
                <w:rFonts w:ascii="Times New Roman" w:eastAsia="Times New Roman" w:hAnsi="Times New Roman" w:cs="Times New Roman"/>
                <w:color w:val="000000"/>
                <w:spacing w:val="0"/>
                <w:w w:val="100"/>
                <w:position w:val="0"/>
                <w:sz w:val="18"/>
                <w:szCs w:val="18"/>
              </w:rPr>
              <w:t>2021-02</w:t>
            </w:r>
            <w:r>
              <w:rPr>
                <w:color w:val="000000"/>
                <w:spacing w:val="0"/>
                <w:w w:val="100"/>
                <w:position w:val="0"/>
              </w:rPr>
              <w:t>）</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 n</w:t>
            </w:r>
            <w:r>
              <w:rPr>
                <w:color w:val="000000"/>
                <w:spacing w:val="0"/>
                <w:w w:val="100"/>
                <w:position w:val="0"/>
              </w:rPr>
              <w:t>）</w:t>
            </w:r>
          </w:p>
        </w:tc>
      </w:tr>
      <w:tr>
        <w:trPr>
          <w:trHeight w:val="161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8"/>
              <w:keepNext w:val="0"/>
              <w:keepLines w:val="0"/>
              <w:widowControl w:val="0"/>
              <w:numPr>
                <w:ilvl w:val="0"/>
                <w:numId w:val="7"/>
              </w:numPr>
              <w:shd w:val="clear" w:color="auto" w:fill="auto"/>
              <w:tabs>
                <w:tab w:pos="144" w:val="left"/>
              </w:tabs>
              <w:bidi w:val="0"/>
              <w:spacing w:before="0" w:after="0" w:line="314" w:lineRule="exact"/>
              <w:ind w:left="0" w:right="0" w:firstLine="0"/>
              <w:jc w:val="left"/>
            </w:pPr>
            <w:r>
              <w:rPr>
                <w:color w:val="000000"/>
                <w:spacing w:val="0"/>
                <w:w w:val="100"/>
                <w:position w:val="0"/>
              </w:rPr>
              <w:t>国泰君安李博伦</w:t>
            </w:r>
          </w:p>
          <w:p>
            <w:pPr>
              <w:pStyle w:val="Style18"/>
              <w:keepNext w:val="0"/>
              <w:keepLines w:val="0"/>
              <w:widowControl w:val="0"/>
              <w:numPr>
                <w:ilvl w:val="0"/>
                <w:numId w:val="7"/>
              </w:numPr>
              <w:shd w:val="clear" w:color="auto" w:fill="auto"/>
              <w:tabs>
                <w:tab w:pos="149" w:val="left"/>
              </w:tabs>
              <w:bidi w:val="0"/>
              <w:spacing w:before="0" w:after="0" w:line="314" w:lineRule="exact"/>
              <w:ind w:left="0" w:right="0" w:firstLine="0"/>
              <w:jc w:val="left"/>
            </w:pPr>
            <w:r>
              <w:rPr>
                <w:color w:val="000000"/>
                <w:spacing w:val="0"/>
                <w:w w:val="100"/>
                <w:position w:val="0"/>
              </w:rPr>
              <w:t>万家基金胡文超</w:t>
            </w:r>
          </w:p>
          <w:p>
            <w:pPr>
              <w:pStyle w:val="Style18"/>
              <w:keepNext w:val="0"/>
              <w:keepLines w:val="0"/>
              <w:widowControl w:val="0"/>
              <w:numPr>
                <w:ilvl w:val="0"/>
                <w:numId w:val="7"/>
              </w:numPr>
              <w:shd w:val="clear" w:color="auto" w:fill="auto"/>
              <w:tabs>
                <w:tab w:pos="139" w:val="left"/>
              </w:tabs>
              <w:bidi w:val="0"/>
              <w:spacing w:before="0" w:after="0" w:line="314" w:lineRule="exact"/>
              <w:ind w:left="0" w:right="0" w:firstLine="0"/>
              <w:jc w:val="left"/>
            </w:pPr>
            <w:r>
              <w:rPr>
                <w:color w:val="000000"/>
                <w:spacing w:val="0"/>
                <w:w w:val="100"/>
                <w:position w:val="0"/>
              </w:rPr>
              <w:t>九泰基金方向</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歌斐资产白云旭、 刘子京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上海淳韬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投资者关系管理档案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2021-03</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详见巨潮资讯网投资者关</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系管理档案（</w:t>
            </w:r>
            <w:r>
              <w:rPr>
                <w:rFonts w:ascii="Times New Roman" w:eastAsia="Times New Roman" w:hAnsi="Times New Roman" w:cs="Times New Roman"/>
                <w:color w:val="000000"/>
                <w:spacing w:val="0"/>
                <w:w w:val="100"/>
                <w:position w:val="0"/>
                <w:sz w:val="18"/>
                <w:szCs w:val="18"/>
              </w:rPr>
              <w:t>2021-03</w:t>
            </w:r>
            <w:r>
              <w:rPr>
                <w:color w:val="000000"/>
                <w:spacing w:val="0"/>
                <w:w w:val="100"/>
                <w:position w:val="0"/>
              </w:rPr>
              <w:t>）</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 com.c</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01"/>
        <w:gridCol w:w="974"/>
        <w:gridCol w:w="1138"/>
        <w:gridCol w:w="850"/>
        <w:gridCol w:w="1560"/>
        <w:gridCol w:w="1699"/>
        <w:gridCol w:w="206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312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投资杨克华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北京 知盈投资张严冬</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北京永瑞财富赵旭 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合众易晟投资 邓睿</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前海璟沃投 资尹志力</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磐厚 动量于昀田</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瑞银 俊东许隆君</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景 泰利丰吕伟志</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源乘投资曾尚</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前海德毅荣富志</w:t>
            </w:r>
          </w:p>
          <w:p>
            <w:pPr>
              <w:pStyle w:val="Style18"/>
              <w:keepNext w:val="0"/>
              <w:keepLines w:val="0"/>
              <w:widowControl w:val="0"/>
              <w:numPr>
                <w:ilvl w:val="0"/>
                <w:numId w:val="9"/>
              </w:numPr>
              <w:shd w:val="clear" w:color="auto" w:fill="auto"/>
              <w:tabs>
                <w:tab w:pos="226" w:val="left"/>
              </w:tabs>
              <w:bidi w:val="0"/>
              <w:spacing w:before="0" w:after="0" w:line="313" w:lineRule="exact"/>
              <w:ind w:left="0" w:right="0" w:firstLine="0"/>
              <w:jc w:val="left"/>
            </w:pPr>
            <w:r>
              <w:rPr>
                <w:color w:val="000000"/>
                <w:spacing w:val="0"/>
                <w:w w:val="100"/>
                <w:position w:val="0"/>
              </w:rPr>
              <w:t>创金合信郭镇岳</w:t>
            </w:r>
          </w:p>
          <w:p>
            <w:pPr>
              <w:pStyle w:val="Style18"/>
              <w:keepNext w:val="0"/>
              <w:keepLines w:val="0"/>
              <w:widowControl w:val="0"/>
              <w:numPr>
                <w:ilvl w:val="0"/>
                <w:numId w:val="9"/>
              </w:numPr>
              <w:shd w:val="clear" w:color="auto" w:fill="auto"/>
              <w:tabs>
                <w:tab w:pos="221" w:val="left"/>
              </w:tabs>
              <w:bidi w:val="0"/>
              <w:spacing w:before="0" w:after="0" w:line="313" w:lineRule="exact"/>
              <w:ind w:left="0" w:right="0" w:firstLine="0"/>
              <w:jc w:val="left"/>
            </w:pPr>
            <w:r>
              <w:rPr>
                <w:color w:val="000000"/>
                <w:spacing w:val="0"/>
                <w:w w:val="100"/>
                <w:position w:val="0"/>
              </w:rPr>
              <w:t>华泰资管晏英</w:t>
            </w:r>
          </w:p>
          <w:p>
            <w:pPr>
              <w:pStyle w:val="Style18"/>
              <w:keepNext w:val="0"/>
              <w:keepLines w:val="0"/>
              <w:widowControl w:val="0"/>
              <w:numPr>
                <w:ilvl w:val="0"/>
                <w:numId w:val="9"/>
              </w:numPr>
              <w:shd w:val="clear" w:color="auto" w:fill="auto"/>
              <w:tabs>
                <w:tab w:pos="221" w:val="left"/>
              </w:tabs>
              <w:bidi w:val="0"/>
              <w:spacing w:before="0" w:after="0" w:line="313" w:lineRule="exact"/>
              <w:ind w:left="0" w:right="0" w:firstLine="0"/>
              <w:jc w:val="left"/>
            </w:pPr>
            <w:r>
              <w:rPr>
                <w:color w:val="000000"/>
                <w:spacing w:val="0"/>
                <w:w w:val="100"/>
                <w:position w:val="0"/>
              </w:rPr>
              <w:t>宝盈基金张仲维</w:t>
            </w:r>
          </w:p>
          <w:p>
            <w:pPr>
              <w:pStyle w:val="Style18"/>
              <w:keepNext w:val="0"/>
              <w:keepLines w:val="0"/>
              <w:widowControl w:val="0"/>
              <w:numPr>
                <w:ilvl w:val="0"/>
                <w:numId w:val="9"/>
              </w:numPr>
              <w:shd w:val="clear" w:color="auto" w:fill="auto"/>
              <w:tabs>
                <w:tab w:pos="230" w:val="left"/>
              </w:tabs>
              <w:bidi w:val="0"/>
              <w:spacing w:before="0" w:after="0" w:line="313" w:lineRule="exact"/>
              <w:ind w:left="0" w:right="0" w:firstLine="0"/>
              <w:jc w:val="left"/>
            </w:pPr>
            <w:r>
              <w:rPr>
                <w:color w:val="000000"/>
                <w:spacing w:val="0"/>
                <w:w w:val="100"/>
                <w:position w:val="0"/>
              </w:rPr>
              <w:t>富荣基金毛运宏</w:t>
            </w:r>
          </w:p>
          <w:p>
            <w:pPr>
              <w:pStyle w:val="Style18"/>
              <w:keepNext w:val="0"/>
              <w:keepLines w:val="0"/>
              <w:widowControl w:val="0"/>
              <w:numPr>
                <w:ilvl w:val="0"/>
                <w:numId w:val="9"/>
              </w:numPr>
              <w:shd w:val="clear" w:color="auto" w:fill="auto"/>
              <w:tabs>
                <w:tab w:pos="240" w:val="left"/>
              </w:tabs>
              <w:bidi w:val="0"/>
              <w:spacing w:before="0" w:after="0" w:line="313" w:lineRule="exact"/>
              <w:ind w:left="0" w:right="0" w:firstLine="0"/>
              <w:jc w:val="left"/>
            </w:pPr>
            <w:r>
              <w:rPr>
                <w:color w:val="000000"/>
                <w:spacing w:val="0"/>
                <w:w w:val="100"/>
                <w:position w:val="0"/>
              </w:rPr>
              <w:t xml:space="preserve">景顺长城江磊 </w:t>
            </w:r>
            <w:r>
              <w:rPr>
                <w:rFonts w:ascii="Times New Roman" w:eastAsia="Times New Roman" w:hAnsi="Times New Roman" w:cs="Times New Roman"/>
                <w:color w:val="000000"/>
                <w:spacing w:val="0"/>
                <w:w w:val="100"/>
                <w:position w:val="0"/>
                <w:sz w:val="18"/>
                <w:szCs w:val="18"/>
              </w:rPr>
              <w:t>20 .</w:t>
            </w:r>
            <w:r>
              <w:rPr>
                <w:color w:val="000000"/>
                <w:spacing w:val="0"/>
                <w:w w:val="100"/>
                <w:position w:val="0"/>
              </w:rPr>
              <w:t xml:space="preserve">浙商基金平舒宇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财通基金傅一帆 </w:t>
            </w:r>
            <w:r>
              <w:rPr>
                <w:rFonts w:ascii="Times New Roman" w:eastAsia="Times New Roman" w:hAnsi="Times New Roman" w:cs="Times New Roman"/>
                <w:color w:val="000000"/>
                <w:spacing w:val="0"/>
                <w:w w:val="100"/>
                <w:position w:val="0"/>
                <w:sz w:val="18"/>
                <w:szCs w:val="18"/>
              </w:rPr>
              <w:t>22 .</w:t>
            </w:r>
            <w:r>
              <w:rPr>
                <w:color w:val="000000"/>
                <w:spacing w:val="0"/>
                <w:w w:val="100"/>
                <w:position w:val="0"/>
              </w:rPr>
              <w:t xml:space="preserve">泓嘉基金周捷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长信基金沈佳</w:t>
            </w:r>
          </w:p>
          <w:p>
            <w:pPr>
              <w:pStyle w:val="Style18"/>
              <w:keepNext w:val="0"/>
              <w:keepLines w:val="0"/>
              <w:widowControl w:val="0"/>
              <w:numPr>
                <w:ilvl w:val="0"/>
                <w:numId w:val="11"/>
              </w:numPr>
              <w:shd w:val="clear" w:color="auto" w:fill="auto"/>
              <w:tabs>
                <w:tab w:pos="197"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泰信基金钱鑫</w:t>
            </w:r>
          </w:p>
          <w:p>
            <w:pPr>
              <w:pStyle w:val="Style18"/>
              <w:keepNext w:val="0"/>
              <w:keepLines w:val="0"/>
              <w:widowControl w:val="0"/>
              <w:numPr>
                <w:ilvl w:val="0"/>
                <w:numId w:val="11"/>
              </w:numPr>
              <w:shd w:val="clear" w:color="auto" w:fill="auto"/>
              <w:tabs>
                <w:tab w:pos="197"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中银基金王嘉琦</w:t>
            </w:r>
          </w:p>
          <w:p>
            <w:pPr>
              <w:pStyle w:val="Style18"/>
              <w:keepNext w:val="0"/>
              <w:keepLines w:val="0"/>
              <w:widowControl w:val="0"/>
              <w:numPr>
                <w:ilvl w:val="0"/>
                <w:numId w:val="11"/>
              </w:numPr>
              <w:shd w:val="clear" w:color="auto" w:fill="auto"/>
              <w:tabs>
                <w:tab w:pos="197"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沃珑港投资董煜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重阳投资汪睿</w:t>
            </w:r>
          </w:p>
          <w:p>
            <w:pPr>
              <w:pStyle w:val="Style18"/>
              <w:keepNext w:val="0"/>
              <w:keepLines w:val="0"/>
              <w:widowControl w:val="0"/>
              <w:numPr>
                <w:ilvl w:val="0"/>
                <w:numId w:val="13"/>
              </w:numPr>
              <w:shd w:val="clear" w:color="auto" w:fill="auto"/>
              <w:tabs>
                <w:tab w:pos="197"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人寿资产朱战宇</w:t>
            </w:r>
          </w:p>
          <w:p>
            <w:pPr>
              <w:pStyle w:val="Style18"/>
              <w:keepNext w:val="0"/>
              <w:keepLines w:val="0"/>
              <w:widowControl w:val="0"/>
              <w:numPr>
                <w:ilvl w:val="0"/>
                <w:numId w:val="13"/>
              </w:numPr>
              <w:shd w:val="clear" w:color="auto" w:fill="auto"/>
              <w:tabs>
                <w:tab w:pos="197"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华商基金童立</w:t>
            </w:r>
          </w:p>
          <w:p>
            <w:pPr>
              <w:pStyle w:val="Style18"/>
              <w:keepNext w:val="0"/>
              <w:keepLines w:val="0"/>
              <w:widowControl w:val="0"/>
              <w:numPr>
                <w:ilvl w:val="0"/>
                <w:numId w:val="15"/>
              </w:numPr>
              <w:shd w:val="clear" w:color="auto" w:fill="auto"/>
              <w:tabs>
                <w:tab w:pos="230" w:val="left"/>
              </w:tabs>
              <w:bidi w:val="0"/>
              <w:spacing w:before="0" w:after="0" w:line="313" w:lineRule="exact"/>
              <w:ind w:left="0" w:right="0" w:firstLine="0"/>
              <w:jc w:val="left"/>
            </w:pPr>
            <w:r>
              <w:rPr>
                <w:color w:val="000000"/>
                <w:spacing w:val="0"/>
                <w:w w:val="100"/>
                <w:position w:val="0"/>
              </w:rPr>
              <w:t>嘉实基金谢泽林</w:t>
            </w:r>
          </w:p>
          <w:p>
            <w:pPr>
              <w:pStyle w:val="Style18"/>
              <w:keepNext w:val="0"/>
              <w:keepLines w:val="0"/>
              <w:widowControl w:val="0"/>
              <w:numPr>
                <w:ilvl w:val="0"/>
                <w:numId w:val="15"/>
              </w:numPr>
              <w:shd w:val="clear" w:color="auto" w:fill="auto"/>
              <w:tabs>
                <w:tab w:pos="245" w:val="left"/>
              </w:tabs>
              <w:bidi w:val="0"/>
              <w:spacing w:before="0" w:after="0" w:line="313" w:lineRule="exact"/>
              <w:ind w:left="0" w:right="0" w:firstLine="0"/>
              <w:jc w:val="left"/>
            </w:pPr>
            <w:r>
              <w:rPr>
                <w:color w:val="000000"/>
                <w:spacing w:val="0"/>
                <w:w w:val="100"/>
                <w:position w:val="0"/>
              </w:rPr>
              <w:t>中再资产胡换录</w:t>
            </w:r>
          </w:p>
          <w:p>
            <w:pPr>
              <w:pStyle w:val="Style18"/>
              <w:keepNext w:val="0"/>
              <w:keepLines w:val="0"/>
              <w:widowControl w:val="0"/>
              <w:numPr>
                <w:ilvl w:val="0"/>
                <w:numId w:val="15"/>
              </w:numPr>
              <w:shd w:val="clear" w:color="auto" w:fill="auto"/>
              <w:tabs>
                <w:tab w:pos="230" w:val="left"/>
              </w:tabs>
              <w:bidi w:val="0"/>
              <w:spacing w:before="0" w:after="0" w:line="313" w:lineRule="exact"/>
              <w:ind w:left="0" w:right="0" w:firstLine="0"/>
              <w:jc w:val="left"/>
            </w:pPr>
            <w:r>
              <w:rPr>
                <w:color w:val="000000"/>
                <w:spacing w:val="0"/>
                <w:w w:val="100"/>
                <w:position w:val="0"/>
              </w:rPr>
              <w:t>衍航投资杨晓鹏</w:t>
            </w:r>
          </w:p>
          <w:p>
            <w:pPr>
              <w:pStyle w:val="Style18"/>
              <w:keepNext w:val="0"/>
              <w:keepLines w:val="0"/>
              <w:widowControl w:val="0"/>
              <w:numPr>
                <w:ilvl w:val="0"/>
                <w:numId w:val="15"/>
              </w:numPr>
              <w:shd w:val="clear" w:color="auto" w:fill="auto"/>
              <w:tabs>
                <w:tab w:pos="230" w:val="left"/>
              </w:tabs>
              <w:bidi w:val="0"/>
              <w:spacing w:before="0" w:after="0" w:line="313" w:lineRule="exact"/>
              <w:ind w:left="0" w:right="0" w:firstLine="0"/>
              <w:jc w:val="left"/>
            </w:pPr>
            <w:r>
              <w:rPr>
                <w:color w:val="000000"/>
                <w:spacing w:val="0"/>
                <w:w w:val="100"/>
                <w:position w:val="0"/>
              </w:rPr>
              <w:t>沣沛投资孙冠球</w:t>
            </w:r>
          </w:p>
          <w:p>
            <w:pPr>
              <w:pStyle w:val="Style18"/>
              <w:keepNext w:val="0"/>
              <w:keepLines w:val="0"/>
              <w:widowControl w:val="0"/>
              <w:numPr>
                <w:ilvl w:val="0"/>
                <w:numId w:val="15"/>
              </w:numPr>
              <w:shd w:val="clear" w:color="auto" w:fill="auto"/>
              <w:tabs>
                <w:tab w:pos="230" w:val="left"/>
              </w:tabs>
              <w:bidi w:val="0"/>
              <w:spacing w:before="0" w:after="0" w:line="313" w:lineRule="exact"/>
              <w:ind w:left="0" w:right="0" w:firstLine="0"/>
              <w:jc w:val="left"/>
            </w:pPr>
            <w:r>
              <w:rPr>
                <w:color w:val="000000"/>
                <w:spacing w:val="0"/>
                <w:w w:val="100"/>
                <w:position w:val="0"/>
              </w:rPr>
              <w:t>泓澄投资李金权</w:t>
            </w:r>
          </w:p>
          <w:p>
            <w:pPr>
              <w:pStyle w:val="Style18"/>
              <w:keepNext w:val="0"/>
              <w:keepLines w:val="0"/>
              <w:widowControl w:val="0"/>
              <w:numPr>
                <w:ilvl w:val="0"/>
                <w:numId w:val="15"/>
              </w:numPr>
              <w:shd w:val="clear" w:color="auto" w:fill="auto"/>
              <w:tabs>
                <w:tab w:pos="235" w:val="left"/>
              </w:tabs>
              <w:bidi w:val="0"/>
              <w:spacing w:before="0" w:after="0" w:line="313" w:lineRule="exact"/>
              <w:ind w:left="0" w:right="0" w:firstLine="0"/>
              <w:jc w:val="left"/>
            </w:pPr>
            <w:r>
              <w:rPr>
                <w:color w:val="000000"/>
                <w:spacing w:val="0"/>
                <w:w w:val="100"/>
                <w:position w:val="0"/>
              </w:rPr>
              <w:t>志开投资陈炜</w:t>
            </w:r>
          </w:p>
          <w:p>
            <w:pPr>
              <w:pStyle w:val="Style18"/>
              <w:keepNext w:val="0"/>
              <w:keepLines w:val="0"/>
              <w:widowControl w:val="0"/>
              <w:numPr>
                <w:ilvl w:val="0"/>
                <w:numId w:val="15"/>
              </w:numPr>
              <w:shd w:val="clear" w:color="auto" w:fill="auto"/>
              <w:tabs>
                <w:tab w:pos="230" w:val="left"/>
              </w:tabs>
              <w:bidi w:val="0"/>
              <w:spacing w:before="0" w:after="0" w:line="313" w:lineRule="exact"/>
              <w:ind w:left="0" w:right="0" w:firstLine="0"/>
              <w:jc w:val="left"/>
            </w:pPr>
            <w:r>
              <w:rPr>
                <w:color w:val="000000"/>
                <w:spacing w:val="0"/>
                <w:w w:val="100"/>
                <w:position w:val="0"/>
              </w:rPr>
              <w:t>君创私募姚行春</w:t>
            </w:r>
          </w:p>
          <w:p>
            <w:pPr>
              <w:pStyle w:val="Style18"/>
              <w:keepNext w:val="0"/>
              <w:keepLines w:val="0"/>
              <w:widowControl w:val="0"/>
              <w:numPr>
                <w:ilvl w:val="0"/>
                <w:numId w:val="15"/>
              </w:numPr>
              <w:shd w:val="clear" w:color="auto" w:fill="auto"/>
              <w:tabs>
                <w:tab w:pos="230" w:val="left"/>
              </w:tabs>
              <w:bidi w:val="0"/>
              <w:spacing w:before="0" w:after="0" w:line="313" w:lineRule="exact"/>
              <w:ind w:left="0" w:right="0" w:firstLine="0"/>
              <w:jc w:val="left"/>
            </w:pPr>
            <w:r>
              <w:rPr>
                <w:color w:val="000000"/>
                <w:spacing w:val="0"/>
                <w:w w:val="100"/>
                <w:position w:val="0"/>
              </w:rPr>
              <w:t>南方基金孙鲁闽</w:t>
            </w:r>
          </w:p>
          <w:p>
            <w:pPr>
              <w:pStyle w:val="Style18"/>
              <w:keepNext w:val="0"/>
              <w:keepLines w:val="0"/>
              <w:widowControl w:val="0"/>
              <w:numPr>
                <w:ilvl w:val="0"/>
                <w:numId w:val="15"/>
              </w:numPr>
              <w:shd w:val="clear" w:color="auto" w:fill="auto"/>
              <w:tabs>
                <w:tab w:pos="230" w:val="left"/>
              </w:tabs>
              <w:bidi w:val="0"/>
              <w:spacing w:before="0" w:after="0" w:line="313" w:lineRule="exact"/>
              <w:ind w:left="0" w:right="0" w:firstLine="0"/>
              <w:jc w:val="left"/>
            </w:pPr>
            <w:r>
              <w:rPr>
                <w:color w:val="000000"/>
                <w:spacing w:val="0"/>
                <w:w w:val="100"/>
                <w:position w:val="0"/>
              </w:rPr>
              <w:t>鹏华基金胡颖</w:t>
            </w:r>
          </w:p>
          <w:p>
            <w:pPr>
              <w:pStyle w:val="Style18"/>
              <w:keepNext w:val="0"/>
              <w:keepLines w:val="0"/>
              <w:widowControl w:val="0"/>
              <w:numPr>
                <w:ilvl w:val="0"/>
                <w:numId w:val="15"/>
              </w:numPr>
              <w:shd w:val="clear" w:color="auto" w:fill="auto"/>
              <w:tabs>
                <w:tab w:pos="230" w:val="left"/>
              </w:tabs>
              <w:bidi w:val="0"/>
              <w:spacing w:before="0" w:after="0" w:line="313" w:lineRule="exact"/>
              <w:ind w:left="0" w:right="0" w:firstLine="0"/>
              <w:jc w:val="left"/>
            </w:pPr>
            <w:r>
              <w:rPr>
                <w:color w:val="000000"/>
                <w:spacing w:val="0"/>
                <w:w w:val="100"/>
                <w:position w:val="0"/>
              </w:rPr>
              <w:t>信达澳银曾国 富、徐聪</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安信基 金聂世林</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广发 基金蒋科、李阳、 冯骋</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长城基金 张留信</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招商基 金张磊</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国投瑞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01"/>
        <w:gridCol w:w="974"/>
        <w:gridCol w:w="1138"/>
        <w:gridCol w:w="850"/>
        <w:gridCol w:w="1560"/>
        <w:gridCol w:w="1699"/>
        <w:gridCol w:w="206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接待对象 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调研的基本情况索引</w:t>
            </w:r>
          </w:p>
        </w:tc>
      </w:tr>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银王鹏</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尚道投 资王志飞</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万和 证券田明华</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丰 岭资本金斌、李涛</w:t>
            </w:r>
          </w:p>
          <w:p>
            <w:pPr>
              <w:pStyle w:val="Style18"/>
              <w:keepNext w:val="0"/>
              <w:keepLines w:val="0"/>
              <w:widowControl w:val="0"/>
              <w:numPr>
                <w:ilvl w:val="0"/>
                <w:numId w:val="17"/>
              </w:numPr>
              <w:shd w:val="clear" w:color="auto" w:fill="auto"/>
              <w:tabs>
                <w:tab w:pos="197"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睿泽资本黎明</w:t>
            </w:r>
          </w:p>
          <w:p>
            <w:pPr>
              <w:pStyle w:val="Style18"/>
              <w:keepNext w:val="0"/>
              <w:keepLines w:val="0"/>
              <w:widowControl w:val="0"/>
              <w:numPr>
                <w:ilvl w:val="0"/>
                <w:numId w:val="17"/>
              </w:numPr>
              <w:shd w:val="clear" w:color="auto" w:fill="auto"/>
              <w:tabs>
                <w:tab w:pos="197"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洪昌私募李翀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网络远程方 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全景</w:t>
            </w:r>
            <w:r>
              <w:rPr>
                <w:rFonts w:ascii="Times New Roman" w:eastAsia="Times New Roman" w:hAnsi="Times New Roman" w:cs="Times New Roman"/>
                <w:color w:val="000000"/>
                <w:spacing w:val="0"/>
                <w:w w:val="100"/>
                <w:position w:val="0"/>
                <w:sz w:val="18"/>
                <w:szCs w:val="18"/>
              </w:rPr>
              <w:t>o</w:t>
            </w:r>
            <w:r>
              <w:rPr>
                <w:color w:val="000000"/>
                <w:spacing w:val="0"/>
                <w:w w:val="100"/>
                <w:position w:val="0"/>
              </w:rPr>
              <w:t>路演天 下，，</w:t>
            </w:r>
          </w:p>
          <w:p>
            <w:pPr>
              <w:pStyle w:val="Style18"/>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https://rs.p5w.net</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）远程参与公司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年度网上业绩 说明会的广大投资 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投资者关系活动记录</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表（</w:t>
            </w:r>
            <w:r>
              <w:rPr>
                <w:rFonts w:ascii="Times New Roman" w:eastAsia="Times New Roman" w:hAnsi="Times New Roman" w:cs="Times New Roman"/>
                <w:color w:val="000000"/>
                <w:spacing w:val="0"/>
                <w:w w:val="100"/>
                <w:position w:val="0"/>
                <w:sz w:val="18"/>
                <w:szCs w:val="18"/>
              </w:rPr>
              <w:t>2021-04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详见巨潮资讯网投资者关 系活动记录表（</w:t>
            </w:r>
            <w:r>
              <w:rPr>
                <w:rFonts w:ascii="Times New Roman" w:eastAsia="Times New Roman" w:hAnsi="Times New Roman" w:cs="Times New Roman"/>
                <w:color w:val="000000"/>
                <w:spacing w:val="0"/>
                <w:w w:val="100"/>
                <w:position w:val="0"/>
                <w:sz w:val="18"/>
                <w:szCs w:val="18"/>
              </w:rPr>
              <w:t>2021-04</w:t>
            </w:r>
            <w:r>
              <w:rPr>
                <w:color w:val="000000"/>
                <w:spacing w:val="0"/>
                <w:w w:val="100"/>
                <w:position w:val="0"/>
              </w:rPr>
              <w:t>）</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 n</w:t>
            </w:r>
            <w:r>
              <w:rPr>
                <w:color w:val="000000"/>
                <w:spacing w:val="0"/>
                <w:w w:val="100"/>
                <w:position w:val="0"/>
              </w:rPr>
              <w:t>）</w:t>
            </w:r>
          </w:p>
        </w:tc>
      </w:tr>
      <w:tr>
        <w:trPr>
          <w:trHeight w:val="446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光大证券（万义 麟）、华泰证券（范 昳蕊）、华西证券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（孔文斌）、开源证 券（刘逍遥）、民生 证券（郭新宇）、天 风证券（缪欣君、 王倩雯）、兴业证券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（杨本鸿）、银河证 券（王子路）、中泰 证券（闻学臣、蒋 丹）、中信建投（甘 洋科）、中信证券</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（李康桥）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投资者关系活动记录</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表（</w:t>
            </w:r>
            <w:r>
              <w:rPr>
                <w:rFonts w:ascii="Times New Roman" w:eastAsia="Times New Roman" w:hAnsi="Times New Roman" w:cs="Times New Roman"/>
                <w:color w:val="000000"/>
                <w:spacing w:val="0"/>
                <w:w w:val="100"/>
                <w:position w:val="0"/>
                <w:sz w:val="18"/>
                <w:szCs w:val="18"/>
              </w:rPr>
              <w:t>2021-05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详见巨潮资讯网投资者关 系活动记录表（</w:t>
            </w:r>
            <w:r>
              <w:rPr>
                <w:rFonts w:ascii="Times New Roman" w:eastAsia="Times New Roman" w:hAnsi="Times New Roman" w:cs="Times New Roman"/>
                <w:color w:val="000000"/>
                <w:spacing w:val="0"/>
                <w:w w:val="100"/>
                <w:position w:val="0"/>
                <w:sz w:val="18"/>
                <w:szCs w:val="18"/>
              </w:rPr>
              <w:t>2021-05</w:t>
            </w:r>
            <w:r>
              <w:rPr>
                <w:color w:val="000000"/>
                <w:spacing w:val="0"/>
                <w:w w:val="100"/>
                <w:position w:val="0"/>
              </w:rPr>
              <w:t>）</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 n</w:t>
            </w:r>
            <w:r>
              <w:rPr>
                <w:color w:val="000000"/>
                <w:spacing w:val="0"/>
                <w:w w:val="100"/>
                <w:position w:val="0"/>
              </w:rPr>
              <w:t>）</w:t>
            </w:r>
          </w:p>
        </w:tc>
      </w:tr>
    </w:tbl>
    <w:p>
      <w:pPr>
        <w:sectPr>
          <w:footnotePr>
            <w:pos w:val="pageBottom"/>
            <w:numFmt w:val="decimal"/>
            <w:numRestart w:val="continuous"/>
          </w:footnotePr>
          <w:pgSz w:w="11900" w:h="16840"/>
          <w:pgMar w:top="1378" w:right="1069" w:bottom="1469" w:left="1053" w:header="0" w:footer="3" w:gutter="0"/>
          <w:cols w:space="720"/>
          <w:noEndnote/>
          <w:rtlGutter w:val="0"/>
          <w:docGrid w:linePitch="360"/>
        </w:sectPr>
      </w:pPr>
    </w:p>
    <w:p>
      <w:pPr>
        <w:pStyle w:val="Style4"/>
        <w:keepNext/>
        <w:keepLines/>
        <w:widowControl w:val="0"/>
        <w:shd w:val="clear" w:color="auto" w:fill="auto"/>
        <w:bidi w:val="0"/>
        <w:spacing w:before="540" w:after="500" w:line="240" w:lineRule="auto"/>
        <w:ind w:left="0" w:right="0" w:firstLine="0"/>
        <w:jc w:val="center"/>
      </w:pPr>
      <w:bookmarkStart w:id="272" w:name="bookmark272"/>
      <w:bookmarkStart w:id="273" w:name="bookmark273"/>
      <w:bookmarkStart w:id="274" w:name="bookmark274"/>
      <w:r>
        <w:rPr>
          <w:color w:val="000000"/>
          <w:spacing w:val="0"/>
          <w:w w:val="100"/>
          <w:position w:val="0"/>
        </w:rPr>
        <w:t>第四节公司治理</w:t>
      </w:r>
      <w:bookmarkEnd w:id="272"/>
      <w:bookmarkEnd w:id="273"/>
      <w:bookmarkEnd w:id="274"/>
    </w:p>
    <w:p>
      <w:pPr>
        <w:pStyle w:val="Style21"/>
        <w:keepNext/>
        <w:keepLines/>
        <w:widowControl w:val="0"/>
        <w:shd w:val="clear" w:color="auto" w:fill="auto"/>
        <w:tabs>
          <w:tab w:pos="618" w:val="left"/>
        </w:tabs>
        <w:bidi w:val="0"/>
        <w:spacing w:before="0" w:after="260" w:line="317" w:lineRule="exact"/>
        <w:ind w:left="0" w:right="0" w:firstLine="0"/>
        <w:jc w:val="left"/>
      </w:pPr>
      <w:bookmarkStart w:id="275" w:name="bookmark275"/>
      <w:bookmarkStart w:id="276" w:name="bookmark276"/>
      <w:bookmarkStart w:id="277" w:name="bookmark277"/>
      <w:bookmarkStart w:id="278" w:name="bookmark278"/>
      <w:bookmarkStart w:id="279" w:name="bookmark279"/>
      <w:r>
        <w:rPr>
          <w:color w:val="000000"/>
          <w:spacing w:val="0"/>
          <w:w w:val="100"/>
          <w:position w:val="0"/>
        </w:rPr>
        <w:t>一</w:t>
      </w:r>
      <w:bookmarkEnd w:id="278"/>
      <w:r>
        <w:rPr>
          <w:color w:val="000000"/>
          <w:spacing w:val="0"/>
          <w:w w:val="100"/>
          <w:position w:val="0"/>
        </w:rPr>
        <w:t>、</w:t>
        <w:tab/>
        <w:t>公司治理的基本状况</w:t>
      </w:r>
      <w:bookmarkEnd w:id="276"/>
      <w:bookmarkEnd w:id="277"/>
      <w:bookmarkEnd w:id="279"/>
      <w:bookmarkEnd w:id="275"/>
    </w:p>
    <w:p>
      <w:pPr>
        <w:pStyle w:val="Style16"/>
        <w:keepNext w:val="0"/>
        <w:keepLines w:val="0"/>
        <w:widowControl w:val="0"/>
        <w:shd w:val="clear" w:color="auto" w:fill="auto"/>
        <w:bidi w:val="0"/>
        <w:spacing w:before="0" w:after="320" w:line="312" w:lineRule="exact"/>
        <w:ind w:left="0" w:right="0"/>
        <w:jc w:val="both"/>
      </w:pPr>
      <w:r>
        <w:rPr>
          <w:color w:val="000000"/>
          <w:spacing w:val="0"/>
          <w:w w:val="100"/>
          <w:position w:val="0"/>
        </w:rPr>
        <w:t>报告期内，公司严格按照《公司法》、《证券法》、《上市公司治理准则》、《深圳证券交易所创业板股票上市规则》、 《深圳证券交易所创业板上市公司规范运作指引》等法律、法规及规范性文件的要求，不断完善公司的法人治理结构，建立 健全公司内部管理和控制制度，持续深入开展公司治理活动，促进了公司规范运作，提高了公司治理水平。截至报告期末， 公司治理的实际状况符合《上市公司治理准则》和《深圳证券交易所创业板上市公司规范运作指引》的要求。</w:t>
      </w:r>
    </w:p>
    <w:p>
      <w:pPr>
        <w:pStyle w:val="Style16"/>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20" w:line="312"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1"/>
        <w:keepNext/>
        <w:keepLines/>
        <w:widowControl w:val="0"/>
        <w:shd w:val="clear" w:color="auto" w:fill="auto"/>
        <w:tabs>
          <w:tab w:pos="618" w:val="left"/>
        </w:tabs>
        <w:bidi w:val="0"/>
        <w:spacing w:before="0" w:after="260" w:line="317" w:lineRule="exact"/>
        <w:ind w:left="0" w:right="0" w:firstLine="0"/>
        <w:jc w:val="left"/>
      </w:pPr>
      <w:bookmarkStart w:id="280" w:name="bookmark280"/>
      <w:bookmarkStart w:id="281" w:name="bookmark281"/>
      <w:bookmarkStart w:id="282" w:name="bookmark282"/>
      <w:bookmarkStart w:id="283" w:name="bookmark283"/>
      <w:r>
        <w:rPr>
          <w:color w:val="000000"/>
          <w:spacing w:val="0"/>
          <w:w w:val="100"/>
          <w:position w:val="0"/>
        </w:rPr>
        <w:t>二</w:t>
      </w:r>
      <w:bookmarkEnd w:id="282"/>
      <w:r>
        <w:rPr>
          <w:color w:val="000000"/>
          <w:spacing w:val="0"/>
          <w:w w:val="100"/>
          <w:position w:val="0"/>
        </w:rPr>
        <w:t>、</w:t>
        <w:tab/>
        <w:t>公司相对于控股股东、实际控制人在保证公司资产、人员、财务、机构、业务等方面的 独立情况</w:t>
      </w:r>
      <w:bookmarkEnd w:id="280"/>
      <w:bookmarkEnd w:id="281"/>
      <w:bookmarkEnd w:id="283"/>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公司成立以来，严格按照《公司法》、《证券法》等有关法律法规和《公司章程》的要求规范运作。报告期内，公司在 业务、人员、资产、机构、财务等方面与控股股东及其控制的其他企业完全分开，具有独立、完整的业务体系及面向市场独 立经营的能力：</w:t>
      </w:r>
    </w:p>
    <w:p>
      <w:pPr>
        <w:pStyle w:val="Style16"/>
        <w:keepNext w:val="0"/>
        <w:keepLines w:val="0"/>
        <w:widowControl w:val="0"/>
        <w:shd w:val="clear" w:color="auto" w:fill="auto"/>
        <w:tabs>
          <w:tab w:pos="742" w:val="left"/>
        </w:tabs>
        <w:bidi w:val="0"/>
        <w:spacing w:before="0" w:after="0" w:line="312" w:lineRule="exact"/>
        <w:ind w:left="0" w:right="0" w:firstLine="220"/>
        <w:jc w:val="left"/>
      </w:pPr>
      <w:bookmarkStart w:id="284" w:name="bookmark284"/>
      <w:r>
        <w:rPr>
          <w:color w:val="000000"/>
          <w:spacing w:val="0"/>
          <w:w w:val="100"/>
          <w:position w:val="0"/>
        </w:rPr>
        <w:t>（</w:t>
      </w:r>
      <w:bookmarkEnd w:id="284"/>
      <w:r>
        <w:rPr>
          <w:color w:val="000000"/>
          <w:spacing w:val="0"/>
          <w:w w:val="100"/>
          <w:position w:val="0"/>
        </w:rPr>
        <w:t>一）</w:t>
        <w:tab/>
        <w:t>业务独立情况</w:t>
      </w:r>
    </w:p>
    <w:p>
      <w:pPr>
        <w:pStyle w:val="Style1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公司的业务独立于控股股东、实际控制人及其控制的其他企业，与控股股东、实际控制人及其控制的其他企业间不存在 同业竞争或者显失公平的关联交易。</w:t>
      </w:r>
    </w:p>
    <w:p>
      <w:pPr>
        <w:pStyle w:val="Style16"/>
        <w:keepNext w:val="0"/>
        <w:keepLines w:val="0"/>
        <w:widowControl w:val="0"/>
        <w:shd w:val="clear" w:color="auto" w:fill="auto"/>
        <w:tabs>
          <w:tab w:pos="742" w:val="left"/>
        </w:tabs>
        <w:bidi w:val="0"/>
        <w:spacing w:before="0" w:after="0" w:line="312" w:lineRule="exact"/>
        <w:ind w:left="0" w:right="0" w:firstLine="220"/>
        <w:jc w:val="left"/>
      </w:pPr>
      <w:bookmarkStart w:id="285" w:name="bookmark285"/>
      <w:r>
        <w:rPr>
          <w:color w:val="000000"/>
          <w:spacing w:val="0"/>
          <w:w w:val="100"/>
          <w:position w:val="0"/>
        </w:rPr>
        <w:t>（</w:t>
      </w:r>
      <w:bookmarkEnd w:id="285"/>
      <w:r>
        <w:rPr>
          <w:color w:val="000000"/>
          <w:spacing w:val="0"/>
          <w:w w:val="100"/>
          <w:position w:val="0"/>
        </w:rPr>
        <w:t>二）</w:t>
        <w:tab/>
        <w:t>人员独立情况</w:t>
      </w:r>
    </w:p>
    <w:p>
      <w:pPr>
        <w:pStyle w:val="Style1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公司设有人力资源部，公司的人事及工资管理完全独立。本公司董事、监事及高级管理人员严格按照《公司法》、《公 司章程》的有关规定选举或聘任，不存在有关法律、法规禁止担任职务的情形；公司的总经理、副总经理、财务负责人、董 事会秘书等高级管理人员均专职在本公司工作并领取报酬，未在控股股东、实际控制人及其控制的其他企业中担任除董事、 监事以外的职务，未在控股股东、实际控制人及其控制的其他企业领薪；公司的财务人员不在控股股东、实际控制人及其控 制的其他企业中兼职。</w:t>
      </w:r>
    </w:p>
    <w:p>
      <w:pPr>
        <w:pStyle w:val="Style16"/>
        <w:keepNext w:val="0"/>
        <w:keepLines w:val="0"/>
        <w:widowControl w:val="0"/>
        <w:shd w:val="clear" w:color="auto" w:fill="auto"/>
        <w:tabs>
          <w:tab w:pos="742" w:val="left"/>
        </w:tabs>
        <w:bidi w:val="0"/>
        <w:spacing w:before="0" w:after="0" w:line="312" w:lineRule="exact"/>
        <w:ind w:left="0" w:right="0" w:firstLine="220"/>
        <w:jc w:val="left"/>
      </w:pPr>
      <w:bookmarkStart w:id="286" w:name="bookmark286"/>
      <w:r>
        <w:rPr>
          <w:color w:val="000000"/>
          <w:spacing w:val="0"/>
          <w:w w:val="100"/>
          <w:position w:val="0"/>
        </w:rPr>
        <w:t>（</w:t>
      </w:r>
      <w:bookmarkEnd w:id="286"/>
      <w:r>
        <w:rPr>
          <w:color w:val="000000"/>
          <w:spacing w:val="0"/>
          <w:w w:val="100"/>
          <w:position w:val="0"/>
        </w:rPr>
        <w:t>三）</w:t>
        <w:tab/>
        <w:t>资产完整情况</w:t>
      </w:r>
    </w:p>
    <w:p>
      <w:pPr>
        <w:pStyle w:val="Style1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公司已具备与经营有关的业务体系及主要相关资产，公司资产与股东资产严格分开，并完全独立运营，公司目前业务和 生产经营必需资产的权属完全由公司独立享有，不存在与股东单位共用的情况。公司对所有资产拥有完全的控制和支配权。</w:t>
      </w:r>
    </w:p>
    <w:p>
      <w:pPr>
        <w:pStyle w:val="Style16"/>
        <w:keepNext w:val="0"/>
        <w:keepLines w:val="0"/>
        <w:widowControl w:val="0"/>
        <w:shd w:val="clear" w:color="auto" w:fill="auto"/>
        <w:tabs>
          <w:tab w:pos="742" w:val="left"/>
        </w:tabs>
        <w:bidi w:val="0"/>
        <w:spacing w:before="0" w:after="0" w:line="312" w:lineRule="exact"/>
        <w:ind w:left="0" w:right="0" w:firstLine="220"/>
        <w:jc w:val="left"/>
      </w:pPr>
      <w:bookmarkStart w:id="287" w:name="bookmark287"/>
      <w:r>
        <w:rPr>
          <w:color w:val="000000"/>
          <w:spacing w:val="0"/>
          <w:w w:val="100"/>
          <w:position w:val="0"/>
        </w:rPr>
        <w:t>（</w:t>
      </w:r>
      <w:bookmarkEnd w:id="287"/>
      <w:r>
        <w:rPr>
          <w:color w:val="000000"/>
          <w:spacing w:val="0"/>
          <w:w w:val="100"/>
          <w:position w:val="0"/>
        </w:rPr>
        <w:t>四）</w:t>
        <w:tab/>
        <w:t>机构独立情况</w:t>
      </w:r>
    </w:p>
    <w:p>
      <w:pPr>
        <w:pStyle w:val="Style1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公司已建立健全内部经营管理机构、独立行使经营管理职权，与控股股东和实际控制人及其控制的其他企业间不存在机 构混同的情形。</w:t>
      </w:r>
    </w:p>
    <w:p>
      <w:pPr>
        <w:pStyle w:val="Style16"/>
        <w:keepNext w:val="0"/>
        <w:keepLines w:val="0"/>
        <w:widowControl w:val="0"/>
        <w:shd w:val="clear" w:color="auto" w:fill="auto"/>
        <w:tabs>
          <w:tab w:pos="742" w:val="left"/>
        </w:tabs>
        <w:bidi w:val="0"/>
        <w:spacing w:before="0" w:after="0" w:line="312" w:lineRule="exact"/>
        <w:ind w:left="0" w:right="0" w:firstLine="220"/>
        <w:jc w:val="left"/>
      </w:pPr>
      <w:bookmarkStart w:id="288" w:name="bookmark288"/>
      <w:r>
        <w:rPr>
          <w:color w:val="000000"/>
          <w:spacing w:val="0"/>
          <w:w w:val="100"/>
          <w:position w:val="0"/>
        </w:rPr>
        <w:t>（</w:t>
      </w:r>
      <w:bookmarkEnd w:id="288"/>
      <w:r>
        <w:rPr>
          <w:color w:val="000000"/>
          <w:spacing w:val="0"/>
          <w:w w:val="100"/>
          <w:position w:val="0"/>
        </w:rPr>
        <w:t>五）</w:t>
        <w:tab/>
        <w:t>财务独立情况</w:t>
      </w:r>
    </w:p>
    <w:p>
      <w:pPr>
        <w:pStyle w:val="Style1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公司已建立独立的财务核算体系，能够独立作出财务决策、具有规范的财务会计制度和对分公司、子公司的财务管理制 度；公司未与控股股东、实际控制人及其控制的其他企业共用银行账户。</w:t>
      </w:r>
    </w:p>
    <w:p>
      <w:pPr>
        <w:pStyle w:val="Style16"/>
        <w:keepNext w:val="0"/>
        <w:keepLines w:val="0"/>
        <w:widowControl w:val="0"/>
        <w:shd w:val="clear" w:color="auto" w:fill="auto"/>
        <w:tabs>
          <w:tab w:pos="742" w:val="left"/>
        </w:tabs>
        <w:bidi w:val="0"/>
        <w:spacing w:before="0" w:after="0" w:line="312" w:lineRule="exact"/>
        <w:ind w:left="0" w:right="0" w:firstLine="220"/>
        <w:jc w:val="left"/>
      </w:pPr>
      <w:bookmarkStart w:id="289" w:name="bookmark289"/>
      <w:r>
        <w:rPr>
          <w:color w:val="000000"/>
          <w:spacing w:val="0"/>
          <w:w w:val="100"/>
          <w:position w:val="0"/>
        </w:rPr>
        <w:t>（</w:t>
      </w:r>
      <w:bookmarkEnd w:id="289"/>
      <w:r>
        <w:rPr>
          <w:color w:val="000000"/>
          <w:spacing w:val="0"/>
          <w:w w:val="100"/>
          <w:position w:val="0"/>
        </w:rPr>
        <w:t>六）</w:t>
        <w:tab/>
        <w:t>主营业务、控制权、管理团队的稳定情况</w:t>
      </w:r>
    </w:p>
    <w:p>
      <w:pPr>
        <w:pStyle w:val="Style16"/>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公司是一家金融业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解决方案及服务提供商，主要向以银行为主的金融机构提供</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解决方案、咨询服务、专业测试服务、 运维服务和系统集成服务。按照服务内容的不同，公司主营业务包括技术开发、技术服务、咨询服务和系统集成类四大类别。 报告期内公司经营情况良好，主营业务没有发生重大不利变化。公司自股份公司设立以来控股股东及实际控制人一直为欧阳 建平，欧阳建平直接和间接控制公司合计</w:t>
      </w:r>
      <w:r>
        <w:rPr>
          <w:rFonts w:ascii="Times New Roman" w:eastAsia="Times New Roman" w:hAnsi="Times New Roman" w:cs="Times New Roman"/>
          <w:color w:val="000000"/>
          <w:spacing w:val="0"/>
          <w:w w:val="100"/>
          <w:position w:val="0"/>
          <w:sz w:val="18"/>
          <w:szCs w:val="18"/>
        </w:rPr>
        <w:t>36.64%</w:t>
      </w:r>
      <w:r>
        <w:rPr>
          <w:color w:val="000000"/>
          <w:spacing w:val="0"/>
          <w:w w:val="100"/>
          <w:position w:val="0"/>
        </w:rPr>
        <w:t xml:space="preserve">的股权，股份权属清晰，不存在导致控制权可能变更的重大权属纠纷。公 </w:t>
      </w:r>
      <w:r>
        <w:rPr>
          <w:color w:val="000000"/>
          <w:spacing w:val="0"/>
          <w:w w:val="100"/>
          <w:position w:val="0"/>
        </w:rPr>
        <w:t>司董事、高级管理人员没有发生过重大不利变化。</w:t>
      </w:r>
    </w:p>
    <w:p>
      <w:pPr>
        <w:pStyle w:val="Style16"/>
        <w:keepNext w:val="0"/>
        <w:keepLines w:val="0"/>
        <w:widowControl w:val="0"/>
        <w:shd w:val="clear" w:color="auto" w:fill="auto"/>
        <w:bidi w:val="0"/>
        <w:spacing w:before="0" w:after="0" w:line="312" w:lineRule="exact"/>
        <w:ind w:left="0" w:right="0" w:firstLine="220"/>
        <w:jc w:val="left"/>
      </w:pPr>
      <w:bookmarkStart w:id="290" w:name="bookmark290"/>
      <w:r>
        <w:rPr>
          <w:color w:val="000000"/>
          <w:spacing w:val="0"/>
          <w:w w:val="100"/>
          <w:position w:val="0"/>
        </w:rPr>
        <w:t>（</w:t>
      </w:r>
      <w:bookmarkEnd w:id="290"/>
      <w:r>
        <w:rPr>
          <w:color w:val="000000"/>
          <w:spacing w:val="0"/>
          <w:w w:val="100"/>
          <w:position w:val="0"/>
        </w:rPr>
        <w:t>七）其他对持续经营有重大影响的事项</w:t>
      </w:r>
    </w:p>
    <w:p>
      <w:pPr>
        <w:pStyle w:val="Style16"/>
        <w:keepNext w:val="0"/>
        <w:keepLines w:val="0"/>
        <w:widowControl w:val="0"/>
        <w:shd w:val="clear" w:color="auto" w:fill="auto"/>
        <w:bidi w:val="0"/>
        <w:spacing w:before="0" w:after="380" w:line="312" w:lineRule="exact"/>
        <w:ind w:left="0" w:right="0" w:firstLine="220"/>
        <w:jc w:val="left"/>
      </w:pPr>
      <w:r>
        <w:rPr>
          <w:color w:val="000000"/>
          <w:spacing w:val="0"/>
          <w:w w:val="100"/>
          <w:position w:val="0"/>
        </w:rPr>
        <w:t>公司合法拥有完整且独立的主要资产，自主研发且具备完整知识产权的核心技术及原始取得的商标等，不存在重大权属 纠纷。公司不存在重大偿债风险，不存在重大对外担保事项，不存在核心资产涉及侵权被索赔的诉讼、仲裁等或有事项，不 存在经营环境已经或将要发生的重大变化等对持续经营有重大影响的事项。公司具有独立完整的业务、人员、资产、机构和 财务体系，具有面向市场独立经营的能力。</w:t>
      </w:r>
    </w:p>
    <w:p>
      <w:pPr>
        <w:pStyle w:val="Style21"/>
        <w:keepNext/>
        <w:keepLines/>
        <w:widowControl w:val="0"/>
        <w:shd w:val="clear" w:color="auto" w:fill="auto"/>
        <w:bidi w:val="0"/>
        <w:spacing w:before="0" w:after="38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三</w:t>
      </w:r>
      <w:bookmarkEnd w:id="293"/>
      <w:r>
        <w:rPr>
          <w:color w:val="000000"/>
          <w:spacing w:val="0"/>
          <w:w w:val="100"/>
          <w:position w:val="0"/>
        </w:rPr>
        <w:t>、同业竞争情况</w:t>
      </w:r>
      <w:bookmarkEnd w:id="291"/>
      <w:bookmarkEnd w:id="292"/>
      <w:bookmarkEnd w:id="294"/>
    </w:p>
    <w:p>
      <w:pPr>
        <w:pStyle w:val="Style1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四</w:t>
      </w:r>
      <w:bookmarkEnd w:id="297"/>
      <w:r>
        <w:rPr>
          <w:color w:val="000000"/>
          <w:spacing w:val="0"/>
          <w:w w:val="100"/>
          <w:position w:val="0"/>
        </w:rPr>
        <w:t>、报告期内召开的年度股东大会和临时股东大会的有关情况</w:t>
      </w:r>
      <w:bookmarkEnd w:id="295"/>
      <w:bookmarkEnd w:id="296"/>
      <w:bookmarkEnd w:id="298"/>
    </w:p>
    <w:p>
      <w:pPr>
        <w:pStyle w:val="Style27"/>
        <w:keepNext/>
        <w:keepLines/>
        <w:widowControl w:val="0"/>
        <w:shd w:val="clear" w:color="auto" w:fill="auto"/>
        <w:bidi w:val="0"/>
        <w:spacing w:before="0" w:after="32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1</w:t>
      </w:r>
      <w:bookmarkEnd w:id="301"/>
      <w:r>
        <w:rPr>
          <w:color w:val="000000"/>
          <w:spacing w:val="0"/>
          <w:w w:val="100"/>
          <w:position w:val="0"/>
        </w:rPr>
        <w:t>、本报告期股东大会情况</w:t>
      </w:r>
      <w:bookmarkEnd w:id="299"/>
      <w:bookmarkEnd w:id="300"/>
      <w:bookmarkEnd w:id="302"/>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58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详见公司在巨潮资 讯网</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）披露的公 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年第一次 临时股东大会决议 公告》（公告编号： </w:t>
            </w:r>
            <w:r>
              <w:rPr>
                <w:rFonts w:ascii="Times New Roman" w:eastAsia="Times New Roman" w:hAnsi="Times New Roman" w:cs="Times New Roman"/>
                <w:color w:val="000000"/>
                <w:spacing w:val="0"/>
                <w:w w:val="100"/>
                <w:position w:val="0"/>
                <w:sz w:val="18"/>
                <w:szCs w:val="18"/>
              </w:rPr>
              <w:t>2021-012</w:t>
            </w:r>
            <w:r>
              <w:rPr>
                <w:color w:val="000000"/>
                <w:spacing w:val="0"/>
                <w:w w:val="100"/>
                <w:position w:val="0"/>
              </w:rPr>
              <w:t>）</w:t>
            </w:r>
          </w:p>
        </w:tc>
      </w:tr>
      <w:tr>
        <w:trPr>
          <w:trHeight w:val="258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详见公司在巨潮资 讯网</w:t>
            </w:r>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http://www.cninfo</w:t>
            </w:r>
            <w:r>
              <w:fldChar w:fldCharType="end"/>
            </w:r>
            <w:r>
              <w:rPr>
                <w:rFonts w:ascii="Times New Roman" w:eastAsia="Times New Roman" w:hAnsi="Times New Roman" w:cs="Times New Roman"/>
                <w:color w:val="000000"/>
                <w:spacing w:val="0"/>
                <w:w w:val="100"/>
                <w:position w:val="0"/>
                <w:sz w:val="18"/>
                <w:szCs w:val="18"/>
              </w:rPr>
              <w:t xml:space="preserve"> .com.cn</w:t>
            </w:r>
            <w:r>
              <w:rPr>
                <w:color w:val="000000"/>
                <w:spacing w:val="0"/>
                <w:w w:val="100"/>
                <w:position w:val="0"/>
              </w:rPr>
              <w:t>）披露的公 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 东大会决议公告》</w:t>
            </w:r>
          </w:p>
          <w:p>
            <w:pPr>
              <w:pStyle w:val="Style18"/>
              <w:keepNext w:val="0"/>
              <w:keepLines w:val="0"/>
              <w:widowControl w:val="0"/>
              <w:shd w:val="clear" w:color="auto" w:fill="auto"/>
              <w:bidi w:val="0"/>
              <w:spacing w:before="0" w:after="100" w:line="316" w:lineRule="exact"/>
              <w:ind w:left="0" w:right="0" w:firstLine="0"/>
              <w:jc w:val="left"/>
            </w:pPr>
            <w:r>
              <w:rPr>
                <w:color w:val="000000"/>
                <w:spacing w:val="0"/>
                <w:w w:val="100"/>
                <w:position w:val="0"/>
              </w:rPr>
              <w:t>（公告编号：</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2021-035</w:t>
            </w:r>
            <w:r>
              <w:rPr>
                <w:color w:val="000000"/>
                <w:spacing w:val="0"/>
                <w:w w:val="100"/>
                <w:position w:val="0"/>
              </w:rPr>
              <w:t>）</w:t>
            </w:r>
          </w:p>
        </w:tc>
      </w:tr>
      <w:tr>
        <w:trPr>
          <w:trHeight w:val="259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详见公司在巨潮资 讯网</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）披露的公 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年第二次 临时股东大会决议 公告》（公告编号： </w:t>
            </w:r>
            <w:r>
              <w:rPr>
                <w:rFonts w:ascii="Times New Roman" w:eastAsia="Times New Roman" w:hAnsi="Times New Roman" w:cs="Times New Roman"/>
                <w:color w:val="000000"/>
                <w:spacing w:val="0"/>
                <w:w w:val="100"/>
                <w:position w:val="0"/>
                <w:sz w:val="18"/>
                <w:szCs w:val="18"/>
              </w:rPr>
              <w:t>2021-059</w:t>
            </w:r>
            <w:r>
              <w:rPr>
                <w:color w:val="000000"/>
                <w:spacing w:val="0"/>
                <w:w w:val="100"/>
                <w:position w:val="0"/>
              </w:rPr>
              <w:t>）</w:t>
            </w:r>
          </w:p>
        </w:tc>
      </w:tr>
    </w:tbl>
    <w:p>
      <w:pPr>
        <w:pStyle w:val="Style27"/>
        <w:keepNext/>
        <w:keepLines/>
        <w:widowControl w:val="0"/>
        <w:shd w:val="clear" w:color="auto" w:fill="auto"/>
        <w:bidi w:val="0"/>
        <w:spacing w:before="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2</w:t>
      </w:r>
      <w:bookmarkEnd w:id="305"/>
      <w:r>
        <w:rPr>
          <w:color w:val="000000"/>
          <w:spacing w:val="0"/>
          <w:w w:val="100"/>
          <w:position w:val="0"/>
        </w:rPr>
        <w:t>、表决权恢复的优先股股东请求召开临时股东大会</w:t>
      </w:r>
      <w:bookmarkEnd w:id="303"/>
      <w:bookmarkEnd w:id="304"/>
      <w:bookmarkEnd w:id="306"/>
    </w:p>
    <w:p>
      <w:pPr>
        <w:pStyle w:val="Style1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五</w:t>
      </w:r>
      <w:bookmarkEnd w:id="309"/>
      <w:r>
        <w:rPr>
          <w:color w:val="000000"/>
          <w:spacing w:val="0"/>
          <w:w w:val="100"/>
          <w:position w:val="0"/>
        </w:rPr>
        <w:t>、</w:t>
        <w:tab/>
        <w:t>公司具有表决权差异安排</w:t>
      </w:r>
      <w:bookmarkEnd w:id="307"/>
      <w:bookmarkEnd w:id="308"/>
      <w:bookmarkEnd w:id="310"/>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8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六</w:t>
      </w:r>
      <w:bookmarkEnd w:id="313"/>
      <w:r>
        <w:rPr>
          <w:color w:val="000000"/>
          <w:spacing w:val="0"/>
          <w:w w:val="100"/>
          <w:position w:val="0"/>
        </w:rPr>
        <w:t>、</w:t>
        <w:tab/>
        <w:t>红筹架构公司治理情况</w:t>
      </w:r>
      <w:bookmarkEnd w:id="311"/>
      <w:bookmarkEnd w:id="312"/>
      <w:bookmarkEnd w:id="314"/>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8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七</w:t>
      </w:r>
      <w:bookmarkEnd w:id="317"/>
      <w:r>
        <w:rPr>
          <w:color w:val="000000"/>
          <w:spacing w:val="0"/>
          <w:w w:val="100"/>
          <w:position w:val="0"/>
        </w:rPr>
        <w:t>、</w:t>
        <w:tab/>
        <w:t>董事、监事和高级管理人员情况</w:t>
      </w:r>
      <w:bookmarkEnd w:id="315"/>
      <w:bookmarkEnd w:id="316"/>
      <w:bookmarkEnd w:id="318"/>
    </w:p>
    <w:p>
      <w:pPr>
        <w:pStyle w:val="Style27"/>
        <w:keepNext/>
        <w:keepLines/>
        <w:widowControl w:val="0"/>
        <w:shd w:val="clear" w:color="auto" w:fill="auto"/>
        <w:bidi w:val="0"/>
        <w:spacing w:before="0" w:after="32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1</w:t>
      </w:r>
      <w:bookmarkEnd w:id="321"/>
      <w:r>
        <w:rPr>
          <w:color w:val="000000"/>
          <w:spacing w:val="0"/>
          <w:w w:val="100"/>
          <w:position w:val="0"/>
        </w:rPr>
        <w:t>、基本情况</w:t>
      </w:r>
      <w:bookmarkEnd w:id="319"/>
      <w:bookmarkEnd w:id="320"/>
      <w:bookmarkEnd w:id="322"/>
    </w:p>
    <w:tbl>
      <w:tblPr>
        <w:tblOverlap w:val="never"/>
        <w:jc w:val="center"/>
        <w:tblLayout w:type="fixed"/>
      </w:tblPr>
      <w:tblGrid>
        <w:gridCol w:w="739"/>
        <w:gridCol w:w="739"/>
        <w:gridCol w:w="734"/>
        <w:gridCol w:w="490"/>
        <w:gridCol w:w="566"/>
        <w:gridCol w:w="994"/>
        <w:gridCol w:w="989"/>
        <w:gridCol w:w="643"/>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任期终止日</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欧阳建 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 兼总经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48,947,6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郑锡云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宋晓峰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董事兼 副总经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师海峰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董事兼 副总经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王珠林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杜江龙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马志斌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490"/>
        <w:gridCol w:w="566"/>
        <w:gridCol w:w="994"/>
        <w:gridCol w:w="989"/>
        <w:gridCol w:w="643"/>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任期终止日</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股份增 减变动 的原因</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甘泉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林敏玲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李亚宁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周传文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秘书兼</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瞌</w:t>
            </w:r>
          </w:p>
          <w:p>
            <w:pPr>
              <w:pStyle w:val="Style18"/>
              <w:keepNext w:val="0"/>
              <w:keepLines w:val="0"/>
              <w:widowControl w:val="0"/>
              <w:shd w:val="clear" w:color="auto" w:fill="auto"/>
              <w:bidi w:val="0"/>
              <w:spacing w:before="0" w:after="100" w:line="18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n~n.</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48,947,6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注：公司第二届董事会和监事会任期于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日届满，截至本报告批准报出日止，公司第三届董事会候选人、 监事会候选人的提名工作尚未完成。为确保董事会、监事会工作的连续性及稳定性，公司董事会、监事会将延期换届，公司 董事会各专门委员会和公司高级管理人员的任期亦相应顺延。</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报告期是否存在任期内董事、监事离任和高级管理人员解聘的情况</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公司董事、监事、高级管理人员变动情况</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郑锡云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公司副总经理郑锡云先生因个人原因辞任副总经理职 务，辞职后将在公司担任资深顾问的职务，并向公司 总经理欧阳建平先生汇报。</w:t>
            </w:r>
          </w:p>
        </w:tc>
      </w:tr>
    </w:tbl>
    <w:p>
      <w:pPr>
        <w:pStyle w:val="Style27"/>
        <w:keepNext/>
        <w:keepLines/>
        <w:widowControl w:val="0"/>
        <w:shd w:val="clear" w:color="auto" w:fill="auto"/>
        <w:bidi w:val="0"/>
        <w:spacing w:before="0" w:after="280" w:line="240" w:lineRule="auto"/>
        <w:ind w:left="0" w:right="0" w:firstLine="0"/>
        <w:jc w:val="both"/>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2</w:t>
      </w:r>
      <w:bookmarkEnd w:id="325"/>
      <w:r>
        <w:rPr>
          <w:color w:val="000000"/>
          <w:spacing w:val="0"/>
          <w:w w:val="100"/>
          <w:position w:val="0"/>
        </w:rPr>
        <w:t>、任职情况</w:t>
      </w:r>
      <w:bookmarkEnd w:id="323"/>
      <w:bookmarkEnd w:id="324"/>
      <w:bookmarkEnd w:id="326"/>
    </w:p>
    <w:p>
      <w:pPr>
        <w:pStyle w:val="Style1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6"/>
        <w:keepNext w:val="0"/>
        <w:keepLines w:val="0"/>
        <w:widowControl w:val="0"/>
        <w:shd w:val="clear" w:color="auto" w:fill="auto"/>
        <w:bidi w:val="0"/>
        <w:spacing w:before="0" w:after="0" w:line="314" w:lineRule="exact"/>
        <w:ind w:left="0" w:right="0"/>
        <w:jc w:val="both"/>
      </w:pPr>
      <w:bookmarkStart w:id="327" w:name="bookmark327"/>
      <w:r>
        <w:rPr>
          <w:rFonts w:ascii="Times New Roman" w:eastAsia="Times New Roman" w:hAnsi="Times New Roman" w:cs="Times New Roman"/>
          <w:color w:val="000000"/>
          <w:spacing w:val="0"/>
          <w:w w:val="100"/>
          <w:position w:val="0"/>
          <w:sz w:val="18"/>
          <w:szCs w:val="18"/>
        </w:rPr>
        <w:t>1</w:t>
      </w:r>
      <w:bookmarkEnd w:id="327"/>
      <w:r>
        <w:rPr>
          <w:color w:val="000000"/>
          <w:spacing w:val="0"/>
          <w:w w:val="100"/>
          <w:position w:val="0"/>
        </w:rPr>
        <w:t>、 公司董事会共有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名，公司董事由股东大会选举或更换，任期三年，董事任期届满，可连选 连任。公司现任董事简历如下：</w:t>
      </w:r>
    </w:p>
    <w:p>
      <w:pPr>
        <w:pStyle w:val="Style16"/>
        <w:keepNext w:val="0"/>
        <w:keepLines w:val="0"/>
        <w:widowControl w:val="0"/>
        <w:shd w:val="clear" w:color="auto" w:fill="auto"/>
        <w:tabs>
          <w:tab w:pos="841" w:val="left"/>
        </w:tabs>
        <w:bidi w:val="0"/>
        <w:spacing w:before="0" w:after="0" w:line="314" w:lineRule="exact"/>
        <w:ind w:left="0" w:right="0"/>
        <w:jc w:val="both"/>
      </w:pPr>
      <w:bookmarkStart w:id="328" w:name="bookmark328"/>
      <w:r>
        <w:rPr>
          <w:color w:val="000000"/>
          <w:spacing w:val="0"/>
          <w:w w:val="100"/>
          <w:position w:val="0"/>
        </w:rPr>
        <w:t>（</w:t>
      </w:r>
      <w:bookmarkEnd w:id="32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欧阳建平先生，男，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年生，中国国籍，无境外居留权。</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月毕业于哈尔滨工业大学计算机系，硕士学位。 </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月，就职于航天部二院</w:t>
      </w:r>
      <w:r>
        <w:rPr>
          <w:rFonts w:ascii="Times New Roman" w:eastAsia="Times New Roman" w:hAnsi="Times New Roman" w:cs="Times New Roman"/>
          <w:color w:val="000000"/>
          <w:spacing w:val="0"/>
          <w:w w:val="100"/>
          <w:position w:val="0"/>
          <w:sz w:val="18"/>
          <w:szCs w:val="18"/>
        </w:rPr>
        <w:t>706</w:t>
      </w:r>
      <w:r>
        <w:rPr>
          <w:color w:val="000000"/>
          <w:spacing w:val="0"/>
          <w:w w:val="100"/>
          <w:position w:val="0"/>
        </w:rPr>
        <w:t>研究所，任工程师；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月，就职于</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，任</w:t>
      </w:r>
      <w:r>
        <w:rPr>
          <w:rFonts w:ascii="Times New Roman" w:eastAsia="Times New Roman" w:hAnsi="Times New Roman" w:cs="Times New Roman"/>
          <w:color w:val="000000"/>
          <w:spacing w:val="0"/>
          <w:w w:val="100"/>
          <w:position w:val="0"/>
          <w:sz w:val="18"/>
          <w:szCs w:val="18"/>
        </w:rPr>
        <w:t>Lotu s</w:t>
      </w:r>
      <w:r>
        <w:rPr>
          <w:color w:val="000000"/>
          <w:spacing w:val="0"/>
          <w:w w:val="100"/>
          <w:position w:val="0"/>
        </w:rPr>
        <w:t>部门高 级工程师；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年，就职于博瑞琪集团，任网络事业部总经理；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年，就职于北京义驰美迪技术有限公司，任事 业部总经理；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年至今，任公司董事、总经理，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年至今，兼任公司董事长。</w:t>
      </w:r>
    </w:p>
    <w:p>
      <w:pPr>
        <w:pStyle w:val="Style16"/>
        <w:keepNext w:val="0"/>
        <w:keepLines w:val="0"/>
        <w:widowControl w:val="0"/>
        <w:shd w:val="clear" w:color="auto" w:fill="auto"/>
        <w:tabs>
          <w:tab w:pos="850" w:val="left"/>
        </w:tabs>
        <w:bidi w:val="0"/>
        <w:spacing w:before="0" w:after="0" w:line="314" w:lineRule="exact"/>
        <w:ind w:left="0" w:right="0"/>
        <w:jc w:val="both"/>
      </w:pPr>
      <w:bookmarkStart w:id="329" w:name="bookmark329"/>
      <w:r>
        <w:rPr>
          <w:color w:val="000000"/>
          <w:spacing w:val="0"/>
          <w:w w:val="100"/>
          <w:position w:val="0"/>
        </w:rPr>
        <w:t>（</w:t>
      </w:r>
      <w:bookmarkEnd w:id="32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师海峰先生，男，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年生，中国国籍，无境外居留权，新加坡国立大学工程专业，硕士学位。</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 就职于哈尔滨工业大学</w:t>
      </w:r>
      <w:r>
        <w:rPr>
          <w:rFonts w:ascii="Times New Roman" w:eastAsia="Times New Roman" w:hAnsi="Times New Roman" w:cs="Times New Roman"/>
          <w:color w:val="000000"/>
          <w:spacing w:val="0"/>
          <w:w w:val="100"/>
          <w:position w:val="0"/>
          <w:sz w:val="18"/>
          <w:szCs w:val="18"/>
        </w:rPr>
        <w:t>321</w:t>
      </w:r>
      <w:r>
        <w:rPr>
          <w:color w:val="000000"/>
          <w:spacing w:val="0"/>
          <w:w w:val="100"/>
          <w:position w:val="0"/>
        </w:rPr>
        <w:t>教研室任助理研究员；</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年，就职于新加坡</w:t>
      </w:r>
      <w:r>
        <w:rPr>
          <w:rFonts w:ascii="Times New Roman" w:eastAsia="Times New Roman" w:hAnsi="Times New Roman" w:cs="Times New Roman"/>
          <w:color w:val="000000"/>
          <w:spacing w:val="0"/>
          <w:w w:val="100"/>
          <w:position w:val="0"/>
          <w:sz w:val="18"/>
          <w:szCs w:val="18"/>
        </w:rPr>
        <w:t>Sybase</w:t>
      </w:r>
      <w:r>
        <w:rPr>
          <w:color w:val="000000"/>
          <w:spacing w:val="0"/>
          <w:w w:val="100"/>
          <w:position w:val="0"/>
        </w:rPr>
        <w:t xml:space="preserve">亚洲开发中心，任高级软件工程师； </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年，就职于武汉华工紫龙科技股份有限公司，任总工程师；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月至今，任公司副总经理，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 兼任公司董事。</w:t>
      </w:r>
    </w:p>
    <w:p>
      <w:pPr>
        <w:pStyle w:val="Style16"/>
        <w:keepNext w:val="0"/>
        <w:keepLines w:val="0"/>
        <w:widowControl w:val="0"/>
        <w:shd w:val="clear" w:color="auto" w:fill="auto"/>
        <w:bidi w:val="0"/>
        <w:spacing w:before="0" w:after="0" w:line="314" w:lineRule="exact"/>
        <w:ind w:left="0" w:right="0"/>
        <w:jc w:val="both"/>
      </w:pPr>
      <w:bookmarkStart w:id="330" w:name="bookmark330"/>
      <w:r>
        <w:rPr>
          <w:color w:val="000000"/>
          <w:spacing w:val="0"/>
          <w:w w:val="100"/>
          <w:position w:val="0"/>
        </w:rPr>
        <w:t>（</w:t>
      </w:r>
      <w:bookmarkEnd w:id="330"/>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宋晓峰先生，男，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年生，中国国籍，无境外居留权，中国科学技术大学计算机专业，获专科学历。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年，就职于福建新大陆电脑股份有限公司，任经理；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年，任天阳有限经理；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年任厦门赞扬总 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年至今，任公司副总经理，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年至今，兼任公司董事。</w:t>
      </w:r>
    </w:p>
    <w:p>
      <w:pPr>
        <w:pStyle w:val="Style16"/>
        <w:keepNext w:val="0"/>
        <w:keepLines w:val="0"/>
        <w:widowControl w:val="0"/>
        <w:shd w:val="clear" w:color="auto" w:fill="auto"/>
        <w:tabs>
          <w:tab w:pos="841" w:val="left"/>
        </w:tabs>
        <w:bidi w:val="0"/>
        <w:spacing w:before="0" w:after="0" w:line="314" w:lineRule="exact"/>
        <w:ind w:left="0" w:right="0"/>
        <w:jc w:val="both"/>
      </w:pPr>
      <w:bookmarkStart w:id="331" w:name="bookmark331"/>
      <w:r>
        <w:rPr>
          <w:color w:val="000000"/>
          <w:spacing w:val="0"/>
          <w:w w:val="100"/>
          <w:position w:val="0"/>
        </w:rPr>
        <w:t>（</w:t>
      </w:r>
      <w:bookmarkEnd w:id="33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凌云先生，男，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年生，中国国籍，无境外居留权，北京钢铁学院分院机电专业，本科学历，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月参加首都经济贸易大学产业经济学（工商管理）专业研究生课程班学习，按教学计划完成全部学业，达到硕士研究生 毕业同等学力。</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年在中国财务公司协会中财联投资咨询公司担任总经理，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年在北京鼎新联合投资 管理有限公司担任副总裁，并同时在北京国元投资顾问有限公司担任总经理，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年至今在北京晟骐投资管理有限责任公司 担任执行董事、经理和风控总监；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年至今，任公司董事。</w:t>
      </w:r>
    </w:p>
    <w:p>
      <w:pPr>
        <w:pStyle w:val="Style16"/>
        <w:keepNext w:val="0"/>
        <w:keepLines w:val="0"/>
        <w:widowControl w:val="0"/>
        <w:shd w:val="clear" w:color="auto" w:fill="auto"/>
        <w:bidi w:val="0"/>
        <w:spacing w:before="0" w:after="0" w:line="314" w:lineRule="exact"/>
        <w:ind w:left="0" w:right="0"/>
        <w:jc w:val="both"/>
      </w:pPr>
      <w:bookmarkStart w:id="332" w:name="bookmark332"/>
      <w:r>
        <w:rPr>
          <w:color w:val="000000"/>
          <w:spacing w:val="0"/>
          <w:w w:val="100"/>
          <w:position w:val="0"/>
        </w:rPr>
        <w:t>（</w:t>
      </w:r>
      <w:bookmarkEnd w:id="332"/>
      <w:r>
        <w:rPr>
          <w:rFonts w:ascii="Times New Roman" w:eastAsia="Times New Roman" w:hAnsi="Times New Roman" w:cs="Times New Roman"/>
          <w:color w:val="000000"/>
          <w:spacing w:val="0"/>
          <w:w w:val="100"/>
          <w:position w:val="0"/>
          <w:sz w:val="18"/>
          <w:szCs w:val="18"/>
        </w:rPr>
        <w:t>5</w:t>
      </w:r>
      <w:r>
        <w:rPr>
          <w:color w:val="000000"/>
          <w:spacing w:val="0"/>
          <w:w w:val="100"/>
          <w:position w:val="0"/>
        </w:rPr>
        <w:t>） 杜江龙先生，男，</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年生，中国国籍，无境外居留权，财政部财政科学研究所经济学硕士，英国曼彻斯特大学 经济学专业硕士。</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年，先后任职于财政部商贸金融司、国债金融司、金融司，历任金融一处副处长、金融司司 秘书（正处长级）、金融一处处长、金融司副司长级干部，期间曾兼任中国进出口银行、中国农业发展银行监事；</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年，任交通银行股份有限公司董事会秘书；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年至今，任公司独立董事。</w:t>
      </w:r>
    </w:p>
    <w:p>
      <w:pPr>
        <w:pStyle w:val="Style16"/>
        <w:keepNext w:val="0"/>
        <w:keepLines w:val="0"/>
        <w:widowControl w:val="0"/>
        <w:shd w:val="clear" w:color="auto" w:fill="auto"/>
        <w:tabs>
          <w:tab w:pos="841" w:val="left"/>
        </w:tabs>
        <w:bidi w:val="0"/>
        <w:spacing w:before="0" w:after="0" w:line="314" w:lineRule="exact"/>
        <w:ind w:left="0" w:right="0"/>
        <w:jc w:val="both"/>
      </w:pPr>
      <w:bookmarkStart w:id="333" w:name="bookmark333"/>
      <w:r>
        <w:rPr>
          <w:color w:val="000000"/>
          <w:spacing w:val="0"/>
          <w:w w:val="100"/>
          <w:position w:val="0"/>
        </w:rPr>
        <w:t>（</w:t>
      </w:r>
      <w:bookmarkEnd w:id="33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王珠林先生，男，</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年生，中国国籍，无境外居留权，西安交通大学应用经济学专业，博士学历。</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1992 </w:t>
      </w:r>
      <w:r>
        <w:rPr>
          <w:color w:val="000000"/>
          <w:spacing w:val="0"/>
          <w:w w:val="100"/>
          <w:position w:val="0"/>
        </w:rPr>
        <w:t>年，任甘肃省职工财经学院讲师；</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年，任甘肃省证券公司发行部经理、投资银行部经理；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年任蓝 星清洗股份有限公司董事、副总经理、董秘；</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年，任西南证券有限责任公司副总裁；</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年，任中国 银河证券股份有限公司副总裁，中国证监会第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届和第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届并购重组委员会委员；</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年，任西南证券股份有限公司 董事、总裁，中国证监会第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届并购重组委员会委员，中国证监会第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届和第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届发行审核委员会委员；</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年至今，任银华 基金管理股份有限公司董事长；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年至今，任公司独立董事。</w:t>
      </w:r>
    </w:p>
    <w:p>
      <w:pPr>
        <w:pStyle w:val="Style16"/>
        <w:keepNext w:val="0"/>
        <w:keepLines w:val="0"/>
        <w:widowControl w:val="0"/>
        <w:shd w:val="clear" w:color="auto" w:fill="auto"/>
        <w:bidi w:val="0"/>
        <w:spacing w:before="0" w:after="0" w:line="314" w:lineRule="exact"/>
        <w:ind w:left="0" w:right="0"/>
        <w:jc w:val="both"/>
      </w:pPr>
      <w:bookmarkStart w:id="334" w:name="bookmark334"/>
      <w:r>
        <w:rPr>
          <w:color w:val="000000"/>
          <w:spacing w:val="0"/>
          <w:w w:val="100"/>
          <w:position w:val="0"/>
        </w:rPr>
        <w:t>（</w:t>
      </w:r>
      <w:bookmarkEnd w:id="334"/>
      <w:r>
        <w:rPr>
          <w:rFonts w:ascii="Times New Roman" w:eastAsia="Times New Roman" w:hAnsi="Times New Roman" w:cs="Times New Roman"/>
          <w:color w:val="000000"/>
          <w:spacing w:val="0"/>
          <w:w w:val="100"/>
          <w:position w:val="0"/>
          <w:sz w:val="18"/>
          <w:szCs w:val="18"/>
        </w:rPr>
        <w:t>7</w:t>
      </w:r>
      <w:r>
        <w:rPr>
          <w:color w:val="000000"/>
          <w:spacing w:val="0"/>
          <w:w w:val="100"/>
          <w:position w:val="0"/>
        </w:rPr>
        <w:t>） 杨晓明先生男，中国国籍，无境外居留权，</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月出生，北方交通大学物资流通工程硕士、香港科技大学金融 分析专业硕士，中国注册会计师。</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年，任中国联合网络通信集团有限公司、中国联合网络通信（香港）股份有 限公司财务部经理：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年，任华为技术投资（香港）有限公司资金管理部高级经理；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w:t>
      </w:r>
      <w:r>
        <w:rPr>
          <w:rFonts w:ascii="Times New Roman" w:eastAsia="Times New Roman" w:hAnsi="Times New Roman" w:cs="Times New Roman"/>
          <w:color w:val="000000"/>
          <w:spacing w:val="0"/>
          <w:w w:val="100"/>
          <w:position w:val="0"/>
          <w:sz w:val="18"/>
          <w:szCs w:val="18"/>
        </w:rPr>
        <w:t>RSM Nelson Wheeler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HongKong）CPAs</w:t>
      </w:r>
      <w:r>
        <w:rPr>
          <w:color w:val="000000"/>
          <w:spacing w:val="0"/>
          <w:w w:val="100"/>
          <w:position w:val="0"/>
        </w:rPr>
        <w:t>总监：</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年，任天健光华（北京）会计师事务所有限公司合伙人；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 今，任信永中和会计师事务所（特殊普通合伙）合伙人；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年至今，任公司独立董事。</w:t>
      </w:r>
    </w:p>
    <w:p>
      <w:pPr>
        <w:pStyle w:val="Style16"/>
        <w:keepNext w:val="0"/>
        <w:keepLines w:val="0"/>
        <w:widowControl w:val="0"/>
        <w:shd w:val="clear" w:color="auto" w:fill="auto"/>
        <w:tabs>
          <w:tab w:pos="644" w:val="left"/>
        </w:tabs>
        <w:bidi w:val="0"/>
        <w:spacing w:before="0" w:after="0" w:line="314" w:lineRule="exact"/>
        <w:ind w:left="0" w:right="0"/>
        <w:jc w:val="both"/>
      </w:pPr>
      <w:bookmarkStart w:id="335" w:name="bookmark335"/>
      <w:r>
        <w:rPr>
          <w:rFonts w:ascii="Times New Roman" w:eastAsia="Times New Roman" w:hAnsi="Times New Roman" w:cs="Times New Roman"/>
          <w:color w:val="000000"/>
          <w:spacing w:val="0"/>
          <w:w w:val="100"/>
          <w:position w:val="0"/>
          <w:sz w:val="18"/>
          <w:szCs w:val="18"/>
        </w:rPr>
        <w:t>2</w:t>
      </w:r>
      <w:bookmarkEnd w:id="335"/>
      <w:r>
        <w:rPr>
          <w:color w:val="000000"/>
          <w:spacing w:val="0"/>
          <w:w w:val="100"/>
          <w:position w:val="0"/>
        </w:rPr>
        <w:t>、</w:t>
        <w:tab/>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名监事组成，其中马志斌为职工代表选举的监事，公司监事每届任期三年，监事任期届满，连选可以 连任。公司现任监事简历如下：</w:t>
      </w:r>
    </w:p>
    <w:p>
      <w:pPr>
        <w:pStyle w:val="Style16"/>
        <w:keepNext w:val="0"/>
        <w:keepLines w:val="0"/>
        <w:widowControl w:val="0"/>
        <w:shd w:val="clear" w:color="auto" w:fill="auto"/>
        <w:bidi w:val="0"/>
        <w:spacing w:before="0" w:after="0" w:line="314" w:lineRule="exact"/>
        <w:ind w:left="0" w:right="0"/>
        <w:jc w:val="both"/>
      </w:pPr>
      <w:bookmarkStart w:id="336" w:name="bookmark336"/>
      <w:r>
        <w:rPr>
          <w:color w:val="000000"/>
          <w:spacing w:val="0"/>
          <w:w w:val="100"/>
          <w:position w:val="0"/>
        </w:rPr>
        <w:t>（</w:t>
      </w:r>
      <w:bookmarkEnd w:id="3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）马志斌先生，男，</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年生，中国国籍，无境外居留权，北京邮电学院分院计算机（软件）专业，本科学历。</w:t>
      </w:r>
      <w:r>
        <w:rPr>
          <w:rFonts w:ascii="Times New Roman" w:eastAsia="Times New Roman" w:hAnsi="Times New Roman" w:cs="Times New Roman"/>
          <w:color w:val="000000"/>
          <w:spacing w:val="0"/>
          <w:w w:val="100"/>
          <w:position w:val="0"/>
          <w:sz w:val="18"/>
          <w:szCs w:val="18"/>
        </w:rPr>
        <w:t xml:space="preserve">1983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年，就职于航天部计算中心，任系统运营主管；</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年，就职于美国优利系统（中国）服务有限公司，任 客户总监；</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年，就职于信天集团（中国）有限公司，任金融事业部总经理；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年，就职于北京信天 捷文科技有限公司，任总经理；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年，就职于北京中投科信电子商务有限责任公司，任</w:t>
      </w:r>
      <w:r>
        <w:rPr>
          <w:rFonts w:ascii="Times New Roman" w:eastAsia="Times New Roman" w:hAnsi="Times New Roman" w:cs="Times New Roman"/>
          <w:color w:val="000000"/>
          <w:spacing w:val="0"/>
          <w:w w:val="100"/>
          <w:position w:val="0"/>
          <w:sz w:val="18"/>
          <w:szCs w:val="18"/>
        </w:rPr>
        <w:t>BPO</w:t>
      </w:r>
      <w:r>
        <w:rPr>
          <w:color w:val="000000"/>
          <w:spacing w:val="0"/>
          <w:w w:val="100"/>
          <w:position w:val="0"/>
        </w:rPr>
        <w:t>事业部总经理；</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年，就职于北京柯莱特科技有限公司，任产品总监；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年至今，任公司运营管理部经理，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年至今，兼任公司 </w:t>
      </w:r>
      <w:r>
        <w:rPr>
          <w:color w:val="000000"/>
          <w:spacing w:val="0"/>
          <w:w w:val="100"/>
          <w:position w:val="0"/>
        </w:rPr>
        <w:t>监事。</w:t>
      </w:r>
    </w:p>
    <w:p>
      <w:pPr>
        <w:pStyle w:val="Style16"/>
        <w:keepNext w:val="0"/>
        <w:keepLines w:val="0"/>
        <w:widowControl w:val="0"/>
        <w:shd w:val="clear" w:color="auto" w:fill="auto"/>
        <w:tabs>
          <w:tab w:pos="841" w:val="left"/>
        </w:tabs>
        <w:bidi w:val="0"/>
        <w:spacing w:before="0" w:after="0" w:line="313" w:lineRule="exact"/>
        <w:ind w:left="0" w:right="0"/>
        <w:jc w:val="both"/>
      </w:pPr>
      <w:bookmarkStart w:id="337" w:name="bookmark337"/>
      <w:r>
        <w:rPr>
          <w:color w:val="000000"/>
          <w:spacing w:val="0"/>
          <w:w w:val="100"/>
          <w:position w:val="0"/>
        </w:rPr>
        <w:t>（</w:t>
      </w:r>
      <w:bookmarkEnd w:id="3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甘泉先生，男，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年出生，中国国籍，无境外居留权，中国科学院软件研究所计算机软件与理论专业，硕士学 位。</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年，就职于中国软件与技术服务股份有限公司，任工程师；</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年，就职于上海中标软件有限公 司，任工程师；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年，就职于甲骨文软件研究开发中心（北京）有限公司，任经理；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年至今就职于公司，任 公司总监、监事。</w:t>
      </w:r>
    </w:p>
    <w:p>
      <w:pPr>
        <w:pStyle w:val="Style16"/>
        <w:keepNext w:val="0"/>
        <w:keepLines w:val="0"/>
        <w:widowControl w:val="0"/>
        <w:shd w:val="clear" w:color="auto" w:fill="auto"/>
        <w:bidi w:val="0"/>
        <w:spacing w:before="0" w:after="0" w:line="313" w:lineRule="exact"/>
        <w:ind w:left="0" w:right="0"/>
        <w:jc w:val="both"/>
      </w:pPr>
      <w:bookmarkStart w:id="338" w:name="bookmark338"/>
      <w:r>
        <w:rPr>
          <w:color w:val="000000"/>
          <w:spacing w:val="0"/>
          <w:w w:val="100"/>
          <w:position w:val="0"/>
        </w:rPr>
        <w:t>（</w:t>
      </w:r>
      <w:bookmarkEnd w:id="33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林敏玲女士，女，</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年出生，中国国籍，无境外居留权，中国人民大学国际经济与贸易专业，本科学历。</w:t>
      </w: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年，就职于衣王软件工作室，任开发工程师；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年，就职于福州捷奥软件有限公司，任测试工程师；</w:t>
      </w: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年，就职于厦门北汉科技有限公司，任测试经理；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年至今，就职于厦门赞扬，任副总经理；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年至今，任公 司监事。</w:t>
      </w:r>
    </w:p>
    <w:p>
      <w:pPr>
        <w:pStyle w:val="Style16"/>
        <w:keepNext w:val="0"/>
        <w:keepLines w:val="0"/>
        <w:widowControl w:val="0"/>
        <w:shd w:val="clear" w:color="auto" w:fill="auto"/>
        <w:bidi w:val="0"/>
        <w:spacing w:before="0" w:after="0" w:line="313" w:lineRule="exact"/>
        <w:ind w:left="0" w:right="0"/>
        <w:jc w:val="both"/>
      </w:pPr>
      <w:bookmarkStart w:id="339" w:name="bookmark339"/>
      <w:r>
        <w:rPr>
          <w:rFonts w:ascii="Times New Roman" w:eastAsia="Times New Roman" w:hAnsi="Times New Roman" w:cs="Times New Roman"/>
          <w:color w:val="000000"/>
          <w:spacing w:val="0"/>
          <w:w w:val="100"/>
          <w:position w:val="0"/>
          <w:sz w:val="18"/>
          <w:szCs w:val="18"/>
        </w:rPr>
        <w:t>3</w:t>
      </w:r>
      <w:bookmarkEnd w:id="339"/>
      <w:r>
        <w:rPr>
          <w:color w:val="000000"/>
          <w:spacing w:val="0"/>
          <w:w w:val="100"/>
          <w:position w:val="0"/>
        </w:rPr>
        <w:t>、公司高级管理人员为公司的总经理、副总经理、财务总监与董事会秘书，由董事会聘任或解聘，总经理、副总经理 每届任期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年，连聘可以连任，公司共有高级管理人员</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名。公司现任高级管理人员简历如下：</w:t>
      </w:r>
    </w:p>
    <w:p>
      <w:pPr>
        <w:pStyle w:val="Style16"/>
        <w:keepNext w:val="0"/>
        <w:keepLines w:val="0"/>
        <w:widowControl w:val="0"/>
        <w:shd w:val="clear" w:color="auto" w:fill="auto"/>
        <w:tabs>
          <w:tab w:pos="781" w:val="left"/>
        </w:tabs>
        <w:bidi w:val="0"/>
        <w:spacing w:before="0" w:after="0" w:line="313" w:lineRule="exact"/>
        <w:ind w:left="0" w:right="0"/>
        <w:jc w:val="both"/>
      </w:pPr>
      <w:bookmarkStart w:id="340" w:name="bookmark340"/>
      <w:r>
        <w:rPr>
          <w:color w:val="000000"/>
          <w:spacing w:val="0"/>
          <w:w w:val="100"/>
          <w:position w:val="0"/>
        </w:rPr>
        <w:t>（</w:t>
      </w:r>
      <w:bookmarkEnd w:id="34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欧阳建平先生，简历如上。</w:t>
      </w:r>
    </w:p>
    <w:p>
      <w:pPr>
        <w:pStyle w:val="Style16"/>
        <w:keepNext w:val="0"/>
        <w:keepLines w:val="0"/>
        <w:widowControl w:val="0"/>
        <w:shd w:val="clear" w:color="auto" w:fill="auto"/>
        <w:tabs>
          <w:tab w:pos="781" w:val="left"/>
        </w:tabs>
        <w:bidi w:val="0"/>
        <w:spacing w:before="0" w:after="0" w:line="313" w:lineRule="exact"/>
        <w:ind w:left="0" w:right="0"/>
        <w:jc w:val="both"/>
      </w:pPr>
      <w:bookmarkStart w:id="341" w:name="bookmark341"/>
      <w:r>
        <w:rPr>
          <w:color w:val="000000"/>
          <w:spacing w:val="0"/>
          <w:w w:val="100"/>
          <w:position w:val="0"/>
        </w:rPr>
        <w:t>（</w:t>
      </w:r>
      <w:bookmarkEnd w:id="3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宋晓峰先生，简历如上。</w:t>
      </w:r>
    </w:p>
    <w:p>
      <w:pPr>
        <w:pStyle w:val="Style16"/>
        <w:keepNext w:val="0"/>
        <w:keepLines w:val="0"/>
        <w:widowControl w:val="0"/>
        <w:shd w:val="clear" w:color="auto" w:fill="auto"/>
        <w:tabs>
          <w:tab w:pos="781" w:val="left"/>
        </w:tabs>
        <w:bidi w:val="0"/>
        <w:spacing w:before="0" w:after="0" w:line="313" w:lineRule="exact"/>
        <w:ind w:left="0" w:right="0"/>
        <w:jc w:val="both"/>
      </w:pPr>
      <w:bookmarkStart w:id="342" w:name="bookmark342"/>
      <w:r>
        <w:rPr>
          <w:color w:val="000000"/>
          <w:spacing w:val="0"/>
          <w:w w:val="100"/>
          <w:position w:val="0"/>
        </w:rPr>
        <w:t>（</w:t>
      </w:r>
      <w:bookmarkEnd w:id="34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师海峰先生，简历如上。</w:t>
      </w:r>
    </w:p>
    <w:p>
      <w:pPr>
        <w:pStyle w:val="Style16"/>
        <w:keepNext w:val="0"/>
        <w:keepLines w:val="0"/>
        <w:widowControl w:val="0"/>
        <w:shd w:val="clear" w:color="auto" w:fill="auto"/>
        <w:bidi w:val="0"/>
        <w:spacing w:before="0" w:after="0" w:line="313" w:lineRule="exact"/>
        <w:ind w:left="0" w:right="0"/>
        <w:jc w:val="both"/>
      </w:pPr>
      <w:bookmarkStart w:id="343" w:name="bookmark343"/>
      <w:r>
        <w:rPr>
          <w:color w:val="000000"/>
          <w:spacing w:val="0"/>
          <w:w w:val="100"/>
          <w:position w:val="0"/>
        </w:rPr>
        <w:t>（</w:t>
      </w:r>
      <w:bookmarkEnd w:id="343"/>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周传文先生，男，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年生，中国国籍，无境外居留权，哈尔滨工业大学精密仪器专业，本科学历。</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1996 </w:t>
      </w:r>
      <w:r>
        <w:rPr>
          <w:color w:val="000000"/>
          <w:spacing w:val="0"/>
          <w:w w:val="100"/>
          <w:position w:val="0"/>
        </w:rPr>
        <w:t>年，就职于福建省宁德市科技局，任科员；</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年，就职于中国联合网络通信有限公司厦门市分公司，任计算机中 心主任；</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年，就职于厦门市恒信网元通信技术有限公司，任总监；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年，就职于厦门闻达科技有限 公司，任副总经理；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年至今，历任公司销售总监、副总经理。</w:t>
      </w:r>
    </w:p>
    <w:p>
      <w:pPr>
        <w:pStyle w:val="Style16"/>
        <w:keepNext w:val="0"/>
        <w:keepLines w:val="0"/>
        <w:widowControl w:val="0"/>
        <w:shd w:val="clear" w:color="auto" w:fill="auto"/>
        <w:tabs>
          <w:tab w:pos="846" w:val="left"/>
        </w:tabs>
        <w:bidi w:val="0"/>
        <w:spacing w:before="0" w:after="0" w:line="313" w:lineRule="exact"/>
        <w:ind w:left="0" w:right="0"/>
        <w:jc w:val="both"/>
      </w:pPr>
      <w:bookmarkStart w:id="344" w:name="bookmark344"/>
      <w:r>
        <w:rPr>
          <w:color w:val="000000"/>
          <w:spacing w:val="0"/>
          <w:w w:val="100"/>
          <w:position w:val="0"/>
        </w:rPr>
        <w:t>（</w:t>
      </w:r>
      <w:bookmarkEnd w:id="34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李亚宁先生，男，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年生，中国国籍，无境外居留权，华北电力大学通信工程专业，本科学历。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年，就职于华北电力国际自动化控制有限公司，任工程师；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年，就职于中国普天信息产业北京通信规划设计院， 任工程师、市场主管；</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年，就职于北京华策视通网络技术有限公司，任市场总监、运营总监；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年，就职于北京蚂蚁互动网络技术有限公司，任销售总监；</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年至今，历任公司销售经理、销售总监、副总经理。</w:t>
      </w:r>
    </w:p>
    <w:p>
      <w:pPr>
        <w:pStyle w:val="Style16"/>
        <w:keepNext w:val="0"/>
        <w:keepLines w:val="0"/>
        <w:widowControl w:val="0"/>
        <w:shd w:val="clear" w:color="auto" w:fill="auto"/>
        <w:tabs>
          <w:tab w:pos="841" w:val="left"/>
        </w:tabs>
        <w:bidi w:val="0"/>
        <w:spacing w:before="0" w:after="0" w:line="313" w:lineRule="exact"/>
        <w:ind w:left="0" w:right="0"/>
        <w:jc w:val="both"/>
      </w:pPr>
      <w:bookmarkStart w:id="345" w:name="bookmark345"/>
      <w:r>
        <w:rPr>
          <w:color w:val="000000"/>
          <w:spacing w:val="0"/>
          <w:w w:val="100"/>
          <w:position w:val="0"/>
        </w:rPr>
        <w:t>（</w:t>
      </w:r>
      <w:bookmarkEnd w:id="34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高新先生，男，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年生，中国国籍，无境外居留权，中央财经大学会计专业，本科学历。</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年，就 职于北京威萨特卫星通讯有限公司，任市场部经理、副总经理；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年，就职于志鸿科技深圳研发中心，任副总经 理；</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年，就职于北京志鸿中科信息咨询有限公司，任总经理；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年至今，任公司副总经理。</w:t>
      </w:r>
    </w:p>
    <w:p>
      <w:pPr>
        <w:pStyle w:val="Style16"/>
        <w:keepNext w:val="0"/>
        <w:keepLines w:val="0"/>
        <w:widowControl w:val="0"/>
        <w:shd w:val="clear" w:color="auto" w:fill="auto"/>
        <w:tabs>
          <w:tab w:pos="841" w:val="left"/>
        </w:tabs>
        <w:bidi w:val="0"/>
        <w:spacing w:before="0" w:after="0" w:line="313" w:lineRule="exact"/>
        <w:ind w:left="0" w:right="0"/>
        <w:jc w:val="both"/>
      </w:pPr>
      <w:bookmarkStart w:id="346" w:name="bookmark346"/>
      <w:r>
        <w:rPr>
          <w:color w:val="000000"/>
          <w:spacing w:val="0"/>
          <w:w w:val="100"/>
          <w:position w:val="0"/>
        </w:rPr>
        <w:t>（</w:t>
      </w:r>
      <w:bookmarkEnd w:id="346"/>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李晓刚先生，男，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年生，中国国籍，无境外居留权，新疆昌吉教育学院数学专业，专科学历。</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1990 </w:t>
      </w:r>
      <w:r>
        <w:rPr>
          <w:color w:val="000000"/>
          <w:spacing w:val="0"/>
          <w:w w:val="100"/>
          <w:position w:val="0"/>
        </w:rPr>
        <w:t>年，就职于新疆吐鲁番地区第三中学高中部，任数学老师；</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年，就职于新疆吐鲁番地区行政公署统计处计算中 心担任主任；</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年，就职于意大利好利获得公司广州维修站，任高级工程师；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年，就职于东南融通 系统工程有限公司，历任服务部经理、销售总监、服务公司总经理、集团股份制银行销售总监；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年至今，历任公司销售 总监、副总经理。</w:t>
      </w:r>
    </w:p>
    <w:p>
      <w:pPr>
        <w:pStyle w:val="Style16"/>
        <w:keepNext w:val="0"/>
        <w:keepLines w:val="0"/>
        <w:widowControl w:val="0"/>
        <w:shd w:val="clear" w:color="auto" w:fill="auto"/>
        <w:bidi w:val="0"/>
        <w:spacing w:before="0" w:after="0" w:line="313" w:lineRule="exact"/>
        <w:ind w:left="0" w:right="0"/>
        <w:jc w:val="both"/>
      </w:pPr>
      <w:bookmarkStart w:id="347" w:name="bookmark347"/>
      <w:r>
        <w:rPr>
          <w:color w:val="000000"/>
          <w:spacing w:val="0"/>
          <w:w w:val="100"/>
          <w:position w:val="0"/>
        </w:rPr>
        <w:t>（</w:t>
      </w:r>
      <w:bookmarkEnd w:id="347"/>
      <w:r>
        <w:rPr>
          <w:rFonts w:ascii="Times New Roman" w:eastAsia="Times New Roman" w:hAnsi="Times New Roman" w:cs="Times New Roman"/>
          <w:color w:val="000000"/>
          <w:spacing w:val="0"/>
          <w:w w:val="100"/>
          <w:position w:val="0"/>
          <w:sz w:val="18"/>
          <w:szCs w:val="18"/>
        </w:rPr>
        <w:t>8</w:t>
      </w:r>
      <w:r>
        <w:rPr>
          <w:color w:val="000000"/>
          <w:spacing w:val="0"/>
          <w:w w:val="100"/>
          <w:position w:val="0"/>
        </w:rPr>
        <w:t>） 张庆勋先生，男，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年生，中国国籍，无境外居留权，北京市经济管理干部学院会计学专业，本科学历，中国 注册会计师。</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年，就职于北京有色金属粉末厂，任财务科长；</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年，就职于北京松下彩色显像管有 限责任公司，任会计主管；</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年，就职于北京东软时代信息技术有限公司，任主管会计；</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年，就职 于秦皇岛东软软件有限公司，任财务总监；</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年，就职于东软集团网络安全事业部，任财务总监；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 任公司财务总监、董事会秘书。</w:t>
      </w:r>
    </w:p>
    <w:p>
      <w:pPr>
        <w:pStyle w:val="Style16"/>
        <w:keepNext w:val="0"/>
        <w:keepLines w:val="0"/>
        <w:widowControl w:val="0"/>
        <w:shd w:val="clear" w:color="auto" w:fill="auto"/>
        <w:bidi w:val="0"/>
        <w:spacing w:before="0" w:after="0" w:line="313" w:lineRule="exact"/>
        <w:ind w:left="0" w:right="0"/>
        <w:jc w:val="both"/>
      </w:pPr>
      <w:bookmarkStart w:id="348" w:name="bookmark348"/>
      <w:r>
        <w:rPr>
          <w:color w:val="000000"/>
          <w:spacing w:val="0"/>
          <w:w w:val="100"/>
          <w:position w:val="0"/>
        </w:rPr>
        <w:t>（</w:t>
      </w:r>
      <w:bookmarkEnd w:id="348"/>
      <w:r>
        <w:rPr>
          <w:rFonts w:ascii="Times New Roman" w:eastAsia="Times New Roman" w:hAnsi="Times New Roman" w:cs="Times New Roman"/>
          <w:color w:val="000000"/>
          <w:spacing w:val="0"/>
          <w:w w:val="100"/>
          <w:position w:val="0"/>
          <w:sz w:val="18"/>
          <w:szCs w:val="18"/>
        </w:rPr>
        <w:t>9</w:t>
      </w:r>
      <w:r>
        <w:rPr>
          <w:color w:val="000000"/>
          <w:spacing w:val="0"/>
          <w:w w:val="100"/>
          <w:position w:val="0"/>
        </w:rPr>
        <w:t>） 徐健先生，男，</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年生，中国国籍，无境外居留权。北京科技学院计算机专业本科学历；中国海洋大学企业管 理硕士。</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年，就职新东方一搏教育任培训总监；</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年就职北京易安动力软件有限责任公司任副总经理、 人事总监；</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年任北京天阳宏业软件技术有限公司人力资源部总经理；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年任天阳宏业科技股份有限 公司人力资源部总经理、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年至今任天阳宏业科技股份有限公司大客户中心总经理。</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在股东单位任职情况</w:t>
      </w:r>
    </w:p>
    <w:p>
      <w:pPr>
        <w:pStyle w:val="Style1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2011"/>
        <w:gridCol w:w="850"/>
        <w:gridCol w:w="854"/>
        <w:gridCol w:w="1354"/>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无锡天阳宏业软件技术有限公司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厦门赞扬丰硕软件技术有限公司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天诺商业保理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北京志鸿中科信息咨询有限公司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莘县启祥博瑞企业管理咨询合伙企业（有 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莘县科悦融通企业管理咨询合伙企业（有 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北京价值投资管理有限公司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天阳胜合科技（北京）有限公司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宋晓峰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厦门赞扬丰硕软件技术有限公司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宋晓峰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北京银恒通电子科技有限公司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北京晟骐投资管理有限责任公司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王珠林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银华基金管理股份有限公司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王珠林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银华长安资本管理（北京）有限公司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王珠林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珠海银华聚义投资合伙企业（有限合伙）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王珠林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太合控股有限责任公司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王珠林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北汽福田汽车股份有限公司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北京市基础设施投资有限公司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天健光华（上海）企业管理咨询有限公司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北京凯通时代管理咨询有限公司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杜江龙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典基网络科技（上海）有限公司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杜江龙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上海费顿信息科技服务中心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马志斌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无锡天阳宏业软件技术有限公司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马志斌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北京银恒通电子科技有限公司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甘泉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北京天阳融数科技有限公司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甘泉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北京技德系统技术有限公司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林敏玲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厦门易尔易电子商务有限公司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郑锡云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厦门赞扬丰硕软件技术有限公司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北京鼎信天威科技有限公司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北京天阳融信科技有限公司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43"/>
        <w:gridCol w:w="3274"/>
        <w:gridCol w:w="2011"/>
        <w:gridCol w:w="850"/>
        <w:gridCol w:w="854"/>
        <w:gridCol w:w="135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北京天阳融数科技有限公司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深圳昊天睿阳科技有限公司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海南昊天睿阳科技有限公司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武汉昊天睿阳科技有限公司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长沙湘瓴睿阳科技有限公司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上海华融瑞科技有限公司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厦门渲宸建筑设计咨询有限公司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16"/>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8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3</w:t>
      </w:r>
      <w:bookmarkEnd w:id="351"/>
      <w:r>
        <w:rPr>
          <w:color w:val="000000"/>
          <w:spacing w:val="0"/>
          <w:w w:val="100"/>
          <w:position w:val="0"/>
        </w:rPr>
        <w:t>、董事、监事、高级管理人员报酬情况</w:t>
      </w:r>
      <w:bookmarkEnd w:id="349"/>
      <w:bookmarkEnd w:id="350"/>
      <w:bookmarkEnd w:id="352"/>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公司董事会下设薪酬与考核委员会，审查公司董事及高级管理人员履行职责的情况并对其进行年度绩效考评，薪酬与考 核委员会提出的公司董事的薪酬计划，须经董事会同意后提交股东大会审议后方可实施；公司高级管理人员的薪酬分配方案 须报董事会批准。公司监事会的薪酬方案由监事会同意后提交股东大会审议后实施。</w:t>
      </w:r>
    </w:p>
    <w:p>
      <w:pPr>
        <w:pStyle w:val="Style16"/>
        <w:keepNext w:val="0"/>
        <w:keepLines w:val="0"/>
        <w:widowControl w:val="0"/>
        <w:shd w:val="clear" w:color="auto" w:fill="auto"/>
        <w:bidi w:val="0"/>
        <w:spacing w:before="0" w:after="0" w:line="322" w:lineRule="exact"/>
        <w:ind w:left="0" w:right="0"/>
        <w:jc w:val="both"/>
      </w:pPr>
      <w:r>
        <w:rPr>
          <w:color w:val="000000"/>
          <w:spacing w:val="0"/>
          <w:w w:val="100"/>
          <w:position w:val="0"/>
        </w:rPr>
        <w:t>董事、监事、高级管理人员的报酬依据公司年度经营计划和高级管理人员分管工作的职责，进行综合考核，根据考核结 果情况综合确定。</w:t>
      </w:r>
    </w:p>
    <w:p>
      <w:pPr>
        <w:pStyle w:val="Style16"/>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年，公司实际支付董事、监事、高级管理人员的报酬总额为</w:t>
      </w:r>
      <w:r>
        <w:rPr>
          <w:rFonts w:ascii="Times New Roman" w:eastAsia="Times New Roman" w:hAnsi="Times New Roman" w:cs="Times New Roman"/>
          <w:color w:val="000000"/>
          <w:spacing w:val="0"/>
          <w:w w:val="100"/>
          <w:position w:val="0"/>
          <w:sz w:val="18"/>
          <w:szCs w:val="18"/>
        </w:rPr>
        <w:t>1,268.54</w:t>
      </w:r>
      <w:r>
        <w:rPr>
          <w:color w:val="000000"/>
          <w:spacing w:val="0"/>
          <w:w w:val="100"/>
          <w:position w:val="0"/>
        </w:rPr>
        <w:t>万元。</w:t>
      </w:r>
    </w:p>
    <w:p>
      <w:pPr>
        <w:pStyle w:val="Style16"/>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宋晓峰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师海峰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王珠林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杜江龙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马志斌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甘泉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林敏玲</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郑锡云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李亚宁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周传文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董事会秘书兼财 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1,268.54</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八</w:t>
      </w:r>
      <w:bookmarkEnd w:id="355"/>
      <w:r>
        <w:rPr>
          <w:color w:val="000000"/>
          <w:spacing w:val="0"/>
          <w:w w:val="100"/>
          <w:position w:val="0"/>
        </w:rPr>
        <w:t>、报告期内董事履行职责的情况</w:t>
      </w:r>
      <w:bookmarkEnd w:id="353"/>
      <w:bookmarkEnd w:id="354"/>
      <w:bookmarkEnd w:id="356"/>
    </w:p>
    <w:p>
      <w:pPr>
        <w:pStyle w:val="Style27"/>
        <w:keepNext/>
        <w:keepLines/>
        <w:widowControl w:val="0"/>
        <w:shd w:val="clear" w:color="auto" w:fill="auto"/>
        <w:bidi w:val="0"/>
        <w:spacing w:before="0" w:after="32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1</w:t>
      </w:r>
      <w:bookmarkEnd w:id="359"/>
      <w:r>
        <w:rPr>
          <w:color w:val="000000"/>
          <w:spacing w:val="0"/>
          <w:w w:val="100"/>
          <w:position w:val="0"/>
        </w:rPr>
        <w:t>、本报告期董事会情况</w:t>
      </w:r>
      <w:bookmarkEnd w:id="357"/>
      <w:bookmarkEnd w:id="358"/>
      <w:bookmarkEnd w:id="360"/>
    </w:p>
    <w:tbl>
      <w:tblPr>
        <w:tblOverlap w:val="never"/>
        <w:jc w:val="center"/>
        <w:tblLayout w:type="fixed"/>
      </w:tblPr>
      <w:tblGrid>
        <w:gridCol w:w="2400"/>
        <w:gridCol w:w="1579"/>
        <w:gridCol w:w="1699"/>
        <w:gridCol w:w="390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第二届董事会第十五次会议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详见公司在巨潮资讯网披露的公告《第二届董事 会第十五次会议决议公告》（公告编号：</w:t>
            </w:r>
            <w:r>
              <w:rPr>
                <w:rFonts w:ascii="Times New Roman" w:eastAsia="Times New Roman" w:hAnsi="Times New Roman" w:cs="Times New Roman"/>
                <w:color w:val="000000"/>
                <w:spacing w:val="0"/>
                <w:w w:val="100"/>
                <w:position w:val="0"/>
                <w:sz w:val="18"/>
                <w:szCs w:val="18"/>
              </w:rPr>
              <w:t>2021-004</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第二届董事会第十六次会议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详见公司在巨潮资讯网披露的公告《第二届董事 会第十六次会议决议公告》（公告编号：</w:t>
            </w:r>
            <w:r>
              <w:rPr>
                <w:rFonts w:ascii="Times New Roman" w:eastAsia="Times New Roman" w:hAnsi="Times New Roman" w:cs="Times New Roman"/>
                <w:color w:val="000000"/>
                <w:spacing w:val="0"/>
                <w:w w:val="100"/>
                <w:position w:val="0"/>
                <w:sz w:val="18"/>
                <w:szCs w:val="18"/>
              </w:rPr>
              <w:t>2021-014</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第二届董事会第十七次会议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详见公司在巨潮资讯网披露的公告《第二届董事 会第十七次会议决议公告》（公告编号：</w:t>
            </w:r>
            <w:r>
              <w:rPr>
                <w:rFonts w:ascii="Times New Roman" w:eastAsia="Times New Roman" w:hAnsi="Times New Roman" w:cs="Times New Roman"/>
                <w:color w:val="000000"/>
                <w:spacing w:val="0"/>
                <w:w w:val="100"/>
                <w:position w:val="0"/>
                <w:sz w:val="18"/>
                <w:szCs w:val="18"/>
              </w:rPr>
              <w:t>2021-021</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第二届董事会第十八次会议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本次董事会仅审议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年第一季度报告一项议案 且无投反对票或弃权票情形，根据规则可免于公 告，并已报备至深交所</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第二届董事会第十九次会议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详见公司在巨潮资讯网披露的公告《第二届董事 会第十九次会议决议公告》（公告编号：</w:t>
            </w:r>
            <w:r>
              <w:rPr>
                <w:rFonts w:ascii="Times New Roman" w:eastAsia="Times New Roman" w:hAnsi="Times New Roman" w:cs="Times New Roman"/>
                <w:color w:val="000000"/>
                <w:spacing w:val="0"/>
                <w:w w:val="100"/>
                <w:position w:val="0"/>
                <w:sz w:val="18"/>
                <w:szCs w:val="18"/>
              </w:rPr>
              <w:t>2021-044</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第二届董事会第二十次会议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本次董事会仅审议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年第三季度报告一项议案 且无投反对票或弃权票情形，根据规则可免于公 告，并已报备至深交所</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第二届董事会第二十一次会 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详见公司在巨潮资讯网披露的公告《第二届董事 会第二十一次会议决议公告》（公告编号：</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2021-050</w:t>
            </w:r>
            <w:r>
              <w:rPr>
                <w:color w:val="000000"/>
                <w:spacing w:val="0"/>
                <w:w w:val="100"/>
                <w:position w:val="0"/>
              </w:rPr>
              <w:t>）</w:t>
            </w:r>
          </w:p>
        </w:tc>
      </w:tr>
      <w:tr>
        <w:trPr>
          <w:trHeight w:val="10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第二届董事会第二十二次会 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20" w:line="293" w:lineRule="exact"/>
              <w:ind w:left="0" w:right="0" w:firstLine="0"/>
              <w:jc w:val="left"/>
            </w:pPr>
            <w:r>
              <w:rPr>
                <w:color w:val="000000"/>
                <w:spacing w:val="0"/>
                <w:w w:val="100"/>
                <w:position w:val="0"/>
              </w:rPr>
              <w:t>详见公司在巨潮资讯网披露的公告《第二届董事 会第二十二次会议决议公告》（公告编号：</w:t>
            </w:r>
          </w:p>
          <w:p>
            <w:pPr>
              <w:pStyle w:val="Style18"/>
              <w:keepNext w:val="0"/>
              <w:keepLines w:val="0"/>
              <w:widowControl w:val="0"/>
              <w:shd w:val="clear" w:color="auto" w:fill="auto"/>
              <w:bidi w:val="0"/>
              <w:spacing w:before="0" w:after="0" w:line="341" w:lineRule="auto"/>
              <w:ind w:left="0" w:right="0" w:firstLine="0"/>
              <w:jc w:val="left"/>
            </w:pPr>
            <w:r>
              <w:rPr>
                <w:rFonts w:ascii="Times New Roman" w:eastAsia="Times New Roman" w:hAnsi="Times New Roman" w:cs="Times New Roman"/>
                <w:color w:val="000000"/>
                <w:spacing w:val="0"/>
                <w:w w:val="100"/>
                <w:position w:val="0"/>
                <w:sz w:val="18"/>
                <w:szCs w:val="18"/>
              </w:rPr>
              <w:t>2021-064</w:t>
            </w:r>
            <w:r>
              <w:rPr>
                <w:color w:val="000000"/>
                <w:spacing w:val="0"/>
                <w:w w:val="100"/>
                <w:position w:val="0"/>
              </w:rPr>
              <w:t>）</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2</w:t>
      </w:r>
      <w:bookmarkEnd w:id="363"/>
      <w:r>
        <w:rPr>
          <w:color w:val="000000"/>
          <w:spacing w:val="0"/>
          <w:w w:val="100"/>
          <w:position w:val="0"/>
        </w:rPr>
        <w:t>、董事出席董事会及股东大会的情况</w:t>
      </w:r>
      <w:bookmarkEnd w:id="361"/>
      <w:bookmarkEnd w:id="362"/>
      <w:bookmarkEnd w:id="364"/>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以通讯方式参</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18"/>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宋晓峰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师海峰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凌云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王珠林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杜江龙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27"/>
        <w:keepNext/>
        <w:keepLines/>
        <w:widowControl w:val="0"/>
        <w:shd w:val="clear" w:color="auto" w:fill="auto"/>
        <w:tabs>
          <w:tab w:pos="378" w:val="left"/>
        </w:tabs>
        <w:bidi w:val="0"/>
        <w:spacing w:before="0" w:after="28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3</w:t>
      </w:r>
      <w:bookmarkEnd w:id="367"/>
      <w:r>
        <w:rPr>
          <w:color w:val="000000"/>
          <w:spacing w:val="0"/>
          <w:w w:val="100"/>
          <w:position w:val="0"/>
        </w:rPr>
        <w:t>、</w:t>
        <w:tab/>
        <w:t>董事对公司有关事项提出异议的情况</w:t>
      </w:r>
      <w:bookmarkEnd w:id="365"/>
      <w:bookmarkEnd w:id="366"/>
      <w:bookmarkEnd w:id="368"/>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董事对公司有关事项是否提出异议</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报告期内董事对公司有关事项未提出异议。</w:t>
      </w:r>
    </w:p>
    <w:p>
      <w:pPr>
        <w:pStyle w:val="Style27"/>
        <w:keepNext/>
        <w:keepLines/>
        <w:widowControl w:val="0"/>
        <w:shd w:val="clear" w:color="auto" w:fill="auto"/>
        <w:tabs>
          <w:tab w:pos="378" w:val="left"/>
        </w:tabs>
        <w:bidi w:val="0"/>
        <w:spacing w:before="0" w:after="28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4</w:t>
      </w:r>
      <w:bookmarkEnd w:id="371"/>
      <w:r>
        <w:rPr>
          <w:color w:val="000000"/>
          <w:spacing w:val="0"/>
          <w:w w:val="100"/>
          <w:position w:val="0"/>
        </w:rPr>
        <w:t>、</w:t>
        <w:tab/>
        <w:t>董事履行职责的其他说明</w:t>
      </w:r>
      <w:bookmarkEnd w:id="369"/>
      <w:bookmarkEnd w:id="370"/>
      <w:bookmarkEnd w:id="372"/>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董事对公司有关建议是否被采纳</w:t>
      </w:r>
    </w:p>
    <w:p>
      <w:pPr>
        <w:pStyle w:val="Style1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董事对公司有关建议被采纳或未被采纳的说明</w:t>
      </w:r>
    </w:p>
    <w:p>
      <w:pPr>
        <w:pStyle w:val="Style16"/>
        <w:keepNext w:val="0"/>
        <w:keepLines w:val="0"/>
        <w:widowControl w:val="0"/>
        <w:shd w:val="clear" w:color="auto" w:fill="auto"/>
        <w:bidi w:val="0"/>
        <w:spacing w:before="0" w:after="360" w:line="313" w:lineRule="exact"/>
        <w:ind w:left="0" w:right="0"/>
        <w:jc w:val="left"/>
      </w:pPr>
      <w:r>
        <w:rPr>
          <w:color w:val="000000"/>
          <w:spacing w:val="0"/>
          <w:w w:val="100"/>
          <w:position w:val="0"/>
        </w:rPr>
        <w:t>报告期内，公司全体董事恪尽职守、勤勉尽责，严格按照中国证监会和深圳证券交易所的相关规定以及《公司章程》、 《董事会议事规则》等制度开展工作，主动关注公司经营情况、财务状况、重大事项等，根据实际情况为公司的经营发展建 言献策，对提交董事会审议的各项议案进行深入的沟通讨论，并在作出决策时充分考虑中小股东的利益和诉求，确保决策科 学、及时、高效，维护公司和全体股东的合法权益。在形成一致意见后，全体董事坚决监督和推动董事会决议的执行，以推 动公司经营各项工作的持续、稳定、健康发展。</w:t>
      </w:r>
    </w:p>
    <w:p>
      <w:pPr>
        <w:pStyle w:val="Style21"/>
        <w:keepNext/>
        <w:keepLines/>
        <w:widowControl w:val="0"/>
        <w:shd w:val="clear" w:color="auto" w:fill="auto"/>
        <w:bidi w:val="0"/>
        <w:spacing w:before="0" w:after="28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九</w:t>
      </w:r>
      <w:bookmarkEnd w:id="375"/>
      <w:r>
        <w:rPr>
          <w:color w:val="000000"/>
          <w:spacing w:val="0"/>
          <w:w w:val="100"/>
          <w:position w:val="0"/>
        </w:rPr>
        <w:t>、董事会下设专门委员会在报告期内的情况</w:t>
      </w:r>
      <w:bookmarkEnd w:id="373"/>
      <w:bookmarkEnd w:id="374"/>
      <w:bookmarkEnd w:id="376"/>
    </w:p>
    <w:tbl>
      <w:tblPr>
        <w:tblOverlap w:val="never"/>
        <w:jc w:val="center"/>
        <w:tblLayout w:type="fixed"/>
      </w:tblPr>
      <w:tblGrid>
        <w:gridCol w:w="1205"/>
        <w:gridCol w:w="1195"/>
        <w:gridCol w:w="730"/>
        <w:gridCol w:w="1133"/>
        <w:gridCol w:w="1982"/>
        <w:gridCol w:w="1133"/>
        <w:gridCol w:w="1003"/>
        <w:gridCol w:w="120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召开会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提出的重要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意见和建议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战略决策委员 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欧阳建平、宋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晓峰、师海峰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年股限制性股 票激励计划的书面审核 意见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730"/>
        <w:gridCol w:w="1133"/>
        <w:gridCol w:w="1982"/>
        <w:gridCol w:w="1133"/>
        <w:gridCol w:w="1003"/>
        <w:gridCol w:w="1205"/>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召开会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提出的重要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意见和建议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140" w:right="0" w:hanging="140"/>
              <w:jc w:val="left"/>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晓明、杜江龙</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会议之书面审核意见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年第四季 度内部审计工作的报告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83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 决算报告的书面审核意 见、关于公司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 度报告及其摘要的书面 审核意见、关于公司会计 政策变更的书面审核意 见、关于内控评价报告的 书面审核意见、关于拟续 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年度审计机构的 书面审核意见、关于增加 关联交易预计的书面审 核意见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 度内部审计工作的报告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 度内部审计工作的报告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 度内部审计工作的报告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王珠林、杨晓</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明、宋晓峰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未有审议事项召开会议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薪酬与考核委 员会</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杜江龙、王珠</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林、师海峰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关于拟实施限制性股票 激励计划之书面审核意 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3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年度董事及高 管薪酬方案的书面审核 意见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377" w:name="bookmark377"/>
      <w:bookmarkStart w:id="378" w:name="bookmark378"/>
      <w:bookmarkStart w:id="379" w:name="bookmark379"/>
      <w:r>
        <w:rPr>
          <w:color w:val="000000"/>
          <w:spacing w:val="0"/>
          <w:w w:val="100"/>
          <w:position w:val="0"/>
        </w:rPr>
        <w:t>十、监事会工作情况</w:t>
      </w:r>
      <w:bookmarkEnd w:id="377"/>
      <w:bookmarkEnd w:id="378"/>
      <w:bookmarkEnd w:id="379"/>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监事会对报告期内的监督事项无异议。</w:t>
      </w:r>
      <w:r>
        <w:br w:type="page"/>
      </w:r>
    </w:p>
    <w:p>
      <w:pPr>
        <w:pStyle w:val="Style21"/>
        <w:keepNext/>
        <w:keepLines/>
        <w:widowControl w:val="0"/>
        <w:shd w:val="clear" w:color="auto" w:fill="auto"/>
        <w:bidi w:val="0"/>
        <w:spacing w:before="0" w:line="240" w:lineRule="auto"/>
        <w:ind w:left="0" w:right="0" w:firstLine="0"/>
        <w:jc w:val="left"/>
      </w:pPr>
      <w:bookmarkStart w:id="380" w:name="bookmark380"/>
      <w:bookmarkStart w:id="381" w:name="bookmark381"/>
      <w:bookmarkStart w:id="382" w:name="bookmark382"/>
      <w:r>
        <w:rPr>
          <w:color w:val="000000"/>
          <w:spacing w:val="0"/>
          <w:w w:val="100"/>
          <w:position w:val="0"/>
        </w:rPr>
        <w:t>十^一、公司员工情况</w:t>
      </w:r>
      <w:bookmarkEnd w:id="380"/>
      <w:bookmarkEnd w:id="381"/>
      <w:bookmarkEnd w:id="382"/>
    </w:p>
    <w:p>
      <w:pPr>
        <w:pStyle w:val="Style27"/>
        <w:keepNext/>
        <w:keepLines/>
        <w:widowControl w:val="0"/>
        <w:shd w:val="clear" w:color="auto" w:fill="auto"/>
        <w:bidi w:val="0"/>
        <w:spacing w:before="0" w:after="30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1</w:t>
      </w:r>
      <w:bookmarkEnd w:id="385"/>
      <w:r>
        <w:rPr>
          <w:color w:val="000000"/>
          <w:spacing w:val="0"/>
          <w:w w:val="100"/>
          <w:position w:val="0"/>
        </w:rPr>
        <w:t>、员工数量、专业构成及教育程度</w:t>
      </w:r>
      <w:bookmarkEnd w:id="383"/>
      <w:bookmarkEnd w:id="384"/>
      <w:bookmarkEnd w:id="38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7,644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7,959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8,257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7,632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7,959</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本科（大专）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7,774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7,959</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2</w:t>
      </w:r>
      <w:bookmarkEnd w:id="389"/>
      <w:r>
        <w:rPr>
          <w:color w:val="000000"/>
          <w:spacing w:val="0"/>
          <w:w w:val="100"/>
          <w:position w:val="0"/>
        </w:rPr>
        <w:t>、薪酬政策</w:t>
      </w:r>
      <w:bookmarkEnd w:id="387"/>
      <w:bookmarkEnd w:id="388"/>
      <w:bookmarkEnd w:id="390"/>
    </w:p>
    <w:p>
      <w:pPr>
        <w:pStyle w:val="Style16"/>
        <w:keepNext w:val="0"/>
        <w:keepLines w:val="0"/>
        <w:widowControl w:val="0"/>
        <w:shd w:val="clear" w:color="auto" w:fill="auto"/>
        <w:tabs>
          <w:tab w:pos="863" w:val="left"/>
        </w:tabs>
        <w:bidi w:val="0"/>
        <w:spacing w:before="0" w:after="0" w:line="319" w:lineRule="exact"/>
        <w:ind w:left="0" w:right="0"/>
        <w:jc w:val="left"/>
      </w:pPr>
      <w:bookmarkStart w:id="391" w:name="bookmark391"/>
      <w:r>
        <w:rPr>
          <w:color w:val="000000"/>
          <w:spacing w:val="0"/>
          <w:w w:val="100"/>
          <w:position w:val="0"/>
        </w:rPr>
        <w:t>（</w:t>
      </w:r>
      <w:bookmarkEnd w:id="3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薪酬策略：公司秉承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以贡献者为本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的核心价值理念，充分考量员工切身利益与公司长远发展及股东权益之间的 相互关系，建立了一整套具有市场竞争力、可持续和差异化的员工薪酬福利体系</w:t>
      </w:r>
      <w:r>
        <w:rPr>
          <w:color w:val="000000"/>
          <w:spacing w:val="0"/>
          <w:w w:val="100"/>
          <w:position w:val="0"/>
          <w:sz w:val="18"/>
          <w:szCs w:val="18"/>
        </w:rPr>
        <w:t>，</w:t>
      </w:r>
      <w:r>
        <w:rPr>
          <w:color w:val="000000"/>
          <w:spacing w:val="0"/>
          <w:w w:val="100"/>
          <w:position w:val="0"/>
        </w:rPr>
        <w:t>使公司的薪酬政策能够成为吸引人才、留 住人才和激励人才的有效手段，从而为公司持续、稳健的发展提供可靠的人力资源保证。</w:t>
      </w:r>
    </w:p>
    <w:p>
      <w:pPr>
        <w:pStyle w:val="Style16"/>
        <w:keepNext w:val="0"/>
        <w:keepLines w:val="0"/>
        <w:widowControl w:val="0"/>
        <w:shd w:val="clear" w:color="auto" w:fill="auto"/>
        <w:tabs>
          <w:tab w:pos="858" w:val="left"/>
        </w:tabs>
        <w:bidi w:val="0"/>
        <w:spacing w:before="0" w:after="0" w:line="319" w:lineRule="exact"/>
        <w:ind w:left="0" w:right="0"/>
        <w:jc w:val="left"/>
      </w:pPr>
      <w:bookmarkStart w:id="392" w:name="bookmark392"/>
      <w:r>
        <w:rPr>
          <w:color w:val="000000"/>
          <w:spacing w:val="0"/>
          <w:w w:val="100"/>
          <w:position w:val="0"/>
        </w:rPr>
        <w:t>（</w:t>
      </w:r>
      <w:bookmarkEnd w:id="3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薪酬结构：员工薪酬由标准工资、奖金、福利三部分组成。标准工资是根据行业市场薪酬水平、公司薪酬策略和 体系及员工的岗位职级、考勤、学历及技能等情况而定。奖金主要是根据公司年度经营情况、团队业绩表现、员工年度绩效 考核结果、员工标准工资和司龄等综合因素而定。公司福利包括法定福利项目（五险一金），以及公司福利项目（含福利年 假、健康体检、意外商险及补贴等），多维度地满足员工的基础保障和激励保障需求，增强员工的主人翁意识和公司认同感。 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6"/>
        <w:keepNext w:val="0"/>
        <w:keepLines w:val="0"/>
        <w:widowControl w:val="0"/>
        <w:shd w:val="clear" w:color="auto" w:fill="auto"/>
        <w:bidi w:val="0"/>
        <w:spacing w:before="0" w:after="0" w:line="326" w:lineRule="exact"/>
        <w:ind w:left="0" w:right="0"/>
        <w:jc w:val="left"/>
      </w:pPr>
      <w:r>
        <w:rPr>
          <w:color w:val="000000"/>
          <w:spacing w:val="0"/>
          <w:w w:val="100"/>
          <w:position w:val="0"/>
        </w:rPr>
        <w:t>报告期内，计入营业成本部分的职工薪酬总额为</w:t>
      </w:r>
      <w:r>
        <w:rPr>
          <w:rFonts w:ascii="Times New Roman" w:eastAsia="Times New Roman" w:hAnsi="Times New Roman" w:cs="Times New Roman"/>
          <w:color w:val="000000"/>
          <w:spacing w:val="0"/>
          <w:w w:val="100"/>
          <w:position w:val="0"/>
          <w:sz w:val="18"/>
          <w:szCs w:val="18"/>
        </w:rPr>
        <w:t>94,960.6</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万元，占公司营业成本总额的</w:t>
      </w:r>
      <w:r>
        <w:rPr>
          <w:rFonts w:ascii="Times New Roman" w:eastAsia="Times New Roman" w:hAnsi="Times New Roman" w:cs="Times New Roman"/>
          <w:color w:val="000000"/>
          <w:spacing w:val="0"/>
          <w:w w:val="100"/>
          <w:position w:val="0"/>
          <w:sz w:val="18"/>
          <w:szCs w:val="18"/>
        </w:rPr>
        <w:t>78.19%</w:t>
      </w:r>
      <w:r>
        <w:rPr>
          <w:color w:val="000000"/>
          <w:spacing w:val="0"/>
          <w:w w:val="100"/>
          <w:position w:val="0"/>
        </w:rPr>
        <w:t>，公司利润对职工薪酬 总额变化较为敏感。</w:t>
      </w:r>
    </w:p>
    <w:p>
      <w:pPr>
        <w:pStyle w:val="Style16"/>
        <w:keepNext w:val="0"/>
        <w:keepLines w:val="0"/>
        <w:widowControl w:val="0"/>
        <w:shd w:val="clear" w:color="auto" w:fill="auto"/>
        <w:bidi w:val="0"/>
        <w:spacing w:before="0" w:after="300" w:line="319" w:lineRule="exact"/>
        <w:ind w:left="0" w:right="0"/>
        <w:jc w:val="left"/>
      </w:pPr>
      <w:r>
        <w:rPr>
          <w:color w:val="000000"/>
          <w:spacing w:val="0"/>
          <w:w w:val="100"/>
          <w:position w:val="0"/>
        </w:rPr>
        <w:t>报告期内，</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年公司技术人员数量占公司总人数比例</w:t>
      </w:r>
      <w:r>
        <w:rPr>
          <w:rFonts w:ascii="Times New Roman" w:eastAsia="Times New Roman" w:hAnsi="Times New Roman" w:cs="Times New Roman"/>
          <w:color w:val="000000"/>
          <w:spacing w:val="0"/>
          <w:w w:val="100"/>
          <w:position w:val="0"/>
          <w:sz w:val="18"/>
          <w:szCs w:val="18"/>
        </w:rPr>
        <w:t>95.89%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年公司技术人员数量占公司总人数比例</w:t>
      </w:r>
      <w:r>
        <w:rPr>
          <w:rFonts w:ascii="Times New Roman" w:eastAsia="Times New Roman" w:hAnsi="Times New Roman" w:cs="Times New Roman"/>
          <w:color w:val="000000"/>
          <w:spacing w:val="0"/>
          <w:w w:val="100"/>
          <w:position w:val="0"/>
          <w:sz w:val="18"/>
          <w:szCs w:val="18"/>
        </w:rPr>
        <w:t>95.40%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年技术人员薪酬占薪酬总额的</w:t>
      </w:r>
      <w:r>
        <w:rPr>
          <w:rFonts w:ascii="Times New Roman" w:eastAsia="Times New Roman" w:hAnsi="Times New Roman" w:cs="Times New Roman"/>
          <w:color w:val="000000"/>
          <w:spacing w:val="0"/>
          <w:w w:val="100"/>
          <w:position w:val="0"/>
          <w:sz w:val="18"/>
          <w:szCs w:val="18"/>
        </w:rPr>
        <w:t>94.12%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年技术人员薪酬占薪酬总额的</w:t>
      </w:r>
      <w:r>
        <w:rPr>
          <w:rFonts w:ascii="Times New Roman" w:eastAsia="Times New Roman" w:hAnsi="Times New Roman" w:cs="Times New Roman"/>
          <w:color w:val="000000"/>
          <w:spacing w:val="0"/>
          <w:w w:val="100"/>
          <w:position w:val="0"/>
          <w:sz w:val="18"/>
          <w:szCs w:val="18"/>
        </w:rPr>
        <w:t>94.34%</w:t>
      </w:r>
      <w:r>
        <w:rPr>
          <w:color w:val="000000"/>
          <w:spacing w:val="0"/>
          <w:w w:val="100"/>
          <w:position w:val="0"/>
        </w:rPr>
        <w:t>；技术人员数量及薪酬占比情况较上 年同期无重大变化。</w:t>
      </w:r>
    </w:p>
    <w:p>
      <w:pPr>
        <w:pStyle w:val="Style27"/>
        <w:keepNext/>
        <w:keepLines/>
        <w:widowControl w:val="0"/>
        <w:shd w:val="clear" w:color="auto" w:fill="auto"/>
        <w:tabs>
          <w:tab w:pos="378" w:val="left"/>
        </w:tabs>
        <w:bidi w:val="0"/>
        <w:spacing w:before="0" w:after="26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3</w:t>
      </w:r>
      <w:bookmarkEnd w:id="395"/>
      <w:r>
        <w:rPr>
          <w:color w:val="000000"/>
          <w:spacing w:val="0"/>
          <w:w w:val="100"/>
          <w:position w:val="0"/>
        </w:rPr>
        <w:t>、</w:t>
        <w:tab/>
        <w:t>培训计划</w:t>
      </w:r>
      <w:bookmarkEnd w:id="393"/>
      <w:bookmarkEnd w:id="394"/>
      <w:bookmarkEnd w:id="396"/>
    </w:p>
    <w:p>
      <w:pPr>
        <w:pStyle w:val="Style16"/>
        <w:keepNext w:val="0"/>
        <w:keepLines w:val="0"/>
        <w:widowControl w:val="0"/>
        <w:shd w:val="clear" w:color="auto" w:fill="auto"/>
        <w:bidi w:val="0"/>
        <w:spacing w:before="0" w:after="0" w:line="317" w:lineRule="exact"/>
        <w:ind w:left="0" w:right="0"/>
        <w:jc w:val="left"/>
      </w:pPr>
      <w:r>
        <w:rPr>
          <w:color w:val="000000"/>
          <w:spacing w:val="0"/>
          <w:w w:val="100"/>
          <w:position w:val="0"/>
        </w:rPr>
        <w:t>公司根据整体业务发展情况和岗位能力素质模型，搭建了专业化的分类分级培训体系。全员培训覆盖率已达</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 完善的培训考核和评估机制，对培训结果施行闭环管理，确保学有所用。</w:t>
      </w:r>
    </w:p>
    <w:p>
      <w:pPr>
        <w:pStyle w:val="Style16"/>
        <w:keepNext w:val="0"/>
        <w:keepLines w:val="0"/>
        <w:widowControl w:val="0"/>
        <w:shd w:val="clear" w:color="auto" w:fill="auto"/>
        <w:bidi w:val="0"/>
        <w:spacing w:before="0" w:after="0" w:line="317" w:lineRule="exact"/>
        <w:ind w:left="0" w:right="0"/>
        <w:jc w:val="left"/>
      </w:pPr>
      <w:r>
        <w:rPr>
          <w:color w:val="000000"/>
          <w:spacing w:val="0"/>
          <w:w w:val="100"/>
          <w:position w:val="0"/>
        </w:rPr>
        <w:t>全员主要通过搭建线上学习平台的方式进行信息安全类、职业道德类、职业素养类、</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技术类等培训，基本涵盖了领导 力、通用力和专业力等员工发展的各个方面。关键岗位人才主要通过混合式学习和行动学习项目，重点对新员工、项目经理、 技术人员、管理人员这四类人群进行培养。</w:t>
      </w:r>
    </w:p>
    <w:p>
      <w:pPr>
        <w:pStyle w:val="Style16"/>
        <w:keepNext w:val="0"/>
        <w:keepLines w:val="0"/>
        <w:widowControl w:val="0"/>
        <w:shd w:val="clear" w:color="auto" w:fill="auto"/>
        <w:bidi w:val="0"/>
        <w:spacing w:before="0" w:after="0" w:line="317" w:lineRule="exact"/>
        <w:ind w:left="0" w:right="0"/>
        <w:jc w:val="left"/>
      </w:pPr>
      <w:r>
        <w:rPr>
          <w:color w:val="000000"/>
          <w:spacing w:val="0"/>
          <w:w w:val="100"/>
          <w:position w:val="0"/>
        </w:rPr>
        <w:t>公司在线学习平台面向全体员工开放，已培养内部讲师</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余人，内部课程</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余门，满足员工的日常学习和能力提升。 同时为了沉淀公司尽</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年的项目实战经验，开启了内部经验萃取项目，提炼了手册和案例。公司通过培训有效提高员工的综 合能力和素质水平，为公司储备具有竞争力的人才队伍。</w:t>
      </w:r>
    </w:p>
    <w:p>
      <w:pPr>
        <w:pStyle w:val="Style16"/>
        <w:keepNext w:val="0"/>
        <w:keepLines w:val="0"/>
        <w:widowControl w:val="0"/>
        <w:shd w:val="clear" w:color="auto" w:fill="auto"/>
        <w:bidi w:val="0"/>
        <w:spacing w:before="0" w:after="380" w:line="317" w:lineRule="exact"/>
        <w:ind w:left="0" w:right="0"/>
        <w:jc w:val="left"/>
      </w:pPr>
      <w:r>
        <w:rPr>
          <w:color w:val="000000"/>
          <w:spacing w:val="0"/>
          <w:w w:val="100"/>
          <w:position w:val="0"/>
        </w:rPr>
        <w:t>未来将着力打造更完善的培训体系，聚焦员工的职业发展和关键能力，为业务赋能，推动组织的发展。</w:t>
      </w:r>
    </w:p>
    <w:p>
      <w:pPr>
        <w:pStyle w:val="Style27"/>
        <w:keepNext/>
        <w:keepLines/>
        <w:widowControl w:val="0"/>
        <w:shd w:val="clear" w:color="auto" w:fill="auto"/>
        <w:tabs>
          <w:tab w:pos="378" w:val="left"/>
        </w:tabs>
        <w:bidi w:val="0"/>
        <w:spacing w:before="0" w:after="26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4</w:t>
      </w:r>
      <w:bookmarkEnd w:id="399"/>
      <w:r>
        <w:rPr>
          <w:color w:val="000000"/>
          <w:spacing w:val="0"/>
          <w:w w:val="100"/>
          <w:position w:val="0"/>
        </w:rPr>
        <w:t>、</w:t>
        <w:tab/>
        <w:t>劳务外包情况</w:t>
      </w:r>
      <w:bookmarkEnd w:id="397"/>
      <w:bookmarkEnd w:id="398"/>
      <w:bookmarkEnd w:id="400"/>
    </w:p>
    <w:p>
      <w:pPr>
        <w:pStyle w:val="Style16"/>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401" w:name="bookmark401"/>
      <w:bookmarkStart w:id="402" w:name="bookmark402"/>
      <w:bookmarkStart w:id="403" w:name="bookmark403"/>
      <w:r>
        <w:rPr>
          <w:color w:val="000000"/>
          <w:spacing w:val="0"/>
          <w:w w:val="100"/>
          <w:position w:val="0"/>
        </w:rPr>
        <w:t>十二、公司利润分配及资本公积金转增股本情况</w:t>
      </w:r>
      <w:bookmarkEnd w:id="401"/>
      <w:bookmarkEnd w:id="402"/>
      <w:bookmarkEnd w:id="403"/>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报告期内利润分配政策，特别是现金分红政策的制定、执行或调整情况</w:t>
      </w:r>
    </w:p>
    <w:p>
      <w:pPr>
        <w:pStyle w:val="Style1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公司现金分红政策的制定及执行一直严格遵守有关法律法规和规范性文件的要求，符合公司章程的规定，分红标准和比 例明确清晰，相关的决策程序和机制完备。公司利润分配方案须经由董事会审议通过并提交股东大会审议，审议通过后在规 定时间内进行实施，切实保证了全体股东的利益。</w:t>
      </w:r>
    </w:p>
    <w:p>
      <w:pPr>
        <w:pStyle w:val="Style16"/>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日公司召开第二届董事会第十七次会议和第二届监事会第十二次会议，审议通过了《关于公司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利润分配预案的议案》，独立董事发表了同意的意见。</w:t>
      </w:r>
    </w:p>
    <w:p>
      <w:pPr>
        <w:pStyle w:val="Style16"/>
        <w:keepNext w:val="0"/>
        <w:keepLines w:val="0"/>
        <w:widowControl w:val="0"/>
        <w:shd w:val="clear" w:color="auto" w:fill="auto"/>
        <w:bidi w:val="0"/>
        <w:spacing w:before="0" w:after="0" w:line="319"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年年度利润分配预案的议案》，同意拟以公 司总股本</w:t>
      </w:r>
      <w:r>
        <w:rPr>
          <w:rFonts w:ascii="Times New Roman" w:eastAsia="Times New Roman" w:hAnsi="Times New Roman" w:cs="Times New Roman"/>
          <w:color w:val="000000"/>
          <w:spacing w:val="0"/>
          <w:w w:val="100"/>
          <w:position w:val="0"/>
          <w:sz w:val="18"/>
          <w:szCs w:val="18"/>
        </w:rPr>
        <w:t>224,682,030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元（含税），合计派发现金股利人民币</w:t>
      </w:r>
      <w:r>
        <w:rPr>
          <w:rFonts w:ascii="Times New Roman" w:eastAsia="Times New Roman" w:hAnsi="Times New Roman" w:cs="Times New Roman"/>
          <w:color w:val="000000"/>
          <w:spacing w:val="0"/>
          <w:w w:val="100"/>
          <w:position w:val="0"/>
          <w:sz w:val="18"/>
          <w:szCs w:val="18"/>
        </w:rPr>
        <w:t xml:space="preserve">44,936,406.00 </w:t>
      </w:r>
      <w:r>
        <w:rPr>
          <w:color w:val="000000"/>
          <w:spacing w:val="0"/>
          <w:w w:val="100"/>
          <w:position w:val="0"/>
        </w:rPr>
        <w:t>元（含税），不送红股，不以资本公积金转增股本，剩余未分配利润结转以后年度。</w:t>
      </w:r>
    </w:p>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日，公司披露了《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年年度权益分派实施的公告》（公告编号</w:t>
      </w:r>
      <w:r>
        <w:rPr>
          <w:rFonts w:ascii="Times New Roman" w:eastAsia="Times New Roman" w:hAnsi="Times New Roman" w:cs="Times New Roman"/>
          <w:color w:val="000000"/>
          <w:spacing w:val="0"/>
          <w:w w:val="100"/>
          <w:position w:val="0"/>
          <w:sz w:val="18"/>
          <w:szCs w:val="18"/>
        </w:rPr>
        <w:t>2021-037</w:t>
      </w:r>
      <w:r>
        <w:rPr>
          <w:color w:val="000000"/>
          <w:spacing w:val="0"/>
          <w:w w:val="100"/>
          <w:position w:val="0"/>
        </w:rPr>
        <w:t>）</w:t>
      </w:r>
      <w:r>
        <w:rPr>
          <w:color w:val="000000"/>
          <w:spacing w:val="0"/>
          <w:w w:val="100"/>
          <w:position w:val="0"/>
        </w:rPr>
        <w:t xml:space="preserve">，本次权益分派股权登记日为: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日。截止报告期末，公司已经完成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年度权益分派的实施工作。</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公司报告期利润分配预案及资本公积金转增股本预案符合公司章程等的相关规定。</w:t>
      </w:r>
      <w:r>
        <w:br w:type="page"/>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224,682,030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22,468,203.00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22,468,203.00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320,730,985.65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公司经第二届董事会第二十五次会议审议通过，以总股本</w:t>
            </w:r>
            <w:r>
              <w:rPr>
                <w:rFonts w:ascii="Times New Roman" w:eastAsia="Times New Roman" w:hAnsi="Times New Roman" w:cs="Times New Roman"/>
                <w:color w:val="000000"/>
                <w:spacing w:val="0"/>
                <w:w w:val="100"/>
                <w:position w:val="0"/>
                <w:sz w:val="18"/>
                <w:szCs w:val="18"/>
              </w:rPr>
              <w:t>224,682,030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 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股，剩余未分配利润结转以后年度分配。</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404" w:name="bookmark404"/>
      <w:bookmarkStart w:id="405" w:name="bookmark405"/>
      <w:bookmarkStart w:id="406" w:name="bookmark406"/>
      <w:r>
        <w:rPr>
          <w:color w:val="000000"/>
          <w:spacing w:val="0"/>
          <w:w w:val="100"/>
          <w:position w:val="0"/>
        </w:rPr>
        <w:t>十三、公司股权激励计划、员工持股计划或其他员工激励措施的实施情况</w:t>
      </w:r>
      <w:bookmarkEnd w:id="404"/>
      <w:bookmarkEnd w:id="405"/>
      <w:bookmarkEnd w:id="406"/>
    </w:p>
    <w:p>
      <w:pPr>
        <w:pStyle w:val="Style16"/>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、股权激励</w:t>
      </w:r>
      <w:bookmarkEnd w:id="407"/>
      <w:bookmarkEnd w:id="408"/>
      <w:bookmarkEnd w:id="410"/>
    </w:p>
    <w:p>
      <w:pPr>
        <w:pStyle w:val="Style16"/>
        <w:keepNext w:val="0"/>
        <w:keepLines w:val="0"/>
        <w:widowControl w:val="0"/>
        <w:shd w:val="clear" w:color="auto" w:fill="auto"/>
        <w:bidi w:val="0"/>
        <w:spacing w:before="0" w:after="0" w:line="316" w:lineRule="exact"/>
        <w:ind w:left="0" w:right="0"/>
        <w:jc w:val="left"/>
      </w:pPr>
      <w:bookmarkStart w:id="411" w:name="bookmark411"/>
      <w:r>
        <w:rPr>
          <w:color w:val="000000"/>
          <w:spacing w:val="0"/>
          <w:w w:val="100"/>
          <w:position w:val="0"/>
        </w:rPr>
        <w:t>（</w:t>
      </w:r>
      <w:bookmarkEnd w:id="4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日，公司第二届董事会第十五次会议、第二届监事会第十次会议审议通过了《关于</w:t>
      </w:r>
      <w:r>
        <w:rPr>
          <w:color w:val="000000"/>
          <w:spacing w:val="0"/>
          <w:w w:val="100"/>
          <w:position w:val="0"/>
          <w:sz w:val="18"/>
          <w:szCs w:val="18"/>
        </w:rPr>
        <w:t>〈</w:t>
      </w:r>
      <w:r>
        <w:rPr>
          <w:color w:val="000000"/>
          <w:spacing w:val="0"/>
          <w:w w:val="100"/>
          <w:position w:val="0"/>
        </w:rPr>
        <w:t>天阳宏业科技股 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天阳宏业科技股份有限公司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 票激励计划实施考核管理办法</w:t>
      </w:r>
      <w:r>
        <w:rPr>
          <w:color w:val="000000"/>
          <w:spacing w:val="0"/>
          <w:w w:val="100"/>
          <w:position w:val="0"/>
          <w:sz w:val="18"/>
          <w:szCs w:val="18"/>
        </w:rPr>
        <w:t>〉</w:t>
      </w:r>
      <w:r>
        <w:rPr>
          <w:color w:val="000000"/>
          <w:spacing w:val="0"/>
          <w:w w:val="100"/>
          <w:position w:val="0"/>
        </w:rPr>
        <w:t>等议案》；</w:t>
      </w:r>
    </w:p>
    <w:p>
      <w:pPr>
        <w:pStyle w:val="Style16"/>
        <w:keepNext w:val="0"/>
        <w:keepLines w:val="0"/>
        <w:widowControl w:val="0"/>
        <w:shd w:val="clear" w:color="auto" w:fill="auto"/>
        <w:tabs>
          <w:tab w:pos="882" w:val="left"/>
        </w:tabs>
        <w:bidi w:val="0"/>
        <w:spacing w:before="0" w:after="0" w:line="316" w:lineRule="exact"/>
        <w:ind w:left="0" w:right="0"/>
        <w:jc w:val="left"/>
      </w:pPr>
      <w:bookmarkStart w:id="412" w:name="bookmark412"/>
      <w:r>
        <w:rPr>
          <w:color w:val="000000"/>
          <w:spacing w:val="0"/>
          <w:w w:val="100"/>
          <w:position w:val="0"/>
        </w:rPr>
        <w:t>（</w:t>
      </w:r>
      <w:bookmarkEnd w:id="4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年第一次临时股东大会审议并通过了《关于</w:t>
      </w:r>
      <w:r>
        <w:rPr>
          <w:color w:val="000000"/>
          <w:spacing w:val="0"/>
          <w:w w:val="100"/>
          <w:position w:val="0"/>
          <w:sz w:val="18"/>
          <w:szCs w:val="18"/>
        </w:rPr>
        <w:t>〈</w:t>
      </w:r>
      <w:r>
        <w:rPr>
          <w:color w:val="000000"/>
          <w:spacing w:val="0"/>
          <w:w w:val="100"/>
          <w:position w:val="0"/>
        </w:rPr>
        <w:t>天阳宏业科技股份有限公司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 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天阳宏业科技股份有限公司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年限制性股票激励计划实施考核管理 办法</w:t>
      </w:r>
      <w:r>
        <w:rPr>
          <w:color w:val="000000"/>
          <w:spacing w:val="0"/>
          <w:w w:val="100"/>
          <w:position w:val="0"/>
          <w:sz w:val="18"/>
          <w:szCs w:val="18"/>
        </w:rPr>
        <w:t>〉</w:t>
      </w:r>
      <w:r>
        <w:rPr>
          <w:color w:val="000000"/>
          <w:spacing w:val="0"/>
          <w:w w:val="100"/>
          <w:position w:val="0"/>
        </w:rPr>
        <w:t>的议案》、《关于提请股东大会授权董事会办理公司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年限制性股票激励计划有关事项的议案》。公司实施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限制性股票激励计划获得批准，董事会被授权确定授予日、在激励对象符合条件时向激励对象授予限制性股票，并办理授予 所必需的全部事宜；</w:t>
      </w:r>
    </w:p>
    <w:p>
      <w:pPr>
        <w:pStyle w:val="Style16"/>
        <w:keepNext w:val="0"/>
        <w:keepLines w:val="0"/>
        <w:widowControl w:val="0"/>
        <w:shd w:val="clear" w:color="auto" w:fill="auto"/>
        <w:bidi w:val="0"/>
        <w:spacing w:before="0" w:after="260" w:line="316" w:lineRule="exact"/>
        <w:ind w:left="0" w:right="0"/>
        <w:jc w:val="left"/>
      </w:pPr>
      <w:bookmarkStart w:id="413" w:name="bookmark413"/>
      <w:r>
        <w:rPr>
          <w:color w:val="000000"/>
          <w:spacing w:val="0"/>
          <w:w w:val="100"/>
          <w:position w:val="0"/>
        </w:rPr>
        <w:t>（</w:t>
      </w:r>
      <w:bookmarkEnd w:id="413"/>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日，公司第二届董事会第十六次会议和第二届监事会第十一次会议审议通过了《关于向激励对象首次 授予限制性股票的议案》，公司独立董事对此发表了独立意见，认为激励对象主体资格合法、有效，确定的授予日符合相关 规定。</w:t>
      </w:r>
      <w:r>
        <w:br w:type="page"/>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董事、高级管理人员获得的股权激励情况</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6"/>
        <w:gridCol w:w="682"/>
        <w:gridCol w:w="691"/>
        <w:gridCol w:w="677"/>
        <w:gridCol w:w="682"/>
        <w:gridCol w:w="682"/>
        <w:gridCol w:w="682"/>
        <w:gridCol w:w="682"/>
        <w:gridCol w:w="686"/>
        <w:gridCol w:w="682"/>
        <w:gridCol w:w="691"/>
      </w:tblGrid>
      <w:tr>
        <w:trPr>
          <w:trHeight w:val="196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年初持</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有股票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期权数</w:t>
            </w:r>
          </w:p>
          <w:p>
            <w:pPr>
              <w:pStyle w:val="Style18"/>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 新授予 股票期 权数量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内可行 权股数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内已行 权股数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内已行 权股数 行权价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期末持</w:t>
            </w:r>
          </w:p>
          <w:p>
            <w:pPr>
              <w:pStyle w:val="Style18"/>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有股票</w:t>
            </w:r>
          </w:p>
          <w:p>
            <w:pPr>
              <w:pStyle w:val="Style18"/>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期权数</w:t>
            </w:r>
          </w:p>
          <w:p>
            <w:pPr>
              <w:pStyle w:val="Style18"/>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报告期 末市价 （元</w:t>
            </w:r>
            <w:r>
              <w:rPr>
                <w:rFonts w:ascii="Times New Roman" w:eastAsia="Times New Roman" w:hAnsi="Times New Roman" w:cs="Times New Roman"/>
                <w:color w:val="000000"/>
                <w:spacing w:val="0"/>
                <w:w w:val="100"/>
                <w:position w:val="0"/>
                <w:sz w:val="18"/>
                <w:szCs w:val="18"/>
              </w:rPr>
              <w:t>/</w:t>
            </w:r>
          </w:p>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期初持 有限制 性股票 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新授予 限制性 股票数 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 股票的 授予价 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解锁股</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份数量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期末持 有限制 性股票 数量</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欧阳建 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 兼总经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师海峰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董事兼 副总经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宋晓峰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董事兼 副总经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李亚宁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周传文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秘书兼</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瞌</w:t>
            </w:r>
          </w:p>
          <w:p>
            <w:pPr>
              <w:pStyle w:val="Style18"/>
              <w:keepNext w:val="0"/>
              <w:keepLines w:val="0"/>
              <w:widowControl w:val="0"/>
              <w:shd w:val="clear" w:color="auto" w:fill="auto"/>
              <w:bidi w:val="0"/>
              <w:spacing w:before="0" w:after="100" w:line="18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u w:val="single"/>
              </w:rPr>
              <w:t>n~n.</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13"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上述董事、高级管理人员获得的限制性股票在报告期内未做归属。</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16"/>
        <w:keepNext w:val="0"/>
        <w:keepLines w:val="0"/>
        <w:widowControl w:val="0"/>
        <w:shd w:val="clear" w:color="auto" w:fill="auto"/>
        <w:bidi w:val="0"/>
        <w:spacing w:before="0" w:after="120" w:line="315" w:lineRule="exact"/>
        <w:ind w:left="0" w:right="0" w:firstLine="360"/>
        <w:jc w:val="both"/>
      </w:pPr>
      <w:r>
        <w:rPr>
          <w:color w:val="000000"/>
          <w:spacing w:val="0"/>
          <w:w w:val="100"/>
          <w:position w:val="0"/>
        </w:rPr>
        <w:t>根据公司薪酬管理制度，公司高级管理人员依据其在公司的任职岗位领取相应薪酬，并经公司董事会审议通过。公司董 事会薪酬与考核委员会负责领导和审核对激励对象的考核工作。公司人力资源中心、财务管理中心组成考核工作小组负责具 体实施考核工作，考核工作小组对董事会薪酬与考核委员会负责并报告工作。公司人力资源中心、财务管理中心等相关部门 负责相关考核数据的收集和提供，并对数据的真实性和可靠性负责。公司董事会薪酬与考核委员会负责考核结果的审核。</w:t>
      </w:r>
    </w:p>
    <w:p>
      <w:pPr>
        <w:pStyle w:val="Style27"/>
        <w:keepNext/>
        <w:keepLines/>
        <w:widowControl w:val="0"/>
        <w:shd w:val="clear" w:color="auto" w:fill="auto"/>
        <w:tabs>
          <w:tab w:pos="378" w:val="left"/>
        </w:tabs>
        <w:bidi w:val="0"/>
        <w:spacing w:before="0" w:after="28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2</w:t>
      </w:r>
      <w:bookmarkEnd w:id="416"/>
      <w:r>
        <w:rPr>
          <w:color w:val="000000"/>
          <w:spacing w:val="0"/>
          <w:w w:val="100"/>
          <w:position w:val="0"/>
        </w:rPr>
        <w:t>、</w:t>
        <w:tab/>
        <w:t>员工持股计划的实施情况</w:t>
      </w:r>
      <w:bookmarkEnd w:id="414"/>
      <w:bookmarkEnd w:id="415"/>
      <w:bookmarkEnd w:id="417"/>
    </w:p>
    <w:p>
      <w:pPr>
        <w:pStyle w:val="Style16"/>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28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3</w:t>
      </w:r>
      <w:bookmarkEnd w:id="420"/>
      <w:r>
        <w:rPr>
          <w:color w:val="000000"/>
          <w:spacing w:val="0"/>
          <w:w w:val="100"/>
          <w:position w:val="0"/>
        </w:rPr>
        <w:t>、</w:t>
        <w:tab/>
        <w:t>其他员工激励措施</w:t>
      </w:r>
      <w:bookmarkEnd w:id="418"/>
      <w:bookmarkEnd w:id="419"/>
      <w:bookmarkEnd w:id="421"/>
    </w:p>
    <w:p>
      <w:pPr>
        <w:pStyle w:val="Style1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1"/>
        <w:keepNext/>
        <w:keepLines/>
        <w:widowControl w:val="0"/>
        <w:shd w:val="clear" w:color="auto" w:fill="auto"/>
        <w:bidi w:val="0"/>
        <w:spacing w:before="0" w:after="380" w:line="240" w:lineRule="auto"/>
        <w:ind w:left="0" w:right="0" w:firstLine="0"/>
        <w:jc w:val="left"/>
      </w:pPr>
      <w:bookmarkStart w:id="422" w:name="bookmark422"/>
      <w:bookmarkStart w:id="423" w:name="bookmark423"/>
      <w:bookmarkStart w:id="424" w:name="bookmark424"/>
      <w:r>
        <w:rPr>
          <w:color w:val="000000"/>
          <w:spacing w:val="0"/>
          <w:w w:val="100"/>
          <w:position w:val="0"/>
        </w:rPr>
        <w:t>十四、报告期内的内部控制制度建设及实施情况</w:t>
      </w:r>
      <w:bookmarkEnd w:id="422"/>
      <w:bookmarkEnd w:id="423"/>
      <w:bookmarkEnd w:id="424"/>
    </w:p>
    <w:p>
      <w:pPr>
        <w:pStyle w:val="Style27"/>
        <w:keepNext/>
        <w:keepLines/>
        <w:widowControl w:val="0"/>
        <w:shd w:val="clear" w:color="auto" w:fill="auto"/>
        <w:bidi w:val="0"/>
        <w:spacing w:before="0" w:after="28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1</w:t>
      </w:r>
      <w:bookmarkEnd w:id="427"/>
      <w:r>
        <w:rPr>
          <w:color w:val="000000"/>
          <w:spacing w:val="0"/>
          <w:w w:val="100"/>
          <w:position w:val="0"/>
        </w:rPr>
        <w:t>、内部控制建设及实施情况</w:t>
      </w:r>
      <w:bookmarkEnd w:id="425"/>
      <w:bookmarkEnd w:id="426"/>
      <w:bookmarkEnd w:id="428"/>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报告期内，公司严格按照各项法律法规等内部控制监管要求，规范经营、优化治理、管控风险，同时，结合企业内部控 制规范体系的规定，建立健全和有效实施内部控制，评价其有效性。公司内部控制制度合理保证经营管理合法合规、资产安 全、财务报告及相关信息真实完整，提高经营效率和效果，促进实现发展战略。</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报告期内，董事会负责公司内部控制的建立健全和有效实施，董事会下设审计委员会，审计委员会负责审查企业内部控 制，监督内部控制的有效实施和内部控制自我评价情况，协调内部控制审计及其他相关事宜等。</w:t>
      </w:r>
    </w:p>
    <w:p>
      <w:pPr>
        <w:pStyle w:val="Style16"/>
        <w:keepNext w:val="0"/>
        <w:keepLines w:val="0"/>
        <w:widowControl w:val="0"/>
        <w:shd w:val="clear" w:color="auto" w:fill="auto"/>
        <w:bidi w:val="0"/>
        <w:spacing w:before="0" w:after="700" w:line="314" w:lineRule="exact"/>
        <w:ind w:left="0" w:right="0"/>
        <w:jc w:val="both"/>
      </w:pPr>
      <w:r>
        <w:rPr>
          <w:color w:val="000000"/>
          <w:spacing w:val="0"/>
          <w:w w:val="100"/>
          <w:position w:val="0"/>
        </w:rPr>
        <w:t>报告期内，根据公司确定的内部控制缺陷认定标准，公司不存在财务报告和非财务报告内部控制重大缺陷和重要缺陷。</w:t>
      </w:r>
    </w:p>
    <w:p>
      <w:pPr>
        <w:pStyle w:val="Style27"/>
        <w:keepNext/>
        <w:keepLines/>
        <w:widowControl w:val="0"/>
        <w:shd w:val="clear" w:color="auto" w:fill="auto"/>
        <w:bidi w:val="0"/>
        <w:spacing w:before="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2</w:t>
      </w:r>
      <w:bookmarkEnd w:id="431"/>
      <w:r>
        <w:rPr>
          <w:color w:val="000000"/>
          <w:spacing w:val="0"/>
          <w:w w:val="100"/>
          <w:position w:val="0"/>
        </w:rPr>
        <w:t>、报告期内发现的内部控制重大缺陷的具体情况</w:t>
      </w:r>
      <w:bookmarkEnd w:id="429"/>
      <w:bookmarkEnd w:id="430"/>
      <w:bookmarkEnd w:id="432"/>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320" w:line="240" w:lineRule="auto"/>
        <w:ind w:left="0" w:right="0" w:firstLine="0"/>
        <w:jc w:val="left"/>
      </w:pPr>
      <w:bookmarkStart w:id="433" w:name="bookmark433"/>
      <w:bookmarkStart w:id="434" w:name="bookmark434"/>
      <w:bookmarkStart w:id="435" w:name="bookmark435"/>
      <w:r>
        <w:rPr>
          <w:color w:val="000000"/>
          <w:spacing w:val="0"/>
          <w:w w:val="100"/>
          <w:position w:val="0"/>
        </w:rPr>
        <w:t>十五、公司报告期内对子公司的管理控制情况</w:t>
      </w:r>
      <w:bookmarkEnd w:id="433"/>
      <w:bookmarkEnd w:id="434"/>
      <w:bookmarkEnd w:id="435"/>
    </w:p>
    <w:tbl>
      <w:tblPr>
        <w:tblOverlap w:val="never"/>
        <w:jc w:val="center"/>
        <w:tblLayout w:type="fixed"/>
      </w:tblPr>
      <w:tblGrid>
        <w:gridCol w:w="1378"/>
        <w:gridCol w:w="1363"/>
        <w:gridCol w:w="1368"/>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1"/>
        <w:keepNext/>
        <w:keepLines/>
        <w:widowControl w:val="0"/>
        <w:shd w:val="clear" w:color="auto" w:fill="auto"/>
        <w:bidi w:val="0"/>
        <w:spacing w:before="0" w:after="380" w:line="240" w:lineRule="auto"/>
        <w:ind w:left="0" w:right="0" w:firstLine="0"/>
        <w:jc w:val="left"/>
      </w:pPr>
      <w:bookmarkStart w:id="436" w:name="bookmark436"/>
      <w:bookmarkStart w:id="437" w:name="bookmark437"/>
      <w:bookmarkStart w:id="438" w:name="bookmark438"/>
      <w:r>
        <w:rPr>
          <w:color w:val="000000"/>
          <w:spacing w:val="0"/>
          <w:w w:val="100"/>
          <w:position w:val="0"/>
        </w:rPr>
        <w:t>十六、内部控制自我评价报告或内部控制审计报告</w:t>
      </w:r>
      <w:bookmarkEnd w:id="436"/>
      <w:bookmarkEnd w:id="437"/>
      <w:bookmarkEnd w:id="438"/>
    </w:p>
    <w:p>
      <w:pPr>
        <w:pStyle w:val="Style27"/>
        <w:keepNext/>
        <w:keepLines/>
        <w:widowControl w:val="0"/>
        <w:shd w:val="clear" w:color="auto" w:fill="auto"/>
        <w:bidi w:val="0"/>
        <w:spacing w:before="0" w:after="32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bookmarkEnd w:id="441"/>
      <w:r>
        <w:rPr>
          <w:color w:val="000000"/>
          <w:spacing w:val="0"/>
          <w:w w:val="100"/>
          <w:position w:val="0"/>
        </w:rPr>
        <w:t>、内控自我评价报告</w:t>
      </w:r>
      <w:bookmarkEnd w:id="439"/>
      <w:bookmarkEnd w:id="440"/>
      <w:bookmarkEnd w:id="442"/>
    </w:p>
    <w:tbl>
      <w:tblPr>
        <w:tblOverlap w:val="never"/>
        <w:jc w:val="center"/>
        <w:tblLayout w:type="fixed"/>
      </w:tblPr>
      <w:tblGrid>
        <w:gridCol w:w="3202"/>
        <w:gridCol w:w="638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财务报表营业总收入的比例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95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①重大缺陷：是指一个或多个控制缺陷的 组合，可能导致企业严重偏离控制目标。 出现下列特征的，认定为重大缺陷；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 </w:t>
            </w:r>
            <w:r>
              <w:rPr>
                <w:color w:val="000000"/>
                <w:spacing w:val="0"/>
                <w:w w:val="100"/>
                <w:position w:val="0"/>
              </w:rPr>
              <w:t>董事、监事和高级管理人员舞弊；</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注 册会计师发现当期财务报告存在重大错 报，而内部控制在运行过程中未能发现该 错报；</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审计委员会以及内部审计部门 对财务报告内部控制监督无效；</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 xml:space="preserve">对已 经公告的财务报告出现的重大差错进行错 报更正。②重要缺陷：是指一个或多个控 制缺陷的组合，其严重程度和经济后果低 于重大缺陷但仍有可能导致企业偏离控制 目标。出现以下特征的，认定为重要缺陷：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未依照公认会计准则选择和应用会计 政策；</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 xml:space="preserve">未建立反舞弊程序和控制措施； </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对于非常规或特殊交易的账务处理没 有建立相应的控制机制或没有实施且没有 相应的补偿性控制；</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对于期末财务报告 过程的控制存在一项或多项缺陷且不能合 理保证编制的财务报表达到真实、准确的 目标。③一般缺陷：是指除重大缺陷和重 要缺陷之外的其他控制缺陷。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①具有以下特征的缺陷，认定为重大缺 陷：</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公司缺乏民主决策程序；</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 </w:t>
            </w:r>
            <w:r>
              <w:rPr>
                <w:color w:val="000000"/>
                <w:spacing w:val="0"/>
                <w:w w:val="100"/>
                <w:position w:val="0"/>
              </w:rPr>
              <w:t>公司重要业务缺乏制度控制或制度体 系失效；</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公司经营活动严重违反国 家法律法规；</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 xml:space="preserve">中高级管理人员、核 心技术人员、业务人员严重流失。②具 有以下特征的缺陷，认定为重要缺陷；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公司组织架构、民主决策程序不完 善；</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公司重要业务制度或系统存在 缺陷；</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公司内部控制重要或一般缺 陷未得到整改；</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公司违反企业内部 规章，形成损失。③一般缺陷：除上述 重大缺陷，重要缺陷之外的其他产生一 般影响或造成轻微损失的控制缺陷。</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%；重要缺陷： 营业收入 %错报〈营业收入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 缺陷：错报〈营业收入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重大缺陷：损失</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%；重要 缺陷：营业收入%损失〈营业收入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一般缺陷：损失〈营业收入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ectPr>
          <w:footnotePr>
            <w:pos w:val="pageBottom"/>
            <w:numFmt w:val="decimal"/>
            <w:numRestart w:val="continuous"/>
          </w:footnotePr>
          <w:pgSz w:w="11900" w:h="16840"/>
          <w:pgMar w:top="1369" w:right="1051" w:bottom="1479" w:left="1062" w:header="0" w:footer="3" w:gutter="0"/>
          <w:cols w:space="720"/>
          <w:noEndnote/>
          <w:rtlGutter w:val="0"/>
          <w:docGrid w:linePitch="360"/>
        </w:sectPr>
      </w:pPr>
    </w:p>
    <w:p>
      <w:pPr>
        <w:pStyle w:val="Style27"/>
        <w:keepNext/>
        <w:keepLines/>
        <w:widowControl w:val="0"/>
        <w:shd w:val="clear" w:color="auto" w:fill="auto"/>
        <w:bidi w:val="0"/>
        <w:spacing w:before="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、内部控制审计报告或鉴证报告</w:t>
      </w:r>
      <w:bookmarkEnd w:id="443"/>
      <w:bookmarkEnd w:id="444"/>
      <w:bookmarkEnd w:id="446"/>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我们认为，天阳科技按照《企业内部控制基本规范》和相关规定于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日在所有重大方面保持了与财务报表 相关的有效的内部控制。</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会计师事务所是否出具非标准意见的内部控制鉴证报告</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keepLines/>
        <w:widowControl w:val="0"/>
        <w:shd w:val="clear" w:color="auto" w:fill="auto"/>
        <w:bidi w:val="0"/>
        <w:spacing w:before="0" w:after="380" w:line="240" w:lineRule="auto"/>
        <w:ind w:left="0" w:right="0" w:firstLine="0"/>
        <w:jc w:val="left"/>
      </w:pPr>
      <w:bookmarkStart w:id="447" w:name="bookmark447"/>
      <w:bookmarkStart w:id="448" w:name="bookmark448"/>
      <w:bookmarkStart w:id="449" w:name="bookmark449"/>
      <w:r>
        <w:rPr>
          <w:color w:val="000000"/>
          <w:spacing w:val="0"/>
          <w:w w:val="100"/>
          <w:position w:val="0"/>
        </w:rPr>
        <w:t>十七、上市公司治理专项行动自查问题整改情况</w:t>
      </w:r>
      <w:bookmarkEnd w:id="447"/>
      <w:bookmarkEnd w:id="448"/>
      <w:bookmarkEnd w:id="449"/>
    </w:p>
    <w:p>
      <w:pPr>
        <w:pStyle w:val="Style16"/>
        <w:keepNext w:val="0"/>
        <w:keepLines w:val="0"/>
        <w:widowControl w:val="0"/>
        <w:shd w:val="clear" w:color="auto" w:fill="auto"/>
        <w:bidi w:val="0"/>
        <w:spacing w:before="0" w:after="140" w:line="240" w:lineRule="auto"/>
        <w:ind w:left="0" w:right="0" w:firstLine="300"/>
        <w:jc w:val="left"/>
        <w:sectPr>
          <w:footnotePr>
            <w:pos w:val="pageBottom"/>
            <w:numFmt w:val="decimal"/>
            <w:numRestart w:val="continuous"/>
          </w:footnotePr>
          <w:pgSz w:w="11900" w:h="16840"/>
          <w:pgMar w:top="1772" w:right="1195" w:bottom="1772" w:left="1104" w:header="0" w:footer="3" w:gutter="0"/>
          <w:cols w:space="720"/>
          <w:noEndnote/>
          <w:rtlGutter w:val="0"/>
          <w:docGrid w:linePitch="360"/>
        </w:sectPr>
      </w:pPr>
      <w:r>
        <w:rPr>
          <w:color w:val="000000"/>
          <w:spacing w:val="0"/>
          <w:w w:val="100"/>
          <w:position w:val="0"/>
        </w:rPr>
        <w:t>本报告期内，公司不存在上市公司治理专项行动自查问题整改情况。</w:t>
      </w:r>
    </w:p>
    <w:p>
      <w:pPr>
        <w:pStyle w:val="Style4"/>
        <w:keepNext/>
        <w:keepLines/>
        <w:widowControl w:val="0"/>
        <w:shd w:val="clear" w:color="auto" w:fill="auto"/>
        <w:bidi w:val="0"/>
        <w:spacing w:before="520" w:after="560" w:line="240" w:lineRule="auto"/>
        <w:ind w:left="0" w:right="0" w:firstLine="0"/>
        <w:jc w:val="center"/>
      </w:pPr>
      <w:bookmarkStart w:id="450" w:name="bookmark450"/>
      <w:bookmarkStart w:id="451" w:name="bookmark451"/>
      <w:bookmarkStart w:id="452" w:name="bookmark452"/>
      <w:r>
        <w:rPr>
          <w:color w:val="000000"/>
          <w:spacing w:val="0"/>
          <w:w w:val="100"/>
          <w:position w:val="0"/>
        </w:rPr>
        <w:t>第五节环境和社会责任</w:t>
      </w:r>
      <w:bookmarkEnd w:id="450"/>
      <w:bookmarkEnd w:id="451"/>
      <w:bookmarkEnd w:id="452"/>
    </w:p>
    <w:p>
      <w:pPr>
        <w:pStyle w:val="Style21"/>
        <w:keepNext/>
        <w:keepLines/>
        <w:widowControl w:val="0"/>
        <w:shd w:val="clear" w:color="auto" w:fill="auto"/>
        <w:bidi w:val="0"/>
        <w:spacing w:before="0" w:after="380" w:line="240" w:lineRule="auto"/>
        <w:ind w:left="0" w:right="0" w:firstLine="260"/>
        <w:jc w:val="left"/>
      </w:pPr>
      <w:bookmarkStart w:id="453" w:name="bookmark453"/>
      <w:bookmarkStart w:id="454" w:name="bookmark454"/>
      <w:bookmarkStart w:id="455" w:name="bookmark455"/>
      <w:bookmarkStart w:id="456" w:name="bookmark456"/>
      <w:r>
        <w:rPr>
          <w:color w:val="000000"/>
          <w:spacing w:val="0"/>
          <w:w w:val="100"/>
          <w:position w:val="0"/>
        </w:rPr>
        <w:t>、重大环保问题</w:t>
      </w:r>
      <w:bookmarkEnd w:id="454"/>
      <w:bookmarkEnd w:id="455"/>
      <w:bookmarkEnd w:id="456"/>
      <w:bookmarkEnd w:id="453"/>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参照重点排污单位披露的其他环境信息</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不适用</w:t>
      </w:r>
    </w:p>
    <w:p>
      <w:pPr>
        <w:pStyle w:val="Style16"/>
        <w:keepNext w:val="0"/>
        <w:keepLines w:val="0"/>
        <w:widowControl w:val="0"/>
        <w:shd w:val="clear" w:color="auto" w:fill="auto"/>
        <w:bidi w:val="0"/>
        <w:spacing w:before="0" w:after="160" w:line="314" w:lineRule="exact"/>
        <w:ind w:left="0" w:right="0" w:firstLine="0"/>
        <w:jc w:val="left"/>
      </w:pPr>
      <w:r>
        <w:rPr>
          <w:color w:val="000000"/>
          <w:spacing w:val="0"/>
          <w:w w:val="100"/>
          <w:position w:val="0"/>
        </w:rPr>
        <w:t>在报告期内为减少其碳排放所采取的措施及效果</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未披露其他环境信息的原因</w:t>
      </w:r>
    </w:p>
    <w:p>
      <w:pPr>
        <w:pStyle w:val="Style16"/>
        <w:keepNext w:val="0"/>
        <w:keepLines w:val="0"/>
        <w:widowControl w:val="0"/>
        <w:shd w:val="clear" w:color="auto" w:fill="auto"/>
        <w:bidi w:val="0"/>
        <w:spacing w:before="0" w:after="700" w:line="322" w:lineRule="exact"/>
        <w:ind w:left="0" w:right="0" w:firstLine="0"/>
        <w:jc w:val="left"/>
      </w:pPr>
      <w:r>
        <w:rPr>
          <w:color w:val="000000"/>
          <w:spacing w:val="0"/>
          <w:w w:val="100"/>
          <w:position w:val="0"/>
        </w:rPr>
        <w:t>公司及子公司的主营业务为软件研发与实施，不属于环境保护部门公布的重点排污单位，不存在因环境问题受到行政处罚的 情况。</w:t>
      </w:r>
    </w:p>
    <w:p>
      <w:pPr>
        <w:pStyle w:val="Style21"/>
        <w:keepNext/>
        <w:keepLines/>
        <w:widowControl w:val="0"/>
        <w:shd w:val="clear" w:color="auto" w:fill="auto"/>
        <w:tabs>
          <w:tab w:pos="517" w:val="left"/>
        </w:tabs>
        <w:bidi w:val="0"/>
        <w:spacing w:before="0" w:after="26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二</w:t>
      </w:r>
      <w:bookmarkEnd w:id="459"/>
      <w:r>
        <w:rPr>
          <w:color w:val="000000"/>
          <w:spacing w:val="0"/>
          <w:w w:val="100"/>
          <w:position w:val="0"/>
        </w:rPr>
        <w:t>、</w:t>
        <w:tab/>
        <w:t>社会责任情况</w:t>
      </w:r>
      <w:bookmarkEnd w:id="457"/>
      <w:bookmarkEnd w:id="458"/>
      <w:bookmarkEnd w:id="460"/>
    </w:p>
    <w:p>
      <w:pPr>
        <w:pStyle w:val="Style16"/>
        <w:keepNext w:val="0"/>
        <w:keepLines w:val="0"/>
        <w:widowControl w:val="0"/>
        <w:shd w:val="clear" w:color="auto" w:fill="auto"/>
        <w:bidi w:val="0"/>
        <w:spacing w:before="0" w:after="0" w:line="312" w:lineRule="exact"/>
        <w:ind w:left="0" w:right="0" w:firstLine="560"/>
        <w:jc w:val="left"/>
      </w:pPr>
      <w:r>
        <w:rPr>
          <w:color w:val="000000"/>
          <w:spacing w:val="0"/>
          <w:w w:val="100"/>
          <w:position w:val="0"/>
        </w:rPr>
        <w:t>公司十分重视所应承担的社会责任，在提升经济效益和股东利益的同时，也积极承担对社会、员工、客户及供应商等 利益相关者的责任，并通过开放创新，协同生态，将社会责任融入企业发展战略中。</w:t>
      </w:r>
    </w:p>
    <w:p>
      <w:pPr>
        <w:pStyle w:val="Style16"/>
        <w:keepNext w:val="0"/>
        <w:keepLines w:val="0"/>
        <w:widowControl w:val="0"/>
        <w:shd w:val="clear" w:color="auto" w:fill="auto"/>
        <w:bidi w:val="0"/>
        <w:spacing w:before="0" w:after="0" w:line="314" w:lineRule="exact"/>
        <w:ind w:left="0" w:right="0" w:firstLine="5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年，公司一如既往的投身社会公益事业。百年大计，教育为本，为了发展乡村教育，让贫困地区的孩子们也能获 得优质在线教育资源，公司积极参与由中国证券监督管理委员会西藏监管局牵头的西藏那曲市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古露镇完全小学通用语言远 程教学项目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建设计划，并向古露镇完全小学捐赠</w:t>
      </w:r>
      <w:r>
        <w:rPr>
          <w:rFonts w:ascii="Times New Roman" w:eastAsia="Times New Roman" w:hAnsi="Times New Roman" w:cs="Times New Roman"/>
          <w:color w:val="000000"/>
          <w:spacing w:val="0"/>
          <w:w w:val="100"/>
          <w:position w:val="0"/>
          <w:sz w:val="18"/>
          <w:szCs w:val="18"/>
        </w:rPr>
        <w:t>620</w:t>
      </w:r>
      <w:r>
        <w:rPr>
          <w:color w:val="000000"/>
          <w:spacing w:val="0"/>
          <w:w w:val="100"/>
          <w:position w:val="0"/>
        </w:rPr>
        <w:t>套课桌、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台笔记本电脑，以改善其教育教学环境。该项目的成功落地， 使智慧教育走进了我国最偏远的藏北高原，对帮扶古露镇完全小学提升教学质量、提高教师教学能力和学生综合素质起到积 极的推动作用。</w:t>
      </w:r>
    </w:p>
    <w:p>
      <w:pPr>
        <w:pStyle w:val="Style16"/>
        <w:keepNext w:val="0"/>
        <w:keepLines w:val="0"/>
        <w:widowControl w:val="0"/>
        <w:shd w:val="clear" w:color="auto" w:fill="auto"/>
        <w:bidi w:val="0"/>
        <w:spacing w:before="0" w:after="380" w:line="307" w:lineRule="exact"/>
        <w:ind w:left="0" w:right="0" w:firstLine="560"/>
        <w:jc w:val="left"/>
      </w:pPr>
      <w:r>
        <w:rPr>
          <w:color w:val="000000"/>
          <w:spacing w:val="0"/>
          <w:w w:val="100"/>
          <w:position w:val="0"/>
        </w:rPr>
        <w:t>企业的发展离不开社会的支持，回报社会也是企业应尽的责任与义务。未来，公司将继续依托自身优势，不遗余力的 践行企业社会责任。</w:t>
      </w:r>
    </w:p>
    <w:p>
      <w:pPr>
        <w:pStyle w:val="Style21"/>
        <w:keepNext/>
        <w:keepLines/>
        <w:widowControl w:val="0"/>
        <w:shd w:val="clear" w:color="auto" w:fill="auto"/>
        <w:tabs>
          <w:tab w:pos="522" w:val="left"/>
        </w:tabs>
        <w:bidi w:val="0"/>
        <w:spacing w:before="0" w:after="26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三</w:t>
      </w:r>
      <w:bookmarkEnd w:id="463"/>
      <w:r>
        <w:rPr>
          <w:color w:val="000000"/>
          <w:spacing w:val="0"/>
          <w:w w:val="100"/>
          <w:position w:val="0"/>
        </w:rPr>
        <w:t>、</w:t>
        <w:tab/>
        <w:t>巩固拓展脱贫攻坚成果、乡村振兴的情况</w:t>
      </w:r>
      <w:bookmarkEnd w:id="461"/>
      <w:bookmarkEnd w:id="462"/>
      <w:bookmarkEnd w:id="464"/>
    </w:p>
    <w:p>
      <w:pPr>
        <w:pStyle w:val="Style16"/>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无</w:t>
      </w:r>
      <w:r>
        <w:br w:type="page"/>
      </w:r>
    </w:p>
    <w:p>
      <w:pPr>
        <w:pStyle w:val="Style4"/>
        <w:keepNext/>
        <w:keepLines/>
        <w:widowControl w:val="0"/>
        <w:shd w:val="clear" w:color="auto" w:fill="auto"/>
        <w:bidi w:val="0"/>
        <w:spacing w:before="0" w:after="560" w:line="240" w:lineRule="auto"/>
        <w:ind w:left="0" w:right="0" w:firstLine="0"/>
        <w:jc w:val="center"/>
      </w:pPr>
      <w:bookmarkStart w:id="465" w:name="bookmark465"/>
      <w:bookmarkStart w:id="466" w:name="bookmark466"/>
      <w:bookmarkStart w:id="467" w:name="bookmark467"/>
      <w:r>
        <w:rPr>
          <w:color w:val="000000"/>
          <w:spacing w:val="0"/>
          <w:w w:val="100"/>
          <w:position w:val="0"/>
        </w:rPr>
        <w:t>第六节重要事项</w:t>
      </w:r>
      <w:bookmarkEnd w:id="465"/>
      <w:bookmarkEnd w:id="466"/>
      <w:bookmarkEnd w:id="467"/>
    </w:p>
    <w:p>
      <w:pPr>
        <w:pStyle w:val="Style21"/>
        <w:keepNext/>
        <w:keepLines/>
        <w:widowControl w:val="0"/>
        <w:shd w:val="clear" w:color="auto" w:fill="auto"/>
        <w:bidi w:val="0"/>
        <w:spacing w:before="0" w:after="280" w:line="240" w:lineRule="auto"/>
        <w:ind w:left="0" w:right="0" w:firstLine="0"/>
        <w:jc w:val="left"/>
      </w:pPr>
      <w:bookmarkStart w:id="468" w:name="bookmark468"/>
      <w:bookmarkStart w:id="469" w:name="bookmark469"/>
      <w:bookmarkStart w:id="470" w:name="bookmark470"/>
      <w:bookmarkStart w:id="471" w:name="bookmark471"/>
      <w:bookmarkStart w:id="472" w:name="bookmark472"/>
      <w:r>
        <w:rPr>
          <w:color w:val="000000"/>
          <w:spacing w:val="0"/>
          <w:w w:val="100"/>
          <w:position w:val="0"/>
        </w:rPr>
        <w:t>一</w:t>
      </w:r>
      <w:bookmarkEnd w:id="471"/>
      <w:r>
        <w:rPr>
          <w:color w:val="000000"/>
          <w:spacing w:val="0"/>
          <w:w w:val="100"/>
          <w:position w:val="0"/>
        </w:rPr>
        <w:t>、承诺事项履行情况</w:t>
      </w:r>
      <w:bookmarkEnd w:id="469"/>
      <w:bookmarkEnd w:id="470"/>
      <w:bookmarkEnd w:id="472"/>
      <w:bookmarkEnd w:id="468"/>
    </w:p>
    <w:p>
      <w:pPr>
        <w:pStyle w:val="Style27"/>
        <w:keepNext/>
        <w:keepLines/>
        <w:widowControl w:val="0"/>
        <w:shd w:val="clear" w:color="auto" w:fill="auto"/>
        <w:bidi w:val="0"/>
        <w:spacing w:before="0" w:after="360" w:line="317" w:lineRule="exact"/>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1</w:t>
      </w:r>
      <w:bookmarkEnd w:id="475"/>
      <w:r>
        <w:rPr>
          <w:color w:val="000000"/>
          <w:spacing w:val="0"/>
          <w:w w:val="100"/>
          <w:position w:val="0"/>
        </w:rPr>
        <w:t>、公司实际控制人、股东、关联方、收购人以及公司等承诺相关方在报告期内履行完毕及截至报告期末 尚未履行完毕的承诺事项</w:t>
      </w:r>
      <w:bookmarkEnd w:id="473"/>
      <w:bookmarkEnd w:id="474"/>
      <w:bookmarkEnd w:id="476"/>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92"/>
        <w:gridCol w:w="1138"/>
        <w:gridCol w:w="989"/>
        <w:gridCol w:w="3547"/>
        <w:gridCol w:w="850"/>
        <w:gridCol w:w="566"/>
        <w:gridCol w:w="504"/>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首次公开发行或再融资 时所作承诺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北京天阳宏</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业投资管理</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合伙企业（有</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欧阳</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股份锁定及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公司控股股东和实际控制人欧阳建平承诺：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、自天阳科技股票在深圳证券交易所上市交 易之日起三十六个月内，本人不转让或者委 托他人管理本人所持有的天阳科技股份，也 不会由天阳科技回购该等股份。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、在本人担 任天阳科技董事、监事、高级管理人员期间， 每年转让的股份不超过本人持有天阳科技股 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；离职后半年内，不转让本人 持有的天阳科技股份。本人在首次公开发行 股票上市之日起六个月内申报离职的，自申 报离职之日起十八个月内不得转让本人直接 和间接持有的本公司股份；在首次公开发行 股票上市之日起第七个月至第十二个月之间 申报离职的，自申报离职之日起十二个月内 不得转让本人直接和间接持有的本公司股 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、本人在前述锁定期满后两年内转让所 持公司股份的，转让价格不低于股票发行价。 如天阳科技在此期间有派息、送股、公积金 转增股本、配股等情况的，则本人减持股票 的价格下限将根据除权除息情况进行相应调 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、天阳科技在深圳证券交易所上市后六 个月内如股票连续二十个交易日的收盘价均 低于发行价，或者上市后六个月期末收盘价 低于发行价，本人所持天阳科技股票的锁定 期限自动延长六个月。本人减持公司股份时， 将严格遵守《上市公司股东、董监高减持股 份的若干规定》、《深圳证券交易所上市公司 股东及董事、监事、高级管理人员减持股份</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992"/>
        <w:gridCol w:w="1138"/>
        <w:gridCol w:w="989"/>
        <w:gridCol w:w="3547"/>
        <w:gridCol w:w="850"/>
        <w:gridCol w:w="566"/>
        <w:gridCol w:w="50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承诺</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97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实施细则》的相关规定实施。若中国证监会 和深圳证券交易所在本人减持公司股份前有 其他规定的，则本人承诺将严格遵守本人减 持公司股份时有效的规定实施减持。本人承 诺以上责任不因本人离职而免除。若本人以 上承诺事项与中国证监会、证券交易所最新 监管意见不相符的，本人承诺将根据中国证 监会、证券交易所相关监管意见进行相应调 整。公司其他持股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以上股东天阳投资承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）自天阳科技股票在深圳证券交易所 上市交易之日起三十六个月内，本企业不转 让或者委托他人管理本企业所持有的天阳科 技股份，也不会由天阳科技回购该等股份。</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）本企业在前述锁定期满后两年内转让所 持股份公司股份的，转让价格不低于股票发 行价。如天阳科技在此期间有派息、送股、 公积金转增股本、配股等情况的，则本企业 减持股票的价格下限将根据除权除息情况进 行相应调整。（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）天阳科技在深圳证券交易 所上市后六个月内如股票连续二十个交易日 的收盘价均低于发行价，或者上市后六个月 期末收盘价低于发行价，本企业所持天阳科 技股票的锁定期限自动延长六个月。本企业 减持公司股份时，将严格遵守《上市公司股 东、董监高减持股份的若干规定》、《深圳证 券交易所上市公司股东及董事、监事、高级 管理人员减持股份实施细则》的相关规定实 施。若中国证监会和深圳证券交易所在本企 业减持公司股份前有其他规定的，则本企业 承诺将严格遵守本企业减持公司股份时有效 的规定实施减持。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北京时间投 资合伙企业</w:t>
            </w:r>
          </w:p>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珠海时 间股权投资 合伙企业（有 限合伙）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股份锁定及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公司其他持股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以上股东李青、时间投资及 其一致行动人珠海时间承诺：（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）自天阳科 技股票在深圳证券交易所上市交易之日起十 二个月内，本人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本企业不转让本人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本企业持 有的天阳科技股份，也不会由天阳科技回购 该等股份。（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本企业在前述锁定期满 后两年内转让所持股份公司股份的，每年转 让的股份数量不超过上一年度末登记在本人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本企业名下的股份总数，且转让价格不低于 股票发行价。如天阳科技在此期间有派息、 送股、公积金转增股本、配股等情况的，减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一年</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r>
    </w:tbl>
    <w:p>
      <w:pPr>
        <w:spacing w:lineRule="exact" w:line="1"/>
        <w:rPr>
          <w:sz w:val="2"/>
          <w:szCs w:val="2"/>
        </w:rPr>
      </w:pPr>
      <w:r>
        <w:br w:type="page"/>
      </w:r>
    </w:p>
    <w:tbl>
      <w:tblPr>
        <w:tblOverlap w:val="never"/>
        <w:jc w:val="center"/>
        <w:tblLayout w:type="fixed"/>
      </w:tblPr>
      <w:tblGrid>
        <w:gridCol w:w="1992"/>
        <w:gridCol w:w="1138"/>
        <w:gridCol w:w="989"/>
        <w:gridCol w:w="3547"/>
        <w:gridCol w:w="850"/>
        <w:gridCol w:w="566"/>
        <w:gridCol w:w="50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持价格、减持数量将进行相应调整。本人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企业减持公司股份时，将严格遵守《上市公 司股东、董监高减持股份的若干规定》、《深 圳证券交易所上市公司股东及董事、监事、 高级管理人员减持股份实施细则》的相关规 定实施。若中国证监会和深圳证券交易所在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本企业减持公司股份前有其他规定的， 则本人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本企业承诺将严格遵守本人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 减持公司股份时有效的规定实施减持。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甘泉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晓刚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李亚宁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林敏玲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马志 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师海峰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宋 晓峰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徐健涨 庆勋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 锡云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周传文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股份锁定及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减持承诺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公司全体董事、监事、高级管理人员承诺：（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自天阳科技股票在深圳证券交易所上市交易 之日起十二个月内，本人不转让本人直接或 间接持有的天阳科技股份，也不会由天阳科 技回购该等股份。（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）在本人担任天阳科技 董事、监事、高级管理人员期间，每年转让 的股份不超过本人持有天阳科技股份总数的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；离职后半年内，不转让本人持有的天阳 科技股份。本人在首次公开发行股票上市之 日起六个月内申报离职的，自申报离职之日 起十八个月内不得转让其直接和间接持有的 本公司股份；在首次公开发行股票上市之日 起第七个月至第十二个月之间申报离职的， 自申报离职之日起十二个月内不得转让其直 接和间接持有的本公司股份。（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）本人在前 述锁定期满后两年内转让所持公司股份的， 转让价格不低于股票发行价。如天阳科技在 此期间有派息、送股、公积金转增股本、配 股等情况的，则本人减持股票的价格下限将 根据除权除息情况进行相应调整。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日一年正常履行中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北京天阳宏</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业投资管理</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合伙企业（有</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欧阳</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建平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持股及减持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意向承诺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公司控股股东和实际控制人欧阳建平及其一 致行动人天阳投资承诺：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、如果在锁定期满 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本企业拟减持公司股票的，将认真 遵守中国证券监督管理委员会、深圳证券交 易所关于上市公司控股股东减持股份的相关 规定，结合公司稳定股价、开展经营、资本 运作的需要，审慎制定股票减持计划，在股 票锁定期满后逐步减持。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、公司存在下列情 形之一的，自相关决定作出之日起至公司股 票终止上市或者恢复上市前，本人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本企业及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本企业的一致行动人不减持公司股份：</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992"/>
        <w:gridCol w:w="1138"/>
        <w:gridCol w:w="989"/>
        <w:gridCol w:w="3547"/>
        <w:gridCol w:w="850"/>
        <w:gridCol w:w="566"/>
        <w:gridCol w:w="50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）公司因欺诈发行或者因重大信息披露违 法受到中国证监会行政处罚；（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）公司因涉 嫌欺诈发行罪或者因涉嫌违规披露、不披露 重要信息罪被依法移送公安机关。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本企业减持公司股票应符合相关法律法规的 规定，具体包括但不限于交易所集中竞价交 易方式、大宗交易方式、协议转让方式等。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如果在锁定期满后两年内，本人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本企业拟减 持股票的，减持价格不低于发行价格（发行 价格指公司首次公开发行股票的发行价格， 如果因公司上市后派发现金红利、送股、转 增股本、增发新股等原因进行除权、除息的， 则按照深圳证券交易所的有关规定除权、除 息处理）。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、如果本人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本企业违反相关法律 法规以及相关承诺减持股份，本人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 在股东大会及中国证监会指定的披露媒体上 公开说明未履行承诺的具体原因并向公司股 东和社会公众投资者道歉，并在六个月内不 减持公司股份。</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本企业减持通过证券 交易所集中竞价交易买入的公司股份，不受 上述承诺约束。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北京时间投 资合伙企业</w:t>
            </w:r>
          </w:p>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珠海时 间股权投资 合伙企业（有 限合伙）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持股及减持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意向承诺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公司其他持股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以上股东李青、时间投资及 其一致行动人珠海时间承诺：（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）如果在锁 定期满后，本人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本企业拟减持公司股票的， 将认真遵守中国证券监督管理委员会、深圳 证券交易所关于持有上市公司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 的股东减持股份的相关规定，结合公司稳定 股价、开展经营、资本运作的需要，审慎制 定股票减持计划，在股票锁定期满后逐步减 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）下列情况下，本人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本企业不减持公 司股份：①公司或者本人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本企业因涉嫌证券 期货违法犯罪，在被中国证监会立案调查或 者被司法机关立案侦查期间，以及在行政处 罚决定、刑事判决作出之后未满六个月的； ②本人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本企业因违反证券交易所规则，被证 券交易所公开谴责未满三个月的；③法律、 行政法规、部门规章、规范性文件以及深圳 证券交易所规定的其他情形。（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业减持公司股票应符合相关法律法规的规 定，具体包括但不限于交易所集中竞价交易 方式、大宗交易方式、协议转让方式等。（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如果在锁定期满后两年内，本人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本企业拟减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992"/>
        <w:gridCol w:w="1138"/>
        <w:gridCol w:w="989"/>
        <w:gridCol w:w="3547"/>
        <w:gridCol w:w="850"/>
        <w:gridCol w:w="566"/>
        <w:gridCol w:w="50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持股票的，减持价格不低于发行价格（发行 价格指公司首次公开发行股票的发行价格， 如果因公司上市后派发现金红利、送股、转 增股本、增发新股等原因进行除权、除息的， 则按照深圳证券交易所的有关规定除权、除 息处理）。（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）如果本人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本企业违反相关法律 法规以及相关承诺减持股份，本人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 在股东大会及中国证监会指定的披露媒体上 公开说明未履行承诺的具体原因并向公司股 东和社会公众投资者道歉，并在六个月内不 减持公司股份。（</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本企业减持通过证 券交易所集中竞价交易入的公司股份，不受 上述承诺约束。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避免同业竞 争、减少及 规范关联交 易的承诺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公司控股股东、实际控制人欧阳建平出具了 《避免同业竞争的承诺函》承诺内容如下：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截至本承诺函出具之日，本人未直接或间接 投资于任何与天阳科技从事相同业务的公 司、企业或其他经济实体，也未直接或间接 从事或参与任何与天阳科技有相同业务或在 商业上构成竞争的业务及活动。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、本人将不 会在中国境内和境外，以任何形式直接或间 接从事或参与任何与天阳科技目前及以后所 从事的主营业务构成竞争的业务及活动；将 不直接或间接开展对天阳科技有竞争或可能 构成竞争的业务、活动或拥有与天阳科技存 在同业竞争关系的任何经济实体、机构、经 济组织的权益；或以其他任何形式取得该经 济实体、机构、经济组织的控制权；或在该 经济实体、机构、经济组织中担任董事、高 级管理人员、核心技术人员或其他职务。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本人不会利用天阳科技股东或董事、监事、 高级管理人员地位作出任何不利于天阳科技 及其股东利益的交易或安排；不以任何方式 从事可能对天阳科技经营、发展产生不利影 响的业务及活动，包括但不限于：利用现有 社会及客户资源阻碍或限制天阳科技的独立 发展；对外散布不利于天阳科技的消息或信 息；不会利用知悉或获取的天阳科技信息直 接或间接实施任何可能损害天阳科技权益的 行为，并承诺不以直接或间接方式实施或参 与实施任何可能损害天阳科技权益的其他竞 争行为。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、本人在作为天阳科技控股股东、</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992"/>
        <w:gridCol w:w="1138"/>
        <w:gridCol w:w="989"/>
        <w:gridCol w:w="3547"/>
        <w:gridCol w:w="850"/>
        <w:gridCol w:w="566"/>
        <w:gridCol w:w="50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100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实际控制人、或担任天阳科技董事、监事、 高级管理人员期间，上述承诺均对本人有约 束力。</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、本承诺可视为对天阳科技及其每一 股东分别作出的承诺，如因未履行上述承诺 给上述各方造成损失的，本人将赔偿有关各 方因此遭受的损失。为进一步规范关联交易， 公司实际控制人和控股股东欧阳建平出具了 《减少及规范关联交易的承诺函》，承诺如 下：截至本承诺函出具之日，除已经披露的 情形外，本人及本人直接或间接控制的除天 阳科技以外的其他企业与天阳科技不存在其 他关联交易。本人及本人直接或间接控制的 除天阳科技以外的其他企业将尽量避免和减 少与天阳科技之间的关联交易。对于无法避 免或有合理理由存在的关联交易，在不与法 律、法规相抵触的前提下，在权利所及范围 内，本人将促使本人直接或间接控制的除天 阳科技以外的其他企业与天阳科技进行关联 交易时将按公平、公开的市场原则进行，签 订规范的关联交易协议，并严格按照法律、 法规、规范性文件和公司章程、关联交易管 理制度等规定履行审核手续，确保交易内容 的合理合法性和交易价格的公允性，并按相 关规定严格履行信息披露义务。本人将不通 过本人所直接或间接控制的除天阳科技以外 的其他企业与天阳科技之间的关联交易谋求 特殊的利益，不会进行有损天阳科技及其中 小股东利益的关联交易。本承诺函自本人签 字之日起生效，直至本人同天阳科技无任何 关联关系之日终止。若违反上述承诺，本人 将对由此给天阳科技造成的损失作出全面、 及时和足额的赔偿。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8" w:hRule="exact"/>
        </w:trPr>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北京天阳宏 业投资管理 合伙企业（有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 时间投资合</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伙企业（有限 合伙）</w:t>
            </w:r>
            <w:r>
              <w:rPr>
                <w:color w:val="000000"/>
                <w:spacing w:val="0"/>
                <w:w w:val="100"/>
                <w:position w:val="0"/>
                <w:sz w:val="18"/>
                <w:szCs w:val="18"/>
              </w:rPr>
              <w:t>；</w:t>
            </w:r>
            <w:r>
              <w:rPr>
                <w:color w:val="000000"/>
                <w:spacing w:val="0"/>
                <w:w w:val="100"/>
                <w:position w:val="0"/>
              </w:rPr>
              <w:t>李青</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珠海时间股 权投资合伙 企业（有限合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避免同业竞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公司持有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以上股份的股东北京天阳宏业 投资管理合伙企业（有限合伙）出具《关于 避免同业竞争的承诺函》，承诺如下：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 至本承诺函出具之日，本企业未直接或间接 投资于任何与天阳科技从事相同业务的公 司、企业或其他经济实体，也未直接或间接 从事或参与任何与天阳科技有相同业务或在 商业上构成竞争的业务及活动。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、本企业将 不会在中国境内和境外，以任何形式直接或 间接从事或参与任何与天阳科技目前及以后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992"/>
        <w:gridCol w:w="1138"/>
        <w:gridCol w:w="989"/>
        <w:gridCol w:w="3547"/>
        <w:gridCol w:w="850"/>
        <w:gridCol w:w="566"/>
        <w:gridCol w:w="50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承诺</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125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所从事的主营业务构成竞争的业务及活动； 将不直接或间接开展对天阳科技有竞争或可 能构成竞争的业务、活动或拥有与天阳科技 存在同业竞争关系的任何经济实体、机构、 经济组织的权益；或以其他任何形式取得该 经济实体、机构、经济组织的控制权。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企业不会利用主要股东地位作出任何不利于 天阳科技及其股东利益的交易或安排；不以 任何方式从事可能对天阳科技经营、发展产 生不利影响的业务及活动，包括但不限于： 利用现有社会及客户资源阻碍或限制天阳科 技的独立发展；对外散布不利于天阳科技的 消息或信息；不会利用知悉或获取的天阳科 技信息直接或间接实施任何可能损害天阳科 技权益的行为，并承诺不以直接或间接方式 实施或参与实施任何可能损害天阳科技权益 的其他竞争行为。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、本承诺可视为对天阳科 技及其每一股东分别作出的承诺，如因未履 行上述承诺给上述各方造成损失的，本人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企业将赔偿有关各方因此遭受的损失。公司 持有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以上股份的其他股东李青、北京时间 投资合伙企业（有限合伙）及其一致行动人 珠海时间创业投资合伙企业（有限合伙）分 别出具《关于避免同业竞争的承诺函》，承诺 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、截至本承诺函出具之日，本人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 业未直接或间接投资于任何与天阳科技从事 相同业务的公司、企业或其他经济实体，也 未直接或间接从事或参与任何与天阳科技有 相同业务或在商业上构成竞争的业务及活 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本企业将采取有效措施，不直接 或间接投资于任何与天阳科技从事相同业务 的公司、企业或其他经济实体，也不直接或 间接从事或参与任何与天阳科技有相同业务 或在商业上构成竞争的业务及活动；以股权 增值为目的的财务性投资除外。</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、以上承诺 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本企业持有天阳科技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以上的股份 期间持续有效。如因本人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本企业未履行相关 承诺事项，致使公司或投资者遭受损失的，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本企业将向公司或投资者依法承担赔偿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天阳宏业科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技股份有限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稳定股价的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本次发行前，公司及公司控股股东、董事及 高级管理人员制定了上市后三年内稳定公司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三年</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正常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1992"/>
        <w:gridCol w:w="1138"/>
        <w:gridCol w:w="989"/>
        <w:gridCol w:w="3547"/>
        <w:gridCol w:w="850"/>
        <w:gridCol w:w="566"/>
        <w:gridCol w:w="50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1312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欧阳建 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杜江龙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 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李晓刚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亚宁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凌云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师 海峰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宋晓峰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王珠林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杨晓明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张庆 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周传文</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措施和承诺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股价的预案，本预案经公司第二届董事会第 七次会议和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 议通过，具体内容如下：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、本预案有效期及 触发稳定股价措施日（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）本预案自公司股票 上市之日起三年内有效。（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）在本预案有效 期内，一旦公司股票出现连续二十个交易日 收盘价均低于公司最近一期末经审计的每股 净资产值（公司最近一期审计基准日后，因 派息、送股、资本公积转增股本、股份拆细、 增发、配股或缩股等事项导致公司净资产或 股份总数发生变化的，则每股净资产相应进 行调整，下同），非因不可抗力，则在符合相 关法律法规、中国证监会相关规定及其他有 约束力的规范性文件规定且公司股权分布符 合上市条件的前提下，控股股东、本公司及 董事（不含独立董事，下同）和高级管理人 员等相关主体将启动稳定公司股价的措施。 上述收盘价低于公司每股净资产的第二十个 交易日为触发稳定股价措施日（简称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触发日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）触发日后，如股票收盘价连续十个 交易日高于最近一期经审计的每股净资产， 则可中止实施该次稳定股价措施，中止实施 稳定股价措施后，如再次出现公司股票收盘 价格连续二十个交易日低于公司最近一期经 审计的每股净资产值的情况，则应继续实施 上述稳定股价措施。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、稳定股价的措施本预 案具体包括三个阶段的稳定股价措施，具体 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）控股股东增持公司股份控股股东 在触发日次日起的五个交易日内，应就其是 否有增持公司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股股票的具体计划书面通知 公司并由公司进行公告，如有具体计划，应 披露拟增持的数量范围、价格区间、完成时 间等信息。控股股东实施增持计划应通过交 易所集中竞价交易方式增持公司股票，资金 来源为自筹，控股股东单次增持的公司权益 的股份不低于其届时所持公司股份总数的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）公司回购本公司股份如控股股东未如 期公告前述具体增持计划或明确表示未有增 持计划，则公司董事会应在触发日次日起十 个交易日内制订并公告公司稳定股价方案； 如控股股东公告的增持计划实施期满但未实 施，则公司董事会应在控股股东公告的司净</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280" w:firstLine="0"/>
              <w:jc w:val="right"/>
            </w:pPr>
            <w:r>
              <w:rPr>
                <w:color w:val="000000"/>
                <w:spacing w:val="0"/>
                <w:w w:val="100"/>
                <w:position w:val="0"/>
              </w:rPr>
              <w:t>中</w:t>
            </w:r>
          </w:p>
        </w:tc>
      </w:tr>
    </w:tbl>
    <w:p>
      <w:pPr>
        <w:spacing w:lineRule="exact" w:line="1"/>
        <w:rPr>
          <w:sz w:val="2"/>
          <w:szCs w:val="2"/>
        </w:rPr>
      </w:pPr>
      <w:r>
        <w:br w:type="page"/>
      </w:r>
    </w:p>
    <w:tbl>
      <w:tblPr>
        <w:tblOverlap w:val="never"/>
        <w:jc w:val="center"/>
        <w:tblLayout w:type="fixed"/>
      </w:tblPr>
      <w:tblGrid>
        <w:gridCol w:w="1992"/>
        <w:gridCol w:w="1138"/>
        <w:gridCol w:w="989"/>
        <w:gridCol w:w="3547"/>
        <w:gridCol w:w="850"/>
        <w:gridCol w:w="566"/>
        <w:gridCol w:w="50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1312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资产金额及公司现金流的实际可承受能力等 因素，合理确定股份回购数量和回购资金总 额上限。本方案须经股东大会审议通过后方 可实施。（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）公司的董事和高级管理人员增 持公司股份如公司董事会未如期公告前述稳 定股价方案，在符合法律法规要求的前提下， 董事、高级管理人员应在董事会公告期限届 满之日的次日起十个交易日内公告增持公司 股票方案；如董事会公告的公司稳定股价方 案未能通过股东大会，在符合法律法规要求 的前提下，董事、高级管理人员应在公司稳 定股价方案未能通过股东大会之日的次日起 十个交易日内公告增持公司股票方案。董事、 高级管理人员应在公告后五个交易日内（如 期间存在</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个交易日限制董事、高级管理人 员直接或间接买卖股票，则董事、高级管理 人员增持期顺延为</w:t>
            </w:r>
            <w:r>
              <w:rPr>
                <w:rFonts w:ascii="Times New Roman" w:eastAsia="Times New Roman" w:hAnsi="Times New Roman" w:cs="Times New Roman"/>
                <w:color w:val="000000"/>
                <w:spacing w:val="0"/>
                <w:w w:val="100"/>
                <w:position w:val="0"/>
                <w:sz w:val="18"/>
                <w:szCs w:val="18"/>
              </w:rPr>
              <w:t>N+5</w:t>
            </w:r>
            <w:r>
              <w:rPr>
                <w:color w:val="000000"/>
                <w:spacing w:val="0"/>
                <w:w w:val="100"/>
                <w:position w:val="0"/>
              </w:rPr>
              <w:t xml:space="preserve">交易日内）将以不低 于上一年度从公司取得薪酬总额（税后）的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用于增持公司股票。在履行完毕前述三项 任一稳定股价措施后的一百二十个交易日 内，控股股东、公司、董事及高级管理人员 的稳定股价义务自动解除。从履行完毕前述 三项任一稳定股价义务的第一百二十一个交 易日开始，如果公司连续二十个交易日股票 收盘价格仍低于最近一期经审计的每股净资 产值，则控股股东、公司、董事及高级管理 人员的稳定股价义务将按照前述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的顺序自动产生。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、未能履行本预案的约束 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）非因不可抗力，如控股股东未能提 出或实施稳定股价的方案，所持股份锁定期 自期满后延长六个月。（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）如本公司董事会 未能制订或实施需由公司实施的稳定股价方 案，董事会应向投资者说明具体原因，公司 根据法律法规的规定及监管部门的要求承担 相应责任。（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）如董事、高级管理人员未能 实施稳定股价的方案，本公司自未能履行约 定义务当月起扣减相关当事人每月薪酬的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，直至累计扣减金额达到应履行稳定股价 义务的上一会计年度从本公司已取得薪酬总 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）如因公司股票上市地上市规 则等证券监管法规规定（包括但不限于对于 社会公众股股东最低持股比例的规定）等客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1138"/>
        <w:gridCol w:w="989"/>
        <w:gridCol w:w="3547"/>
        <w:gridCol w:w="850"/>
        <w:gridCol w:w="566"/>
        <w:gridCol w:w="50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观原因导致控股股东、公司、董事及高级管 理人员在一定时期内无法履行其稳定股价义 务的，相关责任主体可免于前述惩罚，但亦 应积极采取其他措施稳定股价。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、其他事项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）控股股东、公司、董事及高级管理人员 在履行其稳定股价义务时，应符合相关法律 法规、中国证监会相关规定及其他有约束力 的规范性文件的规定，并履行相应的信息披 露义务。（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）公司承诺并保证以同意本预案 内容作为选任董事、高级管理人员的标准之 一，要求新聘任的董事、高级管理人员履行 公司发行上市时董事、高级管理人员已作出 的相应承诺要求和本预案的相应要求。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填补回报措</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施的承诺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公司控股股东和实际控制人欧阳建平作出相 应承诺：本人承诺不越权干预公司经营管理 活动，不侵占公司利益。本人承诺严格履行 所作出的上述承诺事项，确保公司填补回报 措施能够得到切实履行。如果本人违反所作 出的承诺或拒不履行承诺，本人将按照《关 于首发及再融资、重大资产重组摊薄即期回 报有关事项的指导意见》（证监会公告 </w:t>
            </w:r>
            <w:r>
              <w:rPr>
                <w:rFonts w:ascii="Times New Roman" w:eastAsia="Times New Roman" w:hAnsi="Times New Roman" w:cs="Times New Roman"/>
                <w:color w:val="000000"/>
                <w:spacing w:val="0"/>
                <w:w w:val="100"/>
                <w:position w:val="0"/>
                <w:sz w:val="18"/>
                <w:szCs w:val="18"/>
              </w:rPr>
              <w:t>[2015]31</w:t>
            </w:r>
            <w:r>
              <w:rPr>
                <w:color w:val="000000"/>
                <w:spacing w:val="0"/>
                <w:w w:val="100"/>
                <w:position w:val="0"/>
              </w:rPr>
              <w:t>号）等相关规定履行解释、道歉等 相应义务，并同意中国证券监督管理委员会、 深圳证券交易所和中国上市公司协会依法作 出的监管措施或自律监管措施；给公司或者 股东造成损失的，本人愿意依法承担相应补 偿责任。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r>
        <w:trPr>
          <w:trHeight w:val="44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天阳宏业科</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技股份有限</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填补股东被</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摊薄即期回 报的措施及 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公司拟通过加强募集资金管理，加快募投项 目投资进度，提高公司盈利能力和水平，增 厚未来收益，强化投资者回报体制以填补股 东被摊薄即期回报如下：（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）强化募集资金 管理本公司已制定《天阳宏业科技股份有限 公司募集资金管理制度》，募集资金到位后将 存放于董事会指定的专项账户中，本公司将 定期检查募集资金使用情况，从而加强对募 投项目的监管，保证募集资金得到合理、规 范、有效的使用。（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）加快募投项目投资进 度本次发行募集资金到位后，本公司将调配 内部各项资源，加快推进募投项目实施，提 高募集资金使用效率，争取募投项目早日实 施并实现预期效益，以增强公司盈利水平。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992"/>
        <w:gridCol w:w="1138"/>
        <w:gridCol w:w="989"/>
        <w:gridCol w:w="3547"/>
        <w:gridCol w:w="850"/>
        <w:gridCol w:w="566"/>
        <w:gridCol w:w="50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本次募集资金到位前，为尽快实现募投项目 盈利，本公司拟通过多种渠道积极筹措资金， 积极调配资源，开展募投项目的前期准备工 作，增强未来几年的股东回报，降低发行导 致的即期回报被摊薄的风险。（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）提高本公 司盈利能力和水平公司将根据市场需求加快 产品更新迭代，加强研发投入；不断优化管 理，提升效率，降低产品成本。通过多种途 径提升公司业务规模和盈利水平，降低由于 本次发行对投资者回报摊薄的风险。（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）强 化投资者回报体制公司实施积极的利润分配 政策，重视对投资者的合理投资回报，并保 持连续性和稳定性。公司已根据中国证监会 的相关规定及监管要求，制订上市后适用的 《公司章程（草案）》，就利润分配政策事宜 进行详细规定和公开承诺，并制定了本公司 股东未来分红回报规划，充分维护公司股东 依法享有的资产收益等权利，提高公司的未 来回报能力。公司承诺将努力采取以上措施 降低首次公开发行股票摊薄公司即期回报的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天阳宏业科</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技股份有限</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利润分配政</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策的承诺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行人天阳科技承诺：本公司首次公开发行并 在创业板上市后，将严格执行公司为首次公 开发行并在创业板上市而制作的《天阳宏业 科技股份有限公司章程（草案）》中规定的利 润分配政策。若本公司未能执行上述承诺内 容，将采取下列约束措施：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、本公司将在股 东大会及中国证监会指定报刊上公开说明未 履行的具体原因并向公司股东和社会公众投 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、若因本公司未执行该承诺而给 投资者造成直接经济损失的，本公司将在该 等事实被中国证监会或有管辖权的人民法院 作出最终认定或生效判决后，依法赔偿投资 者损失。本公司将严格履行上述承诺，自愿 接受监管机构、社会公众的监督，若违反上 述承诺将依法承担相应责任。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利润分配政</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策的承诺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天阳科技控股股东和实际控制人欧阳建平承 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、本人将督促天阳科技在首次公开发行 并在创业板上市后严格执行为首次公开发行 并在创业板上市而制作的《天阳宏业科技股 份有限公司章程（草案）》中规定的利润分配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992"/>
        <w:gridCol w:w="1138"/>
        <w:gridCol w:w="989"/>
        <w:gridCol w:w="3547"/>
        <w:gridCol w:w="850"/>
        <w:gridCol w:w="566"/>
        <w:gridCol w:w="50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、若天阳科技董事会对利润分配作出 决议后，本人承诺就该等表决事项在股东大 会中以本人控制的股份投赞成票。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、本人保 证将严格履行本承诺函中的承诺事项。若本 人作出的承诺未能履行的，本人承诺将采取 下列约束措施：（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）及时、充分披露本人承 诺未能履行的具体原因；（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）若因本人未履 行承诺事项导致天阳科技招股说明书存在虚 假记载、误导性陈述或者重大遗漏，并因此 给投资者造成直接经济损失的，本人将在该 等事实被中国证监会或有管辖权的人民法院 作出最终认定或生效判决后，依法赔偿投资 者损失；（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）本人将严格履行上述承诺，自 愿接受监管机构、社会公众等的监督，若违 反上述承诺将依法承担相应责任。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天阳宏业科 技股份有限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欧阳建 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北京天阳 宏业投资管 理合伙企业</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杜江龙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甘泉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高新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李晓刚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李亚宁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林敏 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凌云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马志 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师海峰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宋 晓峰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王珠林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徐健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杨晓明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张庆勋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郑锡 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周传文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北京时间 投资合伙企 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珠海时间 股权投资合 伙企业（有限 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未履行承诺 时的约束措 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发行人天阳科技，发行人控股股东、实际控 制人欧阳建平及其一致行动人天阳投资，以 及公司董事、监事、高级管理人员承诺：本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本企业将依法履行《天阳宏业科技股份有 限公司首次公开发行股票并在创业板上市招 股说明书》披露的承诺事项，如本人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 未能履行上述承诺，则（</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本企业将按 照有关法律、法规的规定及监管部门、司法 机关的要求承担相应的法律责任；（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）若致 使投资者在证券交易中遭受损失，本人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本企 业自愿按照相应的赔偿金额冻结自有资金， 为赔偿相关投资者损失提供保障。公司持股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以上的其他股东李青，时间投资及其一致 行动人珠海时间承诺：本人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本企业将依法履 行《天阳宏业科技股份有限公司首次公开发 行股票并在创业板上市招股说明书》披露的 承诺事项，如本人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本企业未能履行上述承诺， 则（</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本企业将按照有关法律、法规的 规定及监管部门、司法机关的要求承担相应 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）如因本人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本企业未履行相 关承诺事项，致使公司或投资者遭受损失的，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本企业将向公司或投资者依法承担赔偿 责任。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r>
        <w:trPr>
          <w:trHeight w:val="103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欧阳建平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社会保险及</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住房公积金</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发行人的控股股东、实际控制人欧阳建平作 出如下承诺：若公司因有关政府部门或司法 机关认定需补缴社会保险费（包括养老保险、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992"/>
        <w:gridCol w:w="1138"/>
        <w:gridCol w:w="989"/>
        <w:gridCol w:w="3547"/>
        <w:gridCol w:w="850"/>
        <w:gridCol w:w="566"/>
        <w:gridCol w:w="50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失业保险、医疗保险、工伤保险、生育保险） 和住房公积金，或因社会保险费和住房公积 金事宜受到处罚，或被任何相关方以任何方 式提出有关社会保险费和住房公积金的合法 权利要求，本人将承担经有关政府部门或司 法机关认定的需由公司补缴的全部社会保险 费和住房公积金、罚款或赔偿款项，全额承 担被任何相关方以任何方式要求的社会保险 费和住房公积金或赔偿款项，以及因上述事 项而产生的由公司支付的或应由公司支付的 所有相关费用。本人进一步承诺，在承担上 述款项和费用后将不向公司追偿，保证公司 不会因此遭受任何损失。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杜江龙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李晓刚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李亚 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凌云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欧阳 建平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师海峰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宋晓峰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王珠 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杨晓 明涨庆勋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 锡云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周传文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对公司填补 回报措施的 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公司董事、高级管理人员作出相应承诺：（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不无偿或以不公平条件向其他单位或者个人 输送利益，也不采用其他方式损害公司利益；</w:t>
            </w:r>
          </w:p>
          <w:p>
            <w:pPr>
              <w:pStyle w:val="Style18"/>
              <w:keepNext w:val="0"/>
              <w:keepLines w:val="0"/>
              <w:widowControl w:val="0"/>
              <w:shd w:val="clear" w:color="auto" w:fill="auto"/>
              <w:tabs>
                <w:tab w:pos="350"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对本人日常的职务消费行为进行约束；</w:t>
            </w:r>
          </w:p>
          <w:p>
            <w:pPr>
              <w:pStyle w:val="Style18"/>
              <w:keepNext w:val="0"/>
              <w:keepLines w:val="0"/>
              <w:widowControl w:val="0"/>
              <w:shd w:val="clear" w:color="auto" w:fill="auto"/>
              <w:tabs>
                <w:tab w:pos="437"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不动用本公司资产从事与自身履行职责 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）在自身职责和 权限范围内，全力促使由董事会或薪酬委员 会制定的薪酬制度与本公司填补回报措施的 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）如公司将来推出股权 激励计划，本人承诺在自身职责和权限范围 内，全力促使公司拟公布的公司股权激励的 行权条件与公司填补回报措施的执行情况相 挂钩。本人承诺严格履行所作出的上述承诺 事项，确保公司填补回报措施能够得到切实 履行。如果本人违反所作出的承诺或拒不履 行承诺，本人将按照《关于首发及再融资、 重大资产重组摊薄即期回报有关事项的指导 意见》（证监会公告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号）等相关规定 履行解释、道歉等相应义务，并同意中国证 券监督管理委员会、深圳证券交易所和中国 上市公司协会依法作出的监管措施或自律监 管措施；给公司或者股东造成损失的，本人 愿意依法承担相应补偿责任。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天阳宏业科</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技股份有限</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对欺诈发行 上市的股份 购回承诺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公司作出如下承诺：本公司的招股说明书所 载内容不存在虚假记载、误导性陈述或重大 遗漏，亦不存在以欺骗手段骗取发行注册的 情形，且本公司对本公司的上市申请文件所 载内容之真实性、准确性、完整性承担相应</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992"/>
        <w:gridCol w:w="1138"/>
        <w:gridCol w:w="989"/>
        <w:gridCol w:w="3547"/>
        <w:gridCol w:w="850"/>
        <w:gridCol w:w="566"/>
        <w:gridCol w:w="50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112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的法律责任。如公司招股说明书有虚假记载、 误导性陈述或者重大遗漏，或存在欺诈手段 骗取发行注册的情形，对判断发行人是否符 合法律规定的发行条件可能构成重大、实质 影响的，并已由有权部门作出有效司法裁决 的，将依法回购首次公开发行的全部新股。 具体回购方案如下：（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）在相关司法裁决文 书作出之日起十日内，公司将召开董事会并 作出决议，通过股份回购的具体方案，同时 发出召开相关股东大会的会议通知，并进行 公告。（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）回购数量为首次公开发行的全部 新股。（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）回购价格不低于公司首次公开发 行股票时的发行价格与按照股票发行日至回 购日银行同期存款利率计算的利息之和（在 此期间公司如有派息、送股、资本公积金转 增股本、配股等除权除息事项，回购的股份 包括首次公开发行的全部</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股股份及其派生 股份，发行价格相应进行除权除息调整）。如 公司招股说明书有虚假记载、误导性陈述或 者重大遗漏，或存在欺诈手段骗取发行注册 的情形，致使投资者在证券交易中遭受损失 的，公司将依法赔偿投资者损失。赔偿金额 依据本公司与投资者协商确定的金额，或监 管部门或司法机关认定的方式或金额确定。</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关于回购新股及赔偿投资者损失的承诺，公 司明确以下约束措施，接受社会监督：（</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本公司将按照有关法律、法规的规定及监管 部门、司法机关的要求承担相应的法律责任。</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）自本公司完全消除其未履行相关承诺事 项所有不利影响之日起十二个月内，本公司 不得发行证券，包括但不限于股票、公司债 券、可转换的公司债券及证券监督管理部门 认可的其他品种等。（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）若致使投资者在证 券交易中遭受损失，本公司自愿按照相应的 赔偿金额冻结自有资金，为赔偿相关投资者 损失提供保障。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对欺诈发行 上市的股份 购回承诺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公司控股股东、实际控制人欧阳建平作出了 承诺：如招股说明书及其他发行申请文件中 存在虚假记载、误导性陈述或重大遗漏，或 存在欺诈手段骗取发行注册的情形，且对判 断天阳科技是否符合法律规定的发行条件构 成重大、实质影响的，并已由有权部门作出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bl>
    <w:p>
      <w:pPr>
        <w:spacing w:lineRule="exact" w:line="1"/>
        <w:rPr>
          <w:sz w:val="2"/>
          <w:szCs w:val="2"/>
        </w:rPr>
      </w:pPr>
      <w:r>
        <w:br w:type="page"/>
      </w:r>
    </w:p>
    <w:tbl>
      <w:tblPr>
        <w:tblOverlap w:val="never"/>
        <w:jc w:val="center"/>
        <w:tblLayout w:type="fixed"/>
      </w:tblPr>
      <w:tblGrid>
        <w:gridCol w:w="1992"/>
        <w:gridCol w:w="1138"/>
        <w:gridCol w:w="989"/>
        <w:gridCol w:w="3547"/>
        <w:gridCol w:w="850"/>
        <w:gridCol w:w="566"/>
        <w:gridCol w:w="50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履行</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行政处罚或司法裁决的，本人承诺将督促天 阳科技履行股份回购事宜的决策程序，并在 天阳科技召开董事会、股东大会对回购股份 作出决议时，本人承诺就该等回购事宜投赞 成票。如公司招股说明书有虚假记载、误导 性陈述或者重大遗漏，或存在欺诈手段骗取 发行注册的情形，致使投资者在证券交易中 遭受损失的，将依法赔偿投资者损失。同时， 公司控股股东、实际控制人欧阳建平先生出 具了未能按承诺履行回购义务和赔偿投资者 损失的约束措施如下：（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）如因本人原因使 得天阳科技无法回购股份的，则在天阳科技 有权主体召集召开的关于股份回购的临时股 东大会，本人将自动放弃所持天阳科技的股 份的表决权。公司其他股东可据本约束措施 主张本人无权对股份回购相关事项进行表 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）天阳科技可以依据本约束措施扣除 本人应得的现金分红，用于执行本人未履行 的承诺，直至本人承诺履行完毕。天阳科技 及其他利益相关方均可根据本约束措施向监 管部门报告。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杜江龙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甘泉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高新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李晓刚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李亚宁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林敏 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凌云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马志 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欧阳建平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师海峰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宋晓 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王珠林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 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杨晓明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庆勋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郑锡云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周传文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欧阳 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对欺诈发行 上市依法赔 偿损失的承 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公司董事、监事、高级管理人员作出了承诺： 如公司招股说明书有虚假记载、误导性陈述 或者重大遗漏，或存在欺诈手段骗取发行注 册的情形，致使投资者在证券交易中遭受损 失的，将依法赔偿投资者损失。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其他对公司中小股东所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27"/>
        <w:keepNext/>
        <w:keepLines/>
        <w:widowControl w:val="0"/>
        <w:shd w:val="clear" w:color="auto" w:fill="auto"/>
        <w:bidi w:val="0"/>
        <w:spacing w:before="0" w:line="322" w:lineRule="exact"/>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2</w:t>
      </w:r>
      <w:bookmarkEnd w:id="479"/>
      <w:r>
        <w:rPr>
          <w:color w:val="000000"/>
          <w:spacing w:val="0"/>
          <w:w w:val="100"/>
          <w:position w:val="0"/>
        </w:rPr>
        <w:t>、公司资产或项目存在盈利预测，且报告期仍处在盈利预测期间，公司就资产或项目达到原盈利预测及 其原因做出说明</w:t>
      </w:r>
      <w:bookmarkEnd w:id="477"/>
      <w:bookmarkEnd w:id="478"/>
      <w:bookmarkEnd w:id="480"/>
    </w:p>
    <w:p>
      <w:pPr>
        <w:pStyle w:val="Style1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both"/>
      </w:pPr>
      <w:bookmarkStart w:id="481" w:name="bookmark481"/>
      <w:bookmarkStart w:id="482" w:name="bookmark482"/>
      <w:bookmarkStart w:id="483" w:name="bookmark483"/>
      <w:bookmarkStart w:id="484" w:name="bookmark484"/>
      <w:r>
        <w:rPr>
          <w:color w:val="000000"/>
          <w:spacing w:val="0"/>
          <w:w w:val="100"/>
          <w:position w:val="0"/>
        </w:rPr>
        <w:t>二</w:t>
      </w:r>
      <w:bookmarkEnd w:id="483"/>
      <w:r>
        <w:rPr>
          <w:color w:val="000000"/>
          <w:spacing w:val="0"/>
          <w:w w:val="100"/>
          <w:position w:val="0"/>
        </w:rPr>
        <w:t>、</w:t>
        <w:tab/>
        <w:t>控股股东及其他关联方对上市公司的非经营性占用资金情况</w:t>
      </w:r>
      <w:bookmarkEnd w:id="481"/>
      <w:bookmarkEnd w:id="482"/>
      <w:bookmarkEnd w:id="484"/>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公司报告期不存在控股股东及其他关联方对上市公司的非经营性占用资金。</w:t>
      </w:r>
    </w:p>
    <w:p>
      <w:pPr>
        <w:pStyle w:val="Style21"/>
        <w:keepNext/>
        <w:keepLines/>
        <w:widowControl w:val="0"/>
        <w:shd w:val="clear" w:color="auto" w:fill="auto"/>
        <w:tabs>
          <w:tab w:pos="522" w:val="left"/>
        </w:tabs>
        <w:bidi w:val="0"/>
        <w:spacing w:before="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三</w:t>
      </w:r>
      <w:bookmarkEnd w:id="487"/>
      <w:r>
        <w:rPr>
          <w:color w:val="000000"/>
          <w:spacing w:val="0"/>
          <w:w w:val="100"/>
          <w:position w:val="0"/>
        </w:rPr>
        <w:t>、</w:t>
        <w:tab/>
        <w:t>违规对外担保情况</w:t>
      </w:r>
      <w:bookmarkEnd w:id="485"/>
      <w:bookmarkEnd w:id="486"/>
      <w:bookmarkEnd w:id="488"/>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公司报告期无违规对外担保情况。</w:t>
      </w:r>
    </w:p>
    <w:p>
      <w:pPr>
        <w:pStyle w:val="Style21"/>
        <w:keepNext/>
        <w:keepLines/>
        <w:widowControl w:val="0"/>
        <w:shd w:val="clear" w:color="auto" w:fill="auto"/>
        <w:tabs>
          <w:tab w:pos="522" w:val="left"/>
        </w:tabs>
        <w:bidi w:val="0"/>
        <w:spacing w:before="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四</w:t>
      </w:r>
      <w:bookmarkEnd w:id="491"/>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89"/>
      <w:bookmarkEnd w:id="490"/>
      <w:bookmarkEnd w:id="492"/>
    </w:p>
    <w:p>
      <w:pPr>
        <w:pStyle w:val="Style16"/>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line="240" w:lineRule="auto"/>
        <w:ind w:left="0" w:right="0" w:firstLine="0"/>
        <w:jc w:val="both"/>
      </w:pPr>
      <w:bookmarkStart w:id="493" w:name="bookmark493"/>
      <w:bookmarkStart w:id="494" w:name="bookmark494"/>
      <w:bookmarkStart w:id="495" w:name="bookmark495"/>
      <w:bookmarkStart w:id="496" w:name="bookmark496"/>
      <w:r>
        <w:rPr>
          <w:color w:val="000000"/>
          <w:spacing w:val="0"/>
          <w:w w:val="100"/>
          <w:position w:val="0"/>
        </w:rPr>
        <w:t>五</w:t>
      </w:r>
      <w:bookmarkEnd w:id="495"/>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93"/>
      <w:bookmarkEnd w:id="494"/>
      <w:bookmarkEnd w:id="496"/>
    </w:p>
    <w:p>
      <w:pPr>
        <w:pStyle w:val="Style16"/>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22" w:val="left"/>
        </w:tabs>
        <w:bidi w:val="0"/>
        <w:spacing w:before="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rPr>
        <w:t>六</w:t>
      </w:r>
      <w:bookmarkEnd w:id="499"/>
      <w:r>
        <w:rPr>
          <w:color w:val="000000"/>
          <w:spacing w:val="0"/>
          <w:w w:val="100"/>
          <w:position w:val="0"/>
        </w:rPr>
        <w:t>、</w:t>
        <w:tab/>
        <w:t>董事会关于报告期会计政策、会计估计变更或重大会计差错更正的说明</w:t>
      </w:r>
      <w:bookmarkEnd w:id="497"/>
      <w:bookmarkEnd w:id="498"/>
      <w:bookmarkEnd w:id="500"/>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120" w:line="316" w:lineRule="exact"/>
        <w:ind w:left="0" w:right="0" w:firstLine="4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日修订发布了《企业会计准则</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），要求 在境内外同时上市的企业以及在境外上市并执行企业会计准则编制财务报表的企业自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 计准则的企业自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日起施行。本公司决定自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日起执行新的租赁准则，在首次执行日，本公司按照《企业 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号——会计政策、会计估计变更和差错更正》的规定选择采用简化的追溯调整法进行衔接会计处理，即调整首 次执行本准则当年年初留存收益及财务报表其他相关项目金额，不调整可比期间信息。</w:t>
      </w:r>
    </w:p>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日财务报表相关项目的影响列示如下:</w:t>
      </w:r>
    </w:p>
    <w:tbl>
      <w:tblPr>
        <w:tblOverlap w:val="never"/>
        <w:jc w:val="center"/>
        <w:tblLayout w:type="fixed"/>
      </w:tblPr>
      <w:tblGrid>
        <w:gridCol w:w="2573"/>
        <w:gridCol w:w="1704"/>
        <w:gridCol w:w="802"/>
        <w:gridCol w:w="1392"/>
        <w:gridCol w:w="1632"/>
        <w:gridCol w:w="1574"/>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重分类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重新计量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小计</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15,848,470.30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-614,451.82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-614,451.82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15,234,018.48</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2,447,887,528.12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-614,451.82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-614,451.82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2,447,273,076.30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12,499,894.43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12,499,894.43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12,499,894.43</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276,416,721.32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12,499,894.43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12,499,894.43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288,916,615.75</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2,724,304,249.44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11,885,442.61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11,885,442.61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2,736,189,692.05</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20,279,767.23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2,407,560.95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2,407,560.95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22,687,328.18</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503,334,254.85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2,407,560.95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2,407,560.95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505,741,815.80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9,477,881.66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9,477,881.66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9,477,881.66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7,172,615.08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9,477,881.66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9,477,881.66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16,650,496.74</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510,506,869.93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1,885,442.61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1,885,442.61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522,392,312.54</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2,724,304,249.44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11,885,442.61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11,885,442.61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2,736,189,692.05</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1,251,633.08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-1,251,633.08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-1,251,633.08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1,251,633.08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1,251,633.08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1,251,633.08</w:t>
            </w:r>
          </w:p>
        </w:tc>
      </w:tr>
    </w:tbl>
    <w:p>
      <w:pPr>
        <w:spacing w:lineRule="exact" w:line="1"/>
        <w:rPr>
          <w:sz w:val="2"/>
          <w:szCs w:val="2"/>
        </w:rPr>
      </w:pPr>
      <w:r>
        <w:br w:type="page"/>
      </w:r>
    </w:p>
    <w:p>
      <w:pPr>
        <w:pStyle w:val="Style21"/>
        <w:keepNext/>
        <w:keepLines/>
        <w:widowControl w:val="0"/>
        <w:shd w:val="clear" w:color="auto" w:fill="auto"/>
        <w:bidi w:val="0"/>
        <w:spacing w:before="0" w:line="240" w:lineRule="auto"/>
        <w:ind w:left="0" w:right="0" w:firstLine="0"/>
        <w:jc w:val="left"/>
      </w:pPr>
      <w:bookmarkStart w:id="501" w:name="bookmark501"/>
      <w:bookmarkStart w:id="502" w:name="bookmark502"/>
      <w:bookmarkStart w:id="503" w:name="bookmark503"/>
      <w:bookmarkStart w:id="504" w:name="bookmark504"/>
      <w:r>
        <w:rPr>
          <w:color w:val="000000"/>
          <w:spacing w:val="0"/>
          <w:w w:val="100"/>
          <w:position w:val="0"/>
        </w:rPr>
        <w:t>七</w:t>
      </w:r>
      <w:bookmarkEnd w:id="503"/>
      <w:r>
        <w:rPr>
          <w:color w:val="000000"/>
          <w:spacing w:val="0"/>
          <w:w w:val="100"/>
          <w:position w:val="0"/>
        </w:rPr>
        <w:t>、与上年度财务报告相比，合并报表范围发生变化的情况说明</w:t>
      </w:r>
      <w:bookmarkEnd w:id="501"/>
      <w:bookmarkEnd w:id="502"/>
      <w:bookmarkEnd w:id="504"/>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5102"/>
        <w:gridCol w:w="1642"/>
        <w:gridCol w:w="1862"/>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深圳昊天睿阳科技有限公司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长沙湘瓴睿阳科技有限公司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西藏天阳华瑞科技有限公司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天阳胜合科技（北京）有限公司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北京同创安胜咨询服务中心（有限合伙）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香港卡洛其咨询有限公司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w:t>
            </w:r>
          </w:p>
        </w:tc>
      </w:tr>
    </w:tbl>
    <w:p>
      <w:pPr>
        <w:widowControl w:val="0"/>
        <w:spacing w:after="639" w:line="1" w:lineRule="exact"/>
      </w:pPr>
    </w:p>
    <w:p>
      <w:pPr>
        <w:pStyle w:val="Style21"/>
        <w:keepNext/>
        <w:keepLines/>
        <w:widowControl w:val="0"/>
        <w:shd w:val="clear" w:color="auto" w:fill="auto"/>
        <w:bidi w:val="0"/>
        <w:spacing w:before="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rPr>
        <w:t>八</w:t>
      </w:r>
      <w:bookmarkEnd w:id="507"/>
      <w:r>
        <w:rPr>
          <w:color w:val="000000"/>
          <w:spacing w:val="0"/>
          <w:w w:val="100"/>
          <w:position w:val="0"/>
        </w:rPr>
        <w:t>、聘任、解聘会计师事务所情况</w:t>
      </w:r>
      <w:bookmarkEnd w:id="505"/>
      <w:bookmarkEnd w:id="506"/>
      <w:bookmarkEnd w:id="508"/>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李峰、刘黎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rPr>
        <w:t>九</w:t>
      </w:r>
      <w:bookmarkEnd w:id="511"/>
      <w:r>
        <w:rPr>
          <w:color w:val="000000"/>
          <w:spacing w:val="0"/>
          <w:w w:val="100"/>
          <w:position w:val="0"/>
        </w:rPr>
        <w:t>、年度报告披露后面临退市情况</w:t>
      </w:r>
      <w:bookmarkEnd w:id="509"/>
      <w:bookmarkEnd w:id="510"/>
      <w:bookmarkEnd w:id="512"/>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513" w:name="bookmark513"/>
      <w:bookmarkStart w:id="514" w:name="bookmark514"/>
      <w:bookmarkStart w:id="515" w:name="bookmark515"/>
      <w:r>
        <w:rPr>
          <w:color w:val="000000"/>
          <w:spacing w:val="0"/>
          <w:w w:val="100"/>
          <w:position w:val="0"/>
        </w:rPr>
        <w:t>十、破产重整相关事项</w:t>
      </w:r>
      <w:bookmarkEnd w:id="513"/>
      <w:bookmarkEnd w:id="514"/>
      <w:bookmarkEnd w:id="515"/>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r>
        <w:br w:type="page"/>
      </w:r>
    </w:p>
    <w:p>
      <w:pPr>
        <w:pStyle w:val="Style21"/>
        <w:keepNext/>
        <w:keepLines/>
        <w:widowControl w:val="0"/>
        <w:shd w:val="clear" w:color="auto" w:fill="auto"/>
        <w:bidi w:val="0"/>
        <w:spacing w:before="0" w:line="240" w:lineRule="auto"/>
        <w:ind w:left="0" w:right="0" w:firstLine="0"/>
        <w:jc w:val="both"/>
      </w:pPr>
      <w:bookmarkStart w:id="516" w:name="bookmark516"/>
      <w:bookmarkStart w:id="517" w:name="bookmark517"/>
      <w:bookmarkStart w:id="518" w:name="bookmark518"/>
      <w:r>
        <w:rPr>
          <w:color w:val="000000"/>
          <w:spacing w:val="0"/>
          <w:w w:val="100"/>
          <w:position w:val="0"/>
        </w:rPr>
        <w:t>十一、重大诉讼、仲裁事项</w:t>
      </w:r>
      <w:bookmarkEnd w:id="516"/>
      <w:bookmarkEnd w:id="517"/>
      <w:bookmarkEnd w:id="518"/>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59"/>
        <w:gridCol w:w="1085"/>
        <w:gridCol w:w="1267"/>
        <w:gridCol w:w="950"/>
        <w:gridCol w:w="1397"/>
        <w:gridCol w:w="1262"/>
        <w:gridCol w:w="1080"/>
        <w:gridCol w:w="109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涉案金额（万</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8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未达到重大诉讼</w:t>
            </w:r>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披露标准案 件汇总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603.09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部分已结</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案、部分待</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结案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对公司经营没有 重大影响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已取得生效判 决未执行完毕 涉案金额</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万 元；二审尚未开 庭涉案金额 </w:t>
            </w:r>
            <w:r>
              <w:rPr>
                <w:rFonts w:ascii="Times New Roman" w:eastAsia="Times New Roman" w:hAnsi="Times New Roman" w:cs="Times New Roman"/>
                <w:color w:val="000000"/>
                <w:spacing w:val="0"/>
                <w:w w:val="100"/>
                <w:position w:val="0"/>
                <w:sz w:val="18"/>
                <w:szCs w:val="18"/>
              </w:rPr>
              <w:t>248.12</w:t>
            </w:r>
            <w:r>
              <w:rPr>
                <w:color w:val="000000"/>
                <w:spacing w:val="0"/>
                <w:w w:val="100"/>
                <w:position w:val="0"/>
              </w:rPr>
              <w:t>万元；其 余已执行完毕。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1"/>
        <w:keepNext/>
        <w:keepLines/>
        <w:widowControl w:val="0"/>
        <w:shd w:val="clear" w:color="auto" w:fill="auto"/>
        <w:bidi w:val="0"/>
        <w:spacing w:before="0" w:line="240" w:lineRule="auto"/>
        <w:ind w:left="0" w:right="0" w:firstLine="0"/>
        <w:jc w:val="both"/>
      </w:pPr>
      <w:bookmarkStart w:id="519" w:name="bookmark519"/>
      <w:bookmarkStart w:id="520" w:name="bookmark520"/>
      <w:bookmarkStart w:id="521" w:name="bookmark521"/>
      <w:r>
        <w:rPr>
          <w:color w:val="000000"/>
          <w:spacing w:val="0"/>
          <w:w w:val="100"/>
          <w:position w:val="0"/>
        </w:rPr>
        <w:t>十二、处罚及整改情况</w:t>
      </w:r>
      <w:bookmarkEnd w:id="519"/>
      <w:bookmarkEnd w:id="520"/>
      <w:bookmarkEnd w:id="521"/>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1"/>
        <w:keepNext/>
        <w:keepLines/>
        <w:widowControl w:val="0"/>
        <w:shd w:val="clear" w:color="auto" w:fill="auto"/>
        <w:bidi w:val="0"/>
        <w:spacing w:before="0" w:line="240" w:lineRule="auto"/>
        <w:ind w:left="0" w:right="0" w:firstLine="0"/>
        <w:jc w:val="both"/>
      </w:pPr>
      <w:bookmarkStart w:id="522" w:name="bookmark522"/>
      <w:bookmarkStart w:id="523" w:name="bookmark523"/>
      <w:bookmarkStart w:id="524" w:name="bookmark524"/>
      <w:r>
        <w:rPr>
          <w:color w:val="000000"/>
          <w:spacing w:val="0"/>
          <w:w w:val="100"/>
          <w:position w:val="0"/>
        </w:rPr>
        <w:t>十三、公司及其控股股东、实际控制人的诚信状况</w:t>
      </w:r>
      <w:bookmarkEnd w:id="522"/>
      <w:bookmarkEnd w:id="523"/>
      <w:bookmarkEnd w:id="524"/>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740" w:line="240" w:lineRule="auto"/>
        <w:ind w:left="0" w:right="0" w:firstLine="0"/>
        <w:jc w:val="both"/>
      </w:pPr>
      <w:r>
        <w:rPr>
          <w:color w:val="000000"/>
          <w:spacing w:val="0"/>
          <w:w w:val="100"/>
          <w:position w:val="0"/>
        </w:rPr>
        <w:t>公司及控股股东、实际控制人不存在未履行法院生效判决、所负担数额较大的债务到期未清偿等情况。</w:t>
      </w:r>
    </w:p>
    <w:p>
      <w:pPr>
        <w:pStyle w:val="Style21"/>
        <w:keepNext/>
        <w:keepLines/>
        <w:widowControl w:val="0"/>
        <w:shd w:val="clear" w:color="auto" w:fill="auto"/>
        <w:bidi w:val="0"/>
        <w:spacing w:before="0" w:line="240" w:lineRule="auto"/>
        <w:ind w:left="0" w:right="0" w:firstLine="0"/>
        <w:jc w:val="both"/>
      </w:pPr>
      <w:bookmarkStart w:id="525" w:name="bookmark525"/>
      <w:bookmarkStart w:id="526" w:name="bookmark526"/>
      <w:bookmarkStart w:id="527" w:name="bookmark527"/>
      <w:r>
        <w:rPr>
          <w:color w:val="000000"/>
          <w:spacing w:val="0"/>
          <w:w w:val="100"/>
          <w:position w:val="0"/>
        </w:rPr>
        <w:t>十四、重大关联交易</w:t>
      </w:r>
      <w:bookmarkEnd w:id="525"/>
      <w:bookmarkEnd w:id="526"/>
      <w:bookmarkEnd w:id="527"/>
    </w:p>
    <w:p>
      <w:pPr>
        <w:pStyle w:val="Style27"/>
        <w:keepNext/>
        <w:keepLines/>
        <w:widowControl w:val="0"/>
        <w:shd w:val="clear" w:color="auto" w:fill="auto"/>
        <w:bidi w:val="0"/>
        <w:spacing w:before="0" w:after="360" w:line="240" w:lineRule="auto"/>
        <w:ind w:left="0" w:right="0" w:firstLine="0"/>
        <w:jc w:val="both"/>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1</w:t>
      </w:r>
      <w:bookmarkEnd w:id="530"/>
      <w:r>
        <w:rPr>
          <w:color w:val="000000"/>
          <w:spacing w:val="0"/>
          <w:w w:val="100"/>
          <w:position w:val="0"/>
        </w:rPr>
        <w:t>、与日常经营相关的关联交易</w:t>
      </w:r>
      <w:bookmarkEnd w:id="528"/>
      <w:bookmarkEnd w:id="529"/>
      <w:bookmarkEnd w:id="531"/>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677" w:hRule="exact"/>
        </w:trPr>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关联交易</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占同类</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获批的</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交易额</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是否超</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过获批</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可获得</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的同类</w:t>
            </w:r>
          </w:p>
        </w:tc>
        <w:tc>
          <w:tcPr>
            <w:tcBorders>
              <w:top w:val="single" w:sz="4"/>
              <w:lef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w:t>
            </w:r>
          </w:p>
        </w:tc>
        <w:tc>
          <w:tcPr>
            <w:tcBorders>
              <w:top w:val="single" w:sz="4"/>
              <w:left w:val="single" w:sz="4"/>
              <w:right w:val="single" w:sz="4"/>
            </w:tcBorders>
            <w:shd w:val="clear" w:color="auto" w:fill="D3D3D3"/>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w:t>
            </w:r>
          </w:p>
        </w:tc>
      </w:tr>
      <w:tr>
        <w:trPr>
          <w:trHeight w:val="667" w:hRule="exact"/>
        </w:trPr>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（万</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额的比 例</w:t>
            </w:r>
          </w:p>
        </w:tc>
        <w:tc>
          <w:tcPr>
            <w:tcBorders>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度（万</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元）</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交易市 价</w:t>
            </w:r>
          </w:p>
        </w:tc>
        <w:tc>
          <w:tcPr>
            <w:tcBorders>
              <w:lef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right w:val="single" w:sz="4"/>
            </w:tcBorders>
            <w:shd w:val="clear" w:color="auto" w:fill="D3D3D3"/>
            <w:vAlign w:val="top"/>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引</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讯网</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tc>
      </w:tr>
      <w:tr>
        <w:trPr>
          <w:trHeight w:val="2198" w:hRule="exact"/>
        </w:trPr>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北京德惠 众合信息 技术有限 公司</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80" w:after="0" w:line="307" w:lineRule="exact"/>
              <w:ind w:left="0" w:right="0" w:firstLine="0"/>
              <w:jc w:val="left"/>
            </w:pPr>
            <w:r>
              <w:rPr>
                <w:color w:val="000000"/>
                <w:spacing w:val="0"/>
                <w:w w:val="100"/>
                <w:position w:val="0"/>
              </w:rPr>
              <w:t>本公司 的联营 企业</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240" w:after="0" w:line="307" w:lineRule="exact"/>
              <w:ind w:left="0" w:right="0" w:firstLine="0"/>
              <w:jc w:val="left"/>
            </w:pPr>
            <w:r>
              <w:rPr>
                <w:color w:val="000000"/>
                <w:spacing w:val="0"/>
                <w:w w:val="100"/>
                <w:position w:val="0"/>
              </w:rPr>
              <w:t>向关联 人采购</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软件产 品、软件 开发和 服务</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240" w:after="0" w:line="302" w:lineRule="exact"/>
              <w:ind w:left="0" w:right="0" w:firstLine="0"/>
              <w:jc w:val="left"/>
            </w:pPr>
            <w:r>
              <w:rPr>
                <w:color w:val="000000"/>
                <w:spacing w:val="0"/>
                <w:w w:val="100"/>
                <w:position w:val="0"/>
              </w:rPr>
              <w:t>市场定 价</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240" w:after="0" w:line="312" w:lineRule="exact"/>
              <w:ind w:left="0" w:right="0" w:firstLine="0"/>
              <w:jc w:val="left"/>
            </w:pPr>
            <w:r>
              <w:rPr>
                <w:color w:val="000000"/>
                <w:spacing w:val="0"/>
                <w:w w:val="100"/>
                <w:position w:val="0"/>
              </w:rPr>
              <w:t>合同约 定</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4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22.76</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4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4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500" w:after="0" w:line="240" w:lineRule="auto"/>
              <w:ind w:left="0" w:right="0" w:firstLine="0"/>
              <w:jc w:val="left"/>
            </w:pPr>
            <w:r>
              <w:rPr>
                <w:color w:val="000000"/>
                <w:spacing w:val="0"/>
                <w:w w:val="100"/>
                <w:position w:val="0"/>
              </w:rPr>
              <w:t>否</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240" w:after="0" w:line="312" w:lineRule="exact"/>
              <w:ind w:left="0" w:right="0" w:firstLine="0"/>
              <w:jc w:val="left"/>
            </w:pPr>
            <w:r>
              <w:rPr>
                <w:color w:val="000000"/>
                <w:spacing w:val="0"/>
                <w:w w:val="100"/>
                <w:position w:val="0"/>
              </w:rPr>
              <w:t>合同约 定</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360" w:after="100" w:line="240" w:lineRule="auto"/>
              <w:ind w:left="0" w:right="0" w:firstLine="0"/>
              <w:jc w:val="left"/>
            </w:pPr>
            <w:r>
              <w:rPr>
                <w:color w:val="000000"/>
                <w:spacing w:val="0"/>
                <w:w w:val="100"/>
                <w:position w:val="0"/>
              </w:rPr>
              <w:t>未偏离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om.cn</w:t>
            </w:r>
            <w:r>
              <w:rPr>
                <w:color w:val="000000"/>
                <w:spacing w:val="0"/>
                <w:w w:val="100"/>
                <w:position w:val="0"/>
              </w:rPr>
              <w:t>）</w:t>
            </w:r>
          </w:p>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年度日 常关联 交易执</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3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行情况 及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年度日 常关联 交易预 计公 告》（公 告编 号：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w:t>
            </w:r>
          </w:p>
        </w:tc>
      </w:tr>
      <w:tr>
        <w:trPr>
          <w:trHeight w:val="50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北京和顺</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恒通科技</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 的联营 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 人采购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软件产 品、软件 开发和 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合同</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 讯网</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r>
              <w:rPr>
                <w:color w:val="000000"/>
                <w:spacing w:val="0"/>
                <w:w w:val="100"/>
                <w:position w:val="0"/>
              </w:rPr>
              <w:t>）</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《关于 增加日 常关联 交易预 计的公 告》（公 告编 号：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tc>
      </w:tr>
      <w:tr>
        <w:trPr>
          <w:trHeight w:val="50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北京金实</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宏成技术</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 的联营 企业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向关联 人采购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软件产 品、软件 开发和 服务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市场定 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合同约 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 讯网</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r>
              <w:rPr>
                <w:color w:val="000000"/>
                <w:spacing w:val="0"/>
                <w:w w:val="100"/>
                <w:position w:val="0"/>
              </w:rPr>
              <w:t>）</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《关于 增加日 常关联 交易预 计的公 告》（公 告编 号：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2467" w:hRule="exact"/>
        </w:trPr>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北京和顺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恒通科技</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的联营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向关联</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软件产</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品、软件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 讯网</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r>
              <w:rPr>
                <w:color w:val="000000"/>
                <w:spacing w:val="0"/>
                <w:w w:val="100"/>
                <w:position w:val="0"/>
              </w:rPr>
              <w:t>)</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 增加日</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人销售</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常关联</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计的公</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告》(公</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告编</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r>
      <w:tr>
        <w:trPr>
          <w:trHeight w:val="2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tc>
      </w:tr>
      <w:tr>
        <w:trPr>
          <w:trHeight w:val="2462" w:hRule="exact"/>
        </w:trPr>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北京金实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宏成技术</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的联营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向关联</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软件产</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品、软件</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巨潮资 讯网</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r>
              <w:rPr>
                <w:color w:val="000000"/>
                <w:spacing w:val="0"/>
                <w:w w:val="100"/>
                <w:position w:val="0"/>
              </w:rPr>
              <w:t>)</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 增加日</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人销售</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开发和</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常关联</w:t>
            </w: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23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交易预</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计的公</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告》(公</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告编</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r>
      <w:tr>
        <w:trPr>
          <w:trHeight w:val="2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tc>
      </w:tr>
      <w:tr>
        <w:trPr>
          <w:trHeight w:val="166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北京金实</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向关联</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巨潮资</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讯网</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ninfO.c</w:t>
            </w:r>
          </w:p>
        </w:tc>
      </w:tr>
      <w:tr>
        <w:trPr>
          <w:trHeight w:val="235"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宏成技术</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的联营</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方出租</w:t>
            </w: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赁</w:t>
            </w: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定</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59.06%</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om.cn</w:t>
            </w:r>
            <w:r>
              <w:rPr>
                <w:color w:val="000000"/>
                <w:spacing w:val="0"/>
                <w:w w:val="100"/>
                <w:position w:val="0"/>
              </w:rPr>
              <w:t>)</w:t>
            </w:r>
          </w:p>
        </w:tc>
      </w:tr>
      <w:tr>
        <w:trPr>
          <w:trHeight w:val="326"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w:t>
            </w: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增加日</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常关联</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交易预</w:t>
            </w: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计的公</w:t>
            </w:r>
          </w:p>
        </w:tc>
      </w:tr>
    </w:tbl>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告》（公 告编 号：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312.47</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8,535</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gridSpan w:val="4"/>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79" w:line="1" w:lineRule="exact"/>
      </w:pPr>
    </w:p>
    <w:p>
      <w:pPr>
        <w:pStyle w:val="Style27"/>
        <w:keepNext/>
        <w:keepLines/>
        <w:widowControl w:val="0"/>
        <w:shd w:val="clear" w:color="auto" w:fill="auto"/>
        <w:bidi w:val="0"/>
        <w:spacing w:before="0" w:line="240" w:lineRule="auto"/>
        <w:ind w:left="0" w:right="0" w:firstLine="0"/>
        <w:jc w:val="both"/>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2</w:t>
      </w:r>
      <w:bookmarkEnd w:id="534"/>
      <w:r>
        <w:rPr>
          <w:color w:val="000000"/>
          <w:spacing w:val="0"/>
          <w:w w:val="100"/>
          <w:position w:val="0"/>
        </w:rPr>
        <w:t>、资产或股权收购、出售发生的关联交易</w:t>
      </w:r>
      <w:bookmarkEnd w:id="532"/>
      <w:bookmarkEnd w:id="533"/>
      <w:bookmarkEnd w:id="535"/>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公司报告期未发生资产或股权收购、出售的关联交易。</w:t>
      </w:r>
    </w:p>
    <w:p>
      <w:pPr>
        <w:pStyle w:val="Style27"/>
        <w:keepNext/>
        <w:keepLines/>
        <w:widowControl w:val="0"/>
        <w:shd w:val="clear" w:color="auto" w:fill="auto"/>
        <w:tabs>
          <w:tab w:pos="378" w:val="left"/>
        </w:tabs>
        <w:bidi w:val="0"/>
        <w:spacing w:before="0" w:line="240" w:lineRule="auto"/>
        <w:ind w:left="0" w:right="0" w:firstLine="0"/>
        <w:jc w:val="both"/>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3</w:t>
      </w:r>
      <w:bookmarkEnd w:id="538"/>
      <w:r>
        <w:rPr>
          <w:color w:val="000000"/>
          <w:spacing w:val="0"/>
          <w:w w:val="100"/>
          <w:position w:val="0"/>
        </w:rPr>
        <w:t>、</w:t>
        <w:tab/>
        <w:t>共同对外投资的关联交易</w:t>
      </w:r>
      <w:bookmarkEnd w:id="536"/>
      <w:bookmarkEnd w:id="537"/>
      <w:bookmarkEnd w:id="539"/>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公司报告期未发生共同对外投资的关联交易。</w:t>
      </w:r>
    </w:p>
    <w:p>
      <w:pPr>
        <w:pStyle w:val="Style27"/>
        <w:keepNext/>
        <w:keepLines/>
        <w:widowControl w:val="0"/>
        <w:shd w:val="clear" w:color="auto" w:fill="auto"/>
        <w:tabs>
          <w:tab w:pos="378" w:val="left"/>
        </w:tabs>
        <w:bidi w:val="0"/>
        <w:spacing w:before="0" w:line="240" w:lineRule="auto"/>
        <w:ind w:left="0" w:right="0" w:firstLine="0"/>
        <w:jc w:val="both"/>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4</w:t>
      </w:r>
      <w:bookmarkEnd w:id="542"/>
      <w:r>
        <w:rPr>
          <w:color w:val="000000"/>
          <w:spacing w:val="0"/>
          <w:w w:val="100"/>
          <w:position w:val="0"/>
        </w:rPr>
        <w:t>、</w:t>
        <w:tab/>
        <w:t>关联债权债务往来</w:t>
      </w:r>
      <w:bookmarkEnd w:id="540"/>
      <w:bookmarkEnd w:id="541"/>
      <w:bookmarkEnd w:id="543"/>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是否存在非经营性关联债权债务往来</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公司报告期不存在非经营性关联债权债务往来。</w:t>
      </w:r>
    </w:p>
    <w:p>
      <w:pPr>
        <w:pStyle w:val="Style27"/>
        <w:keepNext/>
        <w:keepLines/>
        <w:widowControl w:val="0"/>
        <w:shd w:val="clear" w:color="auto" w:fill="auto"/>
        <w:tabs>
          <w:tab w:pos="378" w:val="left"/>
        </w:tabs>
        <w:bidi w:val="0"/>
        <w:spacing w:before="0" w:line="240" w:lineRule="auto"/>
        <w:ind w:left="0" w:right="0" w:firstLine="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5</w:t>
      </w:r>
      <w:bookmarkEnd w:id="546"/>
      <w:r>
        <w:rPr>
          <w:color w:val="000000"/>
          <w:spacing w:val="0"/>
          <w:w w:val="100"/>
          <w:position w:val="0"/>
        </w:rPr>
        <w:t>、</w:t>
        <w:tab/>
        <w:t>与存在关联关系的财务公司的往来情况</w:t>
      </w:r>
      <w:bookmarkEnd w:id="544"/>
      <w:bookmarkEnd w:id="545"/>
      <w:bookmarkEnd w:id="547"/>
    </w:p>
    <w:p>
      <w:pPr>
        <w:pStyle w:val="Style16"/>
        <w:keepNext w:val="0"/>
        <w:keepLines w:val="0"/>
        <w:widowControl w:val="0"/>
        <w:numPr>
          <w:ilvl w:val="0"/>
          <w:numId w:val="19"/>
        </w:numPr>
        <w:shd w:val="clear" w:color="auto" w:fill="auto"/>
        <w:tabs>
          <w:tab w:pos="282" w:val="left"/>
        </w:tabs>
        <w:bidi w:val="0"/>
        <w:spacing w:before="0" w:after="140" w:line="240" w:lineRule="auto"/>
        <w:ind w:left="0" w:right="0" w:firstLine="0"/>
        <w:jc w:val="both"/>
      </w:pPr>
      <w:bookmarkStart w:id="548" w:name="bookmark548"/>
      <w:bookmarkEnd w:id="54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公司与存在关联关系的财务公司与关联方之间不存在存款、贷款、授信或其他金融业务。</w:t>
      </w:r>
    </w:p>
    <w:p>
      <w:pPr>
        <w:pStyle w:val="Style27"/>
        <w:keepNext/>
        <w:keepLines/>
        <w:widowControl w:val="0"/>
        <w:shd w:val="clear" w:color="auto" w:fill="auto"/>
        <w:tabs>
          <w:tab w:pos="378" w:val="left"/>
        </w:tabs>
        <w:bidi w:val="0"/>
        <w:spacing w:before="0" w:line="240" w:lineRule="auto"/>
        <w:ind w:left="0" w:right="0" w:firstLine="0"/>
        <w:jc w:val="both"/>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6</w:t>
      </w:r>
      <w:bookmarkEnd w:id="551"/>
      <w:r>
        <w:rPr>
          <w:color w:val="000000"/>
          <w:spacing w:val="0"/>
          <w:w w:val="100"/>
          <w:position w:val="0"/>
        </w:rPr>
        <w:t>、</w:t>
        <w:tab/>
        <w:t>公司控股的财务公司与关联方的往来情况</w:t>
      </w:r>
      <w:bookmarkEnd w:id="549"/>
      <w:bookmarkEnd w:id="550"/>
      <w:bookmarkEnd w:id="552"/>
    </w:p>
    <w:p>
      <w:pPr>
        <w:pStyle w:val="Style16"/>
        <w:keepNext w:val="0"/>
        <w:keepLines w:val="0"/>
        <w:widowControl w:val="0"/>
        <w:numPr>
          <w:ilvl w:val="0"/>
          <w:numId w:val="19"/>
        </w:numPr>
        <w:shd w:val="clear" w:color="auto" w:fill="auto"/>
        <w:tabs>
          <w:tab w:pos="282" w:val="left"/>
        </w:tabs>
        <w:bidi w:val="0"/>
        <w:spacing w:before="0" w:after="140" w:line="240" w:lineRule="auto"/>
        <w:ind w:left="0" w:right="0" w:firstLine="0"/>
        <w:jc w:val="both"/>
      </w:pPr>
      <w:bookmarkStart w:id="553" w:name="bookmark553"/>
      <w:bookmarkEnd w:id="55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公司控股的财务公司与关联方之间不存在存款、贷款、授信或其他金融业务。</w:t>
      </w:r>
      <w:r>
        <w:br w:type="page"/>
      </w:r>
    </w:p>
    <w:p>
      <w:pPr>
        <w:pStyle w:val="Style27"/>
        <w:keepNext/>
        <w:keepLines/>
        <w:widowControl w:val="0"/>
        <w:shd w:val="clear" w:color="auto" w:fill="auto"/>
        <w:bidi w:val="0"/>
        <w:spacing w:before="0" w:after="36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7</w:t>
      </w:r>
      <w:bookmarkEnd w:id="556"/>
      <w:r>
        <w:rPr>
          <w:color w:val="000000"/>
          <w:spacing w:val="0"/>
          <w:w w:val="100"/>
          <w:position w:val="0"/>
        </w:rPr>
        <w:t>、其他重大关联交易</w:t>
      </w:r>
      <w:bookmarkEnd w:id="554"/>
      <w:bookmarkEnd w:id="555"/>
      <w:bookmarkEnd w:id="557"/>
    </w:p>
    <w:p>
      <w:pPr>
        <w:pStyle w:val="Style1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02"/>
        <w:gridCol w:w="1824"/>
        <w:gridCol w:w="1824"/>
        <w:gridCol w:w="1824"/>
        <w:gridCol w:w="2102"/>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欧阳建平、郑锡云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欧阳建平、郑锡云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2021/3/10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2020/5/15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2021/5/14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2022/6/27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2022/8/31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2022/6/29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2022/12/28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9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欧阳建平、宋晓峰、师海峰、 北京银恒通电子科技有限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63,000,000.00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2021/5/13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2022/5/12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r>
        <w:trPr>
          <w:trHeight w:val="97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欧阳建平、宋晓峰、师海峰、 北京银恒通电子科技有限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63,000,000.00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2021/6/11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2022/6/10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r>
        <w:trPr>
          <w:trHeight w:val="9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欧阳建平、宋晓峰、师海峰、 北京银恒通电子科技有限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2021/7/14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2022/7/13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2022/11/11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2022/12/13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2022/6/21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2022/10/13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588,000,000.00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p>
      <w:pPr>
        <w:widowControl w:val="0"/>
        <w:spacing w:after="79" w:line="1" w:lineRule="exact"/>
      </w:pPr>
    </w:p>
    <w:tbl>
      <w:tblPr>
        <w:tblOverlap w:val="never"/>
        <w:jc w:val="center"/>
        <w:tblLayout w:type="fixed"/>
      </w:tblPr>
      <w:tblGrid>
        <w:gridCol w:w="3466"/>
        <w:gridCol w:w="2650"/>
        <w:gridCol w:w="347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widowControl w:val="0"/>
        <w:spacing w:after="359" w:line="1" w:lineRule="exact"/>
      </w:pPr>
    </w:p>
    <w:p>
      <w:pPr>
        <w:pStyle w:val="Style21"/>
        <w:keepNext/>
        <w:keepLines/>
        <w:widowControl w:val="0"/>
        <w:shd w:val="clear" w:color="auto" w:fill="auto"/>
        <w:bidi w:val="0"/>
        <w:spacing w:before="0" w:line="240" w:lineRule="auto"/>
        <w:ind w:left="0" w:right="0" w:firstLine="0"/>
        <w:jc w:val="left"/>
      </w:pPr>
      <w:bookmarkStart w:id="558" w:name="bookmark558"/>
      <w:bookmarkStart w:id="559" w:name="bookmark559"/>
      <w:bookmarkStart w:id="560" w:name="bookmark560"/>
      <w:r>
        <w:rPr>
          <w:color w:val="000000"/>
          <w:spacing w:val="0"/>
          <w:w w:val="100"/>
          <w:position w:val="0"/>
        </w:rPr>
        <w:t>十五、重大合同及其履行情况</w:t>
      </w:r>
      <w:bookmarkEnd w:id="558"/>
      <w:bookmarkEnd w:id="559"/>
      <w:bookmarkEnd w:id="560"/>
    </w:p>
    <w:p>
      <w:pPr>
        <w:pStyle w:val="Style27"/>
        <w:keepNext/>
        <w:keepLines/>
        <w:widowControl w:val="0"/>
        <w:shd w:val="clear" w:color="auto" w:fill="auto"/>
        <w:bidi w:val="0"/>
        <w:spacing w:before="0" w:after="360" w:line="240" w:lineRule="auto"/>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1</w:t>
      </w:r>
      <w:bookmarkEnd w:id="563"/>
      <w:r>
        <w:rPr>
          <w:color w:val="000000"/>
          <w:spacing w:val="0"/>
          <w:w w:val="100"/>
          <w:position w:val="0"/>
        </w:rPr>
        <w:t>、托管、承包、租赁事项情况</w:t>
      </w:r>
      <w:bookmarkEnd w:id="561"/>
      <w:bookmarkEnd w:id="562"/>
      <w:bookmarkEnd w:id="564"/>
    </w:p>
    <w:p>
      <w:pPr>
        <w:pStyle w:val="Style27"/>
        <w:keepNext/>
        <w:keepLines/>
        <w:widowControl w:val="0"/>
        <w:shd w:val="clear" w:color="auto" w:fill="auto"/>
        <w:bidi w:val="0"/>
        <w:spacing w:before="0" w:after="360" w:line="240" w:lineRule="auto"/>
        <w:ind w:left="0" w:right="0" w:firstLine="0"/>
        <w:jc w:val="left"/>
      </w:pPr>
      <w:bookmarkStart w:id="561" w:name="bookmark561"/>
      <w:bookmarkStart w:id="562" w:name="bookmark562"/>
      <w:bookmarkStart w:id="565" w:name="bookmark565"/>
      <w:bookmarkStart w:id="566" w:name="bookmark566"/>
      <w:r>
        <w:rPr>
          <w:color w:val="000000"/>
          <w:spacing w:val="0"/>
          <w:w w:val="100"/>
          <w:position w:val="0"/>
        </w:rPr>
        <w:t>（</w:t>
      </w:r>
      <w:bookmarkEnd w:id="565"/>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561"/>
      <w:bookmarkEnd w:id="562"/>
      <w:bookmarkEnd w:id="566"/>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27"/>
        <w:keepNext/>
        <w:keepLines/>
        <w:widowControl w:val="0"/>
        <w:shd w:val="clear" w:color="auto" w:fill="auto"/>
        <w:tabs>
          <w:tab w:pos="493" w:val="left"/>
        </w:tabs>
        <w:bidi w:val="0"/>
        <w:spacing w:before="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67"/>
      <w:bookmarkEnd w:id="568"/>
      <w:bookmarkEnd w:id="570"/>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27"/>
        <w:keepNext/>
        <w:keepLines/>
        <w:widowControl w:val="0"/>
        <w:shd w:val="clear" w:color="auto" w:fill="auto"/>
        <w:tabs>
          <w:tab w:pos="493" w:val="left"/>
        </w:tabs>
        <w:bidi w:val="0"/>
        <w:spacing w:before="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71"/>
      <w:bookmarkEnd w:id="572"/>
      <w:bookmarkEnd w:id="574"/>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27"/>
        <w:keepNext/>
        <w:keepLines/>
        <w:widowControl w:val="0"/>
        <w:shd w:val="clear" w:color="auto" w:fill="auto"/>
        <w:tabs>
          <w:tab w:pos="378" w:val="left"/>
        </w:tabs>
        <w:bidi w:val="0"/>
        <w:spacing w:before="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bookmarkEnd w:id="577"/>
      <w:r>
        <w:rPr>
          <w:color w:val="000000"/>
          <w:spacing w:val="0"/>
          <w:w w:val="100"/>
          <w:position w:val="0"/>
        </w:rPr>
        <w:t>、</w:t>
        <w:tab/>
        <w:t>重大担保</w:t>
      </w:r>
      <w:bookmarkEnd w:id="575"/>
      <w:bookmarkEnd w:id="576"/>
      <w:bookmarkEnd w:id="578"/>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公司报告期不存在重大担保情况。</w:t>
      </w:r>
    </w:p>
    <w:p>
      <w:pPr>
        <w:pStyle w:val="Style27"/>
        <w:keepNext/>
        <w:keepLines/>
        <w:widowControl w:val="0"/>
        <w:shd w:val="clear" w:color="auto" w:fill="auto"/>
        <w:tabs>
          <w:tab w:pos="378" w:val="left"/>
        </w:tabs>
        <w:bidi w:val="0"/>
        <w:spacing w:before="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3</w:t>
      </w:r>
      <w:bookmarkEnd w:id="581"/>
      <w:r>
        <w:rPr>
          <w:color w:val="000000"/>
          <w:spacing w:val="0"/>
          <w:w w:val="100"/>
          <w:position w:val="0"/>
        </w:rPr>
        <w:t>、</w:t>
        <w:tab/>
        <w:t>委托他人进行现金资产管理情况</w:t>
      </w:r>
      <w:bookmarkEnd w:id="579"/>
      <w:bookmarkEnd w:id="580"/>
      <w:bookmarkEnd w:id="582"/>
    </w:p>
    <w:p>
      <w:pPr>
        <w:pStyle w:val="Style27"/>
        <w:keepNext/>
        <w:keepLines/>
        <w:widowControl w:val="0"/>
        <w:shd w:val="clear" w:color="auto" w:fill="auto"/>
        <w:bidi w:val="0"/>
        <w:spacing w:before="0" w:line="240" w:lineRule="auto"/>
        <w:ind w:left="0" w:right="0" w:firstLine="0"/>
        <w:jc w:val="left"/>
      </w:pPr>
      <w:bookmarkStart w:id="579" w:name="bookmark579"/>
      <w:bookmarkStart w:id="580" w:name="bookmark580"/>
      <w:bookmarkStart w:id="583" w:name="bookmark583"/>
      <w:bookmarkStart w:id="584" w:name="bookmark584"/>
      <w:r>
        <w:rPr>
          <w:color w:val="000000"/>
          <w:spacing w:val="0"/>
          <w:w w:val="100"/>
          <w:position w:val="0"/>
        </w:rPr>
        <w:t>（</w:t>
      </w:r>
      <w:bookmarkEnd w:id="58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79"/>
      <w:bookmarkEnd w:id="580"/>
      <w:bookmarkEnd w:id="584"/>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49,300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23,010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72,310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单项金额重大或安全性较低、流动性较差的高风险委托理财具体情况</w:t>
      </w:r>
    </w:p>
    <w:p>
      <w:pPr>
        <w:pStyle w:val="Style16"/>
        <w:keepNext w:val="0"/>
        <w:keepLines w:val="0"/>
        <w:widowControl w:val="0"/>
        <w:numPr>
          <w:ilvl w:val="0"/>
          <w:numId w:val="19"/>
        </w:numPr>
        <w:shd w:val="clear" w:color="auto" w:fill="auto"/>
        <w:tabs>
          <w:tab w:pos="282" w:val="left"/>
        </w:tabs>
        <w:bidi w:val="0"/>
        <w:spacing w:before="0" w:after="140" w:line="240" w:lineRule="auto"/>
        <w:ind w:left="0" w:right="0" w:firstLine="0"/>
        <w:jc w:val="left"/>
      </w:pPr>
      <w:bookmarkStart w:id="585" w:name="bookmark585"/>
      <w:bookmarkEnd w:id="58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16"/>
        <w:keepNext w:val="0"/>
        <w:keepLines w:val="0"/>
        <w:widowControl w:val="0"/>
        <w:numPr>
          <w:ilvl w:val="0"/>
          <w:numId w:val="19"/>
        </w:numPr>
        <w:shd w:val="clear" w:color="auto" w:fill="auto"/>
        <w:tabs>
          <w:tab w:pos="282" w:val="left"/>
          <w:tab w:pos="728" w:val="left"/>
        </w:tabs>
        <w:bidi w:val="0"/>
        <w:spacing w:before="0" w:after="380" w:line="240" w:lineRule="auto"/>
        <w:ind w:left="0" w:right="0" w:firstLine="0"/>
        <w:jc w:val="left"/>
      </w:pPr>
      <w:bookmarkStart w:id="586" w:name="bookmark586"/>
      <w:bookmarkEnd w:id="586"/>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w:t>
      </w:r>
      <w:bookmarkEnd w:id="58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87"/>
      <w:bookmarkEnd w:id="588"/>
      <w:bookmarkEnd w:id="590"/>
    </w:p>
    <w:p>
      <w:pPr>
        <w:pStyle w:val="Style16"/>
        <w:keepNext w:val="0"/>
        <w:keepLines w:val="0"/>
        <w:widowControl w:val="0"/>
        <w:numPr>
          <w:ilvl w:val="0"/>
          <w:numId w:val="19"/>
        </w:numPr>
        <w:shd w:val="clear" w:color="auto" w:fill="auto"/>
        <w:tabs>
          <w:tab w:pos="282" w:val="left"/>
          <w:tab w:pos="728" w:val="left"/>
        </w:tabs>
        <w:bidi w:val="0"/>
        <w:spacing w:before="0" w:after="140" w:line="240" w:lineRule="auto"/>
        <w:ind w:left="0" w:right="0" w:firstLine="0"/>
        <w:jc w:val="left"/>
      </w:pPr>
      <w:bookmarkStart w:id="591" w:name="bookmark591"/>
      <w:bookmarkEnd w:id="591"/>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7"/>
        <w:keepNext/>
        <w:keepLines/>
        <w:widowControl w:val="0"/>
        <w:shd w:val="clear" w:color="auto" w:fill="auto"/>
        <w:bidi w:val="0"/>
        <w:spacing w:before="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4</w:t>
      </w:r>
      <w:bookmarkEnd w:id="594"/>
      <w:r>
        <w:rPr>
          <w:color w:val="000000"/>
          <w:spacing w:val="0"/>
          <w:w w:val="100"/>
          <w:position w:val="0"/>
        </w:rPr>
        <w:t>、其他重大合同</w:t>
      </w:r>
      <w:bookmarkEnd w:id="592"/>
      <w:bookmarkEnd w:id="593"/>
      <w:bookmarkEnd w:id="595"/>
    </w:p>
    <w:p>
      <w:pPr>
        <w:pStyle w:val="Style16"/>
        <w:keepNext w:val="0"/>
        <w:keepLines w:val="0"/>
        <w:widowControl w:val="0"/>
        <w:numPr>
          <w:ilvl w:val="0"/>
          <w:numId w:val="19"/>
        </w:numPr>
        <w:shd w:val="clear" w:color="auto" w:fill="auto"/>
        <w:tabs>
          <w:tab w:pos="282" w:val="left"/>
        </w:tabs>
        <w:bidi w:val="0"/>
        <w:spacing w:before="0" w:after="140" w:line="240" w:lineRule="auto"/>
        <w:ind w:left="0" w:right="0" w:firstLine="0"/>
        <w:jc w:val="left"/>
      </w:pPr>
      <w:bookmarkStart w:id="596" w:name="bookmark596"/>
      <w:bookmarkEnd w:id="59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80" w:line="240" w:lineRule="auto"/>
        <w:ind w:left="0" w:right="0" w:firstLine="0"/>
        <w:jc w:val="both"/>
      </w:pPr>
      <w:bookmarkStart w:id="597" w:name="bookmark597"/>
      <w:bookmarkStart w:id="598" w:name="bookmark598"/>
      <w:bookmarkStart w:id="599" w:name="bookmark599"/>
      <w:r>
        <w:rPr>
          <w:color w:val="000000"/>
          <w:spacing w:val="0"/>
          <w:w w:val="100"/>
          <w:position w:val="0"/>
        </w:rPr>
        <w:t>十六、其他重大事项的说明</w:t>
      </w:r>
      <w:bookmarkEnd w:id="597"/>
      <w:bookmarkEnd w:id="598"/>
      <w:bookmarkEnd w:id="599"/>
    </w:p>
    <w:p>
      <w:pPr>
        <w:pStyle w:val="Style1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日，本公司与永中软件股份有限公司、北京德惠众合信息技术有限公司签订股权转让协议，永中软件股份 有限公司受让本公司将持有的北京德惠众合信息技术有限公司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股权，受让价格</w:t>
      </w:r>
      <w:r>
        <w:rPr>
          <w:rFonts w:ascii="Times New Roman" w:eastAsia="Times New Roman" w:hAnsi="Times New Roman" w:cs="Times New Roman"/>
          <w:color w:val="000000"/>
          <w:spacing w:val="0"/>
          <w:w w:val="100"/>
          <w:position w:val="0"/>
          <w:sz w:val="18"/>
          <w:szCs w:val="18"/>
        </w:rPr>
        <w:t>12,540,000.00</w:t>
      </w:r>
      <w:r>
        <w:rPr>
          <w:color w:val="000000"/>
          <w:spacing w:val="0"/>
          <w:w w:val="100"/>
          <w:position w:val="0"/>
        </w:rPr>
        <w:t>元。截止财务报告批准报出 日止，本公司已收到全部股权转让款，且相关工商已变更完毕。</w:t>
      </w:r>
    </w:p>
    <w:p>
      <w:pPr>
        <w:pStyle w:val="Style16"/>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除上述事项外，截至财务报告批准报出日止，本公司无应披露未披露的其他重大事项。</w:t>
      </w:r>
    </w:p>
    <w:p>
      <w:pPr>
        <w:pStyle w:val="Style21"/>
        <w:keepNext/>
        <w:keepLines/>
        <w:widowControl w:val="0"/>
        <w:shd w:val="clear" w:color="auto" w:fill="auto"/>
        <w:bidi w:val="0"/>
        <w:spacing w:before="0" w:after="380" w:line="240" w:lineRule="auto"/>
        <w:ind w:left="0" w:right="0" w:firstLine="0"/>
        <w:jc w:val="both"/>
      </w:pPr>
      <w:bookmarkStart w:id="600" w:name="bookmark600"/>
      <w:bookmarkStart w:id="601" w:name="bookmark601"/>
      <w:bookmarkStart w:id="602" w:name="bookmark602"/>
      <w:r>
        <w:rPr>
          <w:color w:val="000000"/>
          <w:spacing w:val="0"/>
          <w:w w:val="100"/>
          <w:position w:val="0"/>
        </w:rPr>
        <w:t>十七、公司子公司重大事项</w:t>
      </w:r>
      <w:bookmarkEnd w:id="600"/>
      <w:bookmarkEnd w:id="601"/>
      <w:bookmarkEnd w:id="602"/>
    </w:p>
    <w:p>
      <w:pPr>
        <w:pStyle w:val="Style16"/>
        <w:keepNext w:val="0"/>
        <w:keepLines w:val="0"/>
        <w:widowControl w:val="0"/>
        <w:shd w:val="clear" w:color="auto" w:fill="auto"/>
        <w:bidi w:val="0"/>
        <w:spacing w:before="0" w:after="380" w:line="360" w:lineRule="auto"/>
        <w:ind w:left="0" w:right="0" w:firstLine="0"/>
        <w:jc w:val="both"/>
        <w:sectPr>
          <w:footnotePr>
            <w:pos w:val="pageBottom"/>
            <w:numFmt w:val="decimal"/>
            <w:numRestart w:val="continuous"/>
          </w:footnotePr>
          <w:pgSz w:w="11900" w:h="16840"/>
          <w:pgMar w:top="1441" w:right="1088" w:bottom="1455" w:left="103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
        <w:keepNext/>
        <w:keepLines/>
        <w:widowControl w:val="0"/>
        <w:shd w:val="clear" w:color="auto" w:fill="auto"/>
        <w:bidi w:val="0"/>
        <w:spacing w:before="480" w:after="560" w:line="240" w:lineRule="auto"/>
        <w:ind w:left="0" w:right="0" w:firstLine="0"/>
        <w:jc w:val="center"/>
      </w:pPr>
      <w:bookmarkStart w:id="603" w:name="bookmark603"/>
      <w:bookmarkStart w:id="604" w:name="bookmark604"/>
      <w:bookmarkStart w:id="605" w:name="bookmark605"/>
      <w:r>
        <w:rPr>
          <w:color w:val="000000"/>
          <w:spacing w:val="0"/>
          <w:w w:val="100"/>
          <w:position w:val="0"/>
        </w:rPr>
        <w:t>第七节股份变动及股东情况</w:t>
      </w:r>
      <w:bookmarkEnd w:id="603"/>
      <w:bookmarkEnd w:id="604"/>
      <w:bookmarkEnd w:id="605"/>
    </w:p>
    <w:p>
      <w:pPr>
        <w:pStyle w:val="Style21"/>
        <w:keepNext/>
        <w:keepLines/>
        <w:widowControl w:val="0"/>
        <w:shd w:val="clear" w:color="auto" w:fill="auto"/>
        <w:bidi w:val="0"/>
        <w:spacing w:before="0" w:line="240" w:lineRule="auto"/>
        <w:ind w:left="0" w:right="0" w:firstLine="0"/>
        <w:jc w:val="both"/>
      </w:pPr>
      <w:bookmarkStart w:id="606" w:name="bookmark606"/>
      <w:bookmarkStart w:id="607" w:name="bookmark607"/>
      <w:bookmarkStart w:id="608" w:name="bookmark608"/>
      <w:bookmarkStart w:id="609" w:name="bookmark609"/>
      <w:bookmarkStart w:id="610" w:name="bookmark610"/>
      <w:r>
        <w:rPr>
          <w:color w:val="000000"/>
          <w:spacing w:val="0"/>
          <w:w w:val="100"/>
          <w:position w:val="0"/>
        </w:rPr>
        <w:t>一</w:t>
      </w:r>
      <w:bookmarkEnd w:id="609"/>
      <w:r>
        <w:rPr>
          <w:color w:val="000000"/>
          <w:spacing w:val="0"/>
          <w:w w:val="100"/>
          <w:position w:val="0"/>
        </w:rPr>
        <w:t>、股份变动情况</w:t>
      </w:r>
      <w:bookmarkEnd w:id="607"/>
      <w:bookmarkEnd w:id="608"/>
      <w:bookmarkEnd w:id="610"/>
      <w:bookmarkEnd w:id="606"/>
    </w:p>
    <w:p>
      <w:pPr>
        <w:pStyle w:val="Style27"/>
        <w:keepNext/>
        <w:keepLines/>
        <w:widowControl w:val="0"/>
        <w:shd w:val="clear" w:color="auto" w:fill="auto"/>
        <w:bidi w:val="0"/>
        <w:spacing w:before="0" w:after="360" w:line="240" w:lineRule="auto"/>
        <w:ind w:left="0" w:right="0" w:firstLine="0"/>
        <w:jc w:val="both"/>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1</w:t>
      </w:r>
      <w:bookmarkEnd w:id="613"/>
      <w:r>
        <w:rPr>
          <w:color w:val="000000"/>
          <w:spacing w:val="0"/>
          <w:w w:val="100"/>
          <w:position w:val="0"/>
        </w:rPr>
        <w:t>、股份变动情况</w:t>
      </w:r>
      <w:bookmarkEnd w:id="611"/>
      <w:bookmarkEnd w:id="612"/>
      <w:bookmarkEnd w:id="61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1032"/>
        <w:gridCol w:w="710"/>
        <w:gridCol w:w="566"/>
        <w:gridCol w:w="427"/>
        <w:gridCol w:w="706"/>
        <w:gridCol w:w="1133"/>
        <w:gridCol w:w="994"/>
        <w:gridCol w:w="994"/>
        <w:gridCol w:w="79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发行</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171,378,787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-89,069,914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-89,069,914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82,308,873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631,000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-631,000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170,747,787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-88,438,914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-88,438,914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82,308,873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86,111,422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-52,750,246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-52,750,246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33,361,176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84,636,365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-35,688,668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-35,688,668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48,947,697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165,700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-165,700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53,303,243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89,069,914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89,069,914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142,373,157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53,303,243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89,069,914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89,069,914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142,373,157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224,682,030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224,682,030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1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tabs>
          <w:tab w:pos="704" w:val="left"/>
        </w:tabs>
        <w:bidi w:val="0"/>
        <w:spacing w:before="0" w:after="0" w:line="312" w:lineRule="exact"/>
        <w:ind w:left="0" w:right="0"/>
        <w:jc w:val="left"/>
      </w:pPr>
      <w:bookmarkStart w:id="615" w:name="bookmark615"/>
      <w:r>
        <w:rPr>
          <w:rFonts w:ascii="Times New Roman" w:eastAsia="Times New Roman" w:hAnsi="Times New Roman" w:cs="Times New Roman"/>
          <w:color w:val="000000"/>
          <w:spacing w:val="0"/>
          <w:w w:val="100"/>
          <w:position w:val="0"/>
          <w:sz w:val="18"/>
          <w:szCs w:val="18"/>
        </w:rPr>
        <w:t>1</w:t>
      </w:r>
      <w:bookmarkEnd w:id="61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日，公司首次公开发行网下发行限售股上市流通，解除限售股东户数共计</w:t>
      </w:r>
      <w:r>
        <w:rPr>
          <w:rFonts w:ascii="Times New Roman" w:eastAsia="Times New Roman" w:hAnsi="Times New Roman" w:cs="Times New Roman"/>
          <w:color w:val="000000"/>
          <w:spacing w:val="0"/>
          <w:w w:val="100"/>
          <w:position w:val="0"/>
          <w:sz w:val="18"/>
          <w:szCs w:val="18"/>
        </w:rPr>
        <w:t>3,367</w:t>
      </w:r>
      <w:r>
        <w:rPr>
          <w:color w:val="000000"/>
          <w:spacing w:val="0"/>
          <w:w w:val="100"/>
          <w:position w:val="0"/>
        </w:rPr>
        <w:t>户，解除限售股份数量 为</w:t>
      </w:r>
      <w:r>
        <w:rPr>
          <w:rFonts w:ascii="Times New Roman" w:eastAsia="Times New Roman" w:hAnsi="Times New Roman" w:cs="Times New Roman"/>
          <w:color w:val="000000"/>
          <w:spacing w:val="0"/>
          <w:w w:val="100"/>
          <w:position w:val="0"/>
          <w:sz w:val="18"/>
          <w:szCs w:val="18"/>
        </w:rPr>
        <w:t>2,896,757</w:t>
      </w:r>
      <w:r>
        <w:rPr>
          <w:color w:val="000000"/>
          <w:spacing w:val="0"/>
          <w:w w:val="100"/>
          <w:position w:val="0"/>
        </w:rPr>
        <w:t>股，占发行后总股本的</w:t>
      </w:r>
      <w:r>
        <w:rPr>
          <w:rFonts w:ascii="Times New Roman" w:eastAsia="Times New Roman" w:hAnsi="Times New Roman" w:cs="Times New Roman"/>
          <w:color w:val="000000"/>
          <w:spacing w:val="0"/>
          <w:w w:val="100"/>
          <w:position w:val="0"/>
          <w:sz w:val="18"/>
          <w:szCs w:val="18"/>
        </w:rPr>
        <w:t>1.29%</w:t>
      </w:r>
      <w:r>
        <w:rPr>
          <w:color w:val="000000"/>
          <w:spacing w:val="0"/>
          <w:w w:val="100"/>
          <w:position w:val="0"/>
        </w:rPr>
        <w:t>，锁定期为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p>
      <w:pPr>
        <w:pStyle w:val="Style16"/>
        <w:keepNext w:val="0"/>
        <w:keepLines w:val="0"/>
        <w:widowControl w:val="0"/>
        <w:shd w:val="clear" w:color="auto" w:fill="auto"/>
        <w:tabs>
          <w:tab w:pos="704" w:val="left"/>
        </w:tabs>
        <w:bidi w:val="0"/>
        <w:spacing w:before="0" w:after="40" w:line="312" w:lineRule="exact"/>
        <w:ind w:left="0" w:right="0"/>
        <w:jc w:val="left"/>
      </w:pPr>
      <w:bookmarkStart w:id="616" w:name="bookmark616"/>
      <w:r>
        <w:rPr>
          <w:rFonts w:ascii="Times New Roman" w:eastAsia="Times New Roman" w:hAnsi="Times New Roman" w:cs="Times New Roman"/>
          <w:color w:val="000000"/>
          <w:spacing w:val="0"/>
          <w:w w:val="100"/>
          <w:position w:val="0"/>
          <w:sz w:val="18"/>
          <w:szCs w:val="18"/>
        </w:rPr>
        <w:t>2</w:t>
      </w:r>
      <w:bookmarkEnd w:id="61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日，公司部分首次公开发行前已发行股份上市流通，解除限售股东户数共计</w:t>
      </w: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户，解除限售股份的数 量为</w:t>
      </w:r>
      <w:r>
        <w:rPr>
          <w:rFonts w:ascii="Times New Roman" w:eastAsia="Times New Roman" w:hAnsi="Times New Roman" w:cs="Times New Roman"/>
          <w:color w:val="000000"/>
          <w:spacing w:val="0"/>
          <w:w w:val="100"/>
          <w:position w:val="0"/>
          <w:sz w:val="18"/>
          <w:szCs w:val="18"/>
        </w:rPr>
        <w:t>86,173,157</w:t>
      </w:r>
      <w:r>
        <w:rPr>
          <w:color w:val="000000"/>
          <w:spacing w:val="0"/>
          <w:w w:val="100"/>
          <w:position w:val="0"/>
        </w:rPr>
        <w:t>股，占公司总股本</w:t>
      </w:r>
      <w:r>
        <w:rPr>
          <w:rFonts w:ascii="Times New Roman" w:eastAsia="Times New Roman" w:hAnsi="Times New Roman" w:cs="Times New Roman"/>
          <w:color w:val="000000"/>
          <w:spacing w:val="0"/>
          <w:w w:val="100"/>
          <w:position w:val="0"/>
          <w:sz w:val="18"/>
          <w:szCs w:val="18"/>
        </w:rPr>
        <w:t>38.35%</w:t>
      </w:r>
      <w:r>
        <w:rPr>
          <w:color w:val="000000"/>
          <w:spacing w:val="0"/>
          <w:w w:val="100"/>
          <w:position w:val="0"/>
        </w:rPr>
        <w:t>；实际可上市流通数量为</w:t>
      </w:r>
      <w:r>
        <w:rPr>
          <w:rFonts w:ascii="Times New Roman" w:eastAsia="Times New Roman" w:hAnsi="Times New Roman" w:cs="Times New Roman"/>
          <w:color w:val="000000"/>
          <w:spacing w:val="0"/>
          <w:w w:val="100"/>
          <w:position w:val="0"/>
          <w:sz w:val="18"/>
          <w:szCs w:val="18"/>
        </w:rPr>
        <w:t>142,373,157</w:t>
      </w:r>
      <w:r>
        <w:rPr>
          <w:color w:val="000000"/>
          <w:spacing w:val="0"/>
          <w:w w:val="100"/>
          <w:position w:val="0"/>
        </w:rPr>
        <w:t>股，占公司总股本</w:t>
      </w:r>
      <w:r>
        <w:rPr>
          <w:rFonts w:ascii="Times New Roman" w:eastAsia="Times New Roman" w:hAnsi="Times New Roman" w:cs="Times New Roman"/>
          <w:color w:val="000000"/>
          <w:spacing w:val="0"/>
          <w:w w:val="100"/>
          <w:position w:val="0"/>
          <w:sz w:val="18"/>
          <w:szCs w:val="18"/>
        </w:rPr>
        <w:t>63.37%</w:t>
      </w:r>
      <w:r>
        <w:rPr>
          <w:color w:val="000000"/>
          <w:spacing w:val="0"/>
          <w:w w:val="100"/>
          <w:position w:val="0"/>
        </w:rPr>
        <w:t xml:space="preserve">。上述股份锁定期为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16"/>
        <w:keepNext w:val="0"/>
        <w:keepLines w:val="0"/>
        <w:widowControl w:val="0"/>
        <w:shd w:val="clear" w:color="auto" w:fill="auto"/>
        <w:bidi w:val="0"/>
        <w:spacing w:before="0" w:after="40" w:line="312" w:lineRule="exact"/>
        <w:ind w:left="0" w:right="0" w:firstLine="0"/>
        <w:jc w:val="both"/>
      </w:pPr>
      <w:r>
        <w:rPr>
          <w:color w:val="000000"/>
          <w:spacing w:val="0"/>
          <w:w w:val="100"/>
          <w:position w:val="0"/>
        </w:rPr>
        <w:t>股份变动的批准情况</w:t>
      </w:r>
    </w:p>
    <w:p>
      <w:pPr>
        <w:pStyle w:val="Style16"/>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40" w:line="312" w:lineRule="exact"/>
        <w:ind w:left="0" w:right="0" w:firstLine="0"/>
        <w:jc w:val="both"/>
      </w:pPr>
      <w:r>
        <w:rPr>
          <w:color w:val="000000"/>
          <w:spacing w:val="0"/>
          <w:w w:val="100"/>
          <w:position w:val="0"/>
        </w:rPr>
        <w:t>股份变动的过户情况</w:t>
      </w:r>
    </w:p>
    <w:p>
      <w:pPr>
        <w:pStyle w:val="Style16"/>
        <w:keepNext w:val="0"/>
        <w:keepLines w:val="0"/>
        <w:widowControl w:val="0"/>
        <w:shd w:val="clear" w:color="auto" w:fill="auto"/>
        <w:bidi w:val="0"/>
        <w:spacing w:before="0" w:after="8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、限售股份变动情况</w:t>
      </w:r>
      <w:bookmarkEnd w:id="617"/>
      <w:bookmarkEnd w:id="618"/>
      <w:bookmarkEnd w:id="620"/>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709"/>
        <w:gridCol w:w="1133"/>
        <w:gridCol w:w="1138"/>
        <w:gridCol w:w="1133"/>
        <w:gridCol w:w="1277"/>
        <w:gridCol w:w="1982"/>
        <w:gridCol w:w="1214"/>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本期解除限</w:t>
            </w:r>
          </w:p>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48,947,697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48,947,697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首次公开发行前已发行 股份，限售</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2023-08-24</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北京天阳宏业投资管 理合伙企业（有限合 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33,361,176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33,361,176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首次公开发行前已发行 股份，限售</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2023-08-24</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20,574,859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20,574,859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首次公开发行前已发行 股份，限售</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2021-08-24 </w:t>
            </w:r>
            <w:r>
              <w:rPr>
                <w:color w:val="000000"/>
                <w:spacing w:val="0"/>
                <w:w w:val="100"/>
                <w:position w:val="0"/>
              </w:rPr>
              <w:t>解</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禁</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北京时间投资合伙企</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14,959,677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14,959,677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首次公开发行前已发行 股份，限售</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2021-08-24 </w:t>
            </w:r>
            <w:r>
              <w:rPr>
                <w:color w:val="000000"/>
                <w:spacing w:val="0"/>
                <w:w w:val="100"/>
                <w:position w:val="0"/>
              </w:rPr>
              <w:t>解</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禁</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杭州鼎晖新趋势股权 投资合伙企业（有限 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首次公开发行前已发行 股份，限售</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2021-08-24 </w:t>
            </w:r>
            <w:r>
              <w:rPr>
                <w:color w:val="000000"/>
                <w:spacing w:val="0"/>
                <w:w w:val="100"/>
                <w:position w:val="0"/>
              </w:rPr>
              <w:t>解</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禁</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陶卫琴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首次公开发行前已发行 股份，限售</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2021-08-24 </w:t>
            </w:r>
            <w:r>
              <w:rPr>
                <w:color w:val="000000"/>
                <w:spacing w:val="0"/>
                <w:w w:val="100"/>
                <w:position w:val="0"/>
              </w:rPr>
              <w:t>解</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禁</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珠海时间创业投资合</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伙企业（有限合伙）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4,193,549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4,193,549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首次公开发行前已发行 股份，限售</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2021-08-24 </w:t>
            </w:r>
            <w:r>
              <w:rPr>
                <w:color w:val="000000"/>
                <w:spacing w:val="0"/>
                <w:w w:val="100"/>
                <w:position w:val="0"/>
              </w:rPr>
              <w:t>解</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禁</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华元金控资本管理</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3,923,278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3,923,278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首次公开发行前已发行 股份，限售</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2021-08-24 </w:t>
            </w:r>
            <w:r>
              <w:rPr>
                <w:color w:val="000000"/>
                <w:spacing w:val="0"/>
                <w:w w:val="100"/>
                <w:position w:val="0"/>
              </w:rPr>
              <w:t>解</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禁</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光大资本投资有限公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3,810,482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3,810,482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首次公开发行前已发行 股份，限售</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2021-08-24 </w:t>
            </w:r>
            <w:r>
              <w:rPr>
                <w:color w:val="000000"/>
                <w:spacing w:val="0"/>
                <w:w w:val="100"/>
                <w:position w:val="0"/>
              </w:rPr>
              <w:t>解</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禁</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北京华睿互联创业投</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资中心（有限合伙）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3,510,626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3,510,626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首次公开发行前已发行 股份，限售</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2021-08-24 </w:t>
            </w:r>
            <w:r>
              <w:rPr>
                <w:color w:val="000000"/>
                <w:spacing w:val="0"/>
                <w:w w:val="100"/>
                <w:position w:val="0"/>
              </w:rPr>
              <w:t>解</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禁</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其他首发前限售股东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22,220,686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22,220,686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首次公开发行前已发行 股份，限售</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2021-08-24 </w:t>
            </w:r>
            <w:r>
              <w:rPr>
                <w:color w:val="000000"/>
                <w:spacing w:val="0"/>
                <w:w w:val="100"/>
                <w:position w:val="0"/>
              </w:rPr>
              <w:t>解</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禁</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首发网下发行配售股 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2,896,757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2,896,757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首次公开发行网下发行 限售股份，限售</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2021-02-25 </w:t>
            </w:r>
            <w:r>
              <w:rPr>
                <w:color w:val="000000"/>
                <w:spacing w:val="0"/>
                <w:w w:val="100"/>
                <w:position w:val="0"/>
              </w:rPr>
              <w:t>解</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禁</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171,378,787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89,069,914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82,308,873</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keepLines/>
        <w:widowControl w:val="0"/>
        <w:shd w:val="clear" w:color="auto" w:fill="auto"/>
        <w:tabs>
          <w:tab w:pos="517" w:val="left"/>
        </w:tabs>
        <w:bidi w:val="0"/>
        <w:spacing w:before="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rPr>
        <w:t>二</w:t>
      </w:r>
      <w:bookmarkEnd w:id="623"/>
      <w:r>
        <w:rPr>
          <w:color w:val="000000"/>
          <w:spacing w:val="0"/>
          <w:w w:val="100"/>
          <w:position w:val="0"/>
        </w:rPr>
        <w:t>、</w:t>
        <w:tab/>
        <w:t>证券发行与上市情况</w:t>
      </w:r>
      <w:bookmarkEnd w:id="621"/>
      <w:bookmarkEnd w:id="622"/>
      <w:bookmarkEnd w:id="624"/>
    </w:p>
    <w:p>
      <w:pPr>
        <w:pStyle w:val="Style27"/>
        <w:keepNext/>
        <w:keepLines/>
        <w:widowControl w:val="0"/>
        <w:shd w:val="clear" w:color="auto" w:fill="auto"/>
        <w:tabs>
          <w:tab w:pos="368" w:val="left"/>
        </w:tabs>
        <w:bidi w:val="0"/>
        <w:spacing w:before="0" w:after="36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1</w:t>
      </w:r>
      <w:bookmarkEnd w:id="627"/>
      <w:r>
        <w:rPr>
          <w:color w:val="000000"/>
          <w:spacing w:val="0"/>
          <w:w w:val="100"/>
          <w:position w:val="0"/>
        </w:rPr>
        <w:t>、</w:t>
        <w:tab/>
        <w:t>报告期内证券发行（不含优先股）情况</w:t>
      </w:r>
      <w:bookmarkEnd w:id="625"/>
      <w:bookmarkEnd w:id="626"/>
      <w:bookmarkEnd w:id="628"/>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2</w:t>
      </w:r>
      <w:bookmarkEnd w:id="631"/>
      <w:r>
        <w:rPr>
          <w:color w:val="000000"/>
          <w:spacing w:val="0"/>
          <w:w w:val="100"/>
          <w:position w:val="0"/>
        </w:rPr>
        <w:t>、</w:t>
        <w:tab/>
        <w:t>公司股份总数及股东结构的变动、公司资产和负债结构的变动情况说明</w:t>
      </w:r>
      <w:bookmarkEnd w:id="629"/>
      <w:bookmarkEnd w:id="630"/>
      <w:bookmarkEnd w:id="632"/>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3</w:t>
      </w:r>
      <w:bookmarkEnd w:id="635"/>
      <w:r>
        <w:rPr>
          <w:color w:val="000000"/>
          <w:spacing w:val="0"/>
          <w:w w:val="100"/>
          <w:position w:val="0"/>
        </w:rPr>
        <w:t>、</w:t>
        <w:tab/>
        <w:t>现存的内部职工股情况</w:t>
      </w:r>
      <w:bookmarkEnd w:id="633"/>
      <w:bookmarkEnd w:id="634"/>
      <w:bookmarkEnd w:id="636"/>
    </w:p>
    <w:p>
      <w:pPr>
        <w:pStyle w:val="Style1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三</w:t>
      </w:r>
      <w:bookmarkEnd w:id="639"/>
      <w:r>
        <w:rPr>
          <w:color w:val="000000"/>
          <w:spacing w:val="0"/>
          <w:w w:val="100"/>
          <w:position w:val="0"/>
        </w:rPr>
        <w:t>、</w:t>
        <w:tab/>
        <w:t>股东和实际控制人情况</w:t>
      </w:r>
      <w:bookmarkEnd w:id="637"/>
      <w:bookmarkEnd w:id="638"/>
      <w:bookmarkEnd w:id="640"/>
    </w:p>
    <w:p>
      <w:pPr>
        <w:pStyle w:val="Style27"/>
        <w:keepNext/>
        <w:keepLines/>
        <w:widowControl w:val="0"/>
        <w:shd w:val="clear" w:color="auto" w:fill="auto"/>
        <w:bidi w:val="0"/>
        <w:spacing w:before="0" w:after="36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1</w:t>
      </w:r>
      <w:bookmarkEnd w:id="643"/>
      <w:r>
        <w:rPr>
          <w:color w:val="000000"/>
          <w:spacing w:val="0"/>
          <w:w w:val="100"/>
          <w:position w:val="0"/>
        </w:rPr>
        <w:t>、公司股东数量及持股情况</w:t>
      </w:r>
      <w:bookmarkEnd w:id="641"/>
      <w:bookmarkEnd w:id="642"/>
      <w:bookmarkEnd w:id="644"/>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869"/>
        <w:gridCol w:w="869"/>
        <w:gridCol w:w="1046"/>
        <w:gridCol w:w="586"/>
        <w:gridCol w:w="869"/>
        <w:gridCol w:w="864"/>
        <w:gridCol w:w="878"/>
      </w:tblGrid>
      <w:tr>
        <w:trPr>
          <w:trHeight w:val="228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30,737</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31,225</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 表决权恢</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复的优先 股股东总</w:t>
            </w:r>
          </w:p>
          <w:p>
            <w:pPr>
              <w:pStyle w:val="Style18"/>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数（如有） （参见注</w:t>
            </w:r>
          </w:p>
          <w:p>
            <w:pPr>
              <w:pStyle w:val="Style18"/>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18"/>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48,947,697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48,947,697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北京天阳宏 业投资管理 合伙企业</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33,361,176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33,361,176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8,966,000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20,574,859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20,574,859</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北京时间投</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资合伙企业</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11,697,005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-3,262,672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11,697,005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杭州鼎晖新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5,753,198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-2,246,802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5,753,198</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979"/>
        <w:gridCol w:w="758"/>
        <w:gridCol w:w="874"/>
        <w:gridCol w:w="869"/>
        <w:gridCol w:w="869"/>
        <w:gridCol w:w="758"/>
        <w:gridCol w:w="288"/>
        <w:gridCol w:w="1454"/>
        <w:gridCol w:w="1742"/>
      </w:tblGrid>
      <w:tr>
        <w:trPr>
          <w:trHeight w:val="130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趋势股权投</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资合伙企业</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（有限合</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珠海时间创 业投资合伙 企业（有限 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4,193,549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4,193,549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光大资本投</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3,810,482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3,810,482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3,810,482</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北京华睿互 联创业投资 中心（有限</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3,510,626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3,510,626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both"/>
            </w:pPr>
            <w:r>
              <w:rPr>
                <w:color w:val="000000"/>
                <w:spacing w:val="0"/>
                <w:w w:val="100"/>
                <w:position w:val="0"/>
              </w:rPr>
              <w:t>华元金控资 本管理（上 海）有限公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3,053,878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3,053,878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陶卫琴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2,902,800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-2,077,200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2,902,800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 致行动的说明</w:t>
            </w:r>
          </w:p>
        </w:tc>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、上述股东北京天阳宏业投资管理合伙企业（有限合伙）（持有天阳科技</w:t>
            </w:r>
            <w:r>
              <w:rPr>
                <w:rFonts w:ascii="Times New Roman" w:eastAsia="Times New Roman" w:hAnsi="Times New Roman" w:cs="Times New Roman"/>
                <w:color w:val="000000"/>
                <w:spacing w:val="0"/>
                <w:w w:val="100"/>
                <w:position w:val="0"/>
                <w:sz w:val="18"/>
                <w:szCs w:val="18"/>
              </w:rPr>
              <w:t>14.85%</w:t>
            </w:r>
            <w:r>
              <w:rPr>
                <w:color w:val="000000"/>
                <w:spacing w:val="0"/>
                <w:w w:val="100"/>
                <w:position w:val="0"/>
              </w:rPr>
              <w:t>股份）为公司实 际控制人欧阳建平（持有天阳科技</w:t>
            </w:r>
            <w:r>
              <w:rPr>
                <w:rFonts w:ascii="Times New Roman" w:eastAsia="Times New Roman" w:hAnsi="Times New Roman" w:cs="Times New Roman"/>
                <w:color w:val="000000"/>
                <w:spacing w:val="0"/>
                <w:w w:val="100"/>
                <w:position w:val="0"/>
                <w:sz w:val="18"/>
                <w:szCs w:val="18"/>
              </w:rPr>
              <w:t>21.79%</w:t>
            </w:r>
            <w:r>
              <w:rPr>
                <w:color w:val="000000"/>
                <w:spacing w:val="0"/>
                <w:w w:val="100"/>
                <w:position w:val="0"/>
              </w:rPr>
              <w:t>）控制的企业。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、上述股东北京时间投资合伙企业（有 限合伙）（持有天阳科技</w:t>
            </w:r>
            <w:r>
              <w:rPr>
                <w:rFonts w:ascii="Times New Roman" w:eastAsia="Times New Roman" w:hAnsi="Times New Roman" w:cs="Times New Roman"/>
                <w:color w:val="000000"/>
                <w:spacing w:val="0"/>
                <w:w w:val="100"/>
                <w:position w:val="0"/>
                <w:sz w:val="18"/>
                <w:szCs w:val="18"/>
              </w:rPr>
              <w:t>5.21%</w:t>
            </w:r>
            <w:r>
              <w:rPr>
                <w:color w:val="000000"/>
                <w:spacing w:val="0"/>
                <w:w w:val="100"/>
                <w:position w:val="0"/>
              </w:rPr>
              <w:t xml:space="preserve">股份）和珠海时间创业投资合伙企业（有限合伙）（持有天阳科技 </w:t>
            </w:r>
            <w:r>
              <w:rPr>
                <w:rFonts w:ascii="Times New Roman" w:eastAsia="Times New Roman" w:hAnsi="Times New Roman" w:cs="Times New Roman"/>
                <w:color w:val="000000"/>
                <w:spacing w:val="0"/>
                <w:w w:val="100"/>
                <w:position w:val="0"/>
                <w:sz w:val="18"/>
                <w:szCs w:val="18"/>
              </w:rPr>
              <w:t>1.87%</w:t>
            </w:r>
            <w:r>
              <w:rPr>
                <w:color w:val="000000"/>
                <w:spacing w:val="0"/>
                <w:w w:val="100"/>
                <w:position w:val="0"/>
              </w:rPr>
              <w:t>股份）受同一实际控制人控制。</w:t>
            </w:r>
          </w:p>
        </w:tc>
      </w:tr>
      <w:tr>
        <w:trPr>
          <w:trHeight w:val="1022"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8"/>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10"/>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李青</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20,574,859</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北京时间投资合伙企业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11,697,005</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杭州鼎晖新趋势股权投</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资合伙企业（有限合伙）</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5,753,198</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珠海时间创业投资合伙 企业（有限合伙）</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4,193,549</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光大资本投资有限公司</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3,810,482</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北京华睿互联创业投资 中心（有限合伙）</w:t>
            </w:r>
          </w:p>
        </w:tc>
        <w:tc>
          <w:tcPr>
            <w:gridSpan w:val="5"/>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3,510,626</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73"/>
        <w:gridCol w:w="4128"/>
        <w:gridCol w:w="1742"/>
        <w:gridCol w:w="1742"/>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华元金控资本管理（上 海）有限公司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3,053,878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陶卫琴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谢建龙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谢菊花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上述股东北京时间投资合伙企业（有限合伙）（持有天阳科技</w:t>
            </w:r>
            <w:r>
              <w:rPr>
                <w:rFonts w:ascii="Times New Roman" w:eastAsia="Times New Roman" w:hAnsi="Times New Roman" w:cs="Times New Roman"/>
                <w:color w:val="000000"/>
                <w:spacing w:val="0"/>
                <w:w w:val="100"/>
                <w:position w:val="0"/>
                <w:sz w:val="18"/>
                <w:szCs w:val="18"/>
              </w:rPr>
              <w:t>5.21%</w:t>
            </w:r>
            <w:r>
              <w:rPr>
                <w:color w:val="000000"/>
                <w:spacing w:val="0"/>
                <w:w w:val="100"/>
                <w:position w:val="0"/>
              </w:rPr>
              <w:t>股份）和珠海时间创业投资合 伙企业（有限合伙）（持有天阳科技</w:t>
            </w:r>
            <w:r>
              <w:rPr>
                <w:rFonts w:ascii="Times New Roman" w:eastAsia="Times New Roman" w:hAnsi="Times New Roman" w:cs="Times New Roman"/>
                <w:color w:val="000000"/>
                <w:spacing w:val="0"/>
                <w:w w:val="100"/>
                <w:position w:val="0"/>
                <w:sz w:val="18"/>
                <w:szCs w:val="18"/>
              </w:rPr>
              <w:t>1.87%</w:t>
            </w:r>
            <w:r>
              <w:rPr>
                <w:color w:val="000000"/>
                <w:spacing w:val="0"/>
                <w:w w:val="100"/>
                <w:position w:val="0"/>
              </w:rPr>
              <w:t>股份）受同一实际控制人控制。</w:t>
            </w:r>
          </w:p>
        </w:tc>
      </w:tr>
    </w:tbl>
    <w:p>
      <w:pPr>
        <w:pStyle w:val="Style1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公司是否具有表决权差异安排</w:t>
      </w:r>
    </w:p>
    <w:p>
      <w:pPr>
        <w:pStyle w:val="Style16"/>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bookmarkEnd w:id="647"/>
      <w:r>
        <w:rPr>
          <w:color w:val="000000"/>
          <w:spacing w:val="0"/>
          <w:w w:val="100"/>
          <w:position w:val="0"/>
        </w:rPr>
        <w:t>、公司控股股东情况</w:t>
      </w:r>
      <w:bookmarkEnd w:id="645"/>
      <w:bookmarkEnd w:id="646"/>
      <w:bookmarkEnd w:id="648"/>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5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欧阳建平先生，男，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年生，中国国籍，无境外居留权。</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 于哈尔滨工业大学计算机系，硕士学位。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月，就职于 航天部二院</w:t>
            </w:r>
            <w:r>
              <w:rPr>
                <w:rFonts w:ascii="Times New Roman" w:eastAsia="Times New Roman" w:hAnsi="Times New Roman" w:cs="Times New Roman"/>
                <w:color w:val="000000"/>
                <w:spacing w:val="0"/>
                <w:w w:val="100"/>
                <w:position w:val="0"/>
                <w:sz w:val="18"/>
                <w:szCs w:val="18"/>
              </w:rPr>
              <w:t>706</w:t>
            </w:r>
            <w:r>
              <w:rPr>
                <w:color w:val="000000"/>
                <w:spacing w:val="0"/>
                <w:w w:val="100"/>
                <w:position w:val="0"/>
              </w:rPr>
              <w:t>研究所，任工程师；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月，就职于</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 xml:space="preserve">， </w:t>
            </w:r>
            <w:r>
              <w:rPr>
                <w:color w:val="000000"/>
                <w:spacing w:val="0"/>
                <w:w w:val="100"/>
                <w:position w:val="0"/>
              </w:rPr>
              <w:t>任</w:t>
            </w:r>
            <w:r>
              <w:rPr>
                <w:rFonts w:ascii="Times New Roman" w:eastAsia="Times New Roman" w:hAnsi="Times New Roman" w:cs="Times New Roman"/>
                <w:color w:val="000000"/>
                <w:spacing w:val="0"/>
                <w:w w:val="100"/>
                <w:position w:val="0"/>
                <w:sz w:val="18"/>
                <w:szCs w:val="18"/>
              </w:rPr>
              <w:t>Lotus</w:t>
            </w:r>
            <w:r>
              <w:rPr>
                <w:color w:val="000000"/>
                <w:spacing w:val="0"/>
                <w:w w:val="100"/>
                <w:position w:val="0"/>
              </w:rPr>
              <w:t>部门高级工程师；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年，就职于博瑞琪集团，任网络事业部总经理； </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年，就职于北京义驰美迪技术有限公司，任事业部总经理；</w:t>
            </w: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年至今，任公司董事、总经理，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年至今，兼任公司董事长。</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公司报告期控股股东未发生变更。</w:t>
      </w:r>
      <w:r>
        <w:br w:type="page"/>
      </w:r>
    </w:p>
    <w:p>
      <w:pPr>
        <w:pStyle w:val="Style27"/>
        <w:keepNext/>
        <w:keepLines/>
        <w:widowControl w:val="0"/>
        <w:shd w:val="clear" w:color="auto" w:fill="auto"/>
        <w:bidi w:val="0"/>
        <w:spacing w:before="0" w:after="22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3</w:t>
      </w:r>
      <w:bookmarkEnd w:id="651"/>
      <w:r>
        <w:rPr>
          <w:color w:val="000000"/>
          <w:spacing w:val="0"/>
          <w:w w:val="100"/>
          <w:position w:val="0"/>
        </w:rPr>
        <w:t>、公司实际控制人及其一致行动人</w:t>
      </w:r>
      <w:bookmarkEnd w:id="649"/>
      <w:bookmarkEnd w:id="650"/>
      <w:bookmarkEnd w:id="652"/>
    </w:p>
    <w:p>
      <w:pPr>
        <w:pStyle w:val="Style16"/>
        <w:keepNext w:val="0"/>
        <w:keepLines w:val="0"/>
        <w:widowControl w:val="0"/>
        <w:shd w:val="clear" w:color="auto" w:fill="auto"/>
        <w:bidi w:val="0"/>
        <w:spacing w:before="0" w:after="80" w:line="355"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275"/>
        <w:gridCol w:w="2515"/>
        <w:gridCol w:w="2395"/>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46"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欧阳建平先生，男，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年生，中国国籍，无境外居留权。</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月毕业于哈尔滨工业大 学计算机系，硕士学位。</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月，就职于航天部二院</w:t>
            </w:r>
            <w:r>
              <w:rPr>
                <w:rFonts w:ascii="Times New Roman" w:eastAsia="Times New Roman" w:hAnsi="Times New Roman" w:cs="Times New Roman"/>
                <w:color w:val="000000"/>
                <w:spacing w:val="0"/>
                <w:w w:val="100"/>
                <w:position w:val="0"/>
                <w:sz w:val="18"/>
                <w:szCs w:val="18"/>
              </w:rPr>
              <w:t>706</w:t>
            </w:r>
            <w:r>
              <w:rPr>
                <w:color w:val="000000"/>
                <w:spacing w:val="0"/>
                <w:w w:val="100"/>
                <w:position w:val="0"/>
              </w:rPr>
              <w:t>研究所，任工 程师；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月，就职于</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，任</w:t>
            </w:r>
            <w:r>
              <w:rPr>
                <w:rFonts w:ascii="Times New Roman" w:eastAsia="Times New Roman" w:hAnsi="Times New Roman" w:cs="Times New Roman"/>
                <w:color w:val="000000"/>
                <w:spacing w:val="0"/>
                <w:w w:val="100"/>
                <w:position w:val="0"/>
                <w:sz w:val="18"/>
                <w:szCs w:val="18"/>
              </w:rPr>
              <w:t>Lotus</w:t>
            </w:r>
            <w:r>
              <w:rPr>
                <w:color w:val="000000"/>
                <w:spacing w:val="0"/>
                <w:w w:val="100"/>
                <w:position w:val="0"/>
              </w:rPr>
              <w:t>部门高级工程师；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年，就职 于博瑞琪集团，任网络事业部总经理；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年，就职于北京义驰美迪技术有限公 司，任事业部总经理；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年至今，任公司董事、总经理，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年至今，兼任公司董事长。</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292350" cy="141414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2292350" cy="1414145"/>
                    </a:xfrm>
                    <a:prstGeom prst="rect"/>
                  </pic:spPr>
                </pic:pic>
              </a:graphicData>
            </a:graphic>
          </wp:inline>
        </w:drawing>
      </w:r>
    </w:p>
    <w:p>
      <w:pPr>
        <w:widowControl w:val="0"/>
        <w:spacing w:after="3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4</w:t>
      </w:r>
      <w:bookmarkEnd w:id="655"/>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53"/>
      <w:bookmarkEnd w:id="654"/>
      <w:bookmarkEnd w:id="656"/>
    </w:p>
    <w:p>
      <w:pPr>
        <w:pStyle w:val="Style16"/>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441" w:right="1144" w:bottom="1599" w:left="107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5</w:t>
      </w:r>
      <w:bookmarkEnd w:id="659"/>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57"/>
      <w:bookmarkEnd w:id="658"/>
      <w:bookmarkEnd w:id="660"/>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87"/>
        <w:gridCol w:w="1814"/>
        <w:gridCol w:w="1416"/>
        <w:gridCol w:w="1632"/>
        <w:gridCol w:w="2136"/>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北京天阳宏业投资管理合伙企业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北京志鸿中科信息咨 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10,763,520.34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项目管理，资产管理，项 目投资。（依法须经批准的 项目，经相关部门批准后 方可开展经营活动）</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6</w:t>
      </w:r>
      <w:bookmarkEnd w:id="663"/>
      <w:r>
        <w:rPr>
          <w:color w:val="000000"/>
          <w:spacing w:val="0"/>
          <w:w w:val="100"/>
          <w:position w:val="0"/>
        </w:rPr>
        <w:t>、控股股东、实际控制人、重组方及其他承诺主体股份限制减持情况</w:t>
      </w:r>
      <w:bookmarkEnd w:id="661"/>
      <w:bookmarkEnd w:id="662"/>
      <w:bookmarkEnd w:id="664"/>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665" w:name="bookmark665"/>
      <w:bookmarkStart w:id="666" w:name="bookmark666"/>
      <w:bookmarkStart w:id="667" w:name="bookmark667"/>
      <w:bookmarkStart w:id="668" w:name="bookmark668"/>
      <w:r>
        <w:rPr>
          <w:color w:val="000000"/>
          <w:spacing w:val="0"/>
          <w:w w:val="100"/>
          <w:position w:val="0"/>
        </w:rPr>
        <w:t>四</w:t>
      </w:r>
      <w:bookmarkEnd w:id="667"/>
      <w:r>
        <w:rPr>
          <w:color w:val="000000"/>
          <w:spacing w:val="0"/>
          <w:w w:val="100"/>
          <w:position w:val="0"/>
        </w:rPr>
        <w:t>、股份回购在报告期的具体实施情况</w:t>
      </w:r>
      <w:bookmarkEnd w:id="665"/>
      <w:bookmarkEnd w:id="666"/>
      <w:bookmarkEnd w:id="668"/>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16"/>
        <w:keepNext w:val="0"/>
        <w:keepLines w:val="0"/>
        <w:widowControl w:val="0"/>
        <w:shd w:val="clear" w:color="auto" w:fill="auto"/>
        <w:bidi w:val="0"/>
        <w:spacing w:before="0" w:after="340" w:line="240" w:lineRule="auto"/>
        <w:ind w:left="0" w:right="0" w:firstLine="0"/>
        <w:jc w:val="both"/>
        <w:sectPr>
          <w:footnotePr>
            <w:pos w:val="pageBottom"/>
            <w:numFmt w:val="decimal"/>
            <w:numRestart w:val="continuous"/>
          </w:footnotePr>
          <w:pgSz w:w="11900" w:h="16840"/>
          <w:pgMar w:top="1734" w:right="1195" w:bottom="1734"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3" name="Shape 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4"/>
                              <w:keepNext/>
                              <w:keepLines/>
                              <w:widowControl w:val="0"/>
                              <w:shd w:val="clear" w:color="auto" w:fill="auto"/>
                              <w:bidi w:val="0"/>
                              <w:spacing w:before="0" w:after="0" w:line="240" w:lineRule="auto"/>
                              <w:ind w:left="0" w:right="0" w:firstLine="0"/>
                              <w:jc w:val="center"/>
                            </w:pPr>
                            <w:bookmarkStart w:id="669" w:name="bookmark669"/>
                            <w:bookmarkStart w:id="670" w:name="bookmark670"/>
                            <w:bookmarkStart w:id="671" w:name="bookmark671"/>
                            <w:r>
                              <w:rPr>
                                <w:color w:val="000000"/>
                                <w:spacing w:val="0"/>
                                <w:w w:val="100"/>
                                <w:position w:val="0"/>
                              </w:rPr>
                              <w:t>第八节优先股相关情况</w:t>
                            </w:r>
                            <w:bookmarkEnd w:id="669"/>
                            <w:bookmarkEnd w:id="670"/>
                            <w:bookmarkEnd w:id="671"/>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4"/>
                        <w:keepNext/>
                        <w:keepLines/>
                        <w:widowControl w:val="0"/>
                        <w:shd w:val="clear" w:color="auto" w:fill="auto"/>
                        <w:bidi w:val="0"/>
                        <w:spacing w:before="0" w:after="0" w:line="240" w:lineRule="auto"/>
                        <w:ind w:left="0" w:right="0" w:firstLine="0"/>
                        <w:jc w:val="center"/>
                      </w:pPr>
                      <w:bookmarkStart w:id="669" w:name="bookmark669"/>
                      <w:bookmarkStart w:id="670" w:name="bookmark670"/>
                      <w:bookmarkStart w:id="671" w:name="bookmark671"/>
                      <w:r>
                        <w:rPr>
                          <w:color w:val="000000"/>
                          <w:spacing w:val="0"/>
                          <w:w w:val="100"/>
                          <w:position w:val="0"/>
                        </w:rPr>
                        <w:t>第八节优先股相关情况</w:t>
                      </w:r>
                      <w:bookmarkEnd w:id="669"/>
                      <w:bookmarkEnd w:id="670"/>
                      <w:bookmarkEnd w:id="671"/>
                    </w:p>
                  </w:txbxContent>
                </v:textbox>
                <w10:wrap type="topAndBottom" anchorx="page"/>
              </v:shape>
            </w:pict>
          </mc:Fallback>
        </mc:AlternateContent>
      </w:r>
    </w:p>
    <w:p>
      <w:pPr>
        <w:pStyle w:val="Style16"/>
        <w:keepNext w:val="0"/>
        <w:keepLines w:val="0"/>
        <w:widowControl w:val="0"/>
        <w:shd w:val="clear" w:color="auto" w:fill="auto"/>
        <w:bidi w:val="0"/>
        <w:spacing w:before="0" w:after="140" w:line="240" w:lineRule="auto"/>
        <w:ind w:left="0" w:right="0" w:firstLine="0"/>
        <w:jc w:val="left"/>
      </w:pPr>
      <w:bookmarkStart w:id="672" w:name="bookmark67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72"/>
    </w:p>
    <w:p>
      <w:pPr>
        <w:pStyle w:val="Style1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58" w:left="1114" w:header="0" w:footer="3" w:gutter="0"/>
          <w:cols w:space="720"/>
          <w:noEndnote/>
          <w:rtlGutter w:val="0"/>
          <w:docGrid w:linePitch="360"/>
        </w:sectPr>
      </w:pPr>
    </w:p>
    <w:p>
      <w:pPr>
        <w:pStyle w:val="Style16"/>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73" w:name="bookmark67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73"/>
    </w:p>
    <w:p>
      <w:pPr>
        <w:pStyle w:val="Style4"/>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74" w:name="bookmark674"/>
      <w:bookmarkStart w:id="675" w:name="bookmark675"/>
      <w:bookmarkStart w:id="676" w:name="bookmark676"/>
      <w:r>
        <w:rPr>
          <w:color w:val="000000"/>
          <w:spacing w:val="0"/>
          <w:w w:val="100"/>
          <w:position w:val="0"/>
        </w:rPr>
        <w:t>第九节债券相关情况</w:t>
      </w:r>
      <w:bookmarkEnd w:id="674"/>
      <w:bookmarkEnd w:id="675"/>
      <w:bookmarkEnd w:id="676"/>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58" w:left="1114" w:header="0" w:footer="3" w:gutter="0"/>
          <w:cols w:space="720"/>
          <w:noEndnote/>
          <w:rtlGutter w:val="0"/>
          <w:docGrid w:linePitch="360"/>
        </w:sectPr>
      </w:pPr>
    </w:p>
    <w:p>
      <w:pPr>
        <w:pStyle w:val="Style4"/>
        <w:keepNext/>
        <w:keepLines/>
        <w:widowControl w:val="0"/>
        <w:shd w:val="clear" w:color="auto" w:fill="auto"/>
        <w:bidi w:val="0"/>
        <w:spacing w:before="540" w:after="540" w:line="240" w:lineRule="auto"/>
        <w:ind w:left="0" w:right="0" w:firstLine="0"/>
        <w:jc w:val="center"/>
      </w:pPr>
      <w:bookmarkStart w:id="677" w:name="bookmark677"/>
      <w:bookmarkStart w:id="678" w:name="bookmark678"/>
      <w:bookmarkStart w:id="679" w:name="bookmark679"/>
      <w:r>
        <w:rPr>
          <w:color w:val="000000"/>
          <w:spacing w:val="0"/>
          <w:w w:val="100"/>
          <w:position w:val="0"/>
        </w:rPr>
        <w:t>第十节财务报告</w:t>
      </w:r>
      <w:bookmarkEnd w:id="677"/>
      <w:bookmarkEnd w:id="678"/>
      <w:bookmarkEnd w:id="679"/>
    </w:p>
    <w:p>
      <w:pPr>
        <w:pStyle w:val="Style21"/>
        <w:keepNext/>
        <w:keepLines/>
        <w:widowControl w:val="0"/>
        <w:shd w:val="clear" w:color="auto" w:fill="auto"/>
        <w:bidi w:val="0"/>
        <w:spacing w:before="0" w:after="300" w:line="240" w:lineRule="auto"/>
        <w:ind w:left="0" w:right="0" w:firstLine="260"/>
        <w:jc w:val="left"/>
      </w:pPr>
      <w:bookmarkStart w:id="680" w:name="bookmark680"/>
      <w:bookmarkStart w:id="681" w:name="bookmark681"/>
      <w:bookmarkStart w:id="682" w:name="bookmark682"/>
      <w:bookmarkStart w:id="683" w:name="bookmark683"/>
      <w:r>
        <w:rPr>
          <w:color w:val="000000"/>
          <w:spacing w:val="0"/>
          <w:w w:val="100"/>
          <w:position w:val="0"/>
        </w:rPr>
        <w:t>、审计报告</w:t>
      </w:r>
      <w:bookmarkEnd w:id="681"/>
      <w:bookmarkEnd w:id="682"/>
      <w:bookmarkEnd w:id="683"/>
      <w:bookmarkEnd w:id="68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[2022]005776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李峰、刘黎</w:t>
            </w:r>
          </w:p>
        </w:tc>
      </w:tr>
    </w:tbl>
    <w:p>
      <w:pPr>
        <w:pStyle w:val="Style23"/>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天阳宏业科技股份有限公司全体股东：</w:t>
      </w:r>
    </w:p>
    <w:p>
      <w:pPr>
        <w:pStyle w:val="Style16"/>
        <w:keepNext w:val="0"/>
        <w:keepLines w:val="0"/>
        <w:widowControl w:val="0"/>
        <w:shd w:val="clear" w:color="auto" w:fill="auto"/>
        <w:tabs>
          <w:tab w:pos="815" w:val="left"/>
        </w:tabs>
        <w:bidi w:val="0"/>
        <w:spacing w:before="0" w:after="0" w:line="314" w:lineRule="exact"/>
        <w:ind w:left="0" w:right="0"/>
        <w:jc w:val="left"/>
      </w:pPr>
      <w:bookmarkStart w:id="684" w:name="bookmark684"/>
      <w:r>
        <w:rPr>
          <w:color w:val="000000"/>
          <w:spacing w:val="0"/>
          <w:w w:val="100"/>
          <w:position w:val="0"/>
        </w:rPr>
        <w:t>一</w:t>
      </w:r>
      <w:bookmarkEnd w:id="684"/>
      <w:r>
        <w:rPr>
          <w:color w:val="000000"/>
          <w:spacing w:val="0"/>
          <w:w w:val="100"/>
          <w:position w:val="0"/>
        </w:rPr>
        <w:t>、</w:t>
        <w:tab/>
        <w:t>审计意见</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我们审计了天阳宏业科技股份有限公司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以下简称天阳科技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年度的合并及母公司利润表、合并及母公司现金流量表、合并及母公司股东权益变动表以及相关财务报表附注。</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我们认为，后附的财务报表在所有重大方面按照企业会计准则的规定编制，公允反映了天阳科技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16"/>
        <w:keepNext w:val="0"/>
        <w:keepLines w:val="0"/>
        <w:widowControl w:val="0"/>
        <w:shd w:val="clear" w:color="auto" w:fill="auto"/>
        <w:tabs>
          <w:tab w:pos="815" w:val="left"/>
        </w:tabs>
        <w:bidi w:val="0"/>
        <w:spacing w:before="0" w:after="0" w:line="314" w:lineRule="exact"/>
        <w:ind w:left="0" w:right="0"/>
        <w:jc w:val="left"/>
      </w:pPr>
      <w:bookmarkStart w:id="685" w:name="bookmark685"/>
      <w:r>
        <w:rPr>
          <w:color w:val="000000"/>
          <w:spacing w:val="0"/>
          <w:w w:val="100"/>
          <w:position w:val="0"/>
        </w:rPr>
        <w:t>二</w:t>
      </w:r>
      <w:bookmarkEnd w:id="685"/>
      <w:r>
        <w:rPr>
          <w:color w:val="000000"/>
          <w:spacing w:val="0"/>
          <w:w w:val="100"/>
          <w:position w:val="0"/>
        </w:rPr>
        <w:t>、</w:t>
        <w:tab/>
        <w:t>形成审计意见的基础</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阐述了我们在这些准则下的责任。按照中国注册会计师职业道德守则，我们独立于天阳科技，并履行了职业道德方面的其他 责任。我们相信，我们获取的审计证据是充分、适当的，为发表审计意见提供了基础。</w:t>
      </w:r>
    </w:p>
    <w:p>
      <w:pPr>
        <w:pStyle w:val="Style16"/>
        <w:keepNext w:val="0"/>
        <w:keepLines w:val="0"/>
        <w:widowControl w:val="0"/>
        <w:shd w:val="clear" w:color="auto" w:fill="auto"/>
        <w:tabs>
          <w:tab w:pos="815" w:val="left"/>
        </w:tabs>
        <w:bidi w:val="0"/>
        <w:spacing w:before="0" w:after="0" w:line="314" w:lineRule="exact"/>
        <w:ind w:left="0" w:right="0"/>
        <w:jc w:val="both"/>
      </w:pPr>
      <w:bookmarkStart w:id="686" w:name="bookmark686"/>
      <w:r>
        <w:rPr>
          <w:color w:val="000000"/>
          <w:spacing w:val="0"/>
          <w:w w:val="100"/>
          <w:position w:val="0"/>
        </w:rPr>
        <w:t>三</w:t>
      </w:r>
      <w:bookmarkEnd w:id="686"/>
      <w:r>
        <w:rPr>
          <w:color w:val="000000"/>
          <w:spacing w:val="0"/>
          <w:w w:val="100"/>
          <w:position w:val="0"/>
        </w:rPr>
        <w:t>、</w:t>
        <w:tab/>
        <w:t>关键审计事项</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16"/>
        <w:keepNext w:val="0"/>
        <w:keepLines w:val="0"/>
        <w:widowControl w:val="0"/>
        <w:shd w:val="clear" w:color="auto" w:fill="auto"/>
        <w:bidi w:val="0"/>
        <w:spacing w:before="0" w:after="100" w:line="314" w:lineRule="exact"/>
        <w:ind w:left="0" w:right="0"/>
        <w:jc w:val="both"/>
      </w:pPr>
      <w:r>
        <w:rPr>
          <w:color w:val="000000"/>
          <w:spacing w:val="0"/>
          <w:w w:val="100"/>
          <w:position w:val="0"/>
        </w:rPr>
        <w:t>我们确定下列事项是需要在审计报告中沟通的关键审计事项。</w:t>
      </w:r>
    </w:p>
    <w:p>
      <w:pPr>
        <w:pStyle w:val="Style16"/>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.收入确认；</w:t>
      </w:r>
    </w:p>
    <w:p>
      <w:pPr>
        <w:pStyle w:val="Style16"/>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应收账款减值。</w:t>
      </w:r>
    </w:p>
    <w:p>
      <w:pPr>
        <w:pStyle w:val="Style16"/>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收入确认</w:t>
      </w:r>
    </w:p>
    <w:p>
      <w:pPr>
        <w:pStyle w:val="Style16"/>
        <w:keepNext w:val="0"/>
        <w:keepLines w:val="0"/>
        <w:widowControl w:val="0"/>
        <w:numPr>
          <w:ilvl w:val="0"/>
          <w:numId w:val="21"/>
        </w:numPr>
        <w:shd w:val="clear" w:color="auto" w:fill="auto"/>
        <w:tabs>
          <w:tab w:pos="681" w:val="left"/>
        </w:tabs>
        <w:bidi w:val="0"/>
        <w:spacing w:before="0" w:after="0" w:line="360" w:lineRule="auto"/>
        <w:ind w:left="0" w:right="0"/>
        <w:jc w:val="both"/>
      </w:pPr>
      <w:bookmarkStart w:id="687" w:name="bookmark687"/>
      <w:bookmarkEnd w:id="687"/>
      <w:r>
        <w:rPr>
          <w:color w:val="000000"/>
          <w:spacing w:val="0"/>
          <w:w w:val="100"/>
          <w:position w:val="0"/>
        </w:rPr>
        <w:t>事项描述</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天阳科技收入确认会计政策及账面金额信息请参阅合并财务报表附注五、(</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)及附注七、注释</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w:t>
      </w:r>
    </w:p>
    <w:p>
      <w:pPr>
        <w:pStyle w:val="Style16"/>
        <w:keepNext w:val="0"/>
        <w:keepLines w:val="0"/>
        <w:widowControl w:val="0"/>
        <w:shd w:val="clear" w:color="auto" w:fill="auto"/>
        <w:bidi w:val="0"/>
        <w:spacing w:before="0" w:after="100" w:line="314" w:lineRule="exact"/>
        <w:ind w:left="0" w:right="0"/>
        <w:jc w:val="both"/>
      </w:pPr>
      <w:r>
        <w:rPr>
          <w:color w:val="000000"/>
          <w:spacing w:val="0"/>
          <w:w w:val="100"/>
          <w:position w:val="0"/>
        </w:rPr>
        <w:t>营业收入是天阳科技的关键业绩指标之一，对财务报表具有重要性，从而存在管理层为了达到特定目标或期望而操纵收 入确认的固有风险，我们将营业收入确认识别为关键审计事项。</w:t>
      </w:r>
    </w:p>
    <w:p>
      <w:pPr>
        <w:pStyle w:val="Style16"/>
        <w:keepNext w:val="0"/>
        <w:keepLines w:val="0"/>
        <w:widowControl w:val="0"/>
        <w:numPr>
          <w:ilvl w:val="0"/>
          <w:numId w:val="21"/>
        </w:numPr>
        <w:shd w:val="clear" w:color="auto" w:fill="auto"/>
        <w:tabs>
          <w:tab w:pos="700" w:val="left"/>
        </w:tabs>
        <w:bidi w:val="0"/>
        <w:spacing w:before="0" w:after="0" w:line="360" w:lineRule="auto"/>
        <w:ind w:left="0" w:right="0"/>
        <w:jc w:val="left"/>
      </w:pPr>
      <w:bookmarkStart w:id="688" w:name="bookmark688"/>
      <w:bookmarkEnd w:id="688"/>
      <w:r>
        <w:rPr>
          <w:color w:val="000000"/>
          <w:spacing w:val="0"/>
          <w:w w:val="100"/>
          <w:position w:val="0"/>
        </w:rPr>
        <w:t>审计应对</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我们对于收入确认所实施的重要审计程序包括：</w:t>
      </w:r>
    </w:p>
    <w:p>
      <w:pPr>
        <w:pStyle w:val="Style16"/>
        <w:keepNext w:val="0"/>
        <w:keepLines w:val="0"/>
        <w:widowControl w:val="0"/>
        <w:numPr>
          <w:ilvl w:val="0"/>
          <w:numId w:val="23"/>
        </w:numPr>
        <w:shd w:val="clear" w:color="auto" w:fill="auto"/>
        <w:tabs>
          <w:tab w:pos="825" w:val="left"/>
        </w:tabs>
        <w:bidi w:val="0"/>
        <w:spacing w:before="0" w:after="0" w:line="314" w:lineRule="exact"/>
        <w:ind w:left="0" w:right="0"/>
        <w:jc w:val="left"/>
      </w:pPr>
      <w:bookmarkStart w:id="689" w:name="bookmark689"/>
      <w:bookmarkEnd w:id="689"/>
      <w:r>
        <w:rPr>
          <w:color w:val="000000"/>
          <w:spacing w:val="0"/>
          <w:w w:val="100"/>
          <w:position w:val="0"/>
        </w:rPr>
        <w:t>我们了解和评估管理层对收入确认相关内部控制的设计，并测试了关键控制执行的有效性。</w:t>
      </w:r>
    </w:p>
    <w:p>
      <w:pPr>
        <w:pStyle w:val="Style16"/>
        <w:keepNext w:val="0"/>
        <w:keepLines w:val="0"/>
        <w:widowControl w:val="0"/>
        <w:numPr>
          <w:ilvl w:val="0"/>
          <w:numId w:val="23"/>
        </w:numPr>
        <w:shd w:val="clear" w:color="auto" w:fill="auto"/>
        <w:tabs>
          <w:tab w:pos="901" w:val="left"/>
        </w:tabs>
        <w:bidi w:val="0"/>
        <w:spacing w:before="0" w:after="0" w:line="314" w:lineRule="exact"/>
        <w:ind w:left="0" w:right="0"/>
        <w:jc w:val="left"/>
      </w:pPr>
      <w:bookmarkStart w:id="690" w:name="bookmark690"/>
      <w:bookmarkEnd w:id="690"/>
      <w:r>
        <w:rPr>
          <w:color w:val="000000"/>
          <w:spacing w:val="0"/>
          <w:w w:val="100"/>
          <w:position w:val="0"/>
        </w:rPr>
        <w:t>了解各类业务收入的具体确认方法，评估其是否符合天阳科技业务特点及会计准则的规定，并对各类业务收入选 取样本进行检查。核实是否已取得客户验收单、客户确认的实际工作量等相关资料；对按履约进度确认的收入，检查是否按 既定的方法计算履约进度，及预计总成本的合理性和已发生成本的真实性。</w:t>
      </w:r>
    </w:p>
    <w:p>
      <w:pPr>
        <w:pStyle w:val="Style16"/>
        <w:keepNext w:val="0"/>
        <w:keepLines w:val="0"/>
        <w:widowControl w:val="0"/>
        <w:numPr>
          <w:ilvl w:val="0"/>
          <w:numId w:val="23"/>
        </w:numPr>
        <w:shd w:val="clear" w:color="auto" w:fill="auto"/>
        <w:tabs>
          <w:tab w:pos="825" w:val="left"/>
        </w:tabs>
        <w:bidi w:val="0"/>
        <w:spacing w:before="0" w:after="0" w:line="314" w:lineRule="exact"/>
        <w:ind w:left="0" w:right="0"/>
        <w:jc w:val="left"/>
      </w:pPr>
      <w:bookmarkStart w:id="691" w:name="bookmark691"/>
      <w:bookmarkEnd w:id="691"/>
      <w:r>
        <w:rPr>
          <w:color w:val="000000"/>
          <w:spacing w:val="0"/>
          <w:w w:val="100"/>
          <w:position w:val="0"/>
        </w:rPr>
        <w:t>选取资产负债表日前后的收入样本进行截止测试，以评估营业收入是否确认在恰当的会计期间。</w:t>
      </w:r>
    </w:p>
    <w:p>
      <w:pPr>
        <w:pStyle w:val="Style16"/>
        <w:keepNext w:val="0"/>
        <w:keepLines w:val="0"/>
        <w:widowControl w:val="0"/>
        <w:numPr>
          <w:ilvl w:val="0"/>
          <w:numId w:val="23"/>
        </w:numPr>
        <w:shd w:val="clear" w:color="auto" w:fill="auto"/>
        <w:tabs>
          <w:tab w:pos="825" w:val="left"/>
        </w:tabs>
        <w:bidi w:val="0"/>
        <w:spacing w:before="0" w:after="0" w:line="314" w:lineRule="exact"/>
        <w:ind w:left="0" w:right="0"/>
        <w:jc w:val="left"/>
      </w:pPr>
      <w:bookmarkStart w:id="692" w:name="bookmark692"/>
      <w:bookmarkEnd w:id="692"/>
      <w:r>
        <w:rPr>
          <w:color w:val="000000"/>
          <w:spacing w:val="0"/>
          <w:w w:val="100"/>
          <w:position w:val="0"/>
        </w:rPr>
        <w:t>函证重要的收入项目，核对营业收入是否真实、记录的期间是否正确。</w:t>
      </w:r>
    </w:p>
    <w:p>
      <w:pPr>
        <w:pStyle w:val="Style16"/>
        <w:keepNext w:val="0"/>
        <w:keepLines w:val="0"/>
        <w:widowControl w:val="0"/>
        <w:numPr>
          <w:ilvl w:val="0"/>
          <w:numId w:val="23"/>
        </w:numPr>
        <w:shd w:val="clear" w:color="auto" w:fill="auto"/>
        <w:tabs>
          <w:tab w:pos="825" w:val="left"/>
        </w:tabs>
        <w:bidi w:val="0"/>
        <w:spacing w:before="0" w:after="60" w:line="314" w:lineRule="exact"/>
        <w:ind w:left="0" w:right="0"/>
        <w:jc w:val="left"/>
      </w:pPr>
      <w:bookmarkStart w:id="693" w:name="bookmark693"/>
      <w:bookmarkEnd w:id="693"/>
      <w:r>
        <w:rPr>
          <w:color w:val="000000"/>
          <w:spacing w:val="0"/>
          <w:w w:val="100"/>
          <w:position w:val="0"/>
        </w:rPr>
        <w:t>评估管理层对收入的财务报表披露是否恰当。</w:t>
      </w:r>
    </w:p>
    <w:p>
      <w:pPr>
        <w:pStyle w:val="Style16"/>
        <w:keepNext w:val="0"/>
        <w:keepLines w:val="0"/>
        <w:widowControl w:val="0"/>
        <w:shd w:val="clear" w:color="auto" w:fill="auto"/>
        <w:bidi w:val="0"/>
        <w:spacing w:before="0" w:after="100" w:line="312" w:lineRule="exact"/>
        <w:ind w:left="0" w:right="0" w:firstLine="360"/>
        <w:jc w:val="left"/>
      </w:pPr>
      <w:r>
        <w:rPr>
          <w:color w:val="000000"/>
          <w:spacing w:val="0"/>
          <w:w w:val="100"/>
          <w:position w:val="0"/>
        </w:rPr>
        <w:t>根据已执行的审计工作，我们认为收入确认符合天阳科技的会计政策。</w:t>
      </w:r>
    </w:p>
    <w:p>
      <w:pPr>
        <w:pStyle w:val="Style16"/>
        <w:keepNext w:val="0"/>
        <w:keepLines w:val="0"/>
        <w:widowControl w:val="0"/>
        <w:shd w:val="clear" w:color="auto" w:fill="auto"/>
        <w:bidi w:val="0"/>
        <w:spacing w:before="0" w:after="0" w:line="360" w:lineRule="auto"/>
        <w:ind w:left="0" w:right="0" w:firstLine="3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color w:val="000000"/>
          <w:spacing w:val="0"/>
          <w:w w:val="100"/>
          <w:position w:val="0"/>
          <w:sz w:val="18"/>
          <w:szCs w:val="18"/>
        </w:rPr>
        <w:t>）</w:t>
      </w:r>
      <w:r>
        <w:rPr>
          <w:color w:val="000000"/>
          <w:spacing w:val="0"/>
          <w:w w:val="100"/>
          <w:position w:val="0"/>
        </w:rPr>
        <w:t>应收账款减值</w:t>
      </w:r>
    </w:p>
    <w:p>
      <w:pPr>
        <w:pStyle w:val="Style16"/>
        <w:keepNext w:val="0"/>
        <w:keepLines w:val="0"/>
        <w:widowControl w:val="0"/>
        <w:numPr>
          <w:ilvl w:val="0"/>
          <w:numId w:val="25"/>
        </w:numPr>
        <w:shd w:val="clear" w:color="auto" w:fill="auto"/>
        <w:tabs>
          <w:tab w:pos="649" w:val="left"/>
        </w:tabs>
        <w:bidi w:val="0"/>
        <w:spacing w:before="0" w:after="0" w:line="360" w:lineRule="auto"/>
        <w:ind w:left="0" w:right="0" w:firstLine="360"/>
        <w:jc w:val="both"/>
      </w:pPr>
      <w:bookmarkStart w:id="694" w:name="bookmark694"/>
      <w:bookmarkEnd w:id="694"/>
      <w:r>
        <w:rPr>
          <w:color w:val="000000"/>
          <w:spacing w:val="0"/>
          <w:w w:val="100"/>
          <w:position w:val="0"/>
        </w:rPr>
        <w:t>事项描述</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天阳科技与应收账款坏账准备计提相关的会计政策及账面金额信息请参阅合并财务报表附注五、（</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）及附注七、注释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日天阳科技应收账款账面余额合计为人民币</w:t>
      </w:r>
      <w:r>
        <w:rPr>
          <w:rFonts w:ascii="Times New Roman" w:eastAsia="Times New Roman" w:hAnsi="Times New Roman" w:cs="Times New Roman"/>
          <w:color w:val="000000"/>
          <w:spacing w:val="0"/>
          <w:w w:val="100"/>
          <w:position w:val="0"/>
          <w:sz w:val="18"/>
          <w:szCs w:val="18"/>
        </w:rPr>
        <w:t>136,465.50</w:t>
      </w:r>
      <w:r>
        <w:rPr>
          <w:color w:val="000000"/>
          <w:spacing w:val="0"/>
          <w:w w:val="100"/>
          <w:position w:val="0"/>
        </w:rPr>
        <w:t>万元，占资产总额的</w:t>
      </w:r>
      <w:r>
        <w:rPr>
          <w:rFonts w:ascii="Times New Roman" w:eastAsia="Times New Roman" w:hAnsi="Times New Roman" w:cs="Times New Roman"/>
          <w:color w:val="000000"/>
          <w:spacing w:val="0"/>
          <w:w w:val="100"/>
          <w:position w:val="0"/>
          <w:sz w:val="18"/>
          <w:szCs w:val="18"/>
        </w:rPr>
        <w:t>45.85%</w:t>
      </w:r>
      <w:r>
        <w:rPr>
          <w:color w:val="000000"/>
          <w:spacing w:val="0"/>
          <w:w w:val="100"/>
          <w:position w:val="0"/>
        </w:rPr>
        <w:t>。</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天阳科技在单项工具层面能以合理成本评估预期信用损失的充分证据的应收账款单独确定其信用损失。对该等评估重点 关注客户的历史结算记录及当前支付能力，并考虑客户自身及其所处行业的经济环境的特定信息。当在单项工具层面无法以 合理成本评估预期信用损失的充分证据时，管理层参考历史信用损失经验，结合当前状况以及对未来经济状况的判断，依据 信用风险特征将应收账款划分为若干组合，在组合基础上计算预期信用损失。</w:t>
      </w:r>
    </w:p>
    <w:p>
      <w:pPr>
        <w:pStyle w:val="Style16"/>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由于应收账款减值的确定需要管理层识别已发生减值的项目和客观证据、评估预期未来可获取的现金流量并确定其现 值，涉及管理层运用重大会计估计和判断，且应收账款对于财务报表具有重要性，因此，我们将应收账款减值认定为关键审 计事项。</w:t>
      </w:r>
    </w:p>
    <w:p>
      <w:pPr>
        <w:pStyle w:val="Style16"/>
        <w:keepNext w:val="0"/>
        <w:keepLines w:val="0"/>
        <w:widowControl w:val="0"/>
        <w:numPr>
          <w:ilvl w:val="0"/>
          <w:numId w:val="25"/>
        </w:numPr>
        <w:shd w:val="clear" w:color="auto" w:fill="auto"/>
        <w:tabs>
          <w:tab w:pos="668" w:val="left"/>
        </w:tabs>
        <w:bidi w:val="0"/>
        <w:spacing w:before="0" w:after="0" w:line="360" w:lineRule="auto"/>
        <w:ind w:left="0" w:right="0" w:firstLine="360"/>
        <w:jc w:val="both"/>
      </w:pPr>
      <w:bookmarkStart w:id="695" w:name="bookmark695"/>
      <w:bookmarkEnd w:id="695"/>
      <w:r>
        <w:rPr>
          <w:color w:val="000000"/>
          <w:spacing w:val="0"/>
          <w:w w:val="100"/>
          <w:position w:val="0"/>
        </w:rPr>
        <w:t>审计应对</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我们针对应收账款减值所实施的重要审计程序包括：</w:t>
      </w:r>
    </w:p>
    <w:p>
      <w:pPr>
        <w:pStyle w:val="Style16"/>
        <w:keepNext w:val="0"/>
        <w:keepLines w:val="0"/>
        <w:widowControl w:val="0"/>
        <w:shd w:val="clear" w:color="auto" w:fill="auto"/>
        <w:bidi w:val="0"/>
        <w:spacing w:before="0" w:after="0" w:line="312" w:lineRule="exact"/>
        <w:ind w:left="0" w:right="0" w:firstLine="360"/>
        <w:jc w:val="both"/>
      </w:pPr>
      <w:bookmarkStart w:id="696" w:name="bookmark696"/>
      <w:r>
        <w:rPr>
          <w:color w:val="000000"/>
          <w:spacing w:val="0"/>
          <w:w w:val="100"/>
          <w:position w:val="0"/>
        </w:rPr>
        <w:t>（</w:t>
      </w:r>
      <w:bookmarkEnd w:id="6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我们对与应收账款日常管理及可收回性评估相关的内部控制的设计及运行有效性进行了解、评估及测试。这些内 部控制包括客户信用风险评估、应收账款收回流程、对触发应收账款减值的事件的识别及对坏账准备金额的估计等。</w:t>
      </w:r>
    </w:p>
    <w:p>
      <w:pPr>
        <w:pStyle w:val="Style16"/>
        <w:keepNext w:val="0"/>
        <w:keepLines w:val="0"/>
        <w:widowControl w:val="0"/>
        <w:shd w:val="clear" w:color="auto" w:fill="auto"/>
        <w:tabs>
          <w:tab w:pos="884" w:val="left"/>
        </w:tabs>
        <w:bidi w:val="0"/>
        <w:spacing w:before="0" w:after="0" w:line="312" w:lineRule="exact"/>
        <w:ind w:left="0" w:right="0" w:firstLine="360"/>
        <w:jc w:val="both"/>
      </w:pPr>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我们复核管理层在评估应收账款的可收回性方面的判断及估计，关注管理层是否充分识别已发生减值的项目，是 否已考虑过往的回款记录、实际信用条款的遵守情况，以及对经营环境及行业基准的认知等。</w:t>
      </w:r>
    </w:p>
    <w:p>
      <w:pPr>
        <w:pStyle w:val="Style16"/>
        <w:keepNext w:val="0"/>
        <w:keepLines w:val="0"/>
        <w:widowControl w:val="0"/>
        <w:shd w:val="clear" w:color="auto" w:fill="auto"/>
        <w:tabs>
          <w:tab w:pos="889" w:val="left"/>
        </w:tabs>
        <w:bidi w:val="0"/>
        <w:spacing w:before="0" w:after="0" w:line="312" w:lineRule="exact"/>
        <w:ind w:left="0" w:right="0" w:firstLine="360"/>
        <w:jc w:val="both"/>
      </w:pPr>
      <w:bookmarkStart w:id="698" w:name="bookmark698"/>
      <w:r>
        <w:rPr>
          <w:color w:val="000000"/>
          <w:spacing w:val="0"/>
          <w:w w:val="100"/>
          <w:position w:val="0"/>
        </w:rPr>
        <w:t>（</w:t>
      </w:r>
      <w:bookmarkEnd w:id="69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我们抽样检查了管理层未识别出存在潜在减值风险的重要客户，并实施审计程序以测试其可回收性。我们的程序 包括检查交易合同安排、交易进度，查阅客户的公开信息，通过检查对客户的过往收款及期后收款情况评估客户是否面临重 大财务困难、欠付或拖欠付款等。</w:t>
      </w:r>
    </w:p>
    <w:p>
      <w:pPr>
        <w:pStyle w:val="Style16"/>
        <w:keepNext w:val="0"/>
        <w:keepLines w:val="0"/>
        <w:widowControl w:val="0"/>
        <w:shd w:val="clear" w:color="auto" w:fill="auto"/>
        <w:tabs>
          <w:tab w:pos="884" w:val="left"/>
        </w:tabs>
        <w:bidi w:val="0"/>
        <w:spacing w:before="0" w:after="0" w:line="312" w:lineRule="exact"/>
        <w:ind w:left="0" w:right="0" w:firstLine="360"/>
        <w:jc w:val="both"/>
      </w:pPr>
      <w:bookmarkStart w:id="699" w:name="bookmark699"/>
      <w:r>
        <w:rPr>
          <w:color w:val="000000"/>
          <w:spacing w:val="0"/>
          <w:w w:val="100"/>
          <w:position w:val="0"/>
        </w:rPr>
        <w:t>（</w:t>
      </w:r>
      <w:bookmarkEnd w:id="69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我们对管理层按照信用风险特征组合计提预期信用损失的应收账款进行了减值测试，检查账龄划分是否正确，并 与同行业进行比较以评估管理层所采用的坏账准备计提比例是否适当，评价管理层坏账准备计提的合理性。</w:t>
      </w:r>
    </w:p>
    <w:p>
      <w:pPr>
        <w:pStyle w:val="Style16"/>
        <w:keepNext w:val="0"/>
        <w:keepLines w:val="0"/>
        <w:widowControl w:val="0"/>
        <w:shd w:val="clear" w:color="auto" w:fill="auto"/>
        <w:tabs>
          <w:tab w:pos="884" w:val="left"/>
        </w:tabs>
        <w:bidi w:val="0"/>
        <w:spacing w:before="0" w:after="0" w:line="312" w:lineRule="exact"/>
        <w:ind w:left="0" w:right="0" w:firstLine="360"/>
        <w:jc w:val="both"/>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对于涉及诉讼事项的应收账款，我们通过查阅相关文件评估应收账款的可收回性，并与管理层讨论诉讼事项对应 收账款减值的影响。</w:t>
      </w:r>
    </w:p>
    <w:p>
      <w:pPr>
        <w:pStyle w:val="Style16"/>
        <w:keepNext w:val="0"/>
        <w:keepLines w:val="0"/>
        <w:widowControl w:val="0"/>
        <w:shd w:val="clear" w:color="auto" w:fill="auto"/>
        <w:tabs>
          <w:tab w:pos="793" w:val="left"/>
        </w:tabs>
        <w:bidi w:val="0"/>
        <w:spacing w:before="0" w:after="0" w:line="312" w:lineRule="exact"/>
        <w:ind w:left="0" w:right="0" w:firstLine="360"/>
        <w:jc w:val="both"/>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我们抽样检查了期后回款情况。</w:t>
      </w:r>
    </w:p>
    <w:p>
      <w:pPr>
        <w:pStyle w:val="Style16"/>
        <w:keepNext w:val="0"/>
        <w:keepLines w:val="0"/>
        <w:widowControl w:val="0"/>
        <w:shd w:val="clear" w:color="auto" w:fill="auto"/>
        <w:tabs>
          <w:tab w:pos="793" w:val="left"/>
        </w:tabs>
        <w:bidi w:val="0"/>
        <w:spacing w:before="0" w:after="0" w:line="312" w:lineRule="exact"/>
        <w:ind w:left="0" w:right="0" w:firstLine="36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评估管理层对应收账款的财务报表披露是否恰当。</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基于已执行的审计工作，我们认为，管理层对应收账款的可收回性的相关判断及估计是合理的。</w:t>
      </w:r>
    </w:p>
    <w:p>
      <w:pPr>
        <w:pStyle w:val="Style16"/>
        <w:keepNext w:val="0"/>
        <w:keepLines w:val="0"/>
        <w:widowControl w:val="0"/>
        <w:shd w:val="clear" w:color="auto" w:fill="auto"/>
        <w:tabs>
          <w:tab w:pos="769" w:val="left"/>
        </w:tabs>
        <w:bidi w:val="0"/>
        <w:spacing w:before="0" w:after="0" w:line="312" w:lineRule="exact"/>
        <w:ind w:left="0" w:right="0" w:firstLine="360"/>
        <w:jc w:val="both"/>
      </w:pPr>
      <w:bookmarkStart w:id="703" w:name="bookmark703"/>
      <w:r>
        <w:rPr>
          <w:color w:val="000000"/>
          <w:spacing w:val="0"/>
          <w:w w:val="100"/>
          <w:position w:val="0"/>
        </w:rPr>
        <w:t>四</w:t>
      </w:r>
      <w:bookmarkEnd w:id="703"/>
      <w:r>
        <w:rPr>
          <w:color w:val="000000"/>
          <w:spacing w:val="0"/>
          <w:w w:val="100"/>
          <w:position w:val="0"/>
        </w:rPr>
        <w:t>、</w:t>
        <w:tab/>
        <w:t>管理层和治理层对财务报表的责任</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天阳科技管理层负责按照企业会计准则的规定编制财务报表，使其实现公允反映，并设计、执行和维护必要的内部控制， 以使财务报表不存在由于舞弊或错误导致的重大错报。</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在编制财务报表时，天阳科技管理层负责评估天阳科技的持续经营能力，披露与持续经营相关的事项（如适用），并运 用持续经营假设，除非管理层计划清算天阳科技、终止运营或别无其他现实的选择。</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治理层负责监督天阳科技的财务报告过程。</w:t>
      </w:r>
    </w:p>
    <w:p>
      <w:pPr>
        <w:pStyle w:val="Style16"/>
        <w:keepNext w:val="0"/>
        <w:keepLines w:val="0"/>
        <w:widowControl w:val="0"/>
        <w:shd w:val="clear" w:color="auto" w:fill="auto"/>
        <w:tabs>
          <w:tab w:pos="783" w:val="left"/>
        </w:tabs>
        <w:bidi w:val="0"/>
        <w:spacing w:before="0" w:after="0" w:line="312" w:lineRule="exact"/>
        <w:ind w:left="0" w:right="0" w:firstLine="360"/>
        <w:jc w:val="both"/>
      </w:pPr>
      <w:bookmarkStart w:id="704" w:name="bookmark704"/>
      <w:r>
        <w:rPr>
          <w:color w:val="000000"/>
          <w:spacing w:val="0"/>
          <w:w w:val="100"/>
          <w:position w:val="0"/>
        </w:rPr>
        <w:t>五</w:t>
      </w:r>
      <w:bookmarkEnd w:id="704"/>
      <w:r>
        <w:rPr>
          <w:color w:val="000000"/>
          <w:spacing w:val="0"/>
          <w:w w:val="100"/>
          <w:position w:val="0"/>
        </w:rPr>
        <w:t>、</w:t>
        <w:tab/>
        <w:t>注册会计师对财务报表审计的责任</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16"/>
        <w:keepNext w:val="0"/>
        <w:keepLines w:val="0"/>
        <w:widowControl w:val="0"/>
        <w:numPr>
          <w:ilvl w:val="0"/>
          <w:numId w:val="27"/>
        </w:numPr>
        <w:shd w:val="clear" w:color="auto" w:fill="auto"/>
        <w:tabs>
          <w:tab w:pos="737" w:val="left"/>
        </w:tabs>
        <w:bidi w:val="0"/>
        <w:spacing w:before="0" w:after="100" w:line="312" w:lineRule="exact"/>
        <w:ind w:left="0" w:right="0" w:firstLine="360"/>
        <w:jc w:val="both"/>
      </w:pPr>
      <w:bookmarkStart w:id="705" w:name="bookmark705"/>
      <w:bookmarkEnd w:id="705"/>
      <w:r>
        <w:rPr>
          <w:color w:val="000000"/>
          <w:spacing w:val="0"/>
          <w:w w:val="100"/>
          <w:position w:val="0"/>
        </w:rPr>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16"/>
        <w:keepNext w:val="0"/>
        <w:keepLines w:val="0"/>
        <w:widowControl w:val="0"/>
        <w:numPr>
          <w:ilvl w:val="0"/>
          <w:numId w:val="27"/>
        </w:numPr>
        <w:shd w:val="clear" w:color="auto" w:fill="auto"/>
        <w:tabs>
          <w:tab w:pos="737" w:val="left"/>
        </w:tabs>
        <w:bidi w:val="0"/>
        <w:spacing w:before="0" w:after="60" w:line="360" w:lineRule="auto"/>
        <w:ind w:left="0" w:right="0" w:firstLine="360"/>
        <w:jc w:val="both"/>
        <w:sectPr>
          <w:footnotePr>
            <w:pos w:val="pageBottom"/>
            <w:numFmt w:val="decimal"/>
            <w:numRestart w:val="continuous"/>
          </w:footnotePr>
          <w:pgSz w:w="11900" w:h="16840"/>
          <w:pgMar w:top="1388" w:right="1030" w:bottom="1599" w:left="1102" w:header="0" w:footer="3" w:gutter="0"/>
          <w:cols w:space="720"/>
          <w:noEndnote/>
          <w:rtlGutter w:val="0"/>
          <w:docGrid w:linePitch="360"/>
        </w:sectPr>
      </w:pPr>
      <w:bookmarkStart w:id="706" w:name="bookmark706"/>
      <w:bookmarkEnd w:id="706"/>
      <w:r>
        <w:rPr>
          <w:color w:val="000000"/>
          <w:spacing w:val="0"/>
          <w:w w:val="100"/>
          <w:position w:val="0"/>
        </w:rPr>
        <w:t>了解与审计相关的内部控制，以设计恰当的审计程序。</w:t>
      </w: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152" w:right="1109" w:bottom="1158" w:left="1104" w:header="0" w:footer="3" w:gutter="0"/>
          <w:cols w:space="720"/>
          <w:noEndnote/>
          <w:rtlGutter w:val="0"/>
          <w:docGrid w:linePitch="360"/>
        </w:sectPr>
      </w:pPr>
    </w:p>
    <w:p>
      <w:pPr>
        <w:pStyle w:val="Style16"/>
        <w:keepNext w:val="0"/>
        <w:keepLines w:val="0"/>
        <w:framePr w:w="9686" w:h="4690" w:wrap="none" w:vAnchor="text" w:hAnchor="page" w:x="1105" w:y="21"/>
        <w:widowControl w:val="0"/>
        <w:numPr>
          <w:ilvl w:val="0"/>
          <w:numId w:val="29"/>
        </w:numPr>
        <w:shd w:val="clear" w:color="auto" w:fill="auto"/>
        <w:tabs>
          <w:tab w:pos="654" w:val="left"/>
        </w:tabs>
        <w:bidi w:val="0"/>
        <w:spacing w:before="0" w:after="0" w:line="314" w:lineRule="exact"/>
        <w:ind w:left="0" w:right="0"/>
        <w:jc w:val="both"/>
      </w:pPr>
      <w:bookmarkStart w:id="707" w:name="bookmark707"/>
      <w:bookmarkEnd w:id="707"/>
      <w:r>
        <w:rPr>
          <w:color w:val="000000"/>
          <w:spacing w:val="0"/>
          <w:w w:val="100"/>
          <w:position w:val="0"/>
        </w:rPr>
        <w:t>评价管理层选用会计政策的恰当性和作出会计估计及相关披露的合理性。</w:t>
      </w:r>
    </w:p>
    <w:p>
      <w:pPr>
        <w:pStyle w:val="Style16"/>
        <w:keepNext w:val="0"/>
        <w:keepLines w:val="0"/>
        <w:framePr w:w="9686" w:h="4690" w:wrap="none" w:vAnchor="text" w:hAnchor="page" w:x="1105" w:y="21"/>
        <w:widowControl w:val="0"/>
        <w:numPr>
          <w:ilvl w:val="0"/>
          <w:numId w:val="29"/>
        </w:numPr>
        <w:shd w:val="clear" w:color="auto" w:fill="auto"/>
        <w:tabs>
          <w:tab w:pos="629" w:val="left"/>
        </w:tabs>
        <w:bidi w:val="0"/>
        <w:spacing w:before="0" w:after="0" w:line="314" w:lineRule="exact"/>
        <w:ind w:left="0" w:right="0"/>
        <w:jc w:val="both"/>
      </w:pPr>
      <w:bookmarkStart w:id="708" w:name="bookmark708"/>
      <w:bookmarkEnd w:id="708"/>
      <w:r>
        <w:rPr>
          <w:color w:val="000000"/>
          <w:spacing w:val="0"/>
          <w:w w:val="100"/>
          <w:position w:val="0"/>
        </w:rPr>
        <w:t>对管理层使用持续经营假设的恰当性得出结论。同时，根据获取的审计证据，就可能导致对天阳科技持续经营能力 产生重大疑虑的事项或情况是否存在重大不确定性得出结论。如果我们得出结论认为存在重大不确定性，审计准则要求我们 在审计报告中提请报告使用者注意财务报表中的相关披露；如果披露不充分，我们应当发表非无保留意见。我们的结论基于 截至审计报告日可获得的信息。然而，未来的事项或情况可能导致天阳科技不能持续经营。</w:t>
      </w:r>
    </w:p>
    <w:p>
      <w:pPr>
        <w:pStyle w:val="Style16"/>
        <w:keepNext w:val="0"/>
        <w:keepLines w:val="0"/>
        <w:framePr w:w="9686" w:h="4690" w:wrap="none" w:vAnchor="text" w:hAnchor="page" w:x="1105" w:y="21"/>
        <w:widowControl w:val="0"/>
        <w:numPr>
          <w:ilvl w:val="0"/>
          <w:numId w:val="29"/>
        </w:numPr>
        <w:shd w:val="clear" w:color="auto" w:fill="auto"/>
        <w:tabs>
          <w:tab w:pos="654" w:val="left"/>
        </w:tabs>
        <w:bidi w:val="0"/>
        <w:spacing w:before="0" w:after="0" w:line="314" w:lineRule="exact"/>
        <w:ind w:left="0" w:right="0"/>
        <w:jc w:val="both"/>
      </w:pPr>
      <w:bookmarkStart w:id="709" w:name="bookmark709"/>
      <w:bookmarkEnd w:id="709"/>
      <w:r>
        <w:rPr>
          <w:color w:val="000000"/>
          <w:spacing w:val="0"/>
          <w:w w:val="100"/>
          <w:position w:val="0"/>
        </w:rPr>
        <w:t>评价财务报表的总体列报、结构和内容，并评价财务报表是否公允反映相关交易和事项。</w:t>
      </w:r>
    </w:p>
    <w:p>
      <w:pPr>
        <w:pStyle w:val="Style16"/>
        <w:keepNext w:val="0"/>
        <w:keepLines w:val="0"/>
        <w:framePr w:w="9686" w:h="4690" w:wrap="none" w:vAnchor="text" w:hAnchor="page" w:x="1105" w:y="21"/>
        <w:widowControl w:val="0"/>
        <w:numPr>
          <w:ilvl w:val="0"/>
          <w:numId w:val="29"/>
        </w:numPr>
        <w:shd w:val="clear" w:color="auto" w:fill="auto"/>
        <w:tabs>
          <w:tab w:pos="629" w:val="left"/>
        </w:tabs>
        <w:bidi w:val="0"/>
        <w:spacing w:before="0" w:after="0" w:line="314" w:lineRule="exact"/>
        <w:ind w:left="0" w:right="0"/>
        <w:jc w:val="both"/>
      </w:pPr>
      <w:bookmarkStart w:id="710" w:name="bookmark710"/>
      <w:bookmarkEnd w:id="710"/>
      <w:r>
        <w:rPr>
          <w:color w:val="000000"/>
          <w:spacing w:val="0"/>
          <w:w w:val="100"/>
          <w:position w:val="0"/>
        </w:rPr>
        <w:t>就天阳科技中实体或业务活动的财务信息获取充分、适当的审计证据，以对财务报表发表意见。我们负责指导、监 督和执行集团审计。我们对审计意见承担全部责任。</w:t>
      </w:r>
    </w:p>
    <w:p>
      <w:pPr>
        <w:pStyle w:val="Style16"/>
        <w:keepNext w:val="0"/>
        <w:keepLines w:val="0"/>
        <w:framePr w:w="9686" w:h="4690" w:wrap="none" w:vAnchor="text" w:hAnchor="page" w:x="1105" w:y="21"/>
        <w:widowControl w:val="0"/>
        <w:shd w:val="clear" w:color="auto" w:fill="auto"/>
        <w:bidi w:val="0"/>
        <w:spacing w:before="0" w:after="0" w:line="314"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6"/>
        <w:keepNext w:val="0"/>
        <w:keepLines w:val="0"/>
        <w:framePr w:w="9686" w:h="4690" w:wrap="none" w:vAnchor="text" w:hAnchor="page" w:x="1105" w:y="21"/>
        <w:widowControl w:val="0"/>
        <w:shd w:val="clear" w:color="auto" w:fill="auto"/>
        <w:bidi w:val="0"/>
        <w:spacing w:before="0" w:after="0" w:line="314"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6"/>
        <w:keepNext w:val="0"/>
        <w:keepLines w:val="0"/>
        <w:framePr w:w="9686" w:h="4690" w:wrap="none" w:vAnchor="text" w:hAnchor="page" w:x="1105" w:y="21"/>
        <w:widowControl w:val="0"/>
        <w:shd w:val="clear" w:color="auto" w:fill="auto"/>
        <w:bidi w:val="0"/>
        <w:spacing w:before="0" w:after="0" w:line="314" w:lineRule="exact"/>
        <w:ind w:left="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6"/>
        <w:keepNext w:val="0"/>
        <w:keepLines w:val="0"/>
        <w:framePr w:w="2683" w:h="250" w:wrap="none" w:vAnchor="text" w:hAnchor="page" w:x="4365" w:y="574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rFonts w:ascii="Times New Roman" w:eastAsia="Times New Roman" w:hAnsi="Times New Roman" w:cs="Times New Roman"/>
          <w:color w:val="000000"/>
          <w:spacing w:val="0"/>
          <w:w w:val="100"/>
          <w:position w:val="0"/>
          <w:sz w:val="18"/>
          <w:szCs w:val="18"/>
        </w:rPr>
        <w:t>）</w:t>
      </w:r>
    </w:p>
    <w:p>
      <w:pPr>
        <w:pStyle w:val="Style16"/>
        <w:keepNext w:val="0"/>
        <w:keepLines w:val="0"/>
        <w:framePr w:w="806" w:h="245" w:wrap="none" w:vAnchor="text" w:hAnchor="page" w:x="5008" w:y="6803"/>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p>
      <w:pPr>
        <w:pStyle w:val="Style16"/>
        <w:keepNext w:val="0"/>
        <w:keepLines w:val="0"/>
        <w:framePr w:w="2126" w:h="2299" w:wrap="none" w:vAnchor="text" w:hAnchor="page" w:x="7950" w:y="5747"/>
        <w:widowControl w:val="0"/>
        <w:shd w:val="clear" w:color="auto" w:fill="auto"/>
        <w:bidi w:val="0"/>
        <w:spacing w:before="0" w:after="140" w:line="240" w:lineRule="auto"/>
        <w:ind w:left="0" w:right="0" w:firstLine="0"/>
        <w:jc w:val="right"/>
      </w:pPr>
      <w:r>
        <w:rPr>
          <w:color w:val="000000"/>
          <w:spacing w:val="0"/>
          <w:w w:val="100"/>
          <w:position w:val="0"/>
        </w:rPr>
        <w:t>中国注册会计师：李峰</w:t>
      </w:r>
    </w:p>
    <w:p>
      <w:pPr>
        <w:pStyle w:val="Style16"/>
        <w:keepNext w:val="0"/>
        <w:keepLines w:val="0"/>
        <w:framePr w:w="2126" w:h="2299" w:wrap="none" w:vAnchor="text" w:hAnchor="page" w:x="7950" w:y="5747"/>
        <w:widowControl w:val="0"/>
        <w:shd w:val="clear" w:color="auto" w:fill="auto"/>
        <w:bidi w:val="0"/>
        <w:spacing w:before="0" w:after="520" w:line="240" w:lineRule="auto"/>
        <w:ind w:left="0" w:right="0" w:firstLine="0"/>
        <w:jc w:val="right"/>
      </w:pPr>
      <w:r>
        <w:rPr>
          <w:color w:val="000000"/>
          <w:spacing w:val="0"/>
          <w:w w:val="100"/>
          <w:position w:val="0"/>
        </w:rPr>
        <w:t>（项目合伙人）</w:t>
      </w:r>
    </w:p>
    <w:p>
      <w:pPr>
        <w:pStyle w:val="Style16"/>
        <w:keepNext w:val="0"/>
        <w:keepLines w:val="0"/>
        <w:framePr w:w="2126" w:h="2299" w:wrap="none" w:vAnchor="text" w:hAnchor="page" w:x="7950" w:y="5747"/>
        <w:widowControl w:val="0"/>
        <w:shd w:val="clear" w:color="auto" w:fill="auto"/>
        <w:bidi w:val="0"/>
        <w:spacing w:before="0" w:after="800" w:line="240" w:lineRule="auto"/>
        <w:ind w:left="0" w:right="0" w:firstLine="0"/>
        <w:jc w:val="right"/>
      </w:pPr>
      <w:r>
        <w:rPr>
          <w:color w:val="000000"/>
          <w:spacing w:val="0"/>
          <w:w w:val="100"/>
          <w:position w:val="0"/>
        </w:rPr>
        <w:t>中国注册会计师：刘黎</w:t>
      </w:r>
    </w:p>
    <w:p>
      <w:pPr>
        <w:pStyle w:val="Style16"/>
        <w:keepNext w:val="0"/>
        <w:keepLines w:val="0"/>
        <w:framePr w:w="2126" w:h="2299" w:wrap="none" w:vAnchor="text" w:hAnchor="page" w:x="7950" w:y="5747"/>
        <w:widowControl w:val="0"/>
        <w:shd w:val="clear" w:color="auto" w:fill="auto"/>
        <w:bidi w:val="0"/>
        <w:spacing w:before="0" w:after="0" w:line="240" w:lineRule="auto"/>
        <w:ind w:left="0" w:right="0" w:firstLine="0"/>
        <w:jc w:val="left"/>
      </w:pPr>
      <w:r>
        <w:rPr>
          <w:color w:val="000000"/>
          <w:spacing w:val="0"/>
          <w:w w:val="100"/>
          <w:position w:val="0"/>
        </w:rPr>
        <w:t>二</w:t>
      </w:r>
      <w:r>
        <w:rPr>
          <w:rFonts w:ascii="Courier New" w:eastAsia="Courier New" w:hAnsi="Courier New" w:cs="Courier New"/>
          <w:color w:val="000000"/>
          <w:spacing w:val="0"/>
          <w:w w:val="100"/>
          <w:position w:val="0"/>
          <w:sz w:val="22"/>
          <w:szCs w:val="22"/>
        </w:rPr>
        <w:t>O</w:t>
      </w:r>
      <w:r>
        <w:rPr>
          <w:color w:val="000000"/>
          <w:spacing w:val="0"/>
          <w:w w:val="100"/>
          <w:position w:val="0"/>
        </w:rPr>
        <w:t>二二年四月二十五日</w:t>
      </w:r>
    </w:p>
    <w:p>
      <w:pPr>
        <w:pStyle w:val="Style21"/>
        <w:keepNext/>
        <w:keepLines/>
        <w:framePr w:w="3101" w:h="2102" w:wrap="none" w:vAnchor="text" w:hAnchor="page" w:x="1110" w:y="8718"/>
        <w:widowControl w:val="0"/>
        <w:shd w:val="clear" w:color="auto" w:fill="auto"/>
        <w:bidi w:val="0"/>
        <w:spacing w:before="0" w:after="380" w:line="240" w:lineRule="auto"/>
        <w:ind w:left="0" w:right="0" w:firstLine="0"/>
        <w:jc w:val="left"/>
      </w:pPr>
      <w:bookmarkStart w:id="711" w:name="bookmark711"/>
      <w:bookmarkStart w:id="712" w:name="bookmark712"/>
      <w:bookmarkStart w:id="713" w:name="bookmark713"/>
      <w:r>
        <w:rPr>
          <w:color w:val="000000"/>
          <w:spacing w:val="0"/>
          <w:w w:val="100"/>
          <w:position w:val="0"/>
        </w:rPr>
        <w:t>二、财务报表</w:t>
      </w:r>
      <w:bookmarkEnd w:id="711"/>
      <w:bookmarkEnd w:id="712"/>
      <w:bookmarkEnd w:id="713"/>
    </w:p>
    <w:p>
      <w:pPr>
        <w:pStyle w:val="Style16"/>
        <w:keepNext w:val="0"/>
        <w:keepLines w:val="0"/>
        <w:framePr w:w="3101" w:h="2102" w:wrap="none" w:vAnchor="text" w:hAnchor="page" w:x="1110" w:y="8718"/>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7"/>
        <w:keepNext/>
        <w:keepLines/>
        <w:framePr w:w="3101" w:h="2102" w:wrap="none" w:vAnchor="text" w:hAnchor="page" w:x="1110" w:y="8718"/>
        <w:widowControl w:val="0"/>
        <w:shd w:val="clear" w:color="auto" w:fill="auto"/>
        <w:bidi w:val="0"/>
        <w:spacing w:before="0" w:line="240" w:lineRule="auto"/>
        <w:ind w:left="0" w:right="0" w:firstLine="0"/>
        <w:jc w:val="left"/>
      </w:pPr>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14"/>
      <w:bookmarkEnd w:id="715"/>
      <w:bookmarkEnd w:id="716"/>
    </w:p>
    <w:p>
      <w:pPr>
        <w:pStyle w:val="Style16"/>
        <w:keepNext w:val="0"/>
        <w:keepLines w:val="0"/>
        <w:framePr w:w="3101" w:h="2102" w:wrap="none" w:vAnchor="text" w:hAnchor="page" w:x="1110" w:y="8718"/>
        <w:widowControl w:val="0"/>
        <w:shd w:val="clear" w:color="auto" w:fill="auto"/>
        <w:bidi w:val="0"/>
        <w:spacing w:before="0" w:after="380" w:line="240" w:lineRule="auto"/>
        <w:ind w:left="0" w:right="0" w:firstLine="0"/>
        <w:jc w:val="left"/>
      </w:pPr>
      <w:r>
        <w:rPr>
          <w:color w:val="000000"/>
          <w:spacing w:val="0"/>
          <w:w w:val="100"/>
          <w:position w:val="0"/>
        </w:rPr>
        <w:t>编制单位：天阳宏业科技股份有限公司</w:t>
      </w:r>
    </w:p>
    <w:p>
      <w:pPr>
        <w:pStyle w:val="Style16"/>
        <w:keepNext w:val="0"/>
        <w:keepLines w:val="0"/>
        <w:framePr w:w="763" w:h="226" w:wrap="none" w:vAnchor="text" w:hAnchor="page" w:x="10029" w:y="11286"/>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framePr w:w="9586" w:h="2026" w:vSpace="658" w:wrap="none" w:vAnchor="text" w:hAnchor="page" w:x="1120" w:y="11593"/>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framePr w:w="9586" w:h="2026" w:vSpace="658" w:wrap="none" w:vAnchor="text" w:hAnchor="page" w:x="1120" w:y="1159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framePr w:w="9586" w:h="2026" w:vSpace="658" w:wrap="none" w:vAnchor="text" w:hAnchor="page" w:x="1120" w:y="1159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framePr w:w="9586" w:h="2026" w:vSpace="658" w:wrap="none" w:vAnchor="text" w:hAnchor="page" w:x="1120" w:y="11593"/>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2026" w:vSpace="658" w:wrap="none" w:vAnchor="text" w:hAnchor="page" w:x="1120" w:y="11593"/>
              <w:widowControl w:val="0"/>
              <w:rPr>
                <w:sz w:val="10"/>
                <w:szCs w:val="10"/>
              </w:rPr>
            </w:pPr>
          </w:p>
        </w:tc>
        <w:tc>
          <w:tcPr>
            <w:tcBorders>
              <w:top w:val="single" w:sz="4"/>
              <w:left w:val="single" w:sz="4"/>
              <w:right w:val="single" w:sz="4"/>
            </w:tcBorders>
            <w:shd w:val="clear" w:color="auto" w:fill="D3D3D3"/>
            <w:vAlign w:val="top"/>
          </w:tcPr>
          <w:p>
            <w:pPr>
              <w:framePr w:w="9586" w:h="2026" w:vSpace="658" w:wrap="none" w:vAnchor="text" w:hAnchor="page" w:x="1120" w:y="1159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framePr w:w="9586" w:h="2026" w:vSpace="658" w:wrap="none" w:vAnchor="text" w:hAnchor="page" w:x="1120" w:y="11593"/>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framePr w:w="9586" w:h="2026" w:vSpace="658" w:wrap="none" w:vAnchor="text" w:hAnchor="page" w:x="1120" w:y="1159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866,221,058.43</w:t>
            </w:r>
          </w:p>
        </w:tc>
        <w:tc>
          <w:tcPr>
            <w:tcBorders>
              <w:top w:val="single" w:sz="4"/>
              <w:left w:val="single" w:sz="4"/>
              <w:right w:val="single" w:sz="4"/>
            </w:tcBorders>
            <w:shd w:val="clear" w:color="auto" w:fill="FFFFFF"/>
            <w:vAlign w:val="center"/>
          </w:tcPr>
          <w:p>
            <w:pPr>
              <w:pStyle w:val="Style18"/>
              <w:keepNext w:val="0"/>
              <w:keepLines w:val="0"/>
              <w:framePr w:w="9586" w:h="2026" w:vSpace="658" w:wrap="none" w:vAnchor="text" w:hAnchor="page" w:x="1120" w:y="1159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1,013,322,382.09</w:t>
            </w:r>
          </w:p>
        </w:tc>
      </w:tr>
      <w:tr>
        <w:trPr>
          <w:trHeight w:val="398" w:hRule="exact"/>
        </w:trPr>
        <w:tc>
          <w:tcPr>
            <w:tcBorders>
              <w:top w:val="single" w:sz="4"/>
              <w:left w:val="single" w:sz="4"/>
            </w:tcBorders>
            <w:shd w:val="clear" w:color="auto" w:fill="D3D3D3"/>
            <w:vAlign w:val="center"/>
          </w:tcPr>
          <w:p>
            <w:pPr>
              <w:pStyle w:val="Style18"/>
              <w:keepNext w:val="0"/>
              <w:keepLines w:val="0"/>
              <w:framePr w:w="9586" w:h="2026" w:vSpace="658" w:wrap="none" w:vAnchor="text" w:hAnchor="page" w:x="1120" w:y="11593"/>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2026" w:vSpace="658" w:wrap="none" w:vAnchor="text" w:hAnchor="page" w:x="1120" w:y="11593"/>
              <w:widowControl w:val="0"/>
              <w:rPr>
                <w:sz w:val="10"/>
                <w:szCs w:val="10"/>
              </w:rPr>
            </w:pPr>
          </w:p>
        </w:tc>
        <w:tc>
          <w:tcPr>
            <w:tcBorders>
              <w:top w:val="single" w:sz="4"/>
              <w:left w:val="single" w:sz="4"/>
              <w:right w:val="single" w:sz="4"/>
            </w:tcBorders>
            <w:shd w:val="clear" w:color="auto" w:fill="FFFFFF"/>
            <w:vAlign w:val="top"/>
          </w:tcPr>
          <w:p>
            <w:pPr>
              <w:framePr w:w="9586" w:h="2026" w:vSpace="658" w:wrap="none" w:vAnchor="text" w:hAnchor="page" w:x="1120" w:y="11593"/>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framePr w:w="9586" w:h="2026" w:vSpace="658" w:wrap="none" w:vAnchor="text" w:hAnchor="page" w:x="1120" w:y="11593"/>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bottom w:val="single" w:sz="4"/>
            </w:tcBorders>
            <w:shd w:val="clear" w:color="auto" w:fill="FFFFFF"/>
            <w:vAlign w:val="top"/>
          </w:tcPr>
          <w:p>
            <w:pPr>
              <w:framePr w:w="9586" w:h="2026" w:vSpace="658" w:wrap="none" w:vAnchor="text" w:hAnchor="page" w:x="1120" w:y="11593"/>
              <w:widowControl w:val="0"/>
              <w:rPr>
                <w:sz w:val="10"/>
                <w:szCs w:val="10"/>
              </w:rPr>
            </w:pPr>
          </w:p>
        </w:tc>
        <w:tc>
          <w:tcPr>
            <w:tcBorders>
              <w:top w:val="single" w:sz="4"/>
              <w:left w:val="single" w:sz="4"/>
              <w:bottom w:val="single" w:sz="4"/>
              <w:right w:val="single" w:sz="4"/>
            </w:tcBorders>
            <w:shd w:val="clear" w:color="auto" w:fill="FFFFFF"/>
            <w:vAlign w:val="top"/>
          </w:tcPr>
          <w:p>
            <w:pPr>
              <w:framePr w:w="9586" w:h="2026" w:vSpace="658" w:wrap="none" w:vAnchor="text" w:hAnchor="page" w:x="1120" w:y="11593"/>
              <w:widowControl w:val="0"/>
              <w:rPr>
                <w:sz w:val="10"/>
                <w:szCs w:val="10"/>
              </w:rPr>
            </w:pPr>
          </w:p>
        </w:tc>
      </w:tr>
    </w:tbl>
    <w:p>
      <w:pPr>
        <w:framePr w:w="9586" w:h="2026" w:vSpace="658" w:wrap="none" w:vAnchor="text" w:hAnchor="page" w:x="1120" w:y="11593"/>
        <w:widowControl w:val="0"/>
        <w:spacing w:line="1" w:lineRule="exact"/>
      </w:pPr>
    </w:p>
    <w:p>
      <w:pPr>
        <w:pStyle w:val="Style23"/>
        <w:keepNext w:val="0"/>
        <w:keepLines w:val="0"/>
        <w:framePr w:w="1536" w:h="235" w:wrap="none" w:vAnchor="text" w:hAnchor="page" w:x="5176" w:y="1093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7" w:line="1" w:lineRule="exact"/>
      </w:pPr>
    </w:p>
    <w:p>
      <w:pPr>
        <w:widowControl w:val="0"/>
        <w:spacing w:line="1" w:lineRule="exact"/>
        <w:sectPr>
          <w:footnotePr>
            <w:pos w:val="pageBottom"/>
            <w:numFmt w:val="decimal"/>
            <w:numRestart w:val="continuous"/>
          </w:footnotePr>
          <w:type w:val="continuous"/>
          <w:pgSz w:w="11900" w:h="16840"/>
          <w:pgMar w:top="1152" w:right="1109" w:bottom="1158" w:left="1104" w:header="0" w:footer="3" w:gutter="0"/>
          <w:cols w:space="720"/>
          <w:noEndnote/>
          <w:rtlGutter w:val="0"/>
          <w:docGrid w:linePitch="360"/>
        </w:sectPr>
      </w:pP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1,253,326,122.32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911,693,673.27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16,018,199.01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15,848,470.30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34,708,899.19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15,701,064.99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278,129,914.54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216,847,776.91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129,680,885.60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124,585,955.53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5,308,424.21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5,888,205.03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2,583,493,503.30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2,447,887,528.12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68,235,829.07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11,451,668.30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25,685,032.00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122,390,312.31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105,093,189.47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11,459,239.42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741,816.15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24,962.00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18,784,939.20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123,454,402.70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123,454,402.70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5,252,246.40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3,105,521.12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16,907,598.67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11,286,977.73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392,911,415.92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276,416,721.32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2,976,404,919.22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2,724,304,249.44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45,013,479.40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15,457,516.46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12,471,648.64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8,220,312.41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124,484,572.79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98,238,961.16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110,507,362.03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95,837,191.60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14,347,525.63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12,400,505.99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4,417,884.32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20,279,767.23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654,102,472.81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503,334,254.85</w:t>
            </w:r>
          </w:p>
        </w:tc>
      </w:tr>
    </w:tbl>
    <w:p>
      <w:pPr>
        <w:widowControl w:val="0"/>
        <w:spacing w:line="1" w:lineRule="exact"/>
      </w:pPr>
      <w:r>
        <w:br w:type="page"/>
      </w:r>
    </w:p>
    <w:p>
      <w:pPr>
        <w:widowControl w:val="0"/>
        <w:spacing w:line="1" w:lineRule="exact"/>
      </w:pPr>
      <w:r>
        <mc:AlternateContent>
          <mc:Choice Requires="wps">
            <w:drawing>
              <wp:anchor distT="139700" distB="0" distL="114300" distR="5034280" simplePos="0" relativeHeight="125829380" behindDoc="0" locked="0" layoutInCell="1" allowOverlap="1">
                <wp:simplePos x="0" y="0"/>
                <wp:positionH relativeFrom="page">
                  <wp:posOffset>725170</wp:posOffset>
                </wp:positionH>
                <wp:positionV relativeFrom="margin">
                  <wp:posOffset>8434070</wp:posOffset>
                </wp:positionV>
                <wp:extent cx="1167130" cy="149225"/>
                <wp:wrapTopAndBottom/>
                <wp:docPr id="5" name="Shape 5"/>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法定代表人：欧阳建平</w:t>
                            </w:r>
                          </w:p>
                        </w:txbxContent>
                      </wps:txbx>
                      <wps:bodyPr wrap="none" lIns="0" tIns="0" rIns="0" bIns="0">
                        <a:noAutoFit/>
                      </wps:bodyPr>
                    </wps:wsp>
                  </a:graphicData>
                </a:graphic>
              </wp:anchor>
            </w:drawing>
          </mc:Choice>
          <mc:Fallback>
            <w:pict>
              <v:shape id="_x0000_s1031" type="#_x0000_t202" style="position:absolute;margin-left:57.100000000000001pt;margin-top:664.10000000000002pt;width:91.900000000000006pt;height:11.75pt;z-index:-125829373;mso-wrap-distance-left:9.pt;mso-wrap-distance-top:11.pt;mso-wrap-distance-right:396.40000000000003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法定代表人：欧阳建平</w:t>
                      </w:r>
                    </w:p>
                  </w:txbxContent>
                </v:textbox>
                <w10:wrap type="topAndBottom" anchorx="page" anchory="margin"/>
              </v:shape>
            </w:pict>
          </mc:Fallback>
        </mc:AlternateContent>
      </w:r>
      <w:r>
        <mc:AlternateContent>
          <mc:Choice Requires="wps">
            <w:drawing>
              <wp:anchor distT="139700" distB="3175" distL="2345690" distR="2461260" simplePos="0" relativeHeight="125829382" behindDoc="0" locked="0" layoutInCell="1" allowOverlap="1">
                <wp:simplePos x="0" y="0"/>
                <wp:positionH relativeFrom="page">
                  <wp:posOffset>2956560</wp:posOffset>
                </wp:positionH>
                <wp:positionV relativeFrom="margin">
                  <wp:posOffset>8434070</wp:posOffset>
                </wp:positionV>
                <wp:extent cx="1508760" cy="146050"/>
                <wp:wrapTopAndBottom/>
                <wp:docPr id="7" name="Shape 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主管会计工作负责人：张庆勋</w:t>
                            </w:r>
                          </w:p>
                        </w:txbxContent>
                      </wps:txbx>
                      <wps:bodyPr wrap="none" lIns="0" tIns="0" rIns="0" bIns="0">
                        <a:noAutoFit/>
                      </wps:bodyPr>
                    </wps:wsp>
                  </a:graphicData>
                </a:graphic>
              </wp:anchor>
            </w:drawing>
          </mc:Choice>
          <mc:Fallback>
            <w:pict>
              <v:shape id="_x0000_s1033" type="#_x0000_t202" style="position:absolute;margin-left:232.80000000000001pt;margin-top:664.10000000000002pt;width:118.8pt;height:11.5pt;z-index:-125829371;mso-wrap-distance-left:184.70000000000002pt;mso-wrap-distance-top:11.pt;mso-wrap-distance-right:193.80000000000001pt;mso-wrap-distance-bottom:0.25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主管会计工作负责人：张庆勋</w:t>
                      </w:r>
                    </w:p>
                  </w:txbxContent>
                </v:textbox>
                <w10:wrap type="topAndBottom" anchorx="page" anchory="margin"/>
              </v:shape>
            </w:pict>
          </mc:Fallback>
        </mc:AlternateContent>
      </w:r>
      <w:r>
        <mc:AlternateContent>
          <mc:Choice Requires="wps">
            <w:drawing>
              <wp:anchor distT="139700" distB="0" distL="4918075" distR="114300" simplePos="0" relativeHeight="125829384" behindDoc="0" locked="0" layoutInCell="1" allowOverlap="1">
                <wp:simplePos x="0" y="0"/>
                <wp:positionH relativeFrom="page">
                  <wp:posOffset>5528945</wp:posOffset>
                </wp:positionH>
                <wp:positionV relativeFrom="margin">
                  <wp:posOffset>8434070</wp:posOffset>
                </wp:positionV>
                <wp:extent cx="1283335" cy="149225"/>
                <wp:wrapTopAndBottom/>
                <wp:docPr id="9" name="Shape 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会计机构负责人：陈艳萍</w:t>
                            </w:r>
                          </w:p>
                        </w:txbxContent>
                      </wps:txbx>
                      <wps:bodyPr wrap="none" lIns="0" tIns="0" rIns="0" bIns="0">
                        <a:noAutoFit/>
                      </wps:bodyPr>
                    </wps:wsp>
                  </a:graphicData>
                </a:graphic>
              </wp:anchor>
            </w:drawing>
          </mc:Choice>
          <mc:Fallback>
            <w:pict>
              <v:shape id="_x0000_s1035" type="#_x0000_t202" style="position:absolute;margin-left:435.35000000000002pt;margin-top:664.10000000000002pt;width:101.05pt;height:11.75pt;z-index:-125829369;mso-wrap-distance-left:387.25pt;mso-wrap-distance-top:11.pt;mso-wrap-distance-right:9.pt;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会计机构负责人：陈艳萍</w:t>
                      </w:r>
                    </w:p>
                  </w:txbxContent>
                </v:textbox>
                <w10:wrap type="topAndBottom" anchorx="page" anchory="margin"/>
              </v:shape>
            </w:pict>
          </mc:Fallback>
        </mc:AlternateConten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6,943,282.09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7,172,615.08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369,237.74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7,312,519.83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7,172,615.08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661,414,992.64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510,506,869.93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224,682,030.00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224,682,030.00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1,572,108,183.99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1,531,738,857.74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-28,420.67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4,919.87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40,629,710.19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34,086,829.11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464,239,469.17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416,726,684.88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2,301,630,972.68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2,207,239,321.60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13,358,953.90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6,558,057.91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2,314,989,926.58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2,213,797,379.51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2,976,404,919.22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2,724,304,249.44</w:t>
            </w: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left"/>
      </w:pPr>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17"/>
      <w:bookmarkEnd w:id="718"/>
      <w:bookmarkEnd w:id="71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804,849,819.02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936,930,163.36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1,180,991,208.45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845,785,294.16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15,560,089.75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15,417,057.27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137,191,793.31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79,107,640.69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262,288,040.07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192,635,857.16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120,171,717.15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120,144,899.93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2,521,052,667.75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2,334,020,912.57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447,093,688.07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385,809,527.30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118,879,596.69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102,030,869.89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11,459,239.42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323,920.37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24,962.00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18,784,939.20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3,838,861.07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3,057,163.70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12,291,446.59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7,055,713.57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634,671,691.41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519,978,236.46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3,155,724,359.16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2,853,999,149.03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380,915,519.86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190,290,113.23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9,866,742.97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4,693,518.05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113,347,905.18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89,159,559.70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88,800,796.62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72,786,315.03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59,681,049.50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113,457,050.89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4,417,884.32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20,279,767.23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971,389,898.45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730,666,324.13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6,943,282.09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7,172,615.08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369,237.74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7,312,519.83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7,172,615.08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978,702,418.28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737,838,939.21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224,682,030.00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224,682,030.00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1,590,979,215.04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1,550,609,888.79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40,629,710.19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34,086,829.11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320,730,985.65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306,781,461.92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2,177,021,940.88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2,116,160,209.82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3,155,724,359.16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2,853,999,149.03</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3</w:t>
      </w:r>
      <w:bookmarkEnd w:id="722"/>
      <w:r>
        <w:rPr>
          <w:color w:val="000000"/>
          <w:spacing w:val="0"/>
          <w:w w:val="100"/>
          <w:position w:val="0"/>
        </w:rPr>
        <w:t>、合并利润表</w:t>
      </w:r>
      <w:bookmarkEnd w:id="720"/>
      <w:bookmarkEnd w:id="721"/>
      <w:bookmarkEnd w:id="723"/>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1,776,093,004.39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1,315,327,683.98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1,776,093,004.39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1,315,327,683.98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1,703,497,154.58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1,169,656,895.90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1,214,425,663.44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844,696,478.76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12,610,408.64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9,739,574.39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105,074,754.14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77,392,589.19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131,686,621.72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76,331,107.02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236,562,358.88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143,749,597.38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3,137,347.76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17,747,549.16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8,513,201.78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15,421,908.41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5,633,124.69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1,575,232.99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33,074,399.74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26,147,792.98</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5,235,891.71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3,629,906.27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-2,420,439.23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-74,603.36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以摊余成本计量的金融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公允价值变动收益（损失以</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-23,791,683.03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-36,560,539.34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99,366.63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79,967.26</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16,340.21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102,213,824.86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138,984,255.46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7,334.53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137,046.03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420,452.44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102,077,058.83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138,571,137.55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284,091.47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5,649,564.56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101,792,967.36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132,921,572.99</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101,792,967.36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132,921,572.99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98,992,071.37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133,786,814.55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2,800,895.99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-865,241.56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-34,350.25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4,919.87</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-34,350.25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4,919.87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-34,350.25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4,919.87</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101,758,617.11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132,926,492.86</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98,957,721.12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133,791,734.42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2,800,895.99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-865,241.56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r>
    </w:tbl>
    <w:p>
      <w:pPr>
        <w:widowControl w:val="0"/>
        <w:spacing w:after="7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6"/>
        <w:keepNext w:val="0"/>
        <w:keepLines w:val="0"/>
        <w:widowControl w:val="0"/>
        <w:shd w:val="clear" w:color="auto" w:fill="auto"/>
        <w:tabs>
          <w:tab w:pos="3494" w:val="left"/>
          <w:tab w:pos="7560" w:val="left"/>
        </w:tabs>
        <w:bidi w:val="0"/>
        <w:spacing w:before="0" w:after="400" w:line="240" w:lineRule="auto"/>
        <w:ind w:left="0" w:right="0" w:firstLine="0"/>
        <w:jc w:val="left"/>
      </w:pPr>
      <w:r>
        <w:rPr>
          <w:color w:val="000000"/>
          <w:spacing w:val="0"/>
          <w:w w:val="100"/>
          <w:position w:val="0"/>
        </w:rPr>
        <w:t>法定代表人：欧阳建平</w:t>
        <w:tab/>
        <w:t>主管会计工作负责人：张庆勋</w:t>
        <w:tab/>
        <w:t>会计机构负责人：陈艳萍</w:t>
      </w:r>
    </w:p>
    <w:p>
      <w:pPr>
        <w:pStyle w:val="Style27"/>
        <w:keepNext/>
        <w:keepLines/>
        <w:widowControl w:val="0"/>
        <w:shd w:val="clear" w:color="auto" w:fill="auto"/>
        <w:bidi w:val="0"/>
        <w:spacing w:before="0" w:after="40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4</w:t>
      </w:r>
      <w:bookmarkEnd w:id="726"/>
      <w:r>
        <w:rPr>
          <w:color w:val="000000"/>
          <w:spacing w:val="0"/>
          <w:w w:val="100"/>
          <w:position w:val="0"/>
        </w:rPr>
        <w:t>、母公司利润表</w:t>
      </w:r>
      <w:bookmarkEnd w:id="724"/>
      <w:bookmarkEnd w:id="725"/>
      <w:bookmarkEnd w:id="72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1,703,329,252.41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1,247,617,533.72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1,287,036,288.11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859,400,050.01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10,649,699.53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8,527,849.86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94,706,999.54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70,839,573.74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110,304,812.82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59,861,335.13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168,458,772.57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124,574,333.01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3,613,397.86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17,198,911.97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8,183,233.17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14,702,957.29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4,779,608.46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1,228,256.83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32,583,446.05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23,924,370.06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5,236,706.39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30,931,179.18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-2,420,439.23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-74,603.36</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-20,221,902.39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-27,422,983.11</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150,532.88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36,112.02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61,308,064.91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134,684,158.15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136,495.00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139,972.50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61,171,569.91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134,544,185.65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-4,257,240.90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2,525,025.68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65,428,810.81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132,019,159.97</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65,428,810.81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132,019,159.97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65,428,810.81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132,019,159.97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5</w:t>
      </w:r>
      <w:bookmarkEnd w:id="730"/>
      <w:r>
        <w:rPr>
          <w:color w:val="000000"/>
          <w:spacing w:val="0"/>
          <w:w w:val="100"/>
          <w:position w:val="0"/>
        </w:rPr>
        <w:t>、合并现金流量表</w:t>
      </w:r>
      <w:bookmarkEnd w:id="728"/>
      <w:bookmarkEnd w:id="729"/>
      <w:bookmarkEnd w:id="73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1,527,303,419.42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1,064,743,379.54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2,521,302.37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2,391,506.72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81,028,906.16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57,221,649.34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1,610,853,627.95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1,124,356,535.60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161,069,621.24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74,113,177.05</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1,363,572,626.23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996,975,528.48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94,349,327.54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70,893,548.48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223,235,004.91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176,553,208.40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1,842,226,579.92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1,318,535,462.41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-231,372,951.97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-194,178,926.81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2,754,000,000.00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7,657,340.65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3,704,509.63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108,220.00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2,761,657,340.65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1,003,812,729.63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30,512,430.13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1,193,859.64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2,657,989,632.00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1,164,000,000.00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2,688,502,062.13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1,165,193,859.64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73,155,278.52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-161,381,130.01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1,144,623,661.96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413,055,600.00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3,033,000.00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65,888,932.00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345,033,000.00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1,623,568,193.96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252,900,000.00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370,155,600.00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52,854,770.74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17,847,039.24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31,853,909.98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58,906,940.99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337,608,680.72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446,909,580.23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7,424,319.28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1,176,658,613.73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-45,646.04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-80,355.98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-150,839,000.21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821,018,200.93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1,003,015,871.73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181,997,670.80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852,176,871.52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1,003,015,871.73</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6</w:t>
      </w:r>
      <w:bookmarkEnd w:id="734"/>
      <w:r>
        <w:rPr>
          <w:color w:val="000000"/>
          <w:spacing w:val="0"/>
          <w:w w:val="100"/>
          <w:position w:val="0"/>
        </w:rPr>
        <w:t>、母公司现金流量表</w:t>
      </w:r>
      <w:bookmarkEnd w:id="732"/>
      <w:bookmarkEnd w:id="733"/>
      <w:bookmarkEnd w:id="73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1,466,093,631.53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1,017,881,870.46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2,521,302.37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2,391,506.72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164,360,552.89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204,206,849.78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1,632,975,486.79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1,224,480,226.96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151,539,370.52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106,914,902.71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1,195,069,714.19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899,940,060.29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72,494,603.31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56,771,225.19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412,001,603.49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422,722,894.33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1,831,105,291.51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1,486,349,082.52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-198,129,804.72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-261,868,855.56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2,754,000,000.00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7,657,145.62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31,005,782.54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2,761,657,145.62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1,031,005,782.54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27,591,937.75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983,859.64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2,658,704,600.00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1,164,000,000.00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2,686,296,537.75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1,164,983,859.64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75,360,607.87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-133,978,077.10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1,144,623,661.96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381,155,600.00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309,533,000.00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1,591,579,261.96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351,155,600.00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52,524,802.13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17,128,088.12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31,853,909.98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55,671,418.99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324,378,712.11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423,955,107.11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-14,845,712.11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1,167,624,154.85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-137,614,908.96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771,777,222.19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930,033,653.00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158,256,430.81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792,418,744.04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930,033,653.00</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7</w:t>
      </w:r>
      <w:bookmarkEnd w:id="738"/>
      <w:r>
        <w:rPr>
          <w:color w:val="000000"/>
          <w:spacing w:val="0"/>
          <w:w w:val="100"/>
          <w:position w:val="0"/>
        </w:rPr>
        <w:t>、合并所有者权益变动表</w:t>
      </w:r>
      <w:bookmarkEnd w:id="736"/>
      <w:bookmarkEnd w:id="737"/>
      <w:bookmarkEnd w:id="739"/>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82,03</w:t>
            </w:r>
          </w:p>
          <w:p>
            <w:pPr>
              <w:pStyle w:val="Style18"/>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1,531,</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738,85</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34,086</w:t>
            </w:r>
          </w:p>
          <w:p>
            <w:pPr>
              <w:pStyle w:val="Style18"/>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w:t>
            </w:r>
          </w:p>
          <w:p>
            <w:pPr>
              <w:pStyle w:val="Style18"/>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2,207,</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239,32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6,558,</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057.91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2,213,</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797,37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82,03</w:t>
            </w:r>
          </w:p>
          <w:p>
            <w:pPr>
              <w:pStyle w:val="Style18"/>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1,531,</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738,85</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34,086</w:t>
            </w:r>
          </w:p>
          <w:p>
            <w:pPr>
              <w:pStyle w:val="Style18"/>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w:t>
            </w:r>
          </w:p>
          <w:p>
            <w:pPr>
              <w:pStyle w:val="Style18"/>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2,207,</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239,32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6,558,</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057.91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2,213,</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797,37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40,369 </w:t>
            </w:r>
            <w:r>
              <w:rPr>
                <w:rFonts w:ascii="Times New Roman" w:eastAsia="Times New Roman" w:hAnsi="Times New Roman" w:cs="Times New Roman"/>
                <w:color w:val="000000"/>
                <w:spacing w:val="0"/>
                <w:w w:val="100"/>
                <w:position w:val="0"/>
                <w:sz w:val="18"/>
                <w:szCs w:val="18"/>
              </w:rPr>
              <w:t xml:space="preserve">,326.2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47,512 </w:t>
            </w:r>
            <w:r>
              <w:rPr>
                <w:rFonts w:ascii="Times New Roman" w:eastAsia="Times New Roman" w:hAnsi="Times New Roman" w:cs="Times New Roman"/>
                <w:color w:val="000000"/>
                <w:spacing w:val="0"/>
                <w:w w:val="100"/>
                <w:position w:val="0"/>
                <w:sz w:val="18"/>
                <w:szCs w:val="18"/>
              </w:rPr>
              <w:t xml:space="preserve">,784.2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94,391 </w:t>
            </w:r>
            <w:r>
              <w:rPr>
                <w:rFonts w:ascii="Times New Roman" w:eastAsia="Times New Roman" w:hAnsi="Times New Roman" w:cs="Times New Roman"/>
                <w:color w:val="000000"/>
                <w:spacing w:val="0"/>
                <w:w w:val="100"/>
                <w:position w:val="0"/>
                <w:sz w:val="18"/>
                <w:szCs w:val="18"/>
              </w:rPr>
              <w:t xml:space="preserve">,651.0 </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101,19</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98,992 </w:t>
            </w:r>
            <w:r>
              <w:rPr>
                <w:rFonts w:ascii="Times New Roman" w:eastAsia="Times New Roman" w:hAnsi="Times New Roman" w:cs="Times New Roman"/>
                <w:color w:val="000000"/>
                <w:spacing w:val="0"/>
                <w:w w:val="100"/>
                <w:position w:val="0"/>
                <w:sz w:val="18"/>
                <w:szCs w:val="18"/>
              </w:rPr>
              <w:t xml:space="preserve">,071.3 </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98,957</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,721.1</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101,75</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8,617.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40,369 </w:t>
            </w:r>
            <w:r>
              <w:rPr>
                <w:rFonts w:ascii="Times New Roman" w:eastAsia="Times New Roman" w:hAnsi="Times New Roman" w:cs="Times New Roman"/>
                <w:color w:val="000000"/>
                <w:spacing w:val="0"/>
                <w:w w:val="100"/>
                <w:position w:val="0"/>
                <w:sz w:val="18"/>
                <w:szCs w:val="18"/>
              </w:rPr>
              <w:t xml:space="preserve">,326.2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40,369 </w:t>
            </w:r>
            <w:r>
              <w:rPr>
                <w:rFonts w:ascii="Times New Roman" w:eastAsia="Times New Roman" w:hAnsi="Times New Roman" w:cs="Times New Roman"/>
                <w:color w:val="000000"/>
                <w:spacing w:val="0"/>
                <w:w w:val="100"/>
                <w:position w:val="0"/>
                <w:sz w:val="18"/>
                <w:szCs w:val="18"/>
              </w:rPr>
              <w:t xml:space="preserve">,326.2 </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44,369 </w:t>
            </w:r>
            <w:r>
              <w:rPr>
                <w:rFonts w:ascii="Times New Roman" w:eastAsia="Times New Roman" w:hAnsi="Times New Roman" w:cs="Times New Roman"/>
                <w:color w:val="000000"/>
                <w:spacing w:val="0"/>
                <w:w w:val="100"/>
                <w:position w:val="0"/>
                <w:sz w:val="18"/>
                <w:szCs w:val="18"/>
              </w:rPr>
              <w:t xml:space="preserve">,326.2 </w:t>
            </w: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40,369</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40,369</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40,369</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,326.2</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9,287.</w:t>
            </w:r>
          </w:p>
          <w:p>
            <w:pPr>
              <w:pStyle w:val="Style18"/>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-44,93</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6,406.</w:t>
            </w:r>
          </w:p>
          <w:p>
            <w:pPr>
              <w:pStyle w:val="Style18"/>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6,406.</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6,406.</w:t>
            </w:r>
          </w:p>
          <w:p>
            <w:pPr>
              <w:pStyle w:val="Style18"/>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-44,93</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6,406.</w:t>
            </w:r>
          </w:p>
          <w:p>
            <w:pPr>
              <w:pStyle w:val="Style18"/>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6,406.</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w:t>
            </w:r>
          </w:p>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w:t>
            </w:r>
          </w:p>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82,03</w:t>
            </w:r>
          </w:p>
          <w:p>
            <w:pPr>
              <w:pStyle w:val="Style18"/>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1,572,</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108,18</w:t>
            </w:r>
          </w:p>
          <w:p>
            <w:pPr>
              <w:pStyle w:val="Style18"/>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464,23</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9,469.</w:t>
            </w:r>
          </w:p>
          <w:p>
            <w:pPr>
              <w:pStyle w:val="Style18"/>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2,301,</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13,358 </w:t>
            </w:r>
            <w:r>
              <w:rPr>
                <w:rFonts w:ascii="Times New Roman" w:eastAsia="Times New Roman" w:hAnsi="Times New Roman" w:cs="Times New Roman"/>
                <w:color w:val="000000"/>
                <w:spacing w:val="0"/>
                <w:w w:val="100"/>
                <w:position w:val="0"/>
                <w:sz w:val="18"/>
                <w:szCs w:val="18"/>
              </w:rPr>
              <w:t xml:space="preserve">,953.9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r>
    </w:tbl>
    <w:p>
      <w:pPr>
        <w:spacing w:lineRule="exact" w:line="1"/>
        <w:rPr>
          <w:sz w:val="2"/>
          <w:szCs w:val="2"/>
        </w:rPr>
      </w:pPr>
      <w:r>
        <w:br w:type="page"/>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168,4</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82,03</w:t>
            </w:r>
          </w:p>
          <w:p>
            <w:pPr>
              <w:pStyle w:val="Style18"/>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458,76</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3,159.</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20,884 </w:t>
            </w:r>
            <w:r>
              <w:rPr>
                <w:rFonts w:ascii="Times New Roman" w:eastAsia="Times New Roman" w:hAnsi="Times New Roman" w:cs="Times New Roman"/>
                <w:color w:val="000000"/>
                <w:spacing w:val="0"/>
                <w:w w:val="100"/>
                <w:position w:val="0"/>
                <w:sz w:val="18"/>
                <w:szCs w:val="18"/>
              </w:rPr>
              <w:t xml:space="preserve">,913.1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296,14</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944,27</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1,888.</w:t>
            </w:r>
          </w:p>
          <w:p>
            <w:pPr>
              <w:pStyle w:val="Style18"/>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7,423,2</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951,695</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,187.92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168,4</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82,03</w:t>
            </w:r>
          </w:p>
          <w:p>
            <w:pPr>
              <w:pStyle w:val="Style18"/>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458,76</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3,159.</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20,884 </w:t>
            </w:r>
            <w:r>
              <w:rPr>
                <w:rFonts w:ascii="Times New Roman" w:eastAsia="Times New Roman" w:hAnsi="Times New Roman" w:cs="Times New Roman"/>
                <w:color w:val="000000"/>
                <w:spacing w:val="0"/>
                <w:w w:val="100"/>
                <w:position w:val="0"/>
                <w:sz w:val="18"/>
                <w:szCs w:val="18"/>
              </w:rPr>
              <w:t xml:space="preserve">,913.1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296,14</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944,27</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1,888.</w:t>
            </w:r>
          </w:p>
          <w:p>
            <w:pPr>
              <w:pStyle w:val="Style18"/>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7,423,2</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951,695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,187.92</w:t>
            </w:r>
          </w:p>
        </w:tc>
      </w:tr>
      <w:tr>
        <w:trPr>
          <w:trHeight w:val="1339"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56,20</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8"/>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975,69</w:t>
            </w:r>
          </w:p>
          <w:p>
            <w:pPr>
              <w:pStyle w:val="Style18"/>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13,201 </w:t>
            </w:r>
            <w:r>
              <w:rPr>
                <w:rFonts w:ascii="Times New Roman" w:eastAsia="Times New Roman" w:hAnsi="Times New Roman" w:cs="Times New Roman"/>
                <w:color w:val="000000"/>
                <w:spacing w:val="0"/>
                <w:w w:val="100"/>
                <w:position w:val="0"/>
                <w:sz w:val="18"/>
                <w:szCs w:val="18"/>
              </w:rPr>
              <w:t xml:space="preserve">,916.0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120,58</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1,262,</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967,43</w:t>
            </w:r>
          </w:p>
          <w:p>
            <w:pPr>
              <w:pStyle w:val="Style18"/>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-865,24</w:t>
            </w:r>
          </w:p>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1,262,1</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02,191.</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133,78</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133,79</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1,734.</w:t>
            </w:r>
          </w:p>
          <w:p>
            <w:pPr>
              <w:pStyle w:val="Style18"/>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-865,24</w:t>
            </w:r>
          </w:p>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132,926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,492.86</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56,20</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8"/>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975,69</w:t>
            </w:r>
          </w:p>
          <w:p>
            <w:pPr>
              <w:pStyle w:val="Style18"/>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175,69</w:t>
            </w:r>
          </w:p>
          <w:p>
            <w:pPr>
              <w:pStyle w:val="Style18"/>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1,129,1</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75,698.</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56,20</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18"/>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1,072,</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975,69</w:t>
            </w:r>
          </w:p>
          <w:p>
            <w:pPr>
              <w:pStyle w:val="Style18"/>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1,129,</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175,69</w:t>
            </w:r>
          </w:p>
          <w:p>
            <w:pPr>
              <w:pStyle w:val="Style18"/>
              <w:keepNext w:val="0"/>
              <w:keepLines w:val="0"/>
              <w:widowControl w:val="0"/>
              <w:shd w:val="clear" w:color="auto" w:fill="auto"/>
              <w:bidi w:val="0"/>
              <w:spacing w:before="0" w:after="10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1,129,1</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75,698.</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13,201 </w:t>
            </w:r>
            <w:r>
              <w:rPr>
                <w:rFonts w:ascii="Times New Roman" w:eastAsia="Times New Roman" w:hAnsi="Times New Roman" w:cs="Times New Roman"/>
                <w:color w:val="000000"/>
                <w:spacing w:val="0"/>
                <w:w w:val="100"/>
                <w:position w:val="0"/>
                <w:sz w:val="18"/>
                <w:szCs w:val="18"/>
              </w:rPr>
              <w:t xml:space="preserve">,916.0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1,916.</w:t>
            </w:r>
          </w:p>
          <w:p>
            <w:pPr>
              <w:pStyle w:val="Style18"/>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13,201 </w:t>
            </w:r>
            <w:r>
              <w:rPr>
                <w:rFonts w:ascii="Times New Roman" w:eastAsia="Times New Roman" w:hAnsi="Times New Roman" w:cs="Times New Roman"/>
                <w:color w:val="000000"/>
                <w:spacing w:val="0"/>
                <w:w w:val="100"/>
                <w:position w:val="0"/>
                <w:sz w:val="18"/>
                <w:szCs w:val="18"/>
              </w:rPr>
              <w:t xml:space="preserve">,916.0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1,916.</w:t>
            </w:r>
          </w:p>
          <w:p>
            <w:pPr>
              <w:pStyle w:val="Style18"/>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82,03</w:t>
            </w:r>
          </w:p>
          <w:p>
            <w:pPr>
              <w:pStyle w:val="Style18"/>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738,85</w:t>
            </w:r>
          </w:p>
          <w:p>
            <w:pPr>
              <w:pStyle w:val="Style18"/>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34,086</w:t>
            </w:r>
          </w:p>
          <w:p>
            <w:pPr>
              <w:pStyle w:val="Style18"/>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w:t>
            </w:r>
          </w:p>
          <w:p>
            <w:pPr>
              <w:pStyle w:val="Style18"/>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416,72</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6,684.</w:t>
            </w:r>
          </w:p>
          <w:p>
            <w:pPr>
              <w:pStyle w:val="Style18"/>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8</w:t>
      </w:r>
      <w:bookmarkEnd w:id="742"/>
      <w:r>
        <w:rPr>
          <w:color w:val="000000"/>
          <w:spacing w:val="0"/>
          <w:w w:val="100"/>
          <w:position w:val="0"/>
        </w:rPr>
        <w:t>、母公司所有者权益变动表</w:t>
      </w:r>
      <w:bookmarkEnd w:id="740"/>
      <w:bookmarkEnd w:id="741"/>
      <w:bookmarkEnd w:id="743"/>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77"/>
        <w:gridCol w:w="710"/>
        <w:gridCol w:w="710"/>
        <w:gridCol w:w="566"/>
        <w:gridCol w:w="850"/>
        <w:gridCol w:w="566"/>
        <w:gridCol w:w="710"/>
        <w:gridCol w:w="557"/>
        <w:gridCol w:w="725"/>
        <w:gridCol w:w="701"/>
        <w:gridCol w:w="624"/>
        <w:gridCol w:w="87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专项</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224,682</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1,550,609,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306,781,</w:t>
            </w:r>
          </w:p>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2,116,160,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224,682</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1,550,609,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306,781,</w:t>
            </w:r>
          </w:p>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2,116,160,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209.82</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40,369,32</w:t>
            </w:r>
          </w:p>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6,542,88</w:t>
            </w:r>
          </w:p>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13,949,5</w:t>
            </w:r>
          </w:p>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60,861,73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65,428,8</w:t>
            </w:r>
          </w:p>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65,428,81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40,369,32</w:t>
            </w:r>
          </w:p>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40,369,32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40,369,32</w:t>
            </w:r>
          </w:p>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40,369,32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6,542,88</w:t>
            </w:r>
          </w:p>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-51,479,</w:t>
            </w:r>
          </w:p>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-44,936,40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6,542,88</w:t>
            </w:r>
          </w:p>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-6,542,8</w:t>
            </w:r>
          </w:p>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-44,936,</w:t>
            </w:r>
          </w:p>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-44,936,40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bl>
    <w:p>
      <w:pPr>
        <w:widowControl w:val="0"/>
        <w:spacing w:line="1" w:lineRule="exact"/>
      </w:pPr>
      <w:r>
        <w:br w:type="page"/>
      </w:r>
    </w:p>
    <w:tbl>
      <w:tblPr>
        <w:tblOverlap w:val="never"/>
        <w:jc w:val="center"/>
        <w:tblLayout w:type="fixed"/>
      </w:tblPr>
      <w:tblGrid>
        <w:gridCol w:w="1315"/>
        <w:gridCol w:w="677"/>
        <w:gridCol w:w="710"/>
        <w:gridCol w:w="710"/>
        <w:gridCol w:w="566"/>
        <w:gridCol w:w="850"/>
        <w:gridCol w:w="566"/>
        <w:gridCol w:w="710"/>
        <w:gridCol w:w="557"/>
        <w:gridCol w:w="725"/>
        <w:gridCol w:w="701"/>
        <w:gridCol w:w="624"/>
        <w:gridCol w:w="87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224,682</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1,590,979,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40,629,7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320,730,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2,177,021,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754"/>
        <w:gridCol w:w="566"/>
        <w:gridCol w:w="427"/>
        <w:gridCol w:w="566"/>
        <w:gridCol w:w="850"/>
        <w:gridCol w:w="518"/>
        <w:gridCol w:w="902"/>
        <w:gridCol w:w="566"/>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专项</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168,482,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477,634,1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187,964,2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854,965,35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854,965,35</w:t>
            </w:r>
          </w:p>
        </w:tc>
      </w:tr>
    </w:tbl>
    <w:p>
      <w:pPr>
        <w:widowControl w:val="0"/>
        <w:spacing w:line="1" w:lineRule="exact"/>
      </w:pPr>
      <w:r>
        <w:br w:type="page"/>
      </w:r>
    </w:p>
    <w:tbl>
      <w:tblPr>
        <w:tblOverlap w:val="never"/>
        <w:jc w:val="center"/>
        <w:tblLayout w:type="fixed"/>
      </w:tblPr>
      <w:tblGrid>
        <w:gridCol w:w="1238"/>
        <w:gridCol w:w="754"/>
        <w:gridCol w:w="566"/>
        <w:gridCol w:w="427"/>
        <w:gridCol w:w="566"/>
        <w:gridCol w:w="850"/>
        <w:gridCol w:w="518"/>
        <w:gridCol w:w="902"/>
        <w:gridCol w:w="566"/>
        <w:gridCol w:w="662"/>
        <w:gridCol w:w="797"/>
        <w:gridCol w:w="797"/>
        <w:gridCol w:w="941"/>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56,200,0</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1,072,975,</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698.73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13,201, </w:t>
            </w:r>
            <w:r>
              <w:rPr>
                <w:rFonts w:ascii="Times New Roman" w:eastAsia="Times New Roman" w:hAnsi="Times New Roman" w:cs="Times New Roman"/>
                <w:color w:val="000000"/>
                <w:spacing w:val="0"/>
                <w:w w:val="100"/>
                <w:position w:val="0"/>
                <w:sz w:val="18"/>
                <w:szCs w:val="18"/>
              </w:rPr>
              <w:t>916.00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118,817,2</w:t>
            </w:r>
          </w:p>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1,261,194,8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132,019,1</w:t>
            </w:r>
          </w:p>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132,019,15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56,200,0</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1,072,975,</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698.73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1,129,175,6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56,200,0</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1,072,975,</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698.73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1,129,175,6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13,201, </w:t>
            </w:r>
            <w:r>
              <w:rPr>
                <w:rFonts w:ascii="Times New Roman" w:eastAsia="Times New Roman" w:hAnsi="Times New Roman" w:cs="Times New Roman"/>
                <w:color w:val="000000"/>
                <w:spacing w:val="0"/>
                <w:w w:val="100"/>
                <w:position w:val="0"/>
                <w:sz w:val="18"/>
                <w:szCs w:val="18"/>
              </w:rPr>
              <w:t>916.00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-13,201,9</w:t>
            </w:r>
          </w:p>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13,201, </w:t>
            </w:r>
            <w:r>
              <w:rPr>
                <w:rFonts w:ascii="Times New Roman" w:eastAsia="Times New Roman" w:hAnsi="Times New Roman" w:cs="Times New Roman"/>
                <w:color w:val="000000"/>
                <w:spacing w:val="0"/>
                <w:w w:val="100"/>
                <w:position w:val="0"/>
                <w:sz w:val="18"/>
                <w:szCs w:val="18"/>
              </w:rPr>
              <w:t>916.00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-13,201,9</w:t>
            </w:r>
          </w:p>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增资本（或股</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754"/>
        <w:gridCol w:w="566"/>
        <w:gridCol w:w="427"/>
        <w:gridCol w:w="566"/>
        <w:gridCol w:w="850"/>
        <w:gridCol w:w="518"/>
        <w:gridCol w:w="902"/>
        <w:gridCol w:w="566"/>
        <w:gridCol w:w="662"/>
        <w:gridCol w:w="797"/>
        <w:gridCol w:w="797"/>
        <w:gridCol w:w="941"/>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224,682,</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1,550,609,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306,781,4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2,116,160,2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09.82</w:t>
            </w:r>
          </w:p>
        </w:tc>
      </w:tr>
    </w:tbl>
    <w:p>
      <w:pPr>
        <w:widowControl w:val="0"/>
        <w:spacing w:after="319" w:line="1" w:lineRule="exact"/>
      </w:pPr>
    </w:p>
    <w:p>
      <w:pPr>
        <w:pStyle w:val="Style21"/>
        <w:keepNext/>
        <w:keepLines/>
        <w:widowControl w:val="0"/>
        <w:shd w:val="clear" w:color="auto" w:fill="auto"/>
        <w:bidi w:val="0"/>
        <w:spacing w:before="0" w:after="280" w:line="240" w:lineRule="auto"/>
        <w:ind w:left="0" w:right="0" w:firstLine="0"/>
        <w:jc w:val="left"/>
      </w:pPr>
      <w:bookmarkStart w:id="744" w:name="bookmark744"/>
      <w:bookmarkStart w:id="745" w:name="bookmark745"/>
      <w:bookmarkStart w:id="746" w:name="bookmark746"/>
      <w:r>
        <w:rPr>
          <w:color w:val="000000"/>
          <w:spacing w:val="0"/>
          <w:w w:val="100"/>
          <w:position w:val="0"/>
        </w:rPr>
        <w:t>三、公司基本情况</w:t>
      </w:r>
      <w:bookmarkEnd w:id="744"/>
      <w:bookmarkEnd w:id="745"/>
      <w:bookmarkEnd w:id="746"/>
    </w:p>
    <w:p>
      <w:pPr>
        <w:pStyle w:val="Style16"/>
        <w:keepNext w:val="0"/>
        <w:keepLines w:val="0"/>
        <w:widowControl w:val="0"/>
        <w:shd w:val="clear" w:color="auto" w:fill="auto"/>
        <w:tabs>
          <w:tab w:pos="873" w:val="left"/>
        </w:tabs>
        <w:bidi w:val="0"/>
        <w:spacing w:before="0" w:after="0" w:line="311" w:lineRule="exact"/>
        <w:ind w:left="0" w:right="0"/>
        <w:jc w:val="left"/>
      </w:pPr>
      <w:bookmarkStart w:id="747" w:name="bookmark747"/>
      <w:r>
        <w:rPr>
          <w:rFonts w:ascii="Times New Roman" w:eastAsia="Times New Roman" w:hAnsi="Times New Roman" w:cs="Times New Roman"/>
          <w:color w:val="000000"/>
          <w:spacing w:val="0"/>
          <w:w w:val="100"/>
          <w:position w:val="0"/>
          <w:sz w:val="18"/>
          <w:szCs w:val="18"/>
        </w:rPr>
        <w:t>（</w:t>
      </w:r>
      <w:bookmarkEnd w:id="747"/>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公司注册地、组织形式和总部地址</w:t>
      </w:r>
    </w:p>
    <w:p>
      <w:pPr>
        <w:pStyle w:val="Style16"/>
        <w:keepNext w:val="0"/>
        <w:keepLines w:val="0"/>
        <w:widowControl w:val="0"/>
        <w:shd w:val="clear" w:color="auto" w:fill="auto"/>
        <w:bidi w:val="0"/>
        <w:spacing w:before="0" w:after="0" w:line="310" w:lineRule="exact"/>
        <w:ind w:left="0" w:right="0"/>
        <w:jc w:val="left"/>
      </w:pPr>
      <w:r>
        <w:rPr>
          <w:color w:val="000000"/>
          <w:spacing w:val="0"/>
          <w:w w:val="100"/>
          <w:position w:val="0"/>
        </w:rPr>
        <w:t>天阳宏业科技股份有限公司（以下简称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）前身为北京天阳宏业软件技术有限公司（以下简称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天阳有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w:t>
      </w:r>
      <w:r>
        <w:rPr>
          <w:color w:val="000000"/>
          <w:spacing w:val="0"/>
          <w:w w:val="100"/>
          <w:position w:val="0"/>
        </w:rPr>
        <w:t>由欧阳建平、孙永吉、李东彦、北京义驰美迪技术开发有限责任公司于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月共同出资组建。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日，天阳有限公司整体变更为股份有限公司。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日，本公司经中国证券监督管理委员会证监许可</w:t>
      </w:r>
      <w:r>
        <w:rPr>
          <w:rFonts w:ascii="Times New Roman" w:eastAsia="Times New Roman" w:hAnsi="Times New Roman" w:cs="Times New Roman"/>
          <w:color w:val="000000"/>
          <w:spacing w:val="0"/>
          <w:w w:val="100"/>
          <w:position w:val="0"/>
          <w:sz w:val="18"/>
          <w:szCs w:val="18"/>
        </w:rPr>
        <w:t>[2020]1653</w:t>
      </w:r>
      <w:r>
        <w:rPr>
          <w:color w:val="000000"/>
          <w:spacing w:val="0"/>
          <w:w w:val="100"/>
          <w:position w:val="0"/>
        </w:rPr>
        <w:t>号文《关 于同意天阳宏业科技股份有限公司首次公开发行股票注册的批复》的核准，发行社会公众股</w:t>
      </w:r>
      <w:r>
        <w:rPr>
          <w:rFonts w:ascii="Times New Roman" w:eastAsia="Times New Roman" w:hAnsi="Times New Roman" w:cs="Times New Roman"/>
          <w:color w:val="000000"/>
          <w:spacing w:val="0"/>
          <w:w w:val="100"/>
          <w:position w:val="0"/>
          <w:sz w:val="18"/>
          <w:szCs w:val="18"/>
        </w:rPr>
        <w:t>5,620</w:t>
      </w:r>
      <w:r>
        <w:rPr>
          <w:color w:val="000000"/>
          <w:spacing w:val="0"/>
          <w:w w:val="100"/>
          <w:position w:val="0"/>
        </w:rPr>
        <w:t>万股，并于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 在深圳证券交易所创业板上市交易。公司现持有统一社会信用代码为</w:t>
      </w:r>
      <w:r>
        <w:rPr>
          <w:rFonts w:ascii="Times New Roman" w:eastAsia="Times New Roman" w:hAnsi="Times New Roman" w:cs="Times New Roman"/>
          <w:color w:val="000000"/>
          <w:spacing w:val="0"/>
          <w:w w:val="100"/>
          <w:position w:val="0"/>
          <w:sz w:val="18"/>
          <w:szCs w:val="18"/>
        </w:rPr>
        <w:t>91110108752161931</w:t>
      </w:r>
      <w:r>
        <w:rPr>
          <w:rFonts w:ascii="Times New Roman" w:eastAsia="Times New Roman" w:hAnsi="Times New Roman" w:cs="Times New Roman"/>
          <w:color w:val="000000"/>
          <w:spacing w:val="0"/>
          <w:w w:val="100"/>
          <w:position w:val="0"/>
          <w:sz w:val="18"/>
          <w:szCs w:val="18"/>
        </w:rPr>
        <w:t>Y</w:t>
      </w:r>
      <w:r>
        <w:rPr>
          <w:color w:val="000000"/>
          <w:spacing w:val="0"/>
          <w:w w:val="100"/>
          <w:position w:val="0"/>
        </w:rPr>
        <w:t>的营业执照。</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18"/>
          <w:szCs w:val="18"/>
        </w:rPr>
        <w:t>22,468.203</w:t>
      </w:r>
      <w:r>
        <w:rPr>
          <w:color w:val="000000"/>
          <w:spacing w:val="0"/>
          <w:w w:val="100"/>
          <w:position w:val="0"/>
        </w:rPr>
        <w:t>万股，公司注册地址：拉萨经济技术开发区林琼岗东一路</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号西藏西欣商贸有限公司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608</w:t>
      </w:r>
      <w:r>
        <w:rPr>
          <w:color w:val="000000"/>
          <w:spacing w:val="0"/>
          <w:w w:val="100"/>
          <w:position w:val="0"/>
        </w:rPr>
        <w:t>房，法定代表人为欧阳建平。</w:t>
      </w:r>
    </w:p>
    <w:p>
      <w:pPr>
        <w:pStyle w:val="Style16"/>
        <w:keepNext w:val="0"/>
        <w:keepLines w:val="0"/>
        <w:widowControl w:val="0"/>
        <w:shd w:val="clear" w:color="auto" w:fill="auto"/>
        <w:tabs>
          <w:tab w:pos="873" w:val="left"/>
        </w:tabs>
        <w:bidi w:val="0"/>
        <w:spacing w:before="0" w:after="0" w:line="311" w:lineRule="exact"/>
        <w:ind w:left="0" w:right="0"/>
        <w:jc w:val="left"/>
      </w:pPr>
      <w:bookmarkStart w:id="748" w:name="bookmark748"/>
      <w:r>
        <w:rPr>
          <w:rFonts w:ascii="Times New Roman" w:eastAsia="Times New Roman" w:hAnsi="Times New Roman" w:cs="Times New Roman"/>
          <w:color w:val="000000"/>
          <w:spacing w:val="0"/>
          <w:w w:val="100"/>
          <w:position w:val="0"/>
          <w:sz w:val="18"/>
          <w:szCs w:val="18"/>
        </w:rPr>
        <w:t>（</w:t>
      </w:r>
      <w:bookmarkEnd w:id="748"/>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公司业务性质和主要经营活动</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本公司属信息技术行业，主要产品和服务为以银行为主的金融机构提供软件产品应用开发和技术服务，包括软件技术开 发、技术转让、技术咨询、技术服务；计算机系统服务；数据处理；销售自行开发后的计算机软件产品。</w:t>
      </w:r>
    </w:p>
    <w:p>
      <w:pPr>
        <w:pStyle w:val="Style16"/>
        <w:keepNext w:val="0"/>
        <w:keepLines w:val="0"/>
        <w:widowControl w:val="0"/>
        <w:shd w:val="clear" w:color="auto" w:fill="auto"/>
        <w:tabs>
          <w:tab w:pos="873" w:val="left"/>
        </w:tabs>
        <w:bidi w:val="0"/>
        <w:spacing w:before="0" w:after="0" w:line="311" w:lineRule="exact"/>
        <w:ind w:left="0" w:right="0"/>
        <w:jc w:val="left"/>
      </w:pPr>
      <w:bookmarkStart w:id="749" w:name="bookmark749"/>
      <w:r>
        <w:rPr>
          <w:rFonts w:ascii="Times New Roman" w:eastAsia="Times New Roman" w:hAnsi="Times New Roman" w:cs="Times New Roman"/>
          <w:color w:val="000000"/>
          <w:spacing w:val="0"/>
          <w:w w:val="100"/>
          <w:position w:val="0"/>
          <w:sz w:val="18"/>
          <w:szCs w:val="18"/>
        </w:rPr>
        <w:t>（</w:t>
      </w:r>
      <w:bookmarkEnd w:id="749"/>
      <w:r>
        <w:rPr>
          <w:color w:val="000000"/>
          <w:spacing w:val="0"/>
          <w:w w:val="100"/>
          <w:position w:val="0"/>
        </w:rPr>
        <w:t>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财务报表的批准报出</w:t>
      </w:r>
    </w:p>
    <w:p>
      <w:pPr>
        <w:pStyle w:val="Style16"/>
        <w:keepNext w:val="0"/>
        <w:keepLines w:val="0"/>
        <w:widowControl w:val="0"/>
        <w:shd w:val="clear" w:color="auto" w:fill="auto"/>
        <w:bidi w:val="0"/>
        <w:spacing w:before="0" w:after="0" w:line="311" w:lineRule="exact"/>
        <w:ind w:left="0" w:right="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日批准报出。</w:t>
      </w:r>
    </w:p>
    <w:p>
      <w:pPr>
        <w:pStyle w:val="Style16"/>
        <w:keepNext w:val="0"/>
        <w:keepLines w:val="0"/>
        <w:widowControl w:val="0"/>
        <w:shd w:val="clear" w:color="auto" w:fill="auto"/>
        <w:bidi w:val="0"/>
        <w:spacing w:before="0" w:after="100" w:line="311" w:lineRule="exact"/>
        <w:ind w:left="0" w:right="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户，具体包括：</w:t>
      </w:r>
    </w:p>
    <w:tbl>
      <w:tblPr>
        <w:tblOverlap w:val="never"/>
        <w:jc w:val="center"/>
        <w:tblLayout w:type="fixed"/>
      </w:tblPr>
      <w:tblGrid>
        <w:gridCol w:w="4358"/>
        <w:gridCol w:w="1229"/>
        <w:gridCol w:w="509"/>
        <w:gridCol w:w="1666"/>
        <w:gridCol w:w="1915"/>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级次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厦门赞扬丰硕软件技术有限公司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无锡天阳宏业软件技术有限公司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北京银恒通电子科技有限公司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北京鼎信天威科技有限公司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北京卡洛其咨询有限公司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深圳昊天睿阳科技有限公司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长沙湘瓴睿阳科技有限公司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北京天阳融数科技有限公司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北京天阳融信科技有限公司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50.98%</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西藏天阳华瑞科技有限公司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北京同创安胜咨询服务中心（有限合伙）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天阳胜合科技（北京）有限公司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卡洛其（天津）企业管理咨询有限公司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3"/>
        <w:keepNext w:val="0"/>
        <w:keepLines w:val="0"/>
        <w:widowControl w:val="0"/>
        <w:shd w:val="clear" w:color="auto" w:fill="auto"/>
        <w:bidi w:val="0"/>
        <w:spacing w:before="0" w:after="0" w:line="240" w:lineRule="auto"/>
        <w:ind w:left="355" w:right="0" w:firstLine="0"/>
        <w:jc w:val="left"/>
      </w:pPr>
      <w:r>
        <w:rPr>
          <w:color w:val="000000"/>
          <w:spacing w:val="0"/>
          <w:w w:val="100"/>
          <w:position w:val="0"/>
        </w:rPr>
        <w:t>公司的持股比例不同于表决权比例的原因、以及持有半数或以下表决权但仍控制被投资单位的依据说明详见附注九、</w:t>
      </w:r>
    </w:p>
    <w:p>
      <w:pPr>
        <w:pStyle w:val="Style16"/>
        <w:keepNext w:val="0"/>
        <w:keepLines w:val="0"/>
        <w:widowControl w:val="0"/>
        <w:shd w:val="clear" w:color="auto" w:fill="auto"/>
        <w:bidi w:val="0"/>
        <w:spacing w:before="0" w:after="0" w:line="319" w:lineRule="exact"/>
        <w:ind w:left="0" w:right="0" w:firstLine="0"/>
        <w:jc w:val="left"/>
      </w:pPr>
      <w:r>
        <w:rPr>
          <w:color w:val="000000"/>
          <w:spacing w:val="0"/>
          <w:w w:val="100"/>
          <w:position w:val="0"/>
        </w:rPr>
        <w:t>（一）在子公司中的权益。</w:t>
      </w:r>
    </w:p>
    <w:p>
      <w:pPr>
        <w:pStyle w:val="Style16"/>
        <w:keepNext w:val="0"/>
        <w:keepLines w:val="0"/>
        <w:widowControl w:val="0"/>
        <w:shd w:val="clear" w:color="auto" w:fill="auto"/>
        <w:bidi w:val="0"/>
        <w:spacing w:before="0" w:after="380" w:line="322" w:lineRule="exact"/>
        <w:ind w:left="0" w:right="0"/>
        <w:jc w:val="both"/>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户，合并范围变更主体的具体信息详见附注八、合并范 围的变更。</w:t>
      </w:r>
    </w:p>
    <w:p>
      <w:pPr>
        <w:pStyle w:val="Style21"/>
        <w:keepNext/>
        <w:keepLines/>
        <w:widowControl w:val="0"/>
        <w:shd w:val="clear" w:color="auto" w:fill="auto"/>
        <w:tabs>
          <w:tab w:pos="498" w:val="left"/>
        </w:tabs>
        <w:bidi w:val="0"/>
        <w:spacing w:before="0" w:after="380" w:line="240" w:lineRule="auto"/>
        <w:ind w:left="0" w:right="0" w:firstLine="0"/>
        <w:jc w:val="both"/>
      </w:pPr>
      <w:bookmarkStart w:id="750" w:name="bookmark750"/>
      <w:bookmarkStart w:id="751" w:name="bookmark751"/>
      <w:bookmarkStart w:id="752" w:name="bookmark752"/>
      <w:bookmarkStart w:id="753" w:name="bookmark753"/>
      <w:r>
        <w:rPr>
          <w:color w:val="000000"/>
          <w:spacing w:val="0"/>
          <w:w w:val="100"/>
          <w:position w:val="0"/>
        </w:rPr>
        <w:t>四</w:t>
      </w:r>
      <w:bookmarkEnd w:id="752"/>
      <w:r>
        <w:rPr>
          <w:color w:val="000000"/>
          <w:spacing w:val="0"/>
          <w:w w:val="100"/>
          <w:position w:val="0"/>
        </w:rPr>
        <w:t>、</w:t>
        <w:tab/>
        <w:t>财务报表的编制基础</w:t>
      </w:r>
      <w:bookmarkEnd w:id="750"/>
      <w:bookmarkEnd w:id="751"/>
      <w:bookmarkEnd w:id="753"/>
    </w:p>
    <w:p>
      <w:pPr>
        <w:pStyle w:val="Style27"/>
        <w:keepNext/>
        <w:keepLines/>
        <w:widowControl w:val="0"/>
        <w:shd w:val="clear" w:color="auto" w:fill="auto"/>
        <w:tabs>
          <w:tab w:pos="368" w:val="left"/>
        </w:tabs>
        <w:bidi w:val="0"/>
        <w:spacing w:before="0" w:after="240" w:line="240" w:lineRule="auto"/>
        <w:ind w:left="0" w:right="0" w:firstLine="0"/>
        <w:jc w:val="both"/>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1</w:t>
      </w:r>
      <w:bookmarkEnd w:id="756"/>
      <w:r>
        <w:rPr>
          <w:color w:val="000000"/>
          <w:spacing w:val="0"/>
          <w:w w:val="100"/>
          <w:position w:val="0"/>
        </w:rPr>
        <w:t>、</w:t>
        <w:tab/>
        <w:t>编制基础</w:t>
      </w:r>
      <w:bookmarkEnd w:id="754"/>
      <w:bookmarkEnd w:id="755"/>
      <w:bookmarkEnd w:id="757"/>
    </w:p>
    <w:p>
      <w:pPr>
        <w:pStyle w:val="Style16"/>
        <w:keepNext w:val="0"/>
        <w:keepLines w:val="0"/>
        <w:widowControl w:val="0"/>
        <w:shd w:val="clear" w:color="auto" w:fill="auto"/>
        <w:bidi w:val="0"/>
        <w:spacing w:before="0" w:after="380" w:line="314" w:lineRule="exact"/>
        <w:ind w:left="0" w:right="0" w:firstLine="520"/>
        <w:jc w:val="both"/>
      </w:pPr>
      <w:r>
        <w:rPr>
          <w:color w:val="000000"/>
          <w:spacing w:val="0"/>
          <w:w w:val="100"/>
          <w:position w:val="0"/>
        </w:rPr>
        <w:t>本公司根据实际发生的交易和事项，按照财政部颁布的《企业会计准则一基本准则》和具体企业会计准则、企业会 计准则应用指南、企业会计准则解释及其他相关规定（以下合称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）进行确认和计量，在此基础上，结合中国 证券监督管理委员会《公开发行证券的公司信息披露编报规则第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年修订）的规定，编 制财务报表。</w:t>
      </w:r>
    </w:p>
    <w:p>
      <w:pPr>
        <w:pStyle w:val="Style27"/>
        <w:keepNext/>
        <w:keepLines/>
        <w:widowControl w:val="0"/>
        <w:shd w:val="clear" w:color="auto" w:fill="auto"/>
        <w:tabs>
          <w:tab w:pos="378" w:val="left"/>
        </w:tabs>
        <w:bidi w:val="0"/>
        <w:spacing w:before="0" w:after="240" w:line="240" w:lineRule="auto"/>
        <w:ind w:left="0" w:right="0" w:firstLine="0"/>
        <w:jc w:val="both"/>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2</w:t>
      </w:r>
      <w:bookmarkEnd w:id="760"/>
      <w:r>
        <w:rPr>
          <w:color w:val="000000"/>
          <w:spacing w:val="0"/>
          <w:w w:val="100"/>
          <w:position w:val="0"/>
        </w:rPr>
        <w:t>、</w:t>
        <w:tab/>
        <w:t>持续经营</w:t>
      </w:r>
      <w:bookmarkEnd w:id="758"/>
      <w:bookmarkEnd w:id="759"/>
      <w:bookmarkEnd w:id="761"/>
    </w:p>
    <w:p>
      <w:pPr>
        <w:pStyle w:val="Style16"/>
        <w:keepNext w:val="0"/>
        <w:keepLines w:val="0"/>
        <w:widowControl w:val="0"/>
        <w:shd w:val="clear" w:color="auto" w:fill="auto"/>
        <w:bidi w:val="0"/>
        <w:spacing w:before="0" w:after="380" w:line="326" w:lineRule="exact"/>
        <w:ind w:left="0" w:right="0" w:firstLine="30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21"/>
        <w:keepNext/>
        <w:keepLines/>
        <w:widowControl w:val="0"/>
        <w:shd w:val="clear" w:color="auto" w:fill="auto"/>
        <w:tabs>
          <w:tab w:pos="517" w:val="left"/>
        </w:tabs>
        <w:bidi w:val="0"/>
        <w:spacing w:before="0" w:after="240" w:line="240" w:lineRule="auto"/>
        <w:ind w:left="0" w:right="0" w:firstLine="0"/>
        <w:jc w:val="left"/>
      </w:pPr>
      <w:bookmarkStart w:id="762" w:name="bookmark762"/>
      <w:bookmarkStart w:id="763" w:name="bookmark763"/>
      <w:bookmarkStart w:id="764" w:name="bookmark764"/>
      <w:bookmarkStart w:id="765" w:name="bookmark765"/>
      <w:r>
        <w:rPr>
          <w:color w:val="000000"/>
          <w:spacing w:val="0"/>
          <w:w w:val="100"/>
          <w:position w:val="0"/>
        </w:rPr>
        <w:t>五</w:t>
      </w:r>
      <w:bookmarkEnd w:id="764"/>
      <w:r>
        <w:rPr>
          <w:color w:val="000000"/>
          <w:spacing w:val="0"/>
          <w:w w:val="100"/>
          <w:position w:val="0"/>
        </w:rPr>
        <w:t>、</w:t>
        <w:tab/>
        <w:t>重要会计政策及会计估计</w:t>
      </w:r>
      <w:bookmarkEnd w:id="762"/>
      <w:bookmarkEnd w:id="763"/>
      <w:bookmarkEnd w:id="765"/>
    </w:p>
    <w:p>
      <w:pPr>
        <w:pStyle w:val="Style1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具体会计政策和会计估计提示：</w:t>
      </w:r>
    </w:p>
    <w:p>
      <w:pPr>
        <w:pStyle w:val="Style16"/>
        <w:keepNext w:val="0"/>
        <w:keepLines w:val="0"/>
        <w:widowControl w:val="0"/>
        <w:shd w:val="clear" w:color="auto" w:fill="auto"/>
        <w:bidi w:val="0"/>
        <w:spacing w:before="0" w:after="380" w:line="319" w:lineRule="exact"/>
        <w:ind w:left="0" w:right="0"/>
        <w:jc w:val="both"/>
      </w:pPr>
      <w:r>
        <w:rPr>
          <w:color w:val="000000"/>
          <w:spacing w:val="0"/>
          <w:w w:val="100"/>
          <w:position w:val="0"/>
        </w:rPr>
        <w:t>本公司根据生产经营特点确定具体会计政策和会计估计，主要体现在收入的确认（附注五、（三十六））。</w:t>
      </w:r>
    </w:p>
    <w:p>
      <w:pPr>
        <w:pStyle w:val="Style27"/>
        <w:keepNext/>
        <w:keepLines/>
        <w:widowControl w:val="0"/>
        <w:shd w:val="clear" w:color="auto" w:fill="auto"/>
        <w:tabs>
          <w:tab w:pos="368" w:val="left"/>
        </w:tabs>
        <w:bidi w:val="0"/>
        <w:spacing w:before="0" w:after="24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color w:val="000000"/>
          <w:spacing w:val="0"/>
          <w:w w:val="100"/>
          <w:position w:val="0"/>
        </w:rPr>
        <w:t>、</w:t>
        <w:tab/>
        <w:t>遵循企业会计准则的声明</w:t>
      </w:r>
      <w:bookmarkEnd w:id="766"/>
      <w:bookmarkEnd w:id="767"/>
      <w:bookmarkEnd w:id="769"/>
    </w:p>
    <w:p>
      <w:pPr>
        <w:pStyle w:val="Style16"/>
        <w:keepNext w:val="0"/>
        <w:keepLines w:val="0"/>
        <w:widowControl w:val="0"/>
        <w:shd w:val="clear" w:color="auto" w:fill="auto"/>
        <w:bidi w:val="0"/>
        <w:spacing w:before="0" w:after="380" w:line="317" w:lineRule="exact"/>
        <w:ind w:left="0" w:right="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27"/>
        <w:keepNext/>
        <w:keepLines/>
        <w:widowControl w:val="0"/>
        <w:shd w:val="clear" w:color="auto" w:fill="auto"/>
        <w:tabs>
          <w:tab w:pos="378" w:val="left"/>
        </w:tabs>
        <w:bidi w:val="0"/>
        <w:spacing w:before="0" w:after="240" w:line="240" w:lineRule="auto"/>
        <w:ind w:left="0" w:right="0" w:firstLine="0"/>
        <w:jc w:val="both"/>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2</w:t>
      </w:r>
      <w:bookmarkEnd w:id="772"/>
      <w:r>
        <w:rPr>
          <w:color w:val="000000"/>
          <w:spacing w:val="0"/>
          <w:w w:val="100"/>
          <w:position w:val="0"/>
        </w:rPr>
        <w:t>、</w:t>
        <w:tab/>
        <w:t>会计期间</w:t>
      </w:r>
      <w:bookmarkEnd w:id="770"/>
      <w:bookmarkEnd w:id="771"/>
      <w:bookmarkEnd w:id="773"/>
    </w:p>
    <w:p>
      <w:pPr>
        <w:pStyle w:val="Style16"/>
        <w:keepNext w:val="0"/>
        <w:keepLines w:val="0"/>
        <w:widowControl w:val="0"/>
        <w:shd w:val="clear" w:color="auto" w:fill="auto"/>
        <w:bidi w:val="0"/>
        <w:spacing w:before="0" w:after="380" w:line="319" w:lineRule="exact"/>
        <w:ind w:left="0" w:right="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p>
    <w:p>
      <w:pPr>
        <w:pStyle w:val="Style27"/>
        <w:keepNext/>
        <w:keepLines/>
        <w:widowControl w:val="0"/>
        <w:shd w:val="clear" w:color="auto" w:fill="auto"/>
        <w:tabs>
          <w:tab w:pos="378" w:val="left"/>
        </w:tabs>
        <w:bidi w:val="0"/>
        <w:spacing w:before="0" w:after="240" w:line="240" w:lineRule="auto"/>
        <w:ind w:left="0" w:right="0" w:firstLine="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3</w:t>
      </w:r>
      <w:bookmarkEnd w:id="776"/>
      <w:r>
        <w:rPr>
          <w:color w:val="000000"/>
          <w:spacing w:val="0"/>
          <w:w w:val="100"/>
          <w:position w:val="0"/>
        </w:rPr>
        <w:t>、</w:t>
        <w:tab/>
        <w:t>营业周期</w:t>
      </w:r>
      <w:bookmarkEnd w:id="774"/>
      <w:bookmarkEnd w:id="775"/>
      <w:bookmarkEnd w:id="777"/>
    </w:p>
    <w:p>
      <w:pPr>
        <w:pStyle w:val="Style16"/>
        <w:keepNext w:val="0"/>
        <w:keepLines w:val="0"/>
        <w:widowControl w:val="0"/>
        <w:shd w:val="clear" w:color="auto" w:fill="auto"/>
        <w:bidi w:val="0"/>
        <w:spacing w:before="0" w:after="380" w:line="326" w:lineRule="exact"/>
        <w:ind w:left="0" w:right="0"/>
        <w:jc w:val="both"/>
      </w:pPr>
      <w:r>
        <w:rPr>
          <w:color w:val="000000"/>
          <w:spacing w:val="0"/>
          <w:w w:val="100"/>
          <w:position w:val="0"/>
        </w:rPr>
        <w:t>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 其作为资产和负债的流动性划分标准。</w:t>
      </w:r>
    </w:p>
    <w:p>
      <w:pPr>
        <w:pStyle w:val="Style27"/>
        <w:keepNext/>
        <w:keepLines/>
        <w:widowControl w:val="0"/>
        <w:shd w:val="clear" w:color="auto" w:fill="auto"/>
        <w:tabs>
          <w:tab w:pos="378" w:val="left"/>
        </w:tabs>
        <w:bidi w:val="0"/>
        <w:spacing w:before="0" w:after="240" w:line="240" w:lineRule="auto"/>
        <w:ind w:left="0" w:right="0" w:firstLine="0"/>
        <w:jc w:val="both"/>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4</w:t>
      </w:r>
      <w:bookmarkEnd w:id="780"/>
      <w:r>
        <w:rPr>
          <w:color w:val="000000"/>
          <w:spacing w:val="0"/>
          <w:w w:val="100"/>
          <w:position w:val="0"/>
        </w:rPr>
        <w:t>、</w:t>
        <w:tab/>
        <w:t>记账本位币</w:t>
      </w:r>
      <w:bookmarkEnd w:id="778"/>
      <w:bookmarkEnd w:id="779"/>
      <w:bookmarkEnd w:id="781"/>
    </w:p>
    <w:p>
      <w:pPr>
        <w:pStyle w:val="Style16"/>
        <w:keepNext w:val="0"/>
        <w:keepLines w:val="0"/>
        <w:widowControl w:val="0"/>
        <w:shd w:val="clear" w:color="auto" w:fill="auto"/>
        <w:bidi w:val="0"/>
        <w:spacing w:before="0" w:after="0" w:line="319" w:lineRule="exact"/>
        <w:ind w:left="0" w:right="0"/>
        <w:jc w:val="both"/>
      </w:pPr>
      <w:r>
        <w:rPr>
          <w:color w:val="000000"/>
          <w:spacing w:val="0"/>
          <w:w w:val="100"/>
          <w:position w:val="0"/>
        </w:rPr>
        <w:t>采用人民币为记账本位币。</w:t>
      </w:r>
    </w:p>
    <w:p>
      <w:pPr>
        <w:pStyle w:val="Style16"/>
        <w:keepNext w:val="0"/>
        <w:keepLines w:val="0"/>
        <w:widowControl w:val="0"/>
        <w:shd w:val="clear" w:color="auto" w:fill="auto"/>
        <w:bidi w:val="0"/>
        <w:spacing w:before="0" w:after="320" w:line="319" w:lineRule="exact"/>
        <w:ind w:left="0" w:right="0"/>
        <w:jc w:val="both"/>
      </w:pPr>
      <w:r>
        <w:rPr>
          <w:color w:val="000000"/>
          <w:spacing w:val="0"/>
          <w:w w:val="100"/>
          <w:position w:val="0"/>
        </w:rPr>
        <w:t>境外子公司以其经营所处的主要经济环境中的货币为记账本位币，编制财务报表时折算为人民币。</w:t>
      </w:r>
    </w:p>
    <w:p>
      <w:pPr>
        <w:pStyle w:val="Style27"/>
        <w:keepNext/>
        <w:keepLines/>
        <w:widowControl w:val="0"/>
        <w:shd w:val="clear" w:color="auto" w:fill="auto"/>
        <w:bidi w:val="0"/>
        <w:spacing w:before="0" w:after="28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5</w:t>
      </w:r>
      <w:bookmarkEnd w:id="784"/>
      <w:r>
        <w:rPr>
          <w:color w:val="000000"/>
          <w:spacing w:val="0"/>
          <w:w w:val="100"/>
          <w:position w:val="0"/>
        </w:rPr>
        <w:t>、同一控制下和非同一控制下企业合并的会计处理方法</w:t>
      </w:r>
      <w:bookmarkEnd w:id="782"/>
      <w:bookmarkEnd w:id="783"/>
      <w:bookmarkEnd w:id="785"/>
    </w:p>
    <w:p>
      <w:pPr>
        <w:pStyle w:val="Style16"/>
        <w:keepNext w:val="0"/>
        <w:keepLines w:val="0"/>
        <w:widowControl w:val="0"/>
        <w:numPr>
          <w:ilvl w:val="0"/>
          <w:numId w:val="31"/>
        </w:numPr>
        <w:shd w:val="clear" w:color="auto" w:fill="auto"/>
        <w:tabs>
          <w:tab w:pos="810" w:val="left"/>
        </w:tabs>
        <w:bidi w:val="0"/>
        <w:spacing w:before="0" w:after="0" w:line="313" w:lineRule="exact"/>
        <w:ind w:left="0" w:right="0"/>
        <w:jc w:val="both"/>
      </w:pPr>
      <w:bookmarkStart w:id="786" w:name="bookmark786"/>
      <w:bookmarkEnd w:id="786"/>
      <w:r>
        <w:rPr>
          <w:color w:val="000000"/>
          <w:spacing w:val="0"/>
          <w:w w:val="100"/>
          <w:position w:val="0"/>
        </w:rPr>
        <w:t>分步实现企业合并过程中的各项交易的条款、条件以及经济影响符合以下一种或多种情况，将多次交易事项作为 一揽子交易进行会计处理</w:t>
      </w:r>
    </w:p>
    <w:p>
      <w:pPr>
        <w:pStyle w:val="Style16"/>
        <w:keepNext w:val="0"/>
        <w:keepLines w:val="0"/>
        <w:widowControl w:val="0"/>
        <w:shd w:val="clear" w:color="auto" w:fill="auto"/>
        <w:tabs>
          <w:tab w:pos="810" w:val="left"/>
        </w:tabs>
        <w:bidi w:val="0"/>
        <w:spacing w:before="0" w:after="0" w:line="313" w:lineRule="exact"/>
        <w:ind w:left="0" w:right="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这些交易是同时或者在考虑了彼此影响的情况下订立的；</w:t>
      </w:r>
    </w:p>
    <w:p>
      <w:pPr>
        <w:pStyle w:val="Style16"/>
        <w:keepNext w:val="0"/>
        <w:keepLines w:val="0"/>
        <w:widowControl w:val="0"/>
        <w:shd w:val="clear" w:color="auto" w:fill="auto"/>
        <w:tabs>
          <w:tab w:pos="810" w:val="left"/>
        </w:tabs>
        <w:bidi w:val="0"/>
        <w:spacing w:before="0" w:after="0" w:line="313" w:lineRule="exact"/>
        <w:ind w:left="0" w:right="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这些交易整体才能达成一项完整的商业结果；</w:t>
      </w:r>
    </w:p>
    <w:p>
      <w:pPr>
        <w:pStyle w:val="Style16"/>
        <w:keepNext w:val="0"/>
        <w:keepLines w:val="0"/>
        <w:widowControl w:val="0"/>
        <w:shd w:val="clear" w:color="auto" w:fill="auto"/>
        <w:tabs>
          <w:tab w:pos="810" w:val="left"/>
        </w:tabs>
        <w:bidi w:val="0"/>
        <w:spacing w:before="0" w:after="0" w:line="313" w:lineRule="exact"/>
        <w:ind w:left="0" w:right="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一项交易的发生取决于其他至少一项交易的发生；</w:t>
      </w:r>
    </w:p>
    <w:p>
      <w:pPr>
        <w:pStyle w:val="Style16"/>
        <w:keepNext w:val="0"/>
        <w:keepLines w:val="0"/>
        <w:widowControl w:val="0"/>
        <w:shd w:val="clear" w:color="auto" w:fill="auto"/>
        <w:tabs>
          <w:tab w:pos="810" w:val="left"/>
        </w:tabs>
        <w:bidi w:val="0"/>
        <w:spacing w:before="0" w:after="0" w:line="313" w:lineRule="exact"/>
        <w:ind w:left="0" w:right="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一项交易单独看是不经济的，但是和其他交易一并考虑时是经济的。</w:t>
      </w:r>
    </w:p>
    <w:p>
      <w:pPr>
        <w:pStyle w:val="Style16"/>
        <w:keepNext w:val="0"/>
        <w:keepLines w:val="0"/>
        <w:widowControl w:val="0"/>
        <w:numPr>
          <w:ilvl w:val="0"/>
          <w:numId w:val="31"/>
        </w:numPr>
        <w:shd w:val="clear" w:color="auto" w:fill="auto"/>
        <w:tabs>
          <w:tab w:pos="810" w:val="left"/>
        </w:tabs>
        <w:bidi w:val="0"/>
        <w:spacing w:before="0" w:after="0" w:line="313" w:lineRule="exact"/>
        <w:ind w:left="0" w:right="0"/>
        <w:jc w:val="both"/>
      </w:pPr>
      <w:bookmarkStart w:id="791" w:name="bookmark791"/>
      <w:bookmarkEnd w:id="791"/>
      <w:r>
        <w:rPr>
          <w:color w:val="000000"/>
          <w:spacing w:val="0"/>
          <w:w w:val="100"/>
          <w:position w:val="0"/>
        </w:rPr>
        <w:t>同一控制下的企业合并</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16"/>
        <w:keepNext w:val="0"/>
        <w:keepLines w:val="0"/>
        <w:widowControl w:val="0"/>
        <w:numPr>
          <w:ilvl w:val="0"/>
          <w:numId w:val="31"/>
        </w:numPr>
        <w:shd w:val="clear" w:color="auto" w:fill="auto"/>
        <w:tabs>
          <w:tab w:pos="810" w:val="left"/>
        </w:tabs>
        <w:bidi w:val="0"/>
        <w:spacing w:before="0" w:after="0" w:line="313" w:lineRule="exact"/>
        <w:ind w:left="0" w:right="0"/>
        <w:jc w:val="both"/>
      </w:pPr>
      <w:bookmarkStart w:id="792" w:name="bookmark792"/>
      <w:bookmarkEnd w:id="792"/>
      <w:r>
        <w:rPr>
          <w:color w:val="000000"/>
          <w:spacing w:val="0"/>
          <w:w w:val="100"/>
          <w:position w:val="0"/>
        </w:rPr>
        <w:t>非同一控制下的企业合并</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购买日是指本公司实际取得对被购买方控制权的日期，即被购买方的净资产或生产经营决策的控制权转移给本公司的日 期。同时满足下列条件时，本公司一般认为实现了控制权的转移：</w:t>
      </w:r>
    </w:p>
    <w:p>
      <w:pPr>
        <w:pStyle w:val="Style16"/>
        <w:keepNext w:val="0"/>
        <w:keepLines w:val="0"/>
        <w:widowControl w:val="0"/>
        <w:numPr>
          <w:ilvl w:val="0"/>
          <w:numId w:val="33"/>
        </w:numPr>
        <w:shd w:val="clear" w:color="auto" w:fill="auto"/>
        <w:tabs>
          <w:tab w:pos="732" w:val="left"/>
        </w:tabs>
        <w:bidi w:val="0"/>
        <w:spacing w:before="0" w:after="0" w:line="313" w:lineRule="exact"/>
        <w:ind w:left="0" w:right="0"/>
        <w:jc w:val="both"/>
      </w:pPr>
      <w:bookmarkStart w:id="793" w:name="bookmark793"/>
      <w:bookmarkEnd w:id="793"/>
      <w:r>
        <w:rPr>
          <w:color w:val="000000"/>
          <w:spacing w:val="0"/>
          <w:w w:val="100"/>
          <w:position w:val="0"/>
        </w:rPr>
        <w:t>企业合并合同或协议已获本公司内部权力机构通过。</w:t>
      </w:r>
    </w:p>
    <w:p>
      <w:pPr>
        <w:pStyle w:val="Style16"/>
        <w:keepNext w:val="0"/>
        <w:keepLines w:val="0"/>
        <w:widowControl w:val="0"/>
        <w:numPr>
          <w:ilvl w:val="0"/>
          <w:numId w:val="33"/>
        </w:numPr>
        <w:shd w:val="clear" w:color="auto" w:fill="auto"/>
        <w:tabs>
          <w:tab w:pos="732" w:val="left"/>
        </w:tabs>
        <w:bidi w:val="0"/>
        <w:spacing w:before="0" w:after="0" w:line="313" w:lineRule="exact"/>
        <w:ind w:left="0" w:right="0"/>
        <w:jc w:val="both"/>
      </w:pPr>
      <w:bookmarkStart w:id="794" w:name="bookmark794"/>
      <w:bookmarkEnd w:id="794"/>
      <w:r>
        <w:rPr>
          <w:color w:val="000000"/>
          <w:spacing w:val="0"/>
          <w:w w:val="100"/>
          <w:position w:val="0"/>
        </w:rPr>
        <w:t>企业合并事项需要经过国家有关主管部门审批的，已获得批准。</w:t>
      </w:r>
    </w:p>
    <w:p>
      <w:pPr>
        <w:pStyle w:val="Style16"/>
        <w:keepNext w:val="0"/>
        <w:keepLines w:val="0"/>
        <w:widowControl w:val="0"/>
        <w:numPr>
          <w:ilvl w:val="0"/>
          <w:numId w:val="33"/>
        </w:numPr>
        <w:shd w:val="clear" w:color="auto" w:fill="auto"/>
        <w:tabs>
          <w:tab w:pos="732" w:val="left"/>
        </w:tabs>
        <w:bidi w:val="0"/>
        <w:spacing w:before="0" w:after="0" w:line="313" w:lineRule="exact"/>
        <w:ind w:left="0" w:right="0"/>
        <w:jc w:val="both"/>
      </w:pPr>
      <w:bookmarkStart w:id="795" w:name="bookmark795"/>
      <w:bookmarkEnd w:id="795"/>
      <w:r>
        <w:rPr>
          <w:color w:val="000000"/>
          <w:spacing w:val="0"/>
          <w:w w:val="100"/>
          <w:position w:val="0"/>
        </w:rPr>
        <w:t>已办理了必要的财产权转移手续。</w:t>
      </w:r>
    </w:p>
    <w:p>
      <w:pPr>
        <w:pStyle w:val="Style16"/>
        <w:keepNext w:val="0"/>
        <w:keepLines w:val="0"/>
        <w:widowControl w:val="0"/>
        <w:numPr>
          <w:ilvl w:val="0"/>
          <w:numId w:val="33"/>
        </w:numPr>
        <w:shd w:val="clear" w:color="auto" w:fill="auto"/>
        <w:tabs>
          <w:tab w:pos="732" w:val="left"/>
        </w:tabs>
        <w:bidi w:val="0"/>
        <w:spacing w:before="0" w:after="0" w:line="313" w:lineRule="exact"/>
        <w:ind w:left="0" w:right="0"/>
        <w:jc w:val="both"/>
      </w:pPr>
      <w:bookmarkStart w:id="796" w:name="bookmark796"/>
      <w:bookmarkEnd w:id="796"/>
      <w:r>
        <w:rPr>
          <w:color w:val="000000"/>
          <w:spacing w:val="0"/>
          <w:w w:val="100"/>
          <w:position w:val="0"/>
        </w:rPr>
        <w:t>本公司已支付了合并价款的大部分，并且有能力、有计划支付剩余款项。</w:t>
      </w:r>
    </w:p>
    <w:p>
      <w:pPr>
        <w:pStyle w:val="Style16"/>
        <w:keepNext w:val="0"/>
        <w:keepLines w:val="0"/>
        <w:widowControl w:val="0"/>
        <w:numPr>
          <w:ilvl w:val="0"/>
          <w:numId w:val="33"/>
        </w:numPr>
        <w:shd w:val="clear" w:color="auto" w:fill="auto"/>
        <w:tabs>
          <w:tab w:pos="732" w:val="left"/>
        </w:tabs>
        <w:bidi w:val="0"/>
        <w:spacing w:before="0" w:after="0" w:line="313" w:lineRule="exact"/>
        <w:ind w:left="0" w:right="0"/>
        <w:jc w:val="both"/>
      </w:pPr>
      <w:bookmarkStart w:id="797" w:name="bookmark797"/>
      <w:bookmarkEnd w:id="797"/>
      <w:r>
        <w:rPr>
          <w:color w:val="000000"/>
          <w:spacing w:val="0"/>
          <w:w w:val="100"/>
          <w:position w:val="0"/>
        </w:rPr>
        <w:t>本公司实际上已经控制了被购买方的财务和经营政策，并享有相应的利益、承担相应的风险。</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16"/>
        <w:keepNext w:val="0"/>
        <w:keepLines w:val="0"/>
        <w:widowControl w:val="0"/>
        <w:numPr>
          <w:ilvl w:val="0"/>
          <w:numId w:val="31"/>
        </w:numPr>
        <w:shd w:val="clear" w:color="auto" w:fill="auto"/>
        <w:tabs>
          <w:tab w:pos="810" w:val="left"/>
        </w:tabs>
        <w:bidi w:val="0"/>
        <w:spacing w:before="0" w:after="0" w:line="313" w:lineRule="exact"/>
        <w:ind w:left="0" w:right="0"/>
        <w:jc w:val="both"/>
      </w:pPr>
      <w:bookmarkStart w:id="798" w:name="bookmark798"/>
      <w:bookmarkEnd w:id="798"/>
      <w:r>
        <w:rPr>
          <w:color w:val="000000"/>
          <w:spacing w:val="0"/>
          <w:w w:val="100"/>
          <w:position w:val="0"/>
        </w:rPr>
        <w:t>为合并发生的相关费用</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而发行权益性证券的交易费用，可直接归属于权益性交易的从权益中扣减。</w:t>
      </w:r>
    </w:p>
    <w:p>
      <w:pPr>
        <w:pStyle w:val="Style27"/>
        <w:keepNext/>
        <w:keepLines/>
        <w:widowControl w:val="0"/>
        <w:shd w:val="clear" w:color="auto" w:fill="auto"/>
        <w:bidi w:val="0"/>
        <w:spacing w:before="0" w:after="280" w:line="240" w:lineRule="auto"/>
        <w:ind w:left="0" w:right="0" w:firstLine="0"/>
        <w:jc w:val="left"/>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6</w:t>
      </w:r>
      <w:bookmarkEnd w:id="801"/>
      <w:r>
        <w:rPr>
          <w:color w:val="000000"/>
          <w:spacing w:val="0"/>
          <w:w w:val="100"/>
          <w:position w:val="0"/>
        </w:rPr>
        <w:t>、合并财务报表的编制方法</w:t>
      </w:r>
      <w:bookmarkEnd w:id="799"/>
      <w:bookmarkEnd w:id="800"/>
      <w:bookmarkEnd w:id="802"/>
    </w:p>
    <w:p>
      <w:pPr>
        <w:pStyle w:val="Style16"/>
        <w:keepNext w:val="0"/>
        <w:keepLines w:val="0"/>
        <w:widowControl w:val="0"/>
        <w:numPr>
          <w:ilvl w:val="0"/>
          <w:numId w:val="35"/>
        </w:numPr>
        <w:shd w:val="clear" w:color="auto" w:fill="auto"/>
        <w:tabs>
          <w:tab w:pos="798" w:val="left"/>
        </w:tabs>
        <w:bidi w:val="0"/>
        <w:spacing w:before="0" w:after="0" w:line="314" w:lineRule="exact"/>
        <w:ind w:left="0" w:right="0"/>
        <w:jc w:val="both"/>
      </w:pPr>
      <w:bookmarkStart w:id="803" w:name="bookmark803"/>
      <w:bookmarkEnd w:id="803"/>
      <w:r>
        <w:rPr>
          <w:color w:val="000000"/>
          <w:spacing w:val="0"/>
          <w:w w:val="100"/>
          <w:position w:val="0"/>
        </w:rPr>
        <w:t>合并范围</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本公司合并财务报表的合并范围以控制为基础确定，所有子公司(包括本公司所控制的单独主体)均纳入合并财务报表。</w:t>
      </w:r>
    </w:p>
    <w:p>
      <w:pPr>
        <w:pStyle w:val="Style16"/>
        <w:keepNext w:val="0"/>
        <w:keepLines w:val="0"/>
        <w:widowControl w:val="0"/>
        <w:numPr>
          <w:ilvl w:val="0"/>
          <w:numId w:val="35"/>
        </w:numPr>
        <w:shd w:val="clear" w:color="auto" w:fill="auto"/>
        <w:tabs>
          <w:tab w:pos="798" w:val="left"/>
        </w:tabs>
        <w:bidi w:val="0"/>
        <w:spacing w:before="0" w:after="0" w:line="314" w:lineRule="exact"/>
        <w:ind w:left="0" w:right="0"/>
        <w:jc w:val="both"/>
      </w:pPr>
      <w:bookmarkStart w:id="804" w:name="bookmark804"/>
      <w:bookmarkEnd w:id="804"/>
      <w:r>
        <w:rPr>
          <w:color w:val="000000"/>
          <w:spacing w:val="0"/>
          <w:w w:val="100"/>
          <w:position w:val="0"/>
        </w:rPr>
        <w:t>合并程序</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16"/>
        <w:keepNext w:val="0"/>
        <w:keepLines w:val="0"/>
        <w:widowControl w:val="0"/>
        <w:shd w:val="clear" w:color="auto" w:fill="auto"/>
        <w:bidi w:val="0"/>
        <w:spacing w:before="0" w:after="0" w:line="278" w:lineRule="exact"/>
        <w:ind w:left="0" w:right="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合并财务报表时抵销本公司与各子公司、各子公司相互之间发生的内部交易对合并资产负债表、合并利润表、合并现金 流量表、合并股东权益变动表的影响。如果站在企业集团合并财务报表角度与以本公司或子公司为会计主体对同一交易的认 定不同时，从企业集团的角度对该交易予以调整。</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对于同一控制下企业合并取得的子公司，以其资产、负债(包括最终控制方收购该子公司而形成的商誉)在最终控制方 财务报表中的账面价值为基础对其财务报表进行调整。</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对于非同一控制下企业合并取得的子公司，以购买日可辨认净资产公允价值为基础对其财务报表进行调整</w:t>
      </w:r>
    </w:p>
    <w:p>
      <w:pPr>
        <w:pStyle w:val="Style16"/>
        <w:keepNext w:val="0"/>
        <w:keepLines w:val="0"/>
        <w:widowControl w:val="0"/>
        <w:numPr>
          <w:ilvl w:val="0"/>
          <w:numId w:val="37"/>
        </w:numPr>
        <w:shd w:val="clear" w:color="auto" w:fill="auto"/>
        <w:tabs>
          <w:tab w:pos="798" w:val="left"/>
        </w:tabs>
        <w:bidi w:val="0"/>
        <w:spacing w:before="0" w:after="0" w:line="313" w:lineRule="exact"/>
        <w:ind w:left="0" w:right="0"/>
        <w:jc w:val="both"/>
      </w:pPr>
      <w:bookmarkStart w:id="805" w:name="bookmark805"/>
      <w:bookmarkEnd w:id="805"/>
      <w:r>
        <w:rPr>
          <w:color w:val="000000"/>
          <w:spacing w:val="0"/>
          <w:w w:val="100"/>
          <w:position w:val="0"/>
        </w:rPr>
        <w:t>增加子公司或业务</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16"/>
        <w:keepNext w:val="0"/>
        <w:keepLines w:val="0"/>
        <w:widowControl w:val="0"/>
        <w:numPr>
          <w:ilvl w:val="0"/>
          <w:numId w:val="37"/>
        </w:numPr>
        <w:shd w:val="clear" w:color="auto" w:fill="auto"/>
        <w:tabs>
          <w:tab w:pos="798" w:val="left"/>
        </w:tabs>
        <w:bidi w:val="0"/>
        <w:spacing w:before="0" w:after="0" w:line="313" w:lineRule="exact"/>
        <w:ind w:left="0" w:right="0"/>
        <w:jc w:val="both"/>
      </w:pPr>
      <w:bookmarkStart w:id="806" w:name="bookmark806"/>
      <w:bookmarkEnd w:id="806"/>
      <w:r>
        <w:rPr>
          <w:color w:val="000000"/>
          <w:spacing w:val="0"/>
          <w:w w:val="100"/>
          <w:position w:val="0"/>
        </w:rPr>
        <w:t>处置子公司或业务</w:t>
      </w:r>
    </w:p>
    <w:p>
      <w:pPr>
        <w:pStyle w:val="Style16"/>
        <w:keepNext w:val="0"/>
        <w:keepLines w:val="0"/>
        <w:widowControl w:val="0"/>
        <w:numPr>
          <w:ilvl w:val="0"/>
          <w:numId w:val="39"/>
        </w:numPr>
        <w:shd w:val="clear" w:color="auto" w:fill="auto"/>
        <w:tabs>
          <w:tab w:pos="682" w:val="left"/>
        </w:tabs>
        <w:bidi w:val="0"/>
        <w:spacing w:before="0" w:after="0" w:line="313" w:lineRule="exact"/>
        <w:ind w:left="0" w:right="0"/>
        <w:jc w:val="both"/>
      </w:pPr>
      <w:bookmarkStart w:id="807" w:name="bookmark807"/>
      <w:bookmarkEnd w:id="807"/>
      <w:r>
        <w:rPr>
          <w:color w:val="000000"/>
          <w:spacing w:val="0"/>
          <w:w w:val="100"/>
          <w:position w:val="0"/>
        </w:rPr>
        <w:t>一般处理方法</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16"/>
        <w:keepNext w:val="0"/>
        <w:keepLines w:val="0"/>
        <w:widowControl w:val="0"/>
        <w:numPr>
          <w:ilvl w:val="0"/>
          <w:numId w:val="39"/>
        </w:numPr>
        <w:shd w:val="clear" w:color="auto" w:fill="auto"/>
        <w:bidi w:val="0"/>
        <w:spacing w:before="0" w:after="0" w:line="311" w:lineRule="exact"/>
        <w:ind w:left="0" w:right="0"/>
        <w:jc w:val="both"/>
      </w:pPr>
      <w:bookmarkStart w:id="808" w:name="bookmark808"/>
      <w:bookmarkEnd w:id="808"/>
      <w:r>
        <w:rPr>
          <w:color w:val="000000"/>
          <w:spacing w:val="0"/>
          <w:w w:val="100"/>
          <w:position w:val="0"/>
        </w:rPr>
        <w:t>分步处置子公司</w:t>
      </w:r>
    </w:p>
    <w:p>
      <w:pPr>
        <w:pStyle w:val="Style16"/>
        <w:keepNext w:val="0"/>
        <w:keepLines w:val="0"/>
        <w:widowControl w:val="0"/>
        <w:shd w:val="clear" w:color="auto" w:fill="auto"/>
        <w:bidi w:val="0"/>
        <w:spacing w:before="0" w:after="100" w:line="311"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16"/>
        <w:keepNext w:val="0"/>
        <w:keepLines w:val="0"/>
        <w:widowControl w:val="0"/>
        <w:numPr>
          <w:ilvl w:val="0"/>
          <w:numId w:val="41"/>
        </w:numPr>
        <w:shd w:val="clear" w:color="auto" w:fill="auto"/>
        <w:tabs>
          <w:tab w:pos="743" w:val="left"/>
        </w:tabs>
        <w:bidi w:val="0"/>
        <w:spacing w:before="0" w:after="0" w:line="360" w:lineRule="auto"/>
        <w:ind w:left="0" w:right="0"/>
        <w:jc w:val="both"/>
      </w:pPr>
      <w:bookmarkStart w:id="809" w:name="bookmark809"/>
      <w:bookmarkEnd w:id="809"/>
      <w:r>
        <w:rPr>
          <w:color w:val="000000"/>
          <w:spacing w:val="0"/>
          <w:w w:val="100"/>
          <w:position w:val="0"/>
        </w:rPr>
        <w:t>这些交易是同时或者在考虑了彼此影响的情况下订立的；</w:t>
      </w:r>
    </w:p>
    <w:p>
      <w:pPr>
        <w:pStyle w:val="Style16"/>
        <w:keepNext w:val="0"/>
        <w:keepLines w:val="0"/>
        <w:widowControl w:val="0"/>
        <w:numPr>
          <w:ilvl w:val="0"/>
          <w:numId w:val="41"/>
        </w:numPr>
        <w:shd w:val="clear" w:color="auto" w:fill="auto"/>
        <w:tabs>
          <w:tab w:pos="743" w:val="left"/>
        </w:tabs>
        <w:bidi w:val="0"/>
        <w:spacing w:before="0" w:after="0" w:line="360" w:lineRule="auto"/>
        <w:ind w:left="0" w:right="0"/>
        <w:jc w:val="both"/>
      </w:pPr>
      <w:bookmarkStart w:id="810" w:name="bookmark810"/>
      <w:bookmarkEnd w:id="810"/>
      <w:r>
        <w:rPr>
          <w:color w:val="000000"/>
          <w:spacing w:val="0"/>
          <w:w w:val="100"/>
          <w:position w:val="0"/>
        </w:rPr>
        <w:t>这些交易整体才能达成一项完整的商业结果；</w:t>
      </w:r>
    </w:p>
    <w:p>
      <w:pPr>
        <w:pStyle w:val="Style16"/>
        <w:keepNext w:val="0"/>
        <w:keepLines w:val="0"/>
        <w:widowControl w:val="0"/>
        <w:numPr>
          <w:ilvl w:val="0"/>
          <w:numId w:val="41"/>
        </w:numPr>
        <w:shd w:val="clear" w:color="auto" w:fill="auto"/>
        <w:tabs>
          <w:tab w:pos="743" w:val="left"/>
        </w:tabs>
        <w:bidi w:val="0"/>
        <w:spacing w:before="0" w:after="0" w:line="360" w:lineRule="auto"/>
        <w:ind w:left="0" w:right="0"/>
        <w:jc w:val="both"/>
      </w:pPr>
      <w:bookmarkStart w:id="811" w:name="bookmark811"/>
      <w:bookmarkEnd w:id="811"/>
      <w:r>
        <w:rPr>
          <w:color w:val="000000"/>
          <w:spacing w:val="0"/>
          <w:w w:val="100"/>
          <w:position w:val="0"/>
        </w:rPr>
        <w:t>一项交易的发生取决于其他至少一项交易的发生；</w:t>
      </w:r>
    </w:p>
    <w:p>
      <w:pPr>
        <w:pStyle w:val="Style16"/>
        <w:keepNext w:val="0"/>
        <w:keepLines w:val="0"/>
        <w:widowControl w:val="0"/>
        <w:numPr>
          <w:ilvl w:val="0"/>
          <w:numId w:val="41"/>
        </w:numPr>
        <w:shd w:val="clear" w:color="auto" w:fill="auto"/>
        <w:tabs>
          <w:tab w:pos="743" w:val="left"/>
        </w:tabs>
        <w:bidi w:val="0"/>
        <w:spacing w:before="0" w:after="0" w:line="360" w:lineRule="auto"/>
        <w:ind w:left="0" w:right="0"/>
        <w:jc w:val="both"/>
      </w:pPr>
      <w:bookmarkStart w:id="812" w:name="bookmark812"/>
      <w:bookmarkEnd w:id="812"/>
      <w:r>
        <w:rPr>
          <w:color w:val="000000"/>
          <w:spacing w:val="0"/>
          <w:w w:val="100"/>
          <w:position w:val="0"/>
        </w:rPr>
        <w:t>一项交易单独看是不经济的，但是和其他交易一并考虑时是经济的。</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16"/>
        <w:keepNext w:val="0"/>
        <w:keepLines w:val="0"/>
        <w:widowControl w:val="0"/>
        <w:numPr>
          <w:ilvl w:val="0"/>
          <w:numId w:val="37"/>
        </w:numPr>
        <w:shd w:val="clear" w:color="auto" w:fill="auto"/>
        <w:tabs>
          <w:tab w:pos="825" w:val="left"/>
        </w:tabs>
        <w:bidi w:val="0"/>
        <w:spacing w:before="0" w:after="0" w:line="311" w:lineRule="exact"/>
        <w:ind w:left="0" w:right="0"/>
        <w:jc w:val="both"/>
      </w:pPr>
      <w:bookmarkStart w:id="813" w:name="bookmark813"/>
      <w:bookmarkEnd w:id="813"/>
      <w:r>
        <w:rPr>
          <w:color w:val="000000"/>
          <w:spacing w:val="0"/>
          <w:w w:val="100"/>
          <w:position w:val="0"/>
        </w:rPr>
        <w:t>购买子公司少数股权</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16"/>
        <w:keepNext w:val="0"/>
        <w:keepLines w:val="0"/>
        <w:widowControl w:val="0"/>
        <w:numPr>
          <w:ilvl w:val="0"/>
          <w:numId w:val="37"/>
        </w:numPr>
        <w:shd w:val="clear" w:color="auto" w:fill="auto"/>
        <w:tabs>
          <w:tab w:pos="825" w:val="left"/>
        </w:tabs>
        <w:bidi w:val="0"/>
        <w:spacing w:before="0" w:after="0" w:line="311" w:lineRule="exact"/>
        <w:ind w:left="0" w:right="0"/>
        <w:jc w:val="both"/>
      </w:pPr>
      <w:bookmarkStart w:id="814" w:name="bookmark814"/>
      <w:bookmarkEnd w:id="814"/>
      <w:r>
        <w:rPr>
          <w:color w:val="000000"/>
          <w:spacing w:val="0"/>
          <w:w w:val="100"/>
          <w:position w:val="0"/>
        </w:rPr>
        <w:t>不丧失控制权的情况下部分处置对子公司的股权投资</w:t>
      </w:r>
    </w:p>
    <w:p>
      <w:pPr>
        <w:pStyle w:val="Style16"/>
        <w:keepNext w:val="0"/>
        <w:keepLines w:val="0"/>
        <w:widowControl w:val="0"/>
        <w:shd w:val="clear" w:color="auto" w:fill="auto"/>
        <w:bidi w:val="0"/>
        <w:spacing w:before="0" w:after="380" w:line="311" w:lineRule="exact"/>
        <w:ind w:left="0" w:right="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27"/>
        <w:keepNext/>
        <w:keepLines/>
        <w:widowControl w:val="0"/>
        <w:shd w:val="clear" w:color="auto" w:fill="auto"/>
        <w:bidi w:val="0"/>
        <w:spacing w:before="0" w:after="28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7</w:t>
      </w:r>
      <w:bookmarkEnd w:id="817"/>
      <w:r>
        <w:rPr>
          <w:color w:val="000000"/>
          <w:spacing w:val="0"/>
          <w:w w:val="100"/>
          <w:position w:val="0"/>
        </w:rPr>
        <w:t>、合营安排分类及共同经营会计处理方法</w:t>
      </w:r>
      <w:bookmarkEnd w:id="815"/>
      <w:bookmarkEnd w:id="816"/>
      <w:bookmarkEnd w:id="818"/>
    </w:p>
    <w:p>
      <w:pPr>
        <w:pStyle w:val="Style16"/>
        <w:keepNext w:val="0"/>
        <w:keepLines w:val="0"/>
        <w:widowControl w:val="0"/>
        <w:numPr>
          <w:ilvl w:val="0"/>
          <w:numId w:val="43"/>
        </w:numPr>
        <w:shd w:val="clear" w:color="auto" w:fill="auto"/>
        <w:tabs>
          <w:tab w:pos="850" w:val="left"/>
        </w:tabs>
        <w:bidi w:val="0"/>
        <w:spacing w:before="0" w:after="0" w:line="315" w:lineRule="exact"/>
        <w:ind w:left="0" w:right="0"/>
        <w:jc w:val="both"/>
      </w:pPr>
      <w:bookmarkStart w:id="819" w:name="bookmark819"/>
      <w:bookmarkEnd w:id="819"/>
      <w:r>
        <w:rPr>
          <w:color w:val="000000"/>
          <w:spacing w:val="0"/>
          <w:w w:val="100"/>
          <w:position w:val="0"/>
        </w:rPr>
        <w:t>合营安排的分类</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本公司根据合营安排的结构、法律形式以及合营安排中约定的条款、其他相关事实和情况等因素，将合营安排分为共同 经营和合营企业。</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未通过单独主体达成的合营安排，划分为共同经营；通过单独主体达成的合营安排，通常划分为合营企业；但有确凿证 据表明满足下列任一条件并且符合相关法律法规规定的合营安排划分为共同经营：</w:t>
      </w:r>
    </w:p>
    <w:p>
      <w:pPr>
        <w:pStyle w:val="Style16"/>
        <w:keepNext w:val="0"/>
        <w:keepLines w:val="0"/>
        <w:widowControl w:val="0"/>
        <w:numPr>
          <w:ilvl w:val="0"/>
          <w:numId w:val="45"/>
        </w:numPr>
        <w:shd w:val="clear" w:color="auto" w:fill="auto"/>
        <w:tabs>
          <w:tab w:pos="825" w:val="left"/>
        </w:tabs>
        <w:bidi w:val="0"/>
        <w:spacing w:before="0" w:after="0" w:line="315" w:lineRule="exact"/>
        <w:ind w:left="0" w:right="0"/>
        <w:jc w:val="both"/>
      </w:pPr>
      <w:bookmarkStart w:id="820" w:name="bookmark820"/>
      <w:bookmarkEnd w:id="820"/>
      <w:r>
        <w:rPr>
          <w:color w:val="000000"/>
          <w:spacing w:val="0"/>
          <w:w w:val="100"/>
          <w:position w:val="0"/>
        </w:rPr>
        <w:t>合营安排的法律形式表明，合营方对该安排中的相关资产和负债分别享有权利和承担义务。</w:t>
      </w:r>
    </w:p>
    <w:p>
      <w:pPr>
        <w:pStyle w:val="Style16"/>
        <w:keepNext w:val="0"/>
        <w:keepLines w:val="0"/>
        <w:widowControl w:val="0"/>
        <w:numPr>
          <w:ilvl w:val="0"/>
          <w:numId w:val="45"/>
        </w:numPr>
        <w:shd w:val="clear" w:color="auto" w:fill="auto"/>
        <w:tabs>
          <w:tab w:pos="825" w:val="left"/>
        </w:tabs>
        <w:bidi w:val="0"/>
        <w:spacing w:before="0" w:after="0" w:line="315" w:lineRule="exact"/>
        <w:ind w:left="0" w:right="0"/>
        <w:jc w:val="both"/>
      </w:pPr>
      <w:bookmarkStart w:id="821" w:name="bookmark821"/>
      <w:bookmarkEnd w:id="821"/>
      <w:r>
        <w:rPr>
          <w:color w:val="000000"/>
          <w:spacing w:val="0"/>
          <w:w w:val="100"/>
          <w:position w:val="0"/>
        </w:rPr>
        <w:t>合营安排的合同条款约定，合营方对该安排中的相关资产和负债分别享有权利和承担义务。</w:t>
      </w:r>
    </w:p>
    <w:p>
      <w:pPr>
        <w:pStyle w:val="Style16"/>
        <w:keepNext w:val="0"/>
        <w:keepLines w:val="0"/>
        <w:widowControl w:val="0"/>
        <w:numPr>
          <w:ilvl w:val="0"/>
          <w:numId w:val="45"/>
        </w:numPr>
        <w:shd w:val="clear" w:color="auto" w:fill="auto"/>
        <w:tabs>
          <w:tab w:pos="896" w:val="left"/>
        </w:tabs>
        <w:bidi w:val="0"/>
        <w:spacing w:before="0" w:after="0" w:line="315" w:lineRule="exact"/>
        <w:ind w:left="0" w:right="0"/>
        <w:jc w:val="both"/>
      </w:pPr>
      <w:bookmarkStart w:id="822" w:name="bookmark822"/>
      <w:bookmarkEnd w:id="822"/>
      <w:r>
        <w:rPr>
          <w:color w:val="000000"/>
          <w:spacing w:val="0"/>
          <w:w w:val="100"/>
          <w:position w:val="0"/>
        </w:rPr>
        <w:t>其他相关事实和情况表明，合营方对该安排中的相关资产和负债分别享有权利和承担义务，如合营方享有与合营 安排相关的几乎所有产出，并且该安排中负债的清偿持续依赖于合营方的支持。</w:t>
      </w:r>
    </w:p>
    <w:p>
      <w:pPr>
        <w:pStyle w:val="Style16"/>
        <w:keepNext w:val="0"/>
        <w:keepLines w:val="0"/>
        <w:widowControl w:val="0"/>
        <w:numPr>
          <w:ilvl w:val="0"/>
          <w:numId w:val="43"/>
        </w:numPr>
        <w:shd w:val="clear" w:color="auto" w:fill="auto"/>
        <w:tabs>
          <w:tab w:pos="850" w:val="left"/>
        </w:tabs>
        <w:bidi w:val="0"/>
        <w:spacing w:before="0" w:after="0" w:line="315" w:lineRule="exact"/>
        <w:ind w:left="0" w:right="0"/>
        <w:jc w:val="both"/>
      </w:pPr>
      <w:bookmarkStart w:id="823" w:name="bookmark823"/>
      <w:bookmarkEnd w:id="823"/>
      <w:r>
        <w:rPr>
          <w:color w:val="000000"/>
          <w:spacing w:val="0"/>
          <w:w w:val="100"/>
          <w:position w:val="0"/>
        </w:rPr>
        <w:t>共同经营会计处理方法</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本公司确认共同经营中利益份额中与本公司相关的下列项目，并按照相关企业会计准则的规定进行会计处理：</w:t>
      </w:r>
    </w:p>
    <w:p>
      <w:pPr>
        <w:pStyle w:val="Style16"/>
        <w:keepNext w:val="0"/>
        <w:keepLines w:val="0"/>
        <w:widowControl w:val="0"/>
        <w:numPr>
          <w:ilvl w:val="0"/>
          <w:numId w:val="47"/>
        </w:numPr>
        <w:shd w:val="clear" w:color="auto" w:fill="auto"/>
        <w:tabs>
          <w:tab w:pos="825" w:val="left"/>
        </w:tabs>
        <w:bidi w:val="0"/>
        <w:spacing w:before="0" w:after="0" w:line="315" w:lineRule="exact"/>
        <w:ind w:left="0" w:right="0"/>
        <w:jc w:val="both"/>
      </w:pPr>
      <w:bookmarkStart w:id="824" w:name="bookmark824"/>
      <w:bookmarkEnd w:id="824"/>
      <w:r>
        <w:rPr>
          <w:color w:val="000000"/>
          <w:spacing w:val="0"/>
          <w:w w:val="100"/>
          <w:position w:val="0"/>
        </w:rPr>
        <w:t>确认单独所持有的资产，以及按其份额确认共同持有的资产；</w:t>
      </w:r>
    </w:p>
    <w:p>
      <w:pPr>
        <w:pStyle w:val="Style16"/>
        <w:keepNext w:val="0"/>
        <w:keepLines w:val="0"/>
        <w:widowControl w:val="0"/>
        <w:numPr>
          <w:ilvl w:val="0"/>
          <w:numId w:val="47"/>
        </w:numPr>
        <w:shd w:val="clear" w:color="auto" w:fill="auto"/>
        <w:tabs>
          <w:tab w:pos="825" w:val="left"/>
        </w:tabs>
        <w:bidi w:val="0"/>
        <w:spacing w:before="0" w:after="0" w:line="315" w:lineRule="exact"/>
        <w:ind w:left="0" w:right="0"/>
        <w:jc w:val="both"/>
      </w:pPr>
      <w:bookmarkStart w:id="825" w:name="bookmark825"/>
      <w:bookmarkEnd w:id="825"/>
      <w:r>
        <w:rPr>
          <w:color w:val="000000"/>
          <w:spacing w:val="0"/>
          <w:w w:val="100"/>
          <w:position w:val="0"/>
        </w:rPr>
        <w:t>确认单独所承担的负债，以及按其份额确认共同承担的负债；</w:t>
      </w:r>
    </w:p>
    <w:p>
      <w:pPr>
        <w:pStyle w:val="Style16"/>
        <w:keepNext w:val="0"/>
        <w:keepLines w:val="0"/>
        <w:widowControl w:val="0"/>
        <w:numPr>
          <w:ilvl w:val="0"/>
          <w:numId w:val="47"/>
        </w:numPr>
        <w:shd w:val="clear" w:color="auto" w:fill="auto"/>
        <w:tabs>
          <w:tab w:pos="825" w:val="left"/>
        </w:tabs>
        <w:bidi w:val="0"/>
        <w:spacing w:before="0" w:after="0" w:line="315" w:lineRule="exact"/>
        <w:ind w:left="0" w:right="0"/>
        <w:jc w:val="both"/>
      </w:pPr>
      <w:bookmarkStart w:id="826" w:name="bookmark826"/>
      <w:bookmarkEnd w:id="826"/>
      <w:r>
        <w:rPr>
          <w:color w:val="000000"/>
          <w:spacing w:val="0"/>
          <w:w w:val="100"/>
          <w:position w:val="0"/>
        </w:rPr>
        <w:t>确认出售其享有的共同经营产出份额所产生的收入；</w:t>
      </w:r>
    </w:p>
    <w:p>
      <w:pPr>
        <w:pStyle w:val="Style16"/>
        <w:keepNext w:val="0"/>
        <w:keepLines w:val="0"/>
        <w:widowControl w:val="0"/>
        <w:numPr>
          <w:ilvl w:val="0"/>
          <w:numId w:val="47"/>
        </w:numPr>
        <w:shd w:val="clear" w:color="auto" w:fill="auto"/>
        <w:tabs>
          <w:tab w:pos="825" w:val="left"/>
        </w:tabs>
        <w:bidi w:val="0"/>
        <w:spacing w:before="0" w:after="0" w:line="315" w:lineRule="exact"/>
        <w:ind w:left="0" w:right="0"/>
        <w:jc w:val="both"/>
      </w:pPr>
      <w:bookmarkStart w:id="827" w:name="bookmark827"/>
      <w:bookmarkEnd w:id="827"/>
      <w:r>
        <w:rPr>
          <w:color w:val="000000"/>
          <w:spacing w:val="0"/>
          <w:w w:val="100"/>
          <w:position w:val="0"/>
        </w:rPr>
        <w:t>按其份额确认共同经营因出售产出所产生的收入；</w:t>
      </w:r>
    </w:p>
    <w:p>
      <w:pPr>
        <w:pStyle w:val="Style16"/>
        <w:keepNext w:val="0"/>
        <w:keepLines w:val="0"/>
        <w:widowControl w:val="0"/>
        <w:numPr>
          <w:ilvl w:val="0"/>
          <w:numId w:val="47"/>
        </w:numPr>
        <w:shd w:val="clear" w:color="auto" w:fill="auto"/>
        <w:tabs>
          <w:tab w:pos="825" w:val="left"/>
        </w:tabs>
        <w:bidi w:val="0"/>
        <w:spacing w:before="0" w:after="0" w:line="315" w:lineRule="exact"/>
        <w:ind w:left="0" w:right="0"/>
        <w:jc w:val="both"/>
      </w:pPr>
      <w:bookmarkStart w:id="828" w:name="bookmark828"/>
      <w:bookmarkEnd w:id="828"/>
      <w:r>
        <w:rPr>
          <w:color w:val="000000"/>
          <w:spacing w:val="0"/>
          <w:w w:val="100"/>
          <w:position w:val="0"/>
        </w:rPr>
        <w:t>确认单独所发生的费用，以及按其份额确认共同经营发生的费用。</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 等规定的资产减值损失的，本公司全额确认该损失。</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本公司自共同经营购买资产等(该资产构成业务的除外)，在将该资产等出售给第三方之前，仅确认因该交易产生的损 益中归属于共同经营其他参与方的部分。购入的资产发生符合《企业会计准则第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号——资产减值》等规定的资产减值损失 </w:t>
      </w:r>
      <w:r>
        <w:rPr>
          <w:color w:val="000000"/>
          <w:spacing w:val="0"/>
          <w:w w:val="100"/>
          <w:position w:val="0"/>
        </w:rPr>
        <w:t>的，本公司按承担的份额确认该部分损失。</w:t>
      </w:r>
    </w:p>
    <w:p>
      <w:pPr>
        <w:pStyle w:val="Style16"/>
        <w:keepNext w:val="0"/>
        <w:keepLines w:val="0"/>
        <w:widowControl w:val="0"/>
        <w:shd w:val="clear" w:color="auto" w:fill="auto"/>
        <w:bidi w:val="0"/>
        <w:spacing w:before="0" w:after="400" w:line="317" w:lineRule="exact"/>
        <w:ind w:left="0" w:right="0"/>
        <w:jc w:val="both"/>
      </w:pPr>
      <w:r>
        <w:rPr>
          <w:color w:val="000000"/>
          <w:spacing w:val="0"/>
          <w:w w:val="100"/>
          <w:position w:val="0"/>
        </w:rPr>
        <w:t>本公司对共同经营不享有共同控制，如果本公司享有该共同经营相关资产且承担该共同经营相关负债的，仍按上述原则 进行会计处理，否则，应当按照相关企业会计准则的规定进行会计处理。</w:t>
      </w:r>
    </w:p>
    <w:p>
      <w:pPr>
        <w:pStyle w:val="Style27"/>
        <w:keepNext/>
        <w:keepLines/>
        <w:widowControl w:val="0"/>
        <w:shd w:val="clear" w:color="auto" w:fill="auto"/>
        <w:tabs>
          <w:tab w:pos="378" w:val="left"/>
        </w:tabs>
        <w:bidi w:val="0"/>
        <w:spacing w:before="0" w:after="260" w:line="240" w:lineRule="auto"/>
        <w:ind w:left="0" w:right="0" w:firstLine="0"/>
        <w:jc w:val="both"/>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8</w:t>
      </w:r>
      <w:bookmarkEnd w:id="831"/>
      <w:r>
        <w:rPr>
          <w:color w:val="000000"/>
          <w:spacing w:val="0"/>
          <w:w w:val="100"/>
          <w:position w:val="0"/>
        </w:rPr>
        <w:t>、</w:t>
        <w:tab/>
        <w:t>现金及现金等价物的确定标准</w:t>
      </w:r>
      <w:bookmarkEnd w:id="829"/>
      <w:bookmarkEnd w:id="830"/>
      <w:bookmarkEnd w:id="832"/>
    </w:p>
    <w:p>
      <w:pPr>
        <w:pStyle w:val="Style16"/>
        <w:keepNext w:val="0"/>
        <w:keepLines w:val="0"/>
        <w:widowControl w:val="0"/>
        <w:shd w:val="clear" w:color="auto" w:fill="auto"/>
        <w:bidi w:val="0"/>
        <w:spacing w:before="0" w:after="400" w:line="307" w:lineRule="exact"/>
        <w:ind w:left="0" w:right="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27"/>
        <w:keepNext/>
        <w:keepLines/>
        <w:widowControl w:val="0"/>
        <w:shd w:val="clear" w:color="auto" w:fill="auto"/>
        <w:tabs>
          <w:tab w:pos="378" w:val="left"/>
        </w:tabs>
        <w:bidi w:val="0"/>
        <w:spacing w:before="0" w:after="400" w:line="240" w:lineRule="auto"/>
        <w:ind w:left="0" w:right="0" w:firstLine="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9</w:t>
      </w:r>
      <w:bookmarkEnd w:id="835"/>
      <w:r>
        <w:rPr>
          <w:color w:val="000000"/>
          <w:spacing w:val="0"/>
          <w:w w:val="100"/>
          <w:position w:val="0"/>
        </w:rPr>
        <w:t>、</w:t>
        <w:tab/>
        <w:t>外币业务和外币报表折算</w:t>
      </w:r>
      <w:bookmarkEnd w:id="833"/>
      <w:bookmarkEnd w:id="834"/>
      <w:bookmarkEnd w:id="836"/>
    </w:p>
    <w:p>
      <w:pPr>
        <w:pStyle w:val="Style16"/>
        <w:keepNext w:val="0"/>
        <w:keepLines w:val="0"/>
        <w:widowControl w:val="0"/>
        <w:numPr>
          <w:ilvl w:val="0"/>
          <w:numId w:val="49"/>
        </w:numPr>
        <w:shd w:val="clear" w:color="auto" w:fill="auto"/>
        <w:tabs>
          <w:tab w:pos="797" w:val="left"/>
        </w:tabs>
        <w:bidi w:val="0"/>
        <w:spacing w:before="0" w:after="0" w:line="360" w:lineRule="auto"/>
        <w:ind w:left="0" w:right="0"/>
        <w:jc w:val="both"/>
      </w:pPr>
      <w:bookmarkStart w:id="837" w:name="bookmark837"/>
      <w:bookmarkEnd w:id="837"/>
      <w:r>
        <w:rPr>
          <w:color w:val="000000"/>
          <w:spacing w:val="0"/>
          <w:w w:val="100"/>
          <w:position w:val="0"/>
        </w:rPr>
        <w:t>外币业务</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外币业务交易在初始确认时，采用交易发生日的即期汇率作为折算汇率折合成人民币记账。</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资产负债表日，外币货币性项目按资产负债表日即期汇率折算，由此产生的汇兑差额，除属于与购建符合资本化条件的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16"/>
        <w:keepNext w:val="0"/>
        <w:keepLines w:val="0"/>
        <w:widowControl w:val="0"/>
        <w:shd w:val="clear" w:color="auto" w:fill="auto"/>
        <w:bidi w:val="0"/>
        <w:spacing w:before="0" w:after="100" w:line="311" w:lineRule="exact"/>
        <w:ind w:left="0" w:right="0"/>
        <w:jc w:val="both"/>
      </w:pPr>
      <w:r>
        <w:rPr>
          <w:color w:val="000000"/>
          <w:spacing w:val="0"/>
          <w:w w:val="100"/>
          <w:position w:val="0"/>
        </w:rPr>
        <w:t>以公允价值计量的外币非货币性项目，采用公允价值确定日的即期汇率折算，折算后的记账本位币金额与原记账本位币 金额的差额，作为公允价值变动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处理，计入当期损益或确认为其他综合收益。</w:t>
      </w:r>
    </w:p>
    <w:p>
      <w:pPr>
        <w:pStyle w:val="Style16"/>
        <w:keepNext w:val="0"/>
        <w:keepLines w:val="0"/>
        <w:widowControl w:val="0"/>
        <w:numPr>
          <w:ilvl w:val="0"/>
          <w:numId w:val="49"/>
        </w:numPr>
        <w:shd w:val="clear" w:color="auto" w:fill="auto"/>
        <w:tabs>
          <w:tab w:pos="797" w:val="left"/>
        </w:tabs>
        <w:bidi w:val="0"/>
        <w:spacing w:before="0" w:after="0" w:line="360" w:lineRule="auto"/>
        <w:ind w:left="0" w:right="0"/>
        <w:jc w:val="both"/>
      </w:pPr>
      <w:bookmarkStart w:id="838" w:name="bookmark838"/>
      <w:bookmarkEnd w:id="838"/>
      <w:r>
        <w:rPr>
          <w:color w:val="000000"/>
          <w:spacing w:val="0"/>
          <w:w w:val="100"/>
          <w:position w:val="0"/>
        </w:rPr>
        <w:t>外币财务报表的折算</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 目采用发生时的即期汇率折算。利润表中的收入和费用项目，采用当期平均汇率折算。按照上述折算产生的外币财务报表折 算差额计入其他综合收益。</w:t>
      </w:r>
    </w:p>
    <w:p>
      <w:pPr>
        <w:pStyle w:val="Style16"/>
        <w:keepNext w:val="0"/>
        <w:keepLines w:val="0"/>
        <w:widowControl w:val="0"/>
        <w:shd w:val="clear" w:color="auto" w:fill="auto"/>
        <w:bidi w:val="0"/>
        <w:spacing w:before="0" w:after="700" w:line="311" w:lineRule="exact"/>
        <w:ind w:left="0" w:right="0"/>
        <w:jc w:val="both"/>
      </w:pPr>
      <w:r>
        <w:rPr>
          <w:color w:val="000000"/>
          <w:spacing w:val="0"/>
          <w:w w:val="100"/>
          <w:position w:val="0"/>
        </w:rPr>
        <w:t>处置境外经营时，将资产负债表中其他综合收益项目中列示的、与该境外经营相关的外币财务报表折算差额，自其他综 合收益项目转入处置当期损益;在处置部分股权投资或其他原因导致持有境外经营权益比例降低但不丧失对境外经营控制权 时，与该境外经营处置部分相关的外币报表折算差额将归属于少数股东权益，不转入当期损益。在处置境外经营为联营企业 或合营企业的部分股权时，与该境外经营相关的外币报表折算差额，按处置该境外经营的比例转入处置当期损益。</w:t>
      </w:r>
    </w:p>
    <w:p>
      <w:pPr>
        <w:pStyle w:val="Style27"/>
        <w:keepNext/>
        <w:keepLines/>
        <w:widowControl w:val="0"/>
        <w:shd w:val="clear" w:color="auto" w:fill="auto"/>
        <w:bidi w:val="0"/>
        <w:spacing w:before="0" w:after="260" w:line="240" w:lineRule="auto"/>
        <w:ind w:left="0" w:right="0" w:firstLine="0"/>
        <w:jc w:val="both"/>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39"/>
      <w:bookmarkEnd w:id="840"/>
      <w:bookmarkEnd w:id="842"/>
    </w:p>
    <w:p>
      <w:pPr>
        <w:pStyle w:val="Style16"/>
        <w:keepNext w:val="0"/>
        <w:keepLines w:val="0"/>
        <w:widowControl w:val="0"/>
        <w:shd w:val="clear" w:color="auto" w:fill="auto"/>
        <w:bidi w:val="0"/>
        <w:spacing w:before="0" w:after="0" w:line="319" w:lineRule="exact"/>
        <w:ind w:left="0" w:right="0"/>
        <w:jc w:val="both"/>
      </w:pPr>
      <w:r>
        <w:rPr>
          <w:color w:val="000000"/>
          <w:spacing w:val="0"/>
          <w:w w:val="100"/>
          <w:position w:val="0"/>
        </w:rPr>
        <w:t>本公司在成为金融工具合同的一方时确认一项金融资产或金融负债。</w:t>
      </w:r>
    </w:p>
    <w:p>
      <w:pPr>
        <w:pStyle w:val="Style16"/>
        <w:keepNext w:val="0"/>
        <w:keepLines w:val="0"/>
        <w:widowControl w:val="0"/>
        <w:shd w:val="clear" w:color="auto" w:fill="auto"/>
        <w:bidi w:val="0"/>
        <w:spacing w:before="0" w:after="0" w:line="319" w:lineRule="exact"/>
        <w:ind w:left="0" w:right="0"/>
        <w:jc w:val="both"/>
      </w:pPr>
      <w:r>
        <w:rPr>
          <w:color w:val="000000"/>
          <w:spacing w:val="0"/>
          <w:w w:val="100"/>
          <w:position w:val="0"/>
        </w:rPr>
        <w:t>实际利率法是指计算金融资产或金融负债的摊余成本以及将利息收入或利息费用分摊计入各会计期间的方法。</w:t>
      </w:r>
    </w:p>
    <w:p>
      <w:pPr>
        <w:pStyle w:val="Style16"/>
        <w:keepNext w:val="0"/>
        <w:keepLines w:val="0"/>
        <w:widowControl w:val="0"/>
        <w:shd w:val="clear" w:color="auto" w:fill="auto"/>
        <w:bidi w:val="0"/>
        <w:spacing w:before="0" w:after="0" w:line="319" w:lineRule="exact"/>
        <w:ind w:left="0" w:right="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16"/>
        <w:keepNext w:val="0"/>
        <w:keepLines w:val="0"/>
        <w:widowControl w:val="0"/>
        <w:shd w:val="clear" w:color="auto" w:fill="auto"/>
        <w:bidi w:val="0"/>
        <w:spacing w:before="0" w:after="0" w:line="319" w:lineRule="exact"/>
        <w:ind w:left="0" w:right="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仅适用于金融资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numPr>
          <w:ilvl w:val="0"/>
          <w:numId w:val="51"/>
        </w:numPr>
        <w:shd w:val="clear" w:color="auto" w:fill="auto"/>
        <w:bidi w:val="0"/>
        <w:spacing w:before="0" w:after="0" w:line="312" w:lineRule="exact"/>
        <w:ind w:left="0" w:right="0"/>
        <w:jc w:val="both"/>
      </w:pPr>
      <w:bookmarkStart w:id="843" w:name="bookmark843"/>
      <w:bookmarkEnd w:id="843"/>
      <w:r>
        <w:rPr>
          <w:color w:val="000000"/>
          <w:spacing w:val="0"/>
          <w:w w:val="100"/>
          <w:position w:val="0"/>
        </w:rPr>
        <w:t>金融资产的分类、确认和计量</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本公司根据所管理金融资产的业务模式和金融资产的合同现金流量特征，将金融资产划分为以下三类：</w:t>
      </w:r>
    </w:p>
    <w:p>
      <w:pPr>
        <w:pStyle w:val="Style16"/>
        <w:keepNext w:val="0"/>
        <w:keepLines w:val="0"/>
        <w:widowControl w:val="0"/>
        <w:shd w:val="clear" w:color="auto" w:fill="auto"/>
        <w:tabs>
          <w:tab w:pos="825" w:val="left"/>
        </w:tabs>
        <w:bidi w:val="0"/>
        <w:spacing w:before="0" w:after="0" w:line="312" w:lineRule="exact"/>
        <w:ind w:left="0" w:right="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以摊余成本计量的金融资产。</w:t>
      </w:r>
    </w:p>
    <w:p>
      <w:pPr>
        <w:pStyle w:val="Style16"/>
        <w:keepNext w:val="0"/>
        <w:keepLines w:val="0"/>
        <w:widowControl w:val="0"/>
        <w:shd w:val="clear" w:color="auto" w:fill="auto"/>
        <w:tabs>
          <w:tab w:pos="825" w:val="left"/>
        </w:tabs>
        <w:bidi w:val="0"/>
        <w:spacing w:before="0" w:after="0" w:line="312" w:lineRule="exact"/>
        <w:ind w:left="0" w:right="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以公允价值计量且其变动计入其他综合收益的金融资产。</w:t>
      </w:r>
    </w:p>
    <w:p>
      <w:pPr>
        <w:pStyle w:val="Style16"/>
        <w:keepNext w:val="0"/>
        <w:keepLines w:val="0"/>
        <w:widowControl w:val="0"/>
        <w:shd w:val="clear" w:color="auto" w:fill="auto"/>
        <w:tabs>
          <w:tab w:pos="825" w:val="left"/>
        </w:tabs>
        <w:bidi w:val="0"/>
        <w:spacing w:before="0" w:after="0" w:line="312" w:lineRule="exact"/>
        <w:ind w:left="0" w:right="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以公允价值计量且其变动计入当期损益的金融资产。</w:t>
      </w:r>
    </w:p>
    <w:p>
      <w:pPr>
        <w:pStyle w:val="Style16"/>
        <w:keepNext w:val="0"/>
        <w:keepLines w:val="0"/>
        <w:widowControl w:val="0"/>
        <w:shd w:val="clear" w:color="auto" w:fill="auto"/>
        <w:bidi w:val="0"/>
        <w:spacing w:before="0" w:after="320" w:line="312" w:lineRule="exact"/>
        <w:ind w:left="0" w:right="0"/>
        <w:jc w:val="both"/>
      </w:pPr>
      <w:r>
        <w:rPr>
          <w:color w:val="000000"/>
          <w:spacing w:val="0"/>
          <w:w w:val="100"/>
          <w:position w:val="0"/>
        </w:rPr>
        <w:t>金融资产在初始确认时以公允价值计量，但是因销售商品或提供服务等产生的应收账款或应收票据未包含重大融资成分 或不考虑不超过一年的融资成分的，按照交易价格进行初始计量。</w:t>
      </w:r>
    </w:p>
    <w:p>
      <w:pPr>
        <w:pStyle w:val="Style16"/>
        <w:keepNext w:val="0"/>
        <w:keepLines w:val="0"/>
        <w:widowControl w:val="0"/>
        <w:shd w:val="clear" w:color="auto" w:fill="auto"/>
        <w:bidi w:val="0"/>
        <w:spacing w:before="0" w:after="0" w:line="316" w:lineRule="exact"/>
        <w:ind w:left="0" w:right="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16"/>
        <w:keepNext w:val="0"/>
        <w:keepLines w:val="0"/>
        <w:widowControl w:val="0"/>
        <w:shd w:val="clear" w:color="auto" w:fill="auto"/>
        <w:bidi w:val="0"/>
        <w:spacing w:before="0" w:after="0" w:line="316" w:lineRule="exact"/>
        <w:ind w:left="0" w:right="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16"/>
        <w:keepNext w:val="0"/>
        <w:keepLines w:val="0"/>
        <w:widowControl w:val="0"/>
        <w:shd w:val="clear" w:color="auto" w:fill="auto"/>
        <w:tabs>
          <w:tab w:pos="783" w:val="left"/>
        </w:tabs>
        <w:bidi w:val="0"/>
        <w:spacing w:before="0" w:after="0" w:line="316" w:lineRule="exact"/>
        <w:ind w:left="0" w:right="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分类为以摊余成本计量的金融资产</w:t>
      </w:r>
    </w:p>
    <w:p>
      <w:pPr>
        <w:pStyle w:val="Style16"/>
        <w:keepNext w:val="0"/>
        <w:keepLines w:val="0"/>
        <w:widowControl w:val="0"/>
        <w:shd w:val="clear" w:color="auto" w:fill="auto"/>
        <w:bidi w:val="0"/>
        <w:spacing w:before="0" w:after="0" w:line="316" w:lineRule="exact"/>
        <w:ind w:left="0" w:right="0"/>
        <w:jc w:val="both"/>
      </w:pPr>
      <w:r>
        <w:rPr>
          <w:color w:val="000000"/>
          <w:spacing w:val="0"/>
          <w:w w:val="100"/>
          <w:position w:val="0"/>
        </w:rPr>
        <w:t>金融资产的合同条款规定在特定日期产生的现金流量仅为对本金和以未偿付本金金额为基础的利息的支付，且管理该金 融资产的业务模式是以收取合同现金流量为目标，则本公司将该金融资产分类为以摊余成本计量的金融资产。本公司分类为 以摊余成本计量的金融资产包括货币资金、应收票据及应收账款、其他应收款、长期应收款等。</w:t>
      </w:r>
    </w:p>
    <w:p>
      <w:pPr>
        <w:pStyle w:val="Style16"/>
        <w:keepNext w:val="0"/>
        <w:keepLines w:val="0"/>
        <w:widowControl w:val="0"/>
        <w:shd w:val="clear" w:color="auto" w:fill="auto"/>
        <w:bidi w:val="0"/>
        <w:spacing w:before="0" w:after="0" w:line="316" w:lineRule="exact"/>
        <w:ind w:left="0" w:right="0"/>
        <w:jc w:val="both"/>
      </w:pPr>
      <w:r>
        <w:rPr>
          <w:color w:val="000000"/>
          <w:spacing w:val="0"/>
          <w:w w:val="100"/>
          <w:position w:val="0"/>
        </w:rPr>
        <w:t>本公司对此类金融资产采用实际利率法确认利息收入，按摊余成本进行后续计量，其发生减值时或终止确认、修改产生 的利得或损失，计入当期损益。除下列情况外，本公司根据金融资产账面余额乘以实际利率计算确定利息收入：</w:t>
      </w:r>
    </w:p>
    <w:p>
      <w:pPr>
        <w:pStyle w:val="Style16"/>
        <w:keepNext w:val="0"/>
        <w:keepLines w:val="0"/>
        <w:widowControl w:val="0"/>
        <w:shd w:val="clear" w:color="auto" w:fill="auto"/>
        <w:tabs>
          <w:tab w:pos="715" w:val="left"/>
        </w:tabs>
        <w:bidi w:val="0"/>
        <w:spacing w:before="0" w:after="0" w:line="283" w:lineRule="exact"/>
        <w:ind w:left="0" w:right="0"/>
        <w:jc w:val="both"/>
      </w:pPr>
      <w:bookmarkStart w:id="848" w:name="bookmark848"/>
      <w:r>
        <w:rPr>
          <w:rFonts w:ascii="Times New Roman" w:eastAsia="Times New Roman" w:hAnsi="Times New Roman" w:cs="Times New Roman"/>
          <w:color w:val="000000"/>
          <w:spacing w:val="0"/>
          <w:w w:val="100"/>
          <w:position w:val="0"/>
          <w:sz w:val="18"/>
          <w:szCs w:val="18"/>
        </w:rPr>
        <w:t>1</w:t>
      </w:r>
      <w:bookmarkEnd w:id="848"/>
      <w:r>
        <w:rPr>
          <w:color w:val="000000"/>
          <w:spacing w:val="0"/>
          <w:w w:val="100"/>
          <w:position w:val="0"/>
        </w:rPr>
        <w:t>）</w:t>
        <w:tab/>
        <w:t>对于购入或源生的已发生信用减值的金融资产，本公司自初始确认起，按照该金融资产的摊余成本和经信用调整的 实际利率计算确定其利息收入。</w:t>
      </w:r>
    </w:p>
    <w:p>
      <w:pPr>
        <w:pStyle w:val="Style16"/>
        <w:keepNext w:val="0"/>
        <w:keepLines w:val="0"/>
        <w:widowControl w:val="0"/>
        <w:shd w:val="clear" w:color="auto" w:fill="auto"/>
        <w:bidi w:val="0"/>
        <w:spacing w:before="0" w:after="0" w:line="314" w:lineRule="exact"/>
        <w:ind w:left="0" w:right="0"/>
        <w:jc w:val="both"/>
      </w:pPr>
      <w:bookmarkStart w:id="849" w:name="bookmark849"/>
      <w:r>
        <w:rPr>
          <w:rFonts w:ascii="Times New Roman" w:eastAsia="Times New Roman" w:hAnsi="Times New Roman" w:cs="Times New Roman"/>
          <w:color w:val="000000"/>
          <w:spacing w:val="0"/>
          <w:w w:val="100"/>
          <w:position w:val="0"/>
          <w:sz w:val="18"/>
          <w:szCs w:val="18"/>
        </w:rPr>
        <w:t>2</w:t>
      </w:r>
      <w:bookmarkEnd w:id="849"/>
      <w:r>
        <w:rPr>
          <w:color w:val="000000"/>
          <w:spacing w:val="0"/>
          <w:w w:val="100"/>
          <w:position w:val="0"/>
        </w:rPr>
        <w:t>） 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Style16"/>
        <w:keepNext w:val="0"/>
        <w:keepLines w:val="0"/>
        <w:widowControl w:val="0"/>
        <w:shd w:val="clear" w:color="auto" w:fill="auto"/>
        <w:tabs>
          <w:tab w:pos="783" w:val="left"/>
        </w:tabs>
        <w:bidi w:val="0"/>
        <w:spacing w:before="0" w:after="0" w:line="314" w:lineRule="exact"/>
        <w:ind w:left="0" w:right="0"/>
        <w:jc w:val="both"/>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分类为以公允价值计量且其变动计入其他综合收益的金融资产</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金融资产的合同条款规定在特定日期产生的现金流量仅为对本金和以未偿付本金金额为基础的利息的支付，且管理该金 融资产的业务模式既以收取合同现金流量为目标又以出售该金融资产为目标，则本公司将该金融资产分类为以公允价值计量 且其变动计入其他综合收益的金融资产。</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本公司对此类金融资产采用实际利率法确认利息收入。除利息收入、减值损失及汇兑差额确认为当期损益外，其余公允 价值变动计入其他综合收益。当该金融资产终止确认时，之前计入其他综合收益的累计利得或损失从其他综合收益中转出， 计入当期损益。</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以公允价值计量且变动计入其他综合收益的应收票据及应收账款列报为应收款项融资，其他此类金融资产列报为其他债 权投资，其中：自资产负债表日起一年内到期的其他债权投资列报为一年内到期的非流动资产，原到期日在一年以内的其他 债权投资列报为其他流动资产。</w:t>
      </w:r>
    </w:p>
    <w:p>
      <w:pPr>
        <w:pStyle w:val="Style16"/>
        <w:keepNext w:val="0"/>
        <w:keepLines w:val="0"/>
        <w:widowControl w:val="0"/>
        <w:shd w:val="clear" w:color="auto" w:fill="auto"/>
        <w:tabs>
          <w:tab w:pos="783" w:val="left"/>
        </w:tabs>
        <w:bidi w:val="0"/>
        <w:spacing w:before="0" w:after="0" w:line="314" w:lineRule="exact"/>
        <w:ind w:left="0" w:right="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指定为以公允价值计量且其变动计入其他综合收益的金融资产</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在初始确认时，本公司可以单项金融资产为基础不可撤销地将非交易性权益工具投资指定为以公允价值计量且其变动计 入其他综合收益的金融资产。</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此类金融资产在其他权益工具投资项目下列报。</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利模式；属于衍生工具（符合财务担保合同定义的以及被指定为有效套期工具的衍生工具除外）。</w:t>
      </w:r>
    </w:p>
    <w:p>
      <w:pPr>
        <w:pStyle w:val="Style16"/>
        <w:keepNext w:val="0"/>
        <w:keepLines w:val="0"/>
        <w:widowControl w:val="0"/>
        <w:shd w:val="clear" w:color="auto" w:fill="auto"/>
        <w:tabs>
          <w:tab w:pos="783" w:val="left"/>
        </w:tabs>
        <w:bidi w:val="0"/>
        <w:spacing w:before="0" w:after="0" w:line="314" w:lineRule="exact"/>
        <w:ind w:left="0" w:right="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分类为以公允价值计量且其变动计入当期损益的金融资产</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不符合分类为以摊余成本计量或以公允价值计量且其变动计入其他综合收益的金融资产条件、亦不指定为以公允价值计 量且其变动计入其他综合收益的金融资产均分类为以公允价值计量且其变动计入当期损益的金融资产。</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本公司对此类金融资产根据其流动性在交易性金融资产、其他非流动金融资产项目列报。</w:t>
      </w:r>
    </w:p>
    <w:p>
      <w:pPr>
        <w:pStyle w:val="Style16"/>
        <w:keepNext w:val="0"/>
        <w:keepLines w:val="0"/>
        <w:widowControl w:val="0"/>
        <w:shd w:val="clear" w:color="auto" w:fill="auto"/>
        <w:tabs>
          <w:tab w:pos="783" w:val="left"/>
        </w:tabs>
        <w:bidi w:val="0"/>
        <w:spacing w:before="0" w:after="0" w:line="314" w:lineRule="exact"/>
        <w:ind w:left="0" w:right="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指定为以公允价值计量且其变动计入当期损益的金融资产</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在初始确认时，本公司为了消除或显著减少会计错配，可以单项金融资产为基础不可撤销地将金融资产指定为以公允价 值计量且其变动计入当期损益的金融资产。</w:t>
      </w:r>
    </w:p>
    <w:p>
      <w:pPr>
        <w:pStyle w:val="Style16"/>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16"/>
        <w:keepNext w:val="0"/>
        <w:keepLines w:val="0"/>
        <w:widowControl w:val="0"/>
        <w:shd w:val="clear" w:color="auto" w:fill="auto"/>
        <w:tabs>
          <w:tab w:pos="709" w:val="left"/>
        </w:tabs>
        <w:bidi w:val="0"/>
        <w:spacing w:before="0" w:after="0" w:line="360" w:lineRule="auto"/>
        <w:ind w:left="0" w:right="0" w:firstLine="360"/>
        <w:jc w:val="both"/>
      </w:pPr>
      <w:bookmarkStart w:id="854" w:name="bookmark854"/>
      <w:r>
        <w:rPr>
          <w:rFonts w:ascii="Times New Roman" w:eastAsia="Times New Roman" w:hAnsi="Times New Roman" w:cs="Times New Roman"/>
          <w:color w:val="000000"/>
          <w:spacing w:val="0"/>
          <w:w w:val="100"/>
          <w:position w:val="0"/>
          <w:sz w:val="18"/>
          <w:szCs w:val="18"/>
        </w:rPr>
        <w:t>1</w:t>
      </w:r>
      <w:bookmarkEnd w:id="854"/>
      <w:r>
        <w:rPr>
          <w:color w:val="000000"/>
          <w:spacing w:val="0"/>
          <w:w w:val="100"/>
          <w:position w:val="0"/>
        </w:rPr>
        <w:t>）</w:t>
        <w:tab/>
        <w:t>嵌入衍生工具不会对混合合同的现金流量产生重大改变。</w:t>
      </w:r>
    </w:p>
    <w:p>
      <w:pPr>
        <w:pStyle w:val="Style16"/>
        <w:keepNext w:val="0"/>
        <w:keepLines w:val="0"/>
        <w:widowControl w:val="0"/>
        <w:shd w:val="clear" w:color="auto" w:fill="auto"/>
        <w:tabs>
          <w:tab w:pos="704" w:val="left"/>
        </w:tabs>
        <w:bidi w:val="0"/>
        <w:spacing w:before="0" w:after="0" w:line="312" w:lineRule="exact"/>
        <w:ind w:left="0" w:right="0" w:firstLine="360"/>
        <w:jc w:val="both"/>
      </w:pPr>
      <w:bookmarkStart w:id="855" w:name="bookmark855"/>
      <w:r>
        <w:rPr>
          <w:rFonts w:ascii="Times New Roman" w:eastAsia="Times New Roman" w:hAnsi="Times New Roman" w:cs="Times New Roman"/>
          <w:color w:val="000000"/>
          <w:spacing w:val="0"/>
          <w:w w:val="100"/>
          <w:position w:val="0"/>
          <w:sz w:val="18"/>
          <w:szCs w:val="18"/>
        </w:rPr>
        <w:t>2</w:t>
      </w:r>
      <w:bookmarkEnd w:id="855"/>
      <w:r>
        <w:rPr>
          <w:color w:val="000000"/>
          <w:spacing w:val="0"/>
          <w:w w:val="100"/>
          <w:position w:val="0"/>
        </w:rPr>
        <w:t>）</w:t>
        <w:tab/>
        <w:t>在初次确定类似的混合合同是否需要分拆时，几乎不需分析就能明确其包含的嵌入衍生工具不应分拆。如嵌入贷款 的提前还款权，允许持有人以接近摊余成本的金额提前偿还贷款，该提前还款权不需要分拆。</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16"/>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本公司对此类金融资产根据其流动性在交易性金融资产、其他非流动金融资产项目列报。</w:t>
      </w:r>
    </w:p>
    <w:p>
      <w:pPr>
        <w:pStyle w:val="Style16"/>
        <w:keepNext w:val="0"/>
        <w:keepLines w:val="0"/>
        <w:widowControl w:val="0"/>
        <w:numPr>
          <w:ilvl w:val="0"/>
          <w:numId w:val="51"/>
        </w:numPr>
        <w:shd w:val="clear" w:color="auto" w:fill="auto"/>
        <w:tabs>
          <w:tab w:pos="699" w:val="left"/>
        </w:tabs>
        <w:bidi w:val="0"/>
        <w:spacing w:before="0" w:after="0" w:line="360" w:lineRule="auto"/>
        <w:ind w:left="0" w:right="0" w:firstLine="360"/>
        <w:jc w:val="both"/>
      </w:pPr>
      <w:bookmarkStart w:id="856" w:name="bookmark856"/>
      <w:bookmarkEnd w:id="856"/>
      <w:r>
        <w:rPr>
          <w:color w:val="000000"/>
          <w:spacing w:val="0"/>
          <w:w w:val="100"/>
          <w:position w:val="0"/>
        </w:rPr>
        <w:t>金融负债的分类、确认和计量</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金融负债的后续计量取决于其分类：</w:t>
      </w:r>
    </w:p>
    <w:p>
      <w:pPr>
        <w:pStyle w:val="Style16"/>
        <w:keepNext w:val="0"/>
        <w:keepLines w:val="0"/>
        <w:widowControl w:val="0"/>
        <w:shd w:val="clear" w:color="auto" w:fill="auto"/>
        <w:tabs>
          <w:tab w:pos="805" w:val="left"/>
        </w:tabs>
        <w:bidi w:val="0"/>
        <w:spacing w:before="0" w:after="0" w:line="312" w:lineRule="exact"/>
        <w:ind w:left="0" w:right="0" w:firstLine="360"/>
        <w:jc w:val="both"/>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以公允价值计量且其变动计入当期损益的金融负债</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效套期工具的衍生工具、符合财务担保合同的衍生工具除外。交易性金融负债（含属于金融负债的衍生工具），按照公允价 值进行后续计量，除与套期会计有关外，所有公允价值变动均计入当期损益。</w:t>
      </w:r>
    </w:p>
    <w:p>
      <w:pPr>
        <w:pStyle w:val="Style16"/>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在初始确认时，为了提供更相关的会计信息，本公司将满足下列条件之一的金融负债不可撤销地指定为以公允价值计量 且其变动计入当期损益的金融负债：</w:t>
      </w:r>
    </w:p>
    <w:p>
      <w:pPr>
        <w:pStyle w:val="Style16"/>
        <w:keepNext w:val="0"/>
        <w:keepLines w:val="0"/>
        <w:widowControl w:val="0"/>
        <w:shd w:val="clear" w:color="auto" w:fill="auto"/>
        <w:tabs>
          <w:tab w:pos="709" w:val="left"/>
        </w:tabs>
        <w:bidi w:val="0"/>
        <w:spacing w:before="0" w:after="0" w:line="360" w:lineRule="auto"/>
        <w:ind w:left="0" w:right="0" w:firstLine="360"/>
        <w:jc w:val="both"/>
      </w:pPr>
      <w:bookmarkStart w:id="858" w:name="bookmark858"/>
      <w:r>
        <w:rPr>
          <w:rFonts w:ascii="Times New Roman" w:eastAsia="Times New Roman" w:hAnsi="Times New Roman" w:cs="Times New Roman"/>
          <w:color w:val="000000"/>
          <w:spacing w:val="0"/>
          <w:w w:val="100"/>
          <w:position w:val="0"/>
          <w:sz w:val="18"/>
          <w:szCs w:val="18"/>
        </w:rPr>
        <w:t>1</w:t>
      </w:r>
      <w:bookmarkEnd w:id="858"/>
      <w:r>
        <w:rPr>
          <w:color w:val="000000"/>
          <w:spacing w:val="0"/>
          <w:w w:val="100"/>
          <w:position w:val="0"/>
        </w:rPr>
        <w:t>）</w:t>
        <w:tab/>
        <w:t>能够消除或显著减少会计错配。</w:t>
      </w:r>
    </w:p>
    <w:p>
      <w:pPr>
        <w:pStyle w:val="Style16"/>
        <w:keepNext w:val="0"/>
        <w:keepLines w:val="0"/>
        <w:widowControl w:val="0"/>
        <w:shd w:val="clear" w:color="auto" w:fill="auto"/>
        <w:tabs>
          <w:tab w:pos="718" w:val="left"/>
        </w:tabs>
        <w:bidi w:val="0"/>
        <w:spacing w:before="0" w:after="0" w:line="312" w:lineRule="exact"/>
        <w:ind w:left="0" w:right="0" w:firstLine="360"/>
        <w:jc w:val="both"/>
      </w:pPr>
      <w:bookmarkStart w:id="859" w:name="bookmark859"/>
      <w:r>
        <w:rPr>
          <w:rFonts w:ascii="Times New Roman" w:eastAsia="Times New Roman" w:hAnsi="Times New Roman" w:cs="Times New Roman"/>
          <w:color w:val="000000"/>
          <w:spacing w:val="0"/>
          <w:w w:val="100"/>
          <w:position w:val="0"/>
          <w:sz w:val="18"/>
          <w:szCs w:val="18"/>
        </w:rPr>
        <w:t>2</w:t>
      </w:r>
      <w:bookmarkEnd w:id="859"/>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本公司对此类金融负债采用公允价值进行后续计量，除由本公司自身信用风险变动引起的公允价值变动计入其他综合收 益之外，其他公允价值变动计入当期损益。除非由本公司自身信用风险变动引起的公允价值变动计入其他综合收益会造成或 扩大损益中的会计错配，本公司将所有公允价值变动（包括自身信用风险变动的影响金额）计入当期损益。</w:t>
      </w:r>
    </w:p>
    <w:p>
      <w:pPr>
        <w:pStyle w:val="Style16"/>
        <w:keepNext w:val="0"/>
        <w:keepLines w:val="0"/>
        <w:widowControl w:val="0"/>
        <w:shd w:val="clear" w:color="auto" w:fill="auto"/>
        <w:tabs>
          <w:tab w:pos="805" w:val="left"/>
        </w:tabs>
        <w:bidi w:val="0"/>
        <w:spacing w:before="0" w:after="0" w:line="312" w:lineRule="exact"/>
        <w:ind w:left="0" w:right="0" w:firstLine="36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其他金融负债</w:t>
      </w:r>
    </w:p>
    <w:p>
      <w:pPr>
        <w:pStyle w:val="Style16"/>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除下列各项外，公司将金融负债分类为以摊余成本计量的金融负债，对此类金融负债采用实际利率法，按照摊余成本进 行后续计量，终止确认或摊销产生的利得或损失计入当期损益：</w:t>
      </w:r>
    </w:p>
    <w:p>
      <w:pPr>
        <w:pStyle w:val="Style16"/>
        <w:keepNext w:val="0"/>
        <w:keepLines w:val="0"/>
        <w:widowControl w:val="0"/>
        <w:shd w:val="clear" w:color="auto" w:fill="auto"/>
        <w:tabs>
          <w:tab w:pos="709" w:val="left"/>
        </w:tabs>
        <w:bidi w:val="0"/>
        <w:spacing w:before="0" w:after="0" w:line="360" w:lineRule="auto"/>
        <w:ind w:left="0" w:right="0" w:firstLine="360"/>
        <w:jc w:val="both"/>
      </w:pPr>
      <w:bookmarkStart w:id="861" w:name="bookmark861"/>
      <w:r>
        <w:rPr>
          <w:rFonts w:ascii="Times New Roman" w:eastAsia="Times New Roman" w:hAnsi="Times New Roman" w:cs="Times New Roman"/>
          <w:color w:val="000000"/>
          <w:spacing w:val="0"/>
          <w:w w:val="100"/>
          <w:position w:val="0"/>
          <w:sz w:val="18"/>
          <w:szCs w:val="18"/>
        </w:rPr>
        <w:t>1</w:t>
      </w:r>
      <w:bookmarkEnd w:id="861"/>
      <w:r>
        <w:rPr>
          <w:color w:val="000000"/>
          <w:spacing w:val="0"/>
          <w:w w:val="100"/>
          <w:position w:val="0"/>
        </w:rPr>
        <w:t>）</w:t>
        <w:tab/>
        <w:t>以公允价值计量且其变动计入当期损益的金融负债。</w:t>
      </w:r>
    </w:p>
    <w:p>
      <w:pPr>
        <w:pStyle w:val="Style16"/>
        <w:keepNext w:val="0"/>
        <w:keepLines w:val="0"/>
        <w:widowControl w:val="0"/>
        <w:shd w:val="clear" w:color="auto" w:fill="auto"/>
        <w:tabs>
          <w:tab w:pos="728" w:val="left"/>
        </w:tabs>
        <w:bidi w:val="0"/>
        <w:spacing w:before="0" w:after="0" w:line="360" w:lineRule="auto"/>
        <w:ind w:left="0" w:right="0" w:firstLine="360"/>
        <w:jc w:val="both"/>
      </w:pPr>
      <w:bookmarkStart w:id="862" w:name="bookmark862"/>
      <w:r>
        <w:rPr>
          <w:rFonts w:ascii="Times New Roman" w:eastAsia="Times New Roman" w:hAnsi="Times New Roman" w:cs="Times New Roman"/>
          <w:color w:val="000000"/>
          <w:spacing w:val="0"/>
          <w:w w:val="100"/>
          <w:position w:val="0"/>
          <w:sz w:val="18"/>
          <w:szCs w:val="18"/>
        </w:rPr>
        <w:t>2</w:t>
      </w:r>
      <w:bookmarkEnd w:id="862"/>
      <w:r>
        <w:rPr>
          <w:color w:val="000000"/>
          <w:spacing w:val="0"/>
          <w:w w:val="100"/>
          <w:position w:val="0"/>
        </w:rPr>
        <w:t>）</w:t>
        <w:tab/>
        <w:t>金融资产转移不符合终止确认条件或继续涉入被转移金融资产所形成的金融负债。</w:t>
      </w:r>
    </w:p>
    <w:p>
      <w:pPr>
        <w:pStyle w:val="Style16"/>
        <w:keepNext w:val="0"/>
        <w:keepLines w:val="0"/>
        <w:widowControl w:val="0"/>
        <w:shd w:val="clear" w:color="auto" w:fill="auto"/>
        <w:tabs>
          <w:tab w:pos="728" w:val="left"/>
        </w:tabs>
        <w:bidi w:val="0"/>
        <w:spacing w:before="0" w:after="0" w:line="360" w:lineRule="auto"/>
        <w:ind w:left="0" w:right="0" w:firstLine="360"/>
        <w:jc w:val="both"/>
      </w:pPr>
      <w:bookmarkStart w:id="863" w:name="bookmark863"/>
      <w:r>
        <w:rPr>
          <w:rFonts w:ascii="Times New Roman" w:eastAsia="Times New Roman" w:hAnsi="Times New Roman" w:cs="Times New Roman"/>
          <w:color w:val="000000"/>
          <w:spacing w:val="0"/>
          <w:w w:val="100"/>
          <w:position w:val="0"/>
          <w:sz w:val="18"/>
          <w:szCs w:val="18"/>
        </w:rPr>
        <w:t>3</w:t>
      </w:r>
      <w:bookmarkEnd w:id="863"/>
      <w:r>
        <w:rPr>
          <w:color w:val="000000"/>
          <w:spacing w:val="0"/>
          <w:w w:val="100"/>
          <w:position w:val="0"/>
        </w:rPr>
        <w:t>）</w:t>
        <w:tab/>
        <w:t>不属于本条前两类情形的财务担保合同，以及不属于本条第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）类情形的以低于市场利率贷款的贷款承诺。</w:t>
      </w:r>
    </w:p>
    <w:p>
      <w:pPr>
        <w:pStyle w:val="Style16"/>
        <w:keepNext w:val="0"/>
        <w:keepLines w:val="0"/>
        <w:widowControl w:val="0"/>
        <w:shd w:val="clear" w:color="auto" w:fill="auto"/>
        <w:bidi w:val="0"/>
        <w:spacing w:before="0" w:after="100" w:line="312" w:lineRule="exact"/>
        <w:ind w:left="0" w:right="0" w:firstLine="360"/>
        <w:jc w:val="both"/>
      </w:pPr>
      <w:r>
        <w:rPr>
          <w:color w:val="000000"/>
          <w:spacing w:val="0"/>
          <w:w w:val="100"/>
          <w:position w:val="0"/>
        </w:rPr>
        <w:t>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后按照损失准备金额以及初始确认金额扣除担保期内的累计摊销额后的余额孰高进行计量。</w:t>
      </w:r>
    </w:p>
    <w:p>
      <w:pPr>
        <w:pStyle w:val="Style16"/>
        <w:keepNext w:val="0"/>
        <w:keepLines w:val="0"/>
        <w:widowControl w:val="0"/>
        <w:numPr>
          <w:ilvl w:val="0"/>
          <w:numId w:val="51"/>
        </w:numPr>
        <w:shd w:val="clear" w:color="auto" w:fill="auto"/>
        <w:tabs>
          <w:tab w:pos="699" w:val="left"/>
        </w:tabs>
        <w:bidi w:val="0"/>
        <w:spacing w:before="0" w:after="0" w:line="360" w:lineRule="auto"/>
        <w:ind w:left="0" w:right="0" w:firstLine="360"/>
        <w:jc w:val="both"/>
      </w:pPr>
      <w:bookmarkStart w:id="864" w:name="bookmark864"/>
      <w:bookmarkEnd w:id="864"/>
      <w:r>
        <w:rPr>
          <w:color w:val="000000"/>
          <w:spacing w:val="0"/>
          <w:w w:val="100"/>
          <w:position w:val="0"/>
        </w:rPr>
        <w:t>金融资产和金融负债的终止确认</w:t>
      </w:r>
    </w:p>
    <w:p>
      <w:pPr>
        <w:pStyle w:val="Style16"/>
        <w:keepNext w:val="0"/>
        <w:keepLines w:val="0"/>
        <w:widowControl w:val="0"/>
        <w:shd w:val="clear" w:color="auto" w:fill="auto"/>
        <w:tabs>
          <w:tab w:pos="805" w:val="left"/>
        </w:tabs>
        <w:bidi w:val="0"/>
        <w:spacing w:before="0" w:after="100" w:line="312" w:lineRule="exact"/>
        <w:ind w:left="0" w:right="0" w:firstLine="360"/>
        <w:jc w:val="both"/>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金融资产满足下列条件之一的，终止确认金融资产，即从其账户和资产负债表内予以转销：</w:t>
      </w:r>
    </w:p>
    <w:p>
      <w:pPr>
        <w:pStyle w:val="Style16"/>
        <w:keepNext w:val="0"/>
        <w:keepLines w:val="0"/>
        <w:widowControl w:val="0"/>
        <w:shd w:val="clear" w:color="auto" w:fill="auto"/>
        <w:tabs>
          <w:tab w:pos="709" w:val="left"/>
        </w:tabs>
        <w:bidi w:val="0"/>
        <w:spacing w:before="0" w:after="0" w:line="360" w:lineRule="auto"/>
        <w:ind w:left="0" w:right="0" w:firstLine="360"/>
        <w:jc w:val="both"/>
      </w:pPr>
      <w:bookmarkStart w:id="866" w:name="bookmark866"/>
      <w:r>
        <w:rPr>
          <w:rFonts w:ascii="Times New Roman" w:eastAsia="Times New Roman" w:hAnsi="Times New Roman" w:cs="Times New Roman"/>
          <w:color w:val="000000"/>
          <w:spacing w:val="0"/>
          <w:w w:val="100"/>
          <w:position w:val="0"/>
          <w:sz w:val="18"/>
          <w:szCs w:val="18"/>
        </w:rPr>
        <w:t>1</w:t>
      </w:r>
      <w:bookmarkEnd w:id="866"/>
      <w:r>
        <w:rPr>
          <w:color w:val="000000"/>
          <w:spacing w:val="0"/>
          <w:w w:val="100"/>
          <w:position w:val="0"/>
        </w:rPr>
        <w:t>）</w:t>
        <w:tab/>
        <w:t>收取该金融资产现金流量的合同权利终止。</w:t>
      </w:r>
    </w:p>
    <w:p>
      <w:pPr>
        <w:pStyle w:val="Style16"/>
        <w:keepNext w:val="0"/>
        <w:keepLines w:val="0"/>
        <w:widowControl w:val="0"/>
        <w:shd w:val="clear" w:color="auto" w:fill="auto"/>
        <w:tabs>
          <w:tab w:pos="728" w:val="left"/>
        </w:tabs>
        <w:bidi w:val="0"/>
        <w:spacing w:before="0" w:after="0" w:line="360" w:lineRule="auto"/>
        <w:ind w:left="0" w:right="0" w:firstLine="360"/>
        <w:jc w:val="both"/>
      </w:pPr>
      <w:bookmarkStart w:id="867" w:name="bookmark867"/>
      <w:r>
        <w:rPr>
          <w:rFonts w:ascii="Times New Roman" w:eastAsia="Times New Roman" w:hAnsi="Times New Roman" w:cs="Times New Roman"/>
          <w:color w:val="000000"/>
          <w:spacing w:val="0"/>
          <w:w w:val="100"/>
          <w:position w:val="0"/>
          <w:sz w:val="18"/>
          <w:szCs w:val="18"/>
        </w:rPr>
        <w:t>2</w:t>
      </w:r>
      <w:bookmarkEnd w:id="867"/>
      <w:r>
        <w:rPr>
          <w:color w:val="000000"/>
          <w:spacing w:val="0"/>
          <w:w w:val="100"/>
          <w:position w:val="0"/>
        </w:rPr>
        <w:t>）</w:t>
        <w:tab/>
        <w:t>该金融资产已转移，且该转移满足金融资产终止确认的规定。</w:t>
      </w:r>
    </w:p>
    <w:p>
      <w:pPr>
        <w:pStyle w:val="Style16"/>
        <w:keepNext w:val="0"/>
        <w:keepLines w:val="0"/>
        <w:widowControl w:val="0"/>
        <w:shd w:val="clear" w:color="auto" w:fill="auto"/>
        <w:tabs>
          <w:tab w:pos="805" w:val="left"/>
        </w:tabs>
        <w:bidi w:val="0"/>
        <w:spacing w:before="0" w:after="100" w:line="312" w:lineRule="exact"/>
        <w:ind w:left="0" w:right="0" w:firstLine="36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金融负债终止确认条件</w:t>
      </w:r>
    </w:p>
    <w:p>
      <w:pPr>
        <w:pStyle w:val="Style16"/>
        <w:keepNext w:val="0"/>
        <w:keepLines w:val="0"/>
        <w:widowControl w:val="0"/>
        <w:shd w:val="clear" w:color="auto" w:fill="auto"/>
        <w:bidi w:val="0"/>
        <w:spacing w:before="0" w:after="0" w:line="316" w:lineRule="exact"/>
        <w:ind w:left="0" w:right="0" w:firstLine="360"/>
        <w:jc w:val="both"/>
      </w:pPr>
      <w:r>
        <w:rPr>
          <w:color w:val="000000"/>
          <w:spacing w:val="0"/>
          <w:w w:val="100"/>
          <w:position w:val="0"/>
        </w:rPr>
        <w:t>金融负债（或其一部分）的现时义务已经解除的，则终止确认该金融负债（或该部分金融负债）。</w:t>
      </w:r>
    </w:p>
    <w:p>
      <w:pPr>
        <w:pStyle w:val="Style16"/>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本公司与借出方之间签订协议，以承担新金融负债方式替换原金融负债，且新金融负债与原金融负债的合同条款实质上 不同的，或对原金融负债（或其一部分）的合同条款做出实质性修改的，则终止确认原金融负债，同时确认一项新金融负债， 账面价值与支付的对价（包括转出的非现金资产或承担的负债）之间的差额，计入当期损益。</w:t>
      </w:r>
    </w:p>
    <w:p>
      <w:pPr>
        <w:pStyle w:val="Style16"/>
        <w:keepNext w:val="0"/>
        <w:keepLines w:val="0"/>
        <w:widowControl w:val="0"/>
        <w:shd w:val="clear" w:color="auto" w:fill="auto"/>
        <w:bidi w:val="0"/>
        <w:spacing w:before="0" w:after="100" w:line="316" w:lineRule="exact"/>
        <w:ind w:left="0" w:right="0" w:firstLine="360"/>
        <w:jc w:val="both"/>
      </w:pPr>
      <w:r>
        <w:rPr>
          <w:color w:val="000000"/>
          <w:spacing w:val="0"/>
          <w:w w:val="100"/>
          <w:position w:val="0"/>
        </w:rPr>
        <w:t>本公司回购金融负债一部分的，按照继续确认部分和终止确认部分在回购日各自的公允价值占整体公允价值的比例，对 该金融负债整体的账面价值进行分配。分配给终止确认部分的账面价值与支付的对价（包括转出的非现金资产或承担的负债） 之间的差额，应当计入当期损益。</w:t>
      </w:r>
    </w:p>
    <w:p>
      <w:pPr>
        <w:pStyle w:val="Style16"/>
        <w:keepNext w:val="0"/>
        <w:keepLines w:val="0"/>
        <w:widowControl w:val="0"/>
        <w:numPr>
          <w:ilvl w:val="0"/>
          <w:numId w:val="51"/>
        </w:numPr>
        <w:shd w:val="clear" w:color="auto" w:fill="auto"/>
        <w:tabs>
          <w:tab w:pos="682" w:val="left"/>
        </w:tabs>
        <w:bidi w:val="0"/>
        <w:spacing w:before="0" w:after="0" w:line="360" w:lineRule="auto"/>
        <w:ind w:left="0" w:right="0" w:firstLine="360"/>
        <w:jc w:val="both"/>
      </w:pPr>
      <w:bookmarkStart w:id="869" w:name="bookmark869"/>
      <w:bookmarkEnd w:id="869"/>
      <w:r>
        <w:rPr>
          <w:color w:val="000000"/>
          <w:spacing w:val="0"/>
          <w:w w:val="100"/>
          <w:position w:val="0"/>
        </w:rPr>
        <w:t>金融资产转移的确认依据和计量方法</w:t>
      </w:r>
    </w:p>
    <w:p>
      <w:pPr>
        <w:pStyle w:val="Style16"/>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本公司在发生金融资产转移时，评估其保留金融资产所有权上的风险和报酬的程度，并分别下列情形处理：</w:t>
      </w:r>
    </w:p>
    <w:p>
      <w:pPr>
        <w:pStyle w:val="Style16"/>
        <w:keepNext w:val="0"/>
        <w:keepLines w:val="0"/>
        <w:widowControl w:val="0"/>
        <w:shd w:val="clear" w:color="auto" w:fill="auto"/>
        <w:tabs>
          <w:tab w:pos="883" w:val="left"/>
        </w:tabs>
        <w:bidi w:val="0"/>
        <w:spacing w:before="0" w:after="0" w:line="316" w:lineRule="exact"/>
        <w:ind w:left="0" w:right="0" w:firstLine="36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转移了金融资产所有权上几乎所有风险和报酬的，则终止确认该金融资产，并将转移中产生或保留的权利和义务 单独确认为资产或负债。</w:t>
      </w:r>
    </w:p>
    <w:p>
      <w:pPr>
        <w:pStyle w:val="Style16"/>
        <w:keepNext w:val="0"/>
        <w:keepLines w:val="0"/>
        <w:widowControl w:val="0"/>
        <w:shd w:val="clear" w:color="auto" w:fill="auto"/>
        <w:tabs>
          <w:tab w:pos="787" w:val="left"/>
        </w:tabs>
        <w:bidi w:val="0"/>
        <w:spacing w:before="0" w:after="0" w:line="316" w:lineRule="exact"/>
        <w:ind w:left="0" w:right="0" w:firstLine="36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保留了金融资产所有权上几乎所有风险和报酬的，则继续确认该金融资产。</w:t>
      </w:r>
    </w:p>
    <w:p>
      <w:pPr>
        <w:pStyle w:val="Style16"/>
        <w:keepNext w:val="0"/>
        <w:keepLines w:val="0"/>
        <w:widowControl w:val="0"/>
        <w:shd w:val="clear" w:color="auto" w:fill="auto"/>
        <w:tabs>
          <w:tab w:pos="883" w:val="left"/>
        </w:tabs>
        <w:bidi w:val="0"/>
        <w:spacing w:before="0" w:after="100" w:line="316" w:lineRule="exact"/>
        <w:ind w:left="0" w:right="0" w:firstLine="36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）之外的其他情形），则 根据其是否保留了对金融资产的控制，分别下列情形处理：</w:t>
      </w:r>
    </w:p>
    <w:p>
      <w:pPr>
        <w:pStyle w:val="Style16"/>
        <w:keepNext w:val="0"/>
        <w:keepLines w:val="0"/>
        <w:widowControl w:val="0"/>
        <w:shd w:val="clear" w:color="auto" w:fill="auto"/>
        <w:tabs>
          <w:tab w:pos="691" w:val="left"/>
        </w:tabs>
        <w:bidi w:val="0"/>
        <w:spacing w:before="0" w:after="0" w:line="360" w:lineRule="auto"/>
        <w:ind w:left="0" w:right="0" w:firstLine="360"/>
        <w:jc w:val="both"/>
      </w:pPr>
      <w:bookmarkStart w:id="873" w:name="bookmark873"/>
      <w:r>
        <w:rPr>
          <w:rFonts w:ascii="Times New Roman" w:eastAsia="Times New Roman" w:hAnsi="Times New Roman" w:cs="Times New Roman"/>
          <w:color w:val="000000"/>
          <w:spacing w:val="0"/>
          <w:w w:val="100"/>
          <w:position w:val="0"/>
          <w:sz w:val="18"/>
          <w:szCs w:val="18"/>
        </w:rPr>
        <w:t>1</w:t>
      </w:r>
      <w:bookmarkEnd w:id="873"/>
      <w:r>
        <w:rPr>
          <w:color w:val="000000"/>
          <w:spacing w:val="0"/>
          <w:w w:val="100"/>
          <w:position w:val="0"/>
        </w:rPr>
        <w:t>）</w:t>
        <w:tab/>
        <w:t>未保留对该金融资产控制的，则终止确认该金融资产，并将转移中产生或保留的权利和义务单独确认为资产或负债。</w:t>
      </w:r>
    </w:p>
    <w:p>
      <w:pPr>
        <w:pStyle w:val="Style16"/>
        <w:keepNext w:val="0"/>
        <w:keepLines w:val="0"/>
        <w:widowControl w:val="0"/>
        <w:shd w:val="clear" w:color="auto" w:fill="auto"/>
        <w:tabs>
          <w:tab w:pos="701" w:val="left"/>
        </w:tabs>
        <w:bidi w:val="0"/>
        <w:spacing w:before="0" w:after="0" w:line="316" w:lineRule="exact"/>
        <w:ind w:left="0" w:right="0" w:firstLine="360"/>
        <w:jc w:val="both"/>
      </w:pPr>
      <w:bookmarkStart w:id="874" w:name="bookmark874"/>
      <w:r>
        <w:rPr>
          <w:rFonts w:ascii="Times New Roman" w:eastAsia="Times New Roman" w:hAnsi="Times New Roman" w:cs="Times New Roman"/>
          <w:color w:val="000000"/>
          <w:spacing w:val="0"/>
          <w:w w:val="100"/>
          <w:position w:val="0"/>
          <w:sz w:val="18"/>
          <w:szCs w:val="18"/>
        </w:rPr>
        <w:t>2</w:t>
      </w:r>
      <w:bookmarkEnd w:id="874"/>
      <w:r>
        <w:rPr>
          <w:color w:val="000000"/>
          <w:spacing w:val="0"/>
          <w:w w:val="100"/>
          <w:position w:val="0"/>
        </w:rPr>
        <w:t>）</w:t>
        <w:tab/>
        <w:t>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pStyle w:val="Style16"/>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w:t>
      </w:r>
    </w:p>
    <w:p>
      <w:pPr>
        <w:pStyle w:val="Style16"/>
        <w:keepNext w:val="0"/>
        <w:keepLines w:val="0"/>
        <w:widowControl w:val="0"/>
        <w:shd w:val="clear" w:color="auto" w:fill="auto"/>
        <w:tabs>
          <w:tab w:pos="787" w:val="left"/>
        </w:tabs>
        <w:bidi w:val="0"/>
        <w:spacing w:before="0" w:after="100" w:line="316" w:lineRule="exact"/>
        <w:ind w:left="0" w:right="0" w:firstLine="360"/>
        <w:jc w:val="both"/>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金融资产整体转移满足终止确认条件的，将下列两项金额的差额计入当期损益：</w:t>
      </w:r>
    </w:p>
    <w:p>
      <w:pPr>
        <w:pStyle w:val="Style16"/>
        <w:keepNext w:val="0"/>
        <w:keepLines w:val="0"/>
        <w:widowControl w:val="0"/>
        <w:shd w:val="clear" w:color="auto" w:fill="auto"/>
        <w:tabs>
          <w:tab w:pos="691" w:val="left"/>
        </w:tabs>
        <w:bidi w:val="0"/>
        <w:spacing w:before="0" w:after="0" w:line="360" w:lineRule="auto"/>
        <w:ind w:left="0" w:right="0" w:firstLine="360"/>
        <w:jc w:val="both"/>
      </w:pPr>
      <w:bookmarkStart w:id="876" w:name="bookmark876"/>
      <w:r>
        <w:rPr>
          <w:rFonts w:ascii="Times New Roman" w:eastAsia="Times New Roman" w:hAnsi="Times New Roman" w:cs="Times New Roman"/>
          <w:color w:val="000000"/>
          <w:spacing w:val="0"/>
          <w:w w:val="100"/>
          <w:position w:val="0"/>
          <w:sz w:val="18"/>
          <w:szCs w:val="18"/>
        </w:rPr>
        <w:t>1</w:t>
      </w:r>
      <w:bookmarkEnd w:id="876"/>
      <w:r>
        <w:rPr>
          <w:color w:val="000000"/>
          <w:spacing w:val="0"/>
          <w:w w:val="100"/>
          <w:position w:val="0"/>
        </w:rPr>
        <w:t>）</w:t>
        <w:tab/>
        <w:t>被转移金融资产在终止确认日的账面价值。</w:t>
      </w:r>
    </w:p>
    <w:p>
      <w:pPr>
        <w:pStyle w:val="Style16"/>
        <w:keepNext w:val="0"/>
        <w:keepLines w:val="0"/>
        <w:widowControl w:val="0"/>
        <w:shd w:val="clear" w:color="auto" w:fill="auto"/>
        <w:tabs>
          <w:tab w:pos="701" w:val="left"/>
        </w:tabs>
        <w:bidi w:val="0"/>
        <w:spacing w:before="0" w:after="0" w:line="316" w:lineRule="exact"/>
        <w:ind w:left="0" w:right="0" w:firstLine="360"/>
        <w:jc w:val="both"/>
      </w:pPr>
      <w:bookmarkStart w:id="877" w:name="bookmark877"/>
      <w:r>
        <w:rPr>
          <w:rFonts w:ascii="Times New Roman" w:eastAsia="Times New Roman" w:hAnsi="Times New Roman" w:cs="Times New Roman"/>
          <w:color w:val="000000"/>
          <w:spacing w:val="0"/>
          <w:w w:val="100"/>
          <w:position w:val="0"/>
          <w:sz w:val="18"/>
          <w:szCs w:val="18"/>
        </w:rPr>
        <w:t>2</w:t>
      </w:r>
      <w:bookmarkEnd w:id="877"/>
      <w:r>
        <w:rPr>
          <w:color w:val="000000"/>
          <w:spacing w:val="0"/>
          <w:w w:val="100"/>
          <w:position w:val="0"/>
        </w:rPr>
        <w:t>）</w:t>
        <w:tab/>
        <w:t>因转移金融资产而收到的对价，与原直接计入其他综合收益的公允价值变动累计额中对应终止确认部分的金额（涉 及转移的金融资产为以公允价值计量且其变动计入其他综合收益的金融资产）之和。</w:t>
      </w:r>
    </w:p>
    <w:p>
      <w:pPr>
        <w:pStyle w:val="Style16"/>
        <w:keepNext w:val="0"/>
        <w:keepLines w:val="0"/>
        <w:widowControl w:val="0"/>
        <w:shd w:val="clear" w:color="auto" w:fill="auto"/>
        <w:bidi w:val="0"/>
        <w:spacing w:before="0" w:after="100" w:line="316" w:lineRule="exact"/>
        <w:ind w:left="0" w:right="0" w:firstLine="360"/>
        <w:jc w:val="both"/>
      </w:pPr>
      <w:bookmarkStart w:id="878" w:name="bookmark878"/>
      <w:r>
        <w:rPr>
          <w:color w:val="000000"/>
          <w:spacing w:val="0"/>
          <w:w w:val="100"/>
          <w:position w:val="0"/>
        </w:rPr>
        <w:t>（</w:t>
      </w:r>
      <w:bookmarkEnd w:id="8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金融资产部分转移且该被转移部分整体满足终止确认条件的，将转移前金融资产整体的账面价值，在终止确认部 分和继续确认部分（在此种情形下，所保留的服务资产应当视同继续确认金融资产的一部分）之间，按照转移日各自的相对 公允价值进行分摊，并将下列两项金额的差额计入当期损益：</w:t>
      </w:r>
    </w:p>
    <w:p>
      <w:pPr>
        <w:pStyle w:val="Style16"/>
        <w:keepNext w:val="0"/>
        <w:keepLines w:val="0"/>
        <w:widowControl w:val="0"/>
        <w:shd w:val="clear" w:color="auto" w:fill="auto"/>
        <w:tabs>
          <w:tab w:pos="691" w:val="left"/>
        </w:tabs>
        <w:bidi w:val="0"/>
        <w:spacing w:before="0" w:after="0" w:line="360" w:lineRule="auto"/>
        <w:ind w:left="0" w:right="0" w:firstLine="360"/>
        <w:jc w:val="both"/>
      </w:pPr>
      <w:bookmarkStart w:id="879" w:name="bookmark879"/>
      <w:r>
        <w:rPr>
          <w:rFonts w:ascii="Times New Roman" w:eastAsia="Times New Roman" w:hAnsi="Times New Roman" w:cs="Times New Roman"/>
          <w:color w:val="000000"/>
          <w:spacing w:val="0"/>
          <w:w w:val="100"/>
          <w:position w:val="0"/>
          <w:sz w:val="18"/>
          <w:szCs w:val="18"/>
        </w:rPr>
        <w:t>1</w:t>
      </w:r>
      <w:bookmarkEnd w:id="879"/>
      <w:r>
        <w:rPr>
          <w:color w:val="000000"/>
          <w:spacing w:val="0"/>
          <w:w w:val="100"/>
          <w:position w:val="0"/>
        </w:rPr>
        <w:t>）</w:t>
        <w:tab/>
        <w:t>终止确认部分在终止确认日的账面价值。</w:t>
      </w:r>
    </w:p>
    <w:p>
      <w:pPr>
        <w:pStyle w:val="Style16"/>
        <w:keepNext w:val="0"/>
        <w:keepLines w:val="0"/>
        <w:widowControl w:val="0"/>
        <w:shd w:val="clear" w:color="auto" w:fill="auto"/>
        <w:tabs>
          <w:tab w:pos="701" w:val="left"/>
        </w:tabs>
        <w:bidi w:val="0"/>
        <w:spacing w:before="0" w:after="0" w:line="316" w:lineRule="exact"/>
        <w:ind w:left="0" w:right="0" w:firstLine="360"/>
        <w:jc w:val="both"/>
      </w:pPr>
      <w:bookmarkStart w:id="880" w:name="bookmark880"/>
      <w:r>
        <w:rPr>
          <w:rFonts w:ascii="Times New Roman" w:eastAsia="Times New Roman" w:hAnsi="Times New Roman" w:cs="Times New Roman"/>
          <w:color w:val="000000"/>
          <w:spacing w:val="0"/>
          <w:w w:val="100"/>
          <w:position w:val="0"/>
          <w:sz w:val="18"/>
          <w:szCs w:val="18"/>
        </w:rPr>
        <w:t>2</w:t>
      </w:r>
      <w:bookmarkEnd w:id="880"/>
      <w:r>
        <w:rPr>
          <w:color w:val="000000"/>
          <w:spacing w:val="0"/>
          <w:w w:val="100"/>
          <w:position w:val="0"/>
        </w:rPr>
        <w:t>）</w:t>
        <w:tab/>
        <w:t>终止确认部分收到的对价，与原计入其他综合收益的公允价值变动累计额中对应终止确认部分的金额（涉及转移的 金融资产为以公允价值计量且其变动计入其他综合收益的金融资产）之和。</w:t>
      </w:r>
    </w:p>
    <w:p>
      <w:pPr>
        <w:pStyle w:val="Style16"/>
        <w:keepNext w:val="0"/>
        <w:keepLines w:val="0"/>
        <w:widowControl w:val="0"/>
        <w:shd w:val="clear" w:color="auto" w:fill="auto"/>
        <w:bidi w:val="0"/>
        <w:spacing w:before="0" w:after="100" w:line="316"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16"/>
        <w:keepNext w:val="0"/>
        <w:keepLines w:val="0"/>
        <w:widowControl w:val="0"/>
        <w:numPr>
          <w:ilvl w:val="0"/>
          <w:numId w:val="51"/>
        </w:numPr>
        <w:shd w:val="clear" w:color="auto" w:fill="auto"/>
        <w:tabs>
          <w:tab w:pos="682" w:val="left"/>
        </w:tabs>
        <w:bidi w:val="0"/>
        <w:spacing w:before="0" w:after="0" w:line="360" w:lineRule="auto"/>
        <w:ind w:left="0" w:right="0" w:firstLine="360"/>
        <w:jc w:val="both"/>
      </w:pPr>
      <w:bookmarkStart w:id="881" w:name="bookmark881"/>
      <w:bookmarkEnd w:id="881"/>
      <w:r>
        <w:rPr>
          <w:color w:val="000000"/>
          <w:spacing w:val="0"/>
          <w:w w:val="100"/>
          <w:position w:val="0"/>
        </w:rPr>
        <w:t>金融资产和金融负债公允价值的确定方法</w:t>
      </w:r>
    </w:p>
    <w:p>
      <w:pPr>
        <w:pStyle w:val="Style16"/>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存在活跃市场的金融资产或金融负债，以活跃市场的报价确定其公允价值，除非该项金融资产存在针对资产本身的限售 期。对于针对资产本身的限售的金融资产，按照活跃市场的报价扣除市场参与者因承担指定期间内无法在公开市场上出售该 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Style16"/>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初始取得或衍生的金融资产或承担的金融负债，以市场交易价格作为确定其公允价值的基础。</w:t>
      </w:r>
    </w:p>
    <w:p>
      <w:pPr>
        <w:pStyle w:val="Style16"/>
        <w:keepNext w:val="0"/>
        <w:keepLines w:val="0"/>
        <w:widowControl w:val="0"/>
        <w:shd w:val="clear" w:color="auto" w:fill="auto"/>
        <w:bidi w:val="0"/>
        <w:spacing w:before="0" w:after="100" w:line="316" w:lineRule="exact"/>
        <w:ind w:left="0" w:right="0" w:firstLine="360"/>
        <w:jc w:val="both"/>
      </w:pPr>
      <w:r>
        <w:rPr>
          <w:color w:val="000000"/>
          <w:spacing w:val="0"/>
          <w:w w:val="100"/>
          <w:position w:val="0"/>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16"/>
        <w:keepNext w:val="0"/>
        <w:keepLines w:val="0"/>
        <w:widowControl w:val="0"/>
        <w:numPr>
          <w:ilvl w:val="0"/>
          <w:numId w:val="51"/>
        </w:numPr>
        <w:shd w:val="clear" w:color="auto" w:fill="auto"/>
        <w:tabs>
          <w:tab w:pos="682" w:val="left"/>
        </w:tabs>
        <w:bidi w:val="0"/>
        <w:spacing w:before="0" w:after="0" w:line="360" w:lineRule="auto"/>
        <w:ind w:left="0" w:right="0" w:firstLine="360"/>
        <w:jc w:val="both"/>
      </w:pPr>
      <w:bookmarkStart w:id="882" w:name="bookmark882"/>
      <w:bookmarkEnd w:id="882"/>
      <w:r>
        <w:rPr>
          <w:color w:val="000000"/>
          <w:spacing w:val="0"/>
          <w:w w:val="100"/>
          <w:position w:val="0"/>
        </w:rPr>
        <w:t>金融工具减值</w:t>
      </w:r>
    </w:p>
    <w:p>
      <w:pPr>
        <w:pStyle w:val="Style16"/>
        <w:keepNext w:val="0"/>
        <w:keepLines w:val="0"/>
        <w:widowControl w:val="0"/>
        <w:shd w:val="clear" w:color="auto" w:fill="auto"/>
        <w:bidi w:val="0"/>
        <w:spacing w:before="0" w:after="0" w:line="316" w:lineRule="exact"/>
        <w:ind w:left="0" w:right="0" w:firstLine="360"/>
        <w:jc w:val="both"/>
      </w:pPr>
      <w:r>
        <w:rPr>
          <w:color w:val="000000"/>
          <w:spacing w:val="0"/>
          <w:w w:val="100"/>
          <w:position w:val="0"/>
        </w:rPr>
        <w:t xml:space="preserve">本公司对以摊余成本计量的金融资产、分类为以公允价值计量且其变动计入其他综合收益的金融资产、租赁应收款、合 同资产、不属于以公允价值计量且其变动计入当期损益的金融负债的贷款承诺、不属于以公允价值计量且其变动计入当期损 益的金融负债以及因金融资产转移不符合终止确认条件或继续涉入被转移金融资产所形成金融负债的财务担保合同以预期 </w:t>
      </w:r>
      <w:r>
        <w:rPr>
          <w:color w:val="000000"/>
          <w:spacing w:val="0"/>
          <w:w w:val="100"/>
          <w:position w:val="0"/>
        </w:rPr>
        <w:t>信用损失为基础进行减值会计处理并确认损失准备。</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对由收入准则规范的交易形成的应收款项、合同资产以及租赁应收款，本公司运用简化计量方法，按照相当于整个存续 期内预期信用损失的金额计量损失准备。</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16"/>
        <w:keepNext w:val="0"/>
        <w:keepLines w:val="0"/>
        <w:widowControl w:val="0"/>
        <w:shd w:val="clear" w:color="auto" w:fill="auto"/>
        <w:tabs>
          <w:tab w:pos="874" w:val="left"/>
        </w:tabs>
        <w:bidi w:val="0"/>
        <w:spacing w:before="0" w:after="0" w:line="315" w:lineRule="exact"/>
        <w:ind w:left="0" w:right="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如果该金融工具的信用风险自初始确认后并未显著增加，处于第一阶段，则按照相当于该金融工具未来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 预期信用损失的金额计量其损失准备，并按照账面余额和实际利率计算利息收入。</w:t>
      </w:r>
    </w:p>
    <w:p>
      <w:pPr>
        <w:pStyle w:val="Style16"/>
        <w:keepNext w:val="0"/>
        <w:keepLines w:val="0"/>
        <w:widowControl w:val="0"/>
        <w:shd w:val="clear" w:color="auto" w:fill="auto"/>
        <w:tabs>
          <w:tab w:pos="869" w:val="left"/>
        </w:tabs>
        <w:bidi w:val="0"/>
        <w:spacing w:before="0" w:after="0" w:line="315" w:lineRule="exact"/>
        <w:ind w:left="0" w:right="0"/>
        <w:jc w:val="both"/>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如果该金融工具的信用风险自初始确认后已显著增加但尚未发生信用减值的，处于第二阶段，则按照相当于该金 融工具整个存续期内预期信用损失的金额计量其损失准备，并按照账面余额和实际利率计算利息收入。</w:t>
      </w:r>
    </w:p>
    <w:p>
      <w:pPr>
        <w:pStyle w:val="Style16"/>
        <w:keepNext w:val="0"/>
        <w:keepLines w:val="0"/>
        <w:widowControl w:val="0"/>
        <w:shd w:val="clear" w:color="auto" w:fill="auto"/>
        <w:tabs>
          <w:tab w:pos="874" w:val="left"/>
        </w:tabs>
        <w:bidi w:val="0"/>
        <w:spacing w:before="0" w:after="0" w:line="315" w:lineRule="exact"/>
        <w:ind w:left="0" w:right="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如果该金融工具自初始确认后已经发生信用减值的，处于第三阶段，本公司按照相当于该金融工具整个存续期内 预期信用损失的金额计量其损失准备，并按照摊余成本和实际利率计算利息收入。</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金融工具信用损失准备的增加或转回金额，作为减值损失或利得计入当期损益。除分类为以公允价值计量且其变动计入 其他综合收益的金融资产外，信用损失准备抵减金融资产的账面余额。对于分类为以公允价值计量且其变动计入其他综合收 益的金融资产，本公司在其他综合收益中确认其信用损失准备，不减少该金融资产在资产负债表中列示的账面价值。</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内预期信用损失的金额计量该金融工具的损失准备，由此形成的损失准备的转回金额作为减值利得计入当期损益。</w:t>
      </w:r>
    </w:p>
    <w:p>
      <w:pPr>
        <w:pStyle w:val="Style16"/>
        <w:keepNext w:val="0"/>
        <w:keepLines w:val="0"/>
        <w:widowControl w:val="0"/>
        <w:shd w:val="clear" w:color="auto" w:fill="auto"/>
        <w:tabs>
          <w:tab w:pos="798" w:val="left"/>
        </w:tabs>
        <w:bidi w:val="0"/>
        <w:spacing w:before="0" w:after="0" w:line="315" w:lineRule="exact"/>
        <w:ind w:left="0" w:right="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信用风险显著增加</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本公司利用可获得的合理且有依据的前瞻性信息，通过比较金融工具在资产负债表日发生违约的风险与在初始确认日发 生违约的风险，以确定金融工具的信用风险自初始确认后是否已显著增加。对于财务担保合同，本公司在应用金融工具减值 规定时，将本公司成为做出不可撤销承诺的一方之日作为初始确认日。</w:t>
      </w:r>
    </w:p>
    <w:p>
      <w:pPr>
        <w:pStyle w:val="Style16"/>
        <w:keepNext w:val="0"/>
        <w:keepLines w:val="0"/>
        <w:widowControl w:val="0"/>
        <w:shd w:val="clear" w:color="auto" w:fill="auto"/>
        <w:bidi w:val="0"/>
        <w:spacing w:before="0" w:after="120" w:line="315" w:lineRule="exact"/>
        <w:ind w:left="0" w:right="0"/>
        <w:jc w:val="both"/>
      </w:pPr>
      <w:r>
        <w:rPr>
          <w:color w:val="000000"/>
          <w:spacing w:val="0"/>
          <w:w w:val="100"/>
          <w:position w:val="0"/>
        </w:rPr>
        <w:t>本公司在评估信用风险是否显著增加时会考虑如下因素：</w:t>
      </w:r>
    </w:p>
    <w:p>
      <w:pPr>
        <w:pStyle w:val="Style16"/>
        <w:keepNext w:val="0"/>
        <w:keepLines w:val="0"/>
        <w:widowControl w:val="0"/>
        <w:shd w:val="clear" w:color="auto" w:fill="auto"/>
        <w:tabs>
          <w:tab w:pos="702" w:val="left"/>
        </w:tabs>
        <w:bidi w:val="0"/>
        <w:spacing w:before="0" w:after="0" w:line="360" w:lineRule="auto"/>
        <w:ind w:left="0" w:right="0"/>
        <w:jc w:val="both"/>
      </w:pPr>
      <w:bookmarkStart w:id="887" w:name="bookmark887"/>
      <w:r>
        <w:rPr>
          <w:rFonts w:ascii="Times New Roman" w:eastAsia="Times New Roman" w:hAnsi="Times New Roman" w:cs="Times New Roman"/>
          <w:color w:val="000000"/>
          <w:spacing w:val="0"/>
          <w:w w:val="100"/>
          <w:position w:val="0"/>
          <w:sz w:val="18"/>
          <w:szCs w:val="18"/>
        </w:rPr>
        <w:t>1</w:t>
      </w:r>
      <w:bookmarkEnd w:id="887"/>
      <w:r>
        <w:rPr>
          <w:color w:val="000000"/>
          <w:spacing w:val="0"/>
          <w:w w:val="100"/>
          <w:position w:val="0"/>
        </w:rPr>
        <w:t>）</w:t>
        <w:tab/>
        <w:t>债务人经营成果实际或预期是否发生显著变化；</w:t>
      </w:r>
    </w:p>
    <w:p>
      <w:pPr>
        <w:pStyle w:val="Style16"/>
        <w:keepNext w:val="0"/>
        <w:keepLines w:val="0"/>
        <w:widowControl w:val="0"/>
        <w:shd w:val="clear" w:color="auto" w:fill="auto"/>
        <w:tabs>
          <w:tab w:pos="721" w:val="left"/>
        </w:tabs>
        <w:bidi w:val="0"/>
        <w:spacing w:before="0" w:after="0" w:line="360" w:lineRule="auto"/>
        <w:ind w:left="0" w:right="0"/>
        <w:jc w:val="both"/>
      </w:pPr>
      <w:bookmarkStart w:id="888" w:name="bookmark888"/>
      <w:r>
        <w:rPr>
          <w:rFonts w:ascii="Times New Roman" w:eastAsia="Times New Roman" w:hAnsi="Times New Roman" w:cs="Times New Roman"/>
          <w:color w:val="000000"/>
          <w:spacing w:val="0"/>
          <w:w w:val="100"/>
          <w:position w:val="0"/>
          <w:sz w:val="18"/>
          <w:szCs w:val="18"/>
        </w:rPr>
        <w:t>2</w:t>
      </w:r>
      <w:bookmarkEnd w:id="888"/>
      <w:r>
        <w:rPr>
          <w:color w:val="000000"/>
          <w:spacing w:val="0"/>
          <w:w w:val="100"/>
          <w:position w:val="0"/>
        </w:rPr>
        <w:t>）</w:t>
        <w:tab/>
        <w:t>债务人所处的监管、经济或技术环境是否发生显著不利变化；</w:t>
      </w:r>
    </w:p>
    <w:p>
      <w:pPr>
        <w:pStyle w:val="Style16"/>
        <w:keepNext w:val="0"/>
        <w:keepLines w:val="0"/>
        <w:widowControl w:val="0"/>
        <w:shd w:val="clear" w:color="auto" w:fill="auto"/>
        <w:tabs>
          <w:tab w:pos="701" w:val="left"/>
        </w:tabs>
        <w:bidi w:val="0"/>
        <w:spacing w:before="0" w:after="120" w:line="315" w:lineRule="exact"/>
        <w:ind w:left="0" w:right="0"/>
        <w:jc w:val="both"/>
      </w:pPr>
      <w:bookmarkStart w:id="889" w:name="bookmark889"/>
      <w:r>
        <w:rPr>
          <w:rFonts w:ascii="Times New Roman" w:eastAsia="Times New Roman" w:hAnsi="Times New Roman" w:cs="Times New Roman"/>
          <w:color w:val="000000"/>
          <w:spacing w:val="0"/>
          <w:w w:val="100"/>
          <w:position w:val="0"/>
          <w:sz w:val="18"/>
          <w:szCs w:val="18"/>
        </w:rPr>
        <w:t>3</w:t>
      </w:r>
      <w:bookmarkEnd w:id="889"/>
      <w:r>
        <w:rPr>
          <w:color w:val="000000"/>
          <w:spacing w:val="0"/>
          <w:w w:val="100"/>
          <w:position w:val="0"/>
        </w:rPr>
        <w:t>）</w:t>
        <w:tab/>
        <w:t>作为债务抵押的担保物价值或第三方提供的担保或信用增级质量是否发生显著变化，这些变化预期将降低债务人按 合同规定期限还款的经济动机或者影响违约概率；</w:t>
      </w:r>
    </w:p>
    <w:p>
      <w:pPr>
        <w:pStyle w:val="Style16"/>
        <w:keepNext w:val="0"/>
        <w:keepLines w:val="0"/>
        <w:widowControl w:val="0"/>
        <w:shd w:val="clear" w:color="auto" w:fill="auto"/>
        <w:tabs>
          <w:tab w:pos="721" w:val="left"/>
        </w:tabs>
        <w:bidi w:val="0"/>
        <w:spacing w:before="0" w:after="0" w:line="360" w:lineRule="auto"/>
        <w:ind w:left="0" w:right="0"/>
        <w:jc w:val="both"/>
      </w:pPr>
      <w:bookmarkStart w:id="890" w:name="bookmark890"/>
      <w:r>
        <w:rPr>
          <w:rFonts w:ascii="Times New Roman" w:eastAsia="Times New Roman" w:hAnsi="Times New Roman" w:cs="Times New Roman"/>
          <w:color w:val="000000"/>
          <w:spacing w:val="0"/>
          <w:w w:val="100"/>
          <w:position w:val="0"/>
          <w:sz w:val="18"/>
          <w:szCs w:val="18"/>
        </w:rPr>
        <w:t>4</w:t>
      </w:r>
      <w:bookmarkEnd w:id="890"/>
      <w:r>
        <w:rPr>
          <w:color w:val="000000"/>
          <w:spacing w:val="0"/>
          <w:w w:val="100"/>
          <w:position w:val="0"/>
        </w:rPr>
        <w:t>）</w:t>
        <w:tab/>
        <w:t>债务人预期表现和还款行为是否发生显著变化；</w:t>
      </w:r>
    </w:p>
    <w:p>
      <w:pPr>
        <w:pStyle w:val="Style16"/>
        <w:keepNext w:val="0"/>
        <w:keepLines w:val="0"/>
        <w:widowControl w:val="0"/>
        <w:shd w:val="clear" w:color="auto" w:fill="auto"/>
        <w:tabs>
          <w:tab w:pos="721" w:val="left"/>
        </w:tabs>
        <w:bidi w:val="0"/>
        <w:spacing w:before="0" w:after="0" w:line="360" w:lineRule="auto"/>
        <w:ind w:left="0" w:right="0"/>
        <w:jc w:val="both"/>
      </w:pPr>
      <w:bookmarkStart w:id="891" w:name="bookmark891"/>
      <w:r>
        <w:rPr>
          <w:rFonts w:ascii="Times New Roman" w:eastAsia="Times New Roman" w:hAnsi="Times New Roman" w:cs="Times New Roman"/>
          <w:color w:val="000000"/>
          <w:spacing w:val="0"/>
          <w:w w:val="100"/>
          <w:position w:val="0"/>
          <w:sz w:val="18"/>
          <w:szCs w:val="18"/>
        </w:rPr>
        <w:t>5</w:t>
      </w:r>
      <w:bookmarkEnd w:id="891"/>
      <w:r>
        <w:rPr>
          <w:color w:val="000000"/>
          <w:spacing w:val="0"/>
          <w:w w:val="100"/>
          <w:position w:val="0"/>
        </w:rPr>
        <w:t>）</w:t>
        <w:tab/>
        <w:t>本公司对金融工具信用管理方法是否发生变化等。</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济形势和经营环境存在不利变化，但未必一定降低借款人履行其合同现金流量义务的能力，则该金融工具被视为具有较低的 信用风险。</w:t>
      </w:r>
    </w:p>
    <w:p>
      <w:pPr>
        <w:pStyle w:val="Style16"/>
        <w:keepNext w:val="0"/>
        <w:keepLines w:val="0"/>
        <w:widowControl w:val="0"/>
        <w:shd w:val="clear" w:color="auto" w:fill="auto"/>
        <w:tabs>
          <w:tab w:pos="798" w:val="left"/>
        </w:tabs>
        <w:bidi w:val="0"/>
        <w:spacing w:before="0" w:after="0" w:line="315" w:lineRule="exact"/>
        <w:ind w:left="0" w:right="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已发生信用减值的金融资产</w:t>
      </w:r>
    </w:p>
    <w:p>
      <w:pPr>
        <w:pStyle w:val="Style16"/>
        <w:keepNext w:val="0"/>
        <w:keepLines w:val="0"/>
        <w:widowControl w:val="0"/>
        <w:shd w:val="clear" w:color="auto" w:fill="auto"/>
        <w:bidi w:val="0"/>
        <w:spacing w:before="0" w:after="120" w:line="315" w:lineRule="exact"/>
        <w:ind w:left="0" w:right="0"/>
        <w:jc w:val="both"/>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16"/>
        <w:keepNext w:val="0"/>
        <w:keepLines w:val="0"/>
        <w:widowControl w:val="0"/>
        <w:shd w:val="clear" w:color="auto" w:fill="auto"/>
        <w:tabs>
          <w:tab w:pos="702" w:val="left"/>
        </w:tabs>
        <w:bidi w:val="0"/>
        <w:spacing w:before="0" w:after="0" w:line="360" w:lineRule="auto"/>
        <w:ind w:left="0" w:right="0"/>
        <w:jc w:val="both"/>
      </w:pPr>
      <w:bookmarkStart w:id="893" w:name="bookmark893"/>
      <w:r>
        <w:rPr>
          <w:rFonts w:ascii="Times New Roman" w:eastAsia="Times New Roman" w:hAnsi="Times New Roman" w:cs="Times New Roman"/>
          <w:color w:val="000000"/>
          <w:spacing w:val="0"/>
          <w:w w:val="100"/>
          <w:position w:val="0"/>
          <w:sz w:val="18"/>
          <w:szCs w:val="18"/>
        </w:rPr>
        <w:t>1</w:t>
      </w:r>
      <w:bookmarkEnd w:id="893"/>
      <w:r>
        <w:rPr>
          <w:color w:val="000000"/>
          <w:spacing w:val="0"/>
          <w:w w:val="100"/>
          <w:position w:val="0"/>
        </w:rPr>
        <w:t>）</w:t>
        <w:tab/>
        <w:t>发行方或债务人发生重大财务困难；</w:t>
      </w:r>
    </w:p>
    <w:p>
      <w:pPr>
        <w:pStyle w:val="Style16"/>
        <w:keepNext w:val="0"/>
        <w:keepLines w:val="0"/>
        <w:widowControl w:val="0"/>
        <w:shd w:val="clear" w:color="auto" w:fill="auto"/>
        <w:tabs>
          <w:tab w:pos="721" w:val="left"/>
        </w:tabs>
        <w:bidi w:val="0"/>
        <w:spacing w:before="0" w:after="120" w:line="360" w:lineRule="auto"/>
        <w:ind w:left="0" w:right="0"/>
        <w:jc w:val="both"/>
      </w:pPr>
      <w:bookmarkStart w:id="894" w:name="bookmark894"/>
      <w:r>
        <w:rPr>
          <w:rFonts w:ascii="Times New Roman" w:eastAsia="Times New Roman" w:hAnsi="Times New Roman" w:cs="Times New Roman"/>
          <w:color w:val="000000"/>
          <w:spacing w:val="0"/>
          <w:w w:val="100"/>
          <w:position w:val="0"/>
          <w:sz w:val="18"/>
          <w:szCs w:val="18"/>
        </w:rPr>
        <w:t>2</w:t>
      </w:r>
      <w:bookmarkEnd w:id="894"/>
      <w:r>
        <w:rPr>
          <w:color w:val="000000"/>
          <w:spacing w:val="0"/>
          <w:w w:val="100"/>
          <w:position w:val="0"/>
        </w:rPr>
        <w:t>）</w:t>
        <w:tab/>
        <w:t>债务人违反合同，如偿付利息或本金违约或逾期等；</w:t>
      </w:r>
    </w:p>
    <w:p>
      <w:pPr>
        <w:pStyle w:val="Style16"/>
        <w:keepNext w:val="0"/>
        <w:keepLines w:val="0"/>
        <w:widowControl w:val="0"/>
        <w:shd w:val="clear" w:color="auto" w:fill="auto"/>
        <w:tabs>
          <w:tab w:pos="738" w:val="left"/>
        </w:tabs>
        <w:bidi w:val="0"/>
        <w:spacing w:before="0" w:after="0" w:line="315" w:lineRule="exact"/>
        <w:ind w:left="0" w:right="0"/>
        <w:jc w:val="both"/>
      </w:pPr>
      <w:bookmarkStart w:id="895" w:name="bookmark895"/>
      <w:r>
        <w:rPr>
          <w:rFonts w:ascii="Times New Roman" w:eastAsia="Times New Roman" w:hAnsi="Times New Roman" w:cs="Times New Roman"/>
          <w:color w:val="000000"/>
          <w:spacing w:val="0"/>
          <w:w w:val="100"/>
          <w:position w:val="0"/>
          <w:sz w:val="18"/>
          <w:szCs w:val="18"/>
        </w:rPr>
        <w:t>3</w:t>
      </w:r>
      <w:bookmarkEnd w:id="895"/>
      <w:r>
        <w:rPr>
          <w:color w:val="000000"/>
          <w:spacing w:val="0"/>
          <w:w w:val="100"/>
          <w:position w:val="0"/>
        </w:rPr>
        <w:t>）</w:t>
        <w:tab/>
        <w:t>债权人出于与债务人财务困难有关的经济或合同考虑，给予债务人在任何其他情况下都不会做出的让步；</w:t>
      </w:r>
    </w:p>
    <w:p>
      <w:pPr>
        <w:pStyle w:val="Style16"/>
        <w:keepNext w:val="0"/>
        <w:keepLines w:val="0"/>
        <w:widowControl w:val="0"/>
        <w:shd w:val="clear" w:color="auto" w:fill="auto"/>
        <w:tabs>
          <w:tab w:pos="748" w:val="left"/>
        </w:tabs>
        <w:bidi w:val="0"/>
        <w:spacing w:before="0" w:after="0" w:line="315" w:lineRule="exact"/>
        <w:ind w:left="0" w:right="0"/>
        <w:jc w:val="both"/>
      </w:pPr>
      <w:bookmarkStart w:id="896" w:name="bookmark896"/>
      <w:r>
        <w:rPr>
          <w:rFonts w:ascii="Times New Roman" w:eastAsia="Times New Roman" w:hAnsi="Times New Roman" w:cs="Times New Roman"/>
          <w:color w:val="000000"/>
          <w:spacing w:val="0"/>
          <w:w w:val="100"/>
          <w:position w:val="0"/>
          <w:sz w:val="18"/>
          <w:szCs w:val="18"/>
        </w:rPr>
        <w:t>4</w:t>
      </w:r>
      <w:bookmarkEnd w:id="896"/>
      <w:r>
        <w:rPr>
          <w:color w:val="000000"/>
          <w:spacing w:val="0"/>
          <w:w w:val="100"/>
          <w:position w:val="0"/>
        </w:rPr>
        <w:t>）</w:t>
        <w:tab/>
        <w:t>债务人很可能破产或进行其他财务重组；</w:t>
      </w:r>
    </w:p>
    <w:p>
      <w:pPr>
        <w:pStyle w:val="Style16"/>
        <w:keepNext w:val="0"/>
        <w:keepLines w:val="0"/>
        <w:widowControl w:val="0"/>
        <w:shd w:val="clear" w:color="auto" w:fill="auto"/>
        <w:tabs>
          <w:tab w:pos="748" w:val="left"/>
        </w:tabs>
        <w:bidi w:val="0"/>
        <w:spacing w:before="0" w:after="0" w:line="315" w:lineRule="exact"/>
        <w:ind w:left="0" w:right="0"/>
        <w:jc w:val="both"/>
      </w:pPr>
      <w:bookmarkStart w:id="897" w:name="bookmark897"/>
      <w:r>
        <w:rPr>
          <w:rFonts w:ascii="Times New Roman" w:eastAsia="Times New Roman" w:hAnsi="Times New Roman" w:cs="Times New Roman"/>
          <w:color w:val="000000"/>
          <w:spacing w:val="0"/>
          <w:w w:val="100"/>
          <w:position w:val="0"/>
          <w:sz w:val="18"/>
          <w:szCs w:val="18"/>
        </w:rPr>
        <w:t>5</w:t>
      </w:r>
      <w:bookmarkEnd w:id="897"/>
      <w:r>
        <w:rPr>
          <w:color w:val="000000"/>
          <w:spacing w:val="0"/>
          <w:w w:val="100"/>
          <w:position w:val="0"/>
        </w:rPr>
        <w:t>）</w:t>
        <w:tab/>
        <w:t>发行方或债务人财务困难导致该金融资产的活跃市场消失；</w:t>
      </w:r>
    </w:p>
    <w:p>
      <w:pPr>
        <w:pStyle w:val="Style16"/>
        <w:keepNext w:val="0"/>
        <w:keepLines w:val="0"/>
        <w:widowControl w:val="0"/>
        <w:shd w:val="clear" w:color="auto" w:fill="auto"/>
        <w:tabs>
          <w:tab w:pos="748" w:val="left"/>
        </w:tabs>
        <w:bidi w:val="0"/>
        <w:spacing w:before="0" w:after="0" w:line="315" w:lineRule="exact"/>
        <w:ind w:left="0" w:right="0"/>
        <w:jc w:val="both"/>
      </w:pPr>
      <w:bookmarkStart w:id="898" w:name="bookmark898"/>
      <w:r>
        <w:rPr>
          <w:rFonts w:ascii="Times New Roman" w:eastAsia="Times New Roman" w:hAnsi="Times New Roman" w:cs="Times New Roman"/>
          <w:color w:val="000000"/>
          <w:spacing w:val="0"/>
          <w:w w:val="100"/>
          <w:position w:val="0"/>
          <w:sz w:val="18"/>
          <w:szCs w:val="18"/>
        </w:rPr>
        <w:t>6</w:t>
      </w:r>
      <w:bookmarkEnd w:id="898"/>
      <w:r>
        <w:rPr>
          <w:color w:val="000000"/>
          <w:spacing w:val="0"/>
          <w:w w:val="100"/>
          <w:position w:val="0"/>
        </w:rPr>
        <w:t>）</w:t>
        <w:tab/>
        <w:t>以大幅折扣购买或源生一项金融资产，该折扣反映了发生信用损失的事实。</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金融资产发生信用减值，有可能是多个事件的共同作用所致，未必是可单独识别的事件所致。</w:t>
      </w:r>
    </w:p>
    <w:p>
      <w:pPr>
        <w:pStyle w:val="Style16"/>
        <w:keepNext w:val="0"/>
        <w:keepLines w:val="0"/>
        <w:widowControl w:val="0"/>
        <w:shd w:val="clear" w:color="auto" w:fill="auto"/>
        <w:tabs>
          <w:tab w:pos="825" w:val="left"/>
        </w:tabs>
        <w:bidi w:val="0"/>
        <w:spacing w:before="0" w:after="0" w:line="315" w:lineRule="exact"/>
        <w:ind w:left="0" w:right="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预期信用损失的确定</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本公司以共同信用风险特征为依据，将金融工具分为不同组合。本公司采用的共同信用风险特征包括：金融工具类型、 信用风险评级、账龄组合等。相关金融工具的单项评估标准和组合信用风险特征详见相关金融工具的会计政策。</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本公司按照下列方法确定相关金融工具的预期信用损失：</w:t>
      </w:r>
    </w:p>
    <w:p>
      <w:pPr>
        <w:pStyle w:val="Style16"/>
        <w:keepNext w:val="0"/>
        <w:keepLines w:val="0"/>
        <w:widowControl w:val="0"/>
        <w:shd w:val="clear" w:color="auto" w:fill="auto"/>
        <w:tabs>
          <w:tab w:pos="729" w:val="left"/>
        </w:tabs>
        <w:bidi w:val="0"/>
        <w:spacing w:before="0" w:after="0" w:line="315" w:lineRule="exact"/>
        <w:ind w:left="0" w:right="0"/>
        <w:jc w:val="left"/>
      </w:pPr>
      <w:bookmarkStart w:id="900" w:name="bookmark900"/>
      <w:r>
        <w:rPr>
          <w:rFonts w:ascii="Times New Roman" w:eastAsia="Times New Roman" w:hAnsi="Times New Roman" w:cs="Times New Roman"/>
          <w:color w:val="000000"/>
          <w:spacing w:val="0"/>
          <w:w w:val="100"/>
          <w:position w:val="0"/>
          <w:sz w:val="18"/>
          <w:szCs w:val="18"/>
        </w:rPr>
        <w:t>1</w:t>
      </w:r>
      <w:bookmarkEnd w:id="900"/>
      <w:r>
        <w:rPr>
          <w:color w:val="000000"/>
          <w:spacing w:val="0"/>
          <w:w w:val="100"/>
          <w:position w:val="0"/>
        </w:rPr>
        <w:t>）</w:t>
        <w:tab/>
        <w:t>对于金融资产，信用损失为本公司应收取的合同现金流量与预期收取的现金流量之间差额的现值。</w:t>
      </w:r>
    </w:p>
    <w:p>
      <w:pPr>
        <w:pStyle w:val="Style16"/>
        <w:keepNext w:val="0"/>
        <w:keepLines w:val="0"/>
        <w:widowControl w:val="0"/>
        <w:shd w:val="clear" w:color="auto" w:fill="auto"/>
        <w:tabs>
          <w:tab w:pos="748" w:val="left"/>
        </w:tabs>
        <w:bidi w:val="0"/>
        <w:spacing w:before="0" w:after="0" w:line="315" w:lineRule="exact"/>
        <w:ind w:left="0" w:right="0"/>
        <w:jc w:val="left"/>
      </w:pPr>
      <w:bookmarkStart w:id="901" w:name="bookmark901"/>
      <w:r>
        <w:rPr>
          <w:rFonts w:ascii="Times New Roman" w:eastAsia="Times New Roman" w:hAnsi="Times New Roman" w:cs="Times New Roman"/>
          <w:color w:val="000000"/>
          <w:spacing w:val="0"/>
          <w:w w:val="100"/>
          <w:position w:val="0"/>
          <w:sz w:val="18"/>
          <w:szCs w:val="18"/>
        </w:rPr>
        <w:t>2</w:t>
      </w:r>
      <w:bookmarkEnd w:id="901"/>
      <w:r>
        <w:rPr>
          <w:color w:val="000000"/>
          <w:spacing w:val="0"/>
          <w:w w:val="100"/>
          <w:position w:val="0"/>
        </w:rPr>
        <w:t>）</w:t>
        <w:tab/>
        <w:t>对于租赁应收款项，信用损失为本公司应收取的合同现金流量与预期收取的现金流量之间差额的现值。</w:t>
      </w:r>
    </w:p>
    <w:p>
      <w:pPr>
        <w:pStyle w:val="Style16"/>
        <w:keepNext w:val="0"/>
        <w:keepLines w:val="0"/>
        <w:widowControl w:val="0"/>
        <w:shd w:val="clear" w:color="auto" w:fill="auto"/>
        <w:tabs>
          <w:tab w:pos="728" w:val="left"/>
        </w:tabs>
        <w:bidi w:val="0"/>
        <w:spacing w:before="0" w:after="0" w:line="315" w:lineRule="exact"/>
        <w:ind w:left="0" w:right="0"/>
        <w:jc w:val="left"/>
      </w:pPr>
      <w:bookmarkStart w:id="902" w:name="bookmark902"/>
      <w:r>
        <w:rPr>
          <w:rFonts w:ascii="Times New Roman" w:eastAsia="Times New Roman" w:hAnsi="Times New Roman" w:cs="Times New Roman"/>
          <w:color w:val="000000"/>
          <w:spacing w:val="0"/>
          <w:w w:val="100"/>
          <w:position w:val="0"/>
          <w:sz w:val="18"/>
          <w:szCs w:val="18"/>
        </w:rPr>
        <w:t>3</w:t>
      </w:r>
      <w:bookmarkEnd w:id="902"/>
      <w:r>
        <w:rPr>
          <w:color w:val="000000"/>
          <w:spacing w:val="0"/>
          <w:w w:val="100"/>
          <w:position w:val="0"/>
        </w:rPr>
        <w:t>）</w:t>
        <w:tab/>
        <w:t>对于财务担保合同，信用损失为本公司就该合同持有人发生的信用损失向其做出赔付的预计付款额，减去本公司预 期向该合同持有人、债务人或任何其他方收取的金额之间差额的现值。</w:t>
      </w:r>
    </w:p>
    <w:p>
      <w:pPr>
        <w:pStyle w:val="Style16"/>
        <w:keepNext w:val="0"/>
        <w:keepLines w:val="0"/>
        <w:widowControl w:val="0"/>
        <w:shd w:val="clear" w:color="auto" w:fill="auto"/>
        <w:tabs>
          <w:tab w:pos="714" w:val="left"/>
        </w:tabs>
        <w:bidi w:val="0"/>
        <w:spacing w:before="0" w:after="0" w:line="315" w:lineRule="exact"/>
        <w:ind w:left="0" w:right="0"/>
        <w:jc w:val="left"/>
      </w:pPr>
      <w:bookmarkStart w:id="903" w:name="bookmark903"/>
      <w:r>
        <w:rPr>
          <w:rFonts w:ascii="Times New Roman" w:eastAsia="Times New Roman" w:hAnsi="Times New Roman" w:cs="Times New Roman"/>
          <w:color w:val="000000"/>
          <w:spacing w:val="0"/>
          <w:w w:val="100"/>
          <w:position w:val="0"/>
          <w:sz w:val="18"/>
          <w:szCs w:val="18"/>
        </w:rPr>
        <w:t>4</w:t>
      </w:r>
      <w:bookmarkEnd w:id="903"/>
      <w:r>
        <w:rPr>
          <w:color w:val="000000"/>
          <w:spacing w:val="0"/>
          <w:w w:val="100"/>
          <w:position w:val="0"/>
        </w:rPr>
        <w:t>）</w:t>
        <w:tab/>
        <w:t>对于资产负债表日已发生信用减值但并非购买或源生已发生信用减值的金融资产，信用损失为该金融资产账面余额 与按原实际利率折现的估计未来现金流量的现值之间的差额。</w:t>
      </w:r>
    </w:p>
    <w:p>
      <w:pPr>
        <w:pStyle w:val="Style16"/>
        <w:keepNext w:val="0"/>
        <w:keepLines w:val="0"/>
        <w:widowControl w:val="0"/>
        <w:shd w:val="clear" w:color="auto" w:fill="auto"/>
        <w:bidi w:val="0"/>
        <w:spacing w:before="0" w:after="0" w:line="315" w:lineRule="exact"/>
        <w:ind w:left="0" w:right="0"/>
        <w:jc w:val="left"/>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16"/>
        <w:keepNext w:val="0"/>
        <w:keepLines w:val="0"/>
        <w:widowControl w:val="0"/>
        <w:shd w:val="clear" w:color="auto" w:fill="auto"/>
        <w:tabs>
          <w:tab w:pos="825" w:val="left"/>
        </w:tabs>
        <w:bidi w:val="0"/>
        <w:spacing w:before="0" w:after="0" w:line="315" w:lineRule="exact"/>
        <w:ind w:left="0" w:right="0"/>
        <w:jc w:val="left"/>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减记金融资产</w:t>
      </w:r>
    </w:p>
    <w:p>
      <w:pPr>
        <w:pStyle w:val="Style16"/>
        <w:keepNext w:val="0"/>
        <w:keepLines w:val="0"/>
        <w:widowControl w:val="0"/>
        <w:shd w:val="clear" w:color="auto" w:fill="auto"/>
        <w:bidi w:val="0"/>
        <w:spacing w:before="0" w:after="0" w:line="315" w:lineRule="exact"/>
        <w:ind w:left="0" w:right="0"/>
        <w:jc w:val="left"/>
      </w:pPr>
      <w:r>
        <w:rPr>
          <w:color w:val="000000"/>
          <w:spacing w:val="0"/>
          <w:w w:val="100"/>
          <w:position w:val="0"/>
        </w:rPr>
        <w:t>当本公司不再合理预期金融资产合同现金流量能够全部或部分收回的，直接减记该金融资产的账面余额。这种减记构成 相关金融资产的终止确认。</w:t>
      </w:r>
    </w:p>
    <w:p>
      <w:pPr>
        <w:pStyle w:val="Style16"/>
        <w:keepNext w:val="0"/>
        <w:keepLines w:val="0"/>
        <w:widowControl w:val="0"/>
        <w:numPr>
          <w:ilvl w:val="0"/>
          <w:numId w:val="51"/>
        </w:numPr>
        <w:shd w:val="clear" w:color="auto" w:fill="auto"/>
        <w:bidi w:val="0"/>
        <w:spacing w:before="0" w:after="0" w:line="315" w:lineRule="exact"/>
        <w:ind w:left="0" w:right="0"/>
        <w:jc w:val="left"/>
      </w:pPr>
      <w:bookmarkStart w:id="905" w:name="bookmark905"/>
      <w:bookmarkEnd w:id="905"/>
      <w:r>
        <w:rPr>
          <w:color w:val="000000"/>
          <w:spacing w:val="0"/>
          <w:w w:val="100"/>
          <w:position w:val="0"/>
        </w:rPr>
        <w:t>金融资产及金融负债的抵销</w:t>
      </w:r>
    </w:p>
    <w:p>
      <w:pPr>
        <w:pStyle w:val="Style16"/>
        <w:keepNext w:val="0"/>
        <w:keepLines w:val="0"/>
        <w:widowControl w:val="0"/>
        <w:shd w:val="clear" w:color="auto" w:fill="auto"/>
        <w:bidi w:val="0"/>
        <w:spacing w:before="0" w:after="0" w:line="315" w:lineRule="exact"/>
        <w:ind w:left="0" w:right="0"/>
        <w:jc w:val="left"/>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16"/>
        <w:keepNext w:val="0"/>
        <w:keepLines w:val="0"/>
        <w:widowControl w:val="0"/>
        <w:shd w:val="clear" w:color="auto" w:fill="auto"/>
        <w:tabs>
          <w:tab w:pos="825" w:val="left"/>
        </w:tabs>
        <w:bidi w:val="0"/>
        <w:spacing w:before="0" w:after="0" w:line="315" w:lineRule="exact"/>
        <w:ind w:left="0" w:right="0"/>
        <w:jc w:val="left"/>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本公司具有抵销已确认金额的法定权利，且该种法定权利是当前可执行的；</w:t>
      </w:r>
    </w:p>
    <w:p>
      <w:pPr>
        <w:pStyle w:val="Style16"/>
        <w:keepNext w:val="0"/>
        <w:keepLines w:val="0"/>
        <w:widowControl w:val="0"/>
        <w:shd w:val="clear" w:color="auto" w:fill="auto"/>
        <w:tabs>
          <w:tab w:pos="825" w:val="left"/>
        </w:tabs>
        <w:bidi w:val="0"/>
        <w:spacing w:before="0" w:after="400" w:line="315" w:lineRule="exact"/>
        <w:ind w:left="0" w:right="0"/>
        <w:jc w:val="left"/>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本公司计划以净额结算，或同时变现该金融资产和清偿该金融负债。</w:t>
      </w:r>
    </w:p>
    <w:p>
      <w:pPr>
        <w:pStyle w:val="Style27"/>
        <w:keepNext/>
        <w:keepLines/>
        <w:widowControl w:val="0"/>
        <w:shd w:val="clear" w:color="auto" w:fill="auto"/>
        <w:bidi w:val="0"/>
        <w:spacing w:before="0" w:after="24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w:t>
      </w:r>
      <w:bookmarkEnd w:id="910"/>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908"/>
      <w:bookmarkEnd w:id="909"/>
      <w:bookmarkEnd w:id="911"/>
    </w:p>
    <w:p>
      <w:pPr>
        <w:pStyle w:val="Style16"/>
        <w:keepNext w:val="0"/>
        <w:keepLines w:val="0"/>
        <w:widowControl w:val="0"/>
        <w:shd w:val="clear" w:color="auto" w:fill="auto"/>
        <w:bidi w:val="0"/>
        <w:spacing w:before="0" w:after="0" w:line="315" w:lineRule="exact"/>
        <w:ind w:left="0" w:right="0"/>
        <w:jc w:val="left"/>
      </w:pPr>
      <w:r>
        <w:rPr>
          <w:color w:val="000000"/>
          <w:spacing w:val="0"/>
          <w:w w:val="100"/>
          <w:position w:val="0"/>
        </w:rPr>
        <w:t>本公司对应收票据的预期信用损失的确定方法及会计处理方法详见本附注五</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3"/>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对未来经济状况的判断，依据信用风险特征将应收票据划分为若干组合，在组合基础上计算预期信用损失。确定组合的依 据如下：</w:t>
      </w:r>
    </w:p>
    <w:tbl>
      <w:tblPr>
        <w:tblOverlap w:val="never"/>
        <w:jc w:val="center"/>
        <w:tblLayout w:type="fixed"/>
      </w:tblPr>
      <w:tblGrid>
        <w:gridCol w:w="1531"/>
        <w:gridCol w:w="5069"/>
        <w:gridCol w:w="3077"/>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承兑人为信用风险较低的银行，预计能在短期内收回约定的合同 现金流量，信用损失风险极低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 以及对未来经济状况的预期计量预期 信用损失</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承兑人为有一定信用风险的企业，存在一定的预期信用损失风险</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pStyle w:val="Style27"/>
        <w:keepNext/>
        <w:keepLines/>
        <w:widowControl w:val="0"/>
        <w:shd w:val="clear" w:color="auto" w:fill="auto"/>
        <w:bidi w:val="0"/>
        <w:spacing w:before="0" w:line="240" w:lineRule="auto"/>
        <w:ind w:left="0" w:right="0" w:firstLine="0"/>
        <w:jc w:val="both"/>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1</w:t>
      </w:r>
      <w:bookmarkEnd w:id="914"/>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12"/>
      <w:bookmarkEnd w:id="913"/>
      <w:bookmarkEnd w:id="915"/>
    </w:p>
    <w:p>
      <w:pPr>
        <w:pStyle w:val="Style16"/>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本公司对应收账款的预期信用损失的确定方法及会计处理方法详见本附注五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16"/>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本公司对在单项工具层面能以合理成本评估预期信用损失的充分证据的应收账款单独确定其信用损失。</w:t>
      </w:r>
    </w:p>
    <w:p>
      <w:pPr>
        <w:pStyle w:val="Style23"/>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当在单项工具层面无法以合理成本评估预期信用损失的充分证据时，本公司参考历史信用损失经验，结合当前状况以 及对未来经济状况的判断，依据信用风险特征将应收账款划分为若干组合，在组合基础上计算预期信用损失。确定组合的依 据如下：</w:t>
      </w:r>
    </w:p>
    <w:tbl>
      <w:tblPr>
        <w:tblOverlap w:val="never"/>
        <w:jc w:val="center"/>
        <w:tblLayout w:type="fixed"/>
      </w:tblPr>
      <w:tblGrid>
        <w:gridCol w:w="1531"/>
        <w:gridCol w:w="5069"/>
        <w:gridCol w:w="3077"/>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应收纳入合并范围 内的关联方组合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pPr>
            <w:r>
              <w:rPr>
                <w:color w:val="000000"/>
                <w:spacing w:val="0"/>
                <w:w w:val="100"/>
                <w:position w:val="0"/>
              </w:rPr>
              <w:t>纳入本公司合并范围内各公司之间的应收账款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 以及对未来经济状况的预期计量预期 信用损失</w:t>
            </w:r>
          </w:p>
        </w:tc>
      </w:tr>
      <w:tr>
        <w:trPr>
          <w:trHeight w:val="98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包括除上述组合之外的应收款项，本公司根据以往的历史经验对 应收款项计提比例作出最佳估计，参考应收款项的账龄进行信用 风险组合分类</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pPr>
            <w:r>
              <w:rPr>
                <w:color w:val="000000"/>
                <w:spacing w:val="0"/>
                <w:w w:val="100"/>
                <w:position w:val="0"/>
              </w:rPr>
              <w:t>账龄分析法</w:t>
            </w:r>
          </w:p>
        </w:tc>
      </w:tr>
    </w:tbl>
    <w:p>
      <w:pPr>
        <w:widowControl w:val="0"/>
        <w:spacing w:after="619" w:line="1" w:lineRule="exact"/>
      </w:pPr>
    </w:p>
    <w:p>
      <w:pPr>
        <w:pStyle w:val="Style27"/>
        <w:keepNext/>
        <w:keepLines/>
        <w:widowControl w:val="0"/>
        <w:shd w:val="clear" w:color="auto" w:fill="auto"/>
        <w:tabs>
          <w:tab w:pos="474" w:val="left"/>
        </w:tabs>
        <w:bidi w:val="0"/>
        <w:spacing w:before="0" w:line="240" w:lineRule="auto"/>
        <w:ind w:left="0" w:right="0" w:firstLine="0"/>
        <w:jc w:val="both"/>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1</w:t>
      </w:r>
      <w:bookmarkEnd w:id="918"/>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16"/>
      <w:bookmarkEnd w:id="917"/>
      <w:bookmarkEnd w:id="919"/>
    </w:p>
    <w:p>
      <w:pPr>
        <w:pStyle w:val="Style16"/>
        <w:keepNext w:val="0"/>
        <w:keepLines w:val="0"/>
        <w:widowControl w:val="0"/>
        <w:shd w:val="clear" w:color="auto" w:fill="auto"/>
        <w:bidi w:val="0"/>
        <w:spacing w:before="0" w:after="380" w:line="240" w:lineRule="auto"/>
        <w:ind w:left="0" w:right="0"/>
        <w:jc w:val="both"/>
      </w:pPr>
      <w:r>
        <w:rPr>
          <w:color w:val="000000"/>
          <w:spacing w:val="0"/>
          <w:w w:val="100"/>
          <w:position w:val="0"/>
        </w:rPr>
        <w:t>本公司对应收款项融资的预期信用损失的确定方法及会计处理方法详见本附注五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7"/>
        <w:keepNext/>
        <w:keepLines/>
        <w:widowControl w:val="0"/>
        <w:shd w:val="clear" w:color="auto" w:fill="auto"/>
        <w:tabs>
          <w:tab w:pos="474" w:val="left"/>
        </w:tabs>
        <w:bidi w:val="0"/>
        <w:spacing w:before="0" w:line="240" w:lineRule="auto"/>
        <w:ind w:left="0" w:right="0" w:firstLine="0"/>
        <w:jc w:val="both"/>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1</w:t>
      </w:r>
      <w:bookmarkEnd w:id="92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20"/>
      <w:bookmarkEnd w:id="921"/>
      <w:bookmarkEnd w:id="923"/>
    </w:p>
    <w:p>
      <w:pPr>
        <w:pStyle w:val="Style1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其他应收款的预期信用损失的确定方法及会计处理方法</w:t>
      </w:r>
    </w:p>
    <w:p>
      <w:pPr>
        <w:pStyle w:val="Style16"/>
        <w:keepNext w:val="0"/>
        <w:keepLines w:val="0"/>
        <w:widowControl w:val="0"/>
        <w:shd w:val="clear" w:color="auto" w:fill="auto"/>
        <w:bidi w:val="0"/>
        <w:spacing w:before="0" w:after="160" w:line="240" w:lineRule="auto"/>
        <w:ind w:left="0" w:right="0"/>
        <w:jc w:val="both"/>
      </w:pPr>
      <w:r>
        <w:rPr>
          <w:color w:val="000000"/>
          <w:spacing w:val="0"/>
          <w:w w:val="100"/>
          <w:position w:val="0"/>
        </w:rPr>
        <w:t>本公司对其他应收款的预期信用损失的确定方法及会计处理方法详见本附注五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16"/>
        <w:keepNext w:val="0"/>
        <w:keepLines w:val="0"/>
        <w:widowControl w:val="0"/>
        <w:shd w:val="clear" w:color="auto" w:fill="auto"/>
        <w:bidi w:val="0"/>
        <w:spacing w:before="0" w:after="0" w:line="240" w:lineRule="auto"/>
        <w:ind w:left="0" w:right="0"/>
        <w:jc w:val="both"/>
      </w:pPr>
      <w:r>
        <w:rPr>
          <w:color w:val="000000"/>
          <w:spacing w:val="0"/>
          <w:w w:val="100"/>
          <w:position w:val="0"/>
        </w:rPr>
        <w:t>本公司对在单项工具层面能以合理成本评估预期信用损失的充分证据的其他应收款单独确定其信用损失。</w:t>
      </w:r>
    </w:p>
    <w:p>
      <w:pPr>
        <w:pStyle w:val="Style16"/>
        <w:keepNext w:val="0"/>
        <w:keepLines w:val="0"/>
        <w:widowControl w:val="0"/>
        <w:shd w:val="clear" w:color="auto" w:fill="auto"/>
        <w:bidi w:val="0"/>
        <w:spacing w:before="0" w:after="100" w:line="310"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对未来经济状况的判断，依据信用风险特征将其他应收款划分为若干组合，在组合基础上计算预期信用损失。确定组合的依 据如下：</w:t>
      </w:r>
    </w:p>
    <w:tbl>
      <w:tblPr>
        <w:tblOverlap w:val="never"/>
        <w:jc w:val="center"/>
        <w:tblLayout w:type="fixed"/>
      </w:tblPr>
      <w:tblGrid>
        <w:gridCol w:w="1531"/>
        <w:gridCol w:w="5069"/>
        <w:gridCol w:w="3077"/>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应收纳入合并范围 内的关联方组合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pPr>
            <w:r>
              <w:rPr>
                <w:color w:val="000000"/>
                <w:spacing w:val="0"/>
                <w:w w:val="100"/>
                <w:position w:val="0"/>
              </w:rPr>
              <w:t>纳入本公司合并范围内各公司之间的其他应收款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参考历史信用损失经验，结合当前状况 以及对未来经济状况的预期计量预期 信用损失</w:t>
            </w:r>
          </w:p>
        </w:tc>
      </w:tr>
      <w:tr>
        <w:trPr>
          <w:trHeight w:val="979"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包括除上述组合之外的应收款项，本公司根据以往的历史经验对 应收款项计提比例作出最佳估计，参考应收款项的账龄进行信用 风险组合分类</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both"/>
            </w:pPr>
            <w:r>
              <w:rPr>
                <w:color w:val="000000"/>
                <w:spacing w:val="0"/>
                <w:w w:val="100"/>
                <w:position w:val="0"/>
              </w:rPr>
              <w:t>账龄分析法</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15</w:t>
      </w:r>
      <w:r>
        <w:rPr>
          <w:color w:val="000000"/>
          <w:spacing w:val="0"/>
          <w:w w:val="100"/>
          <w:position w:val="0"/>
        </w:rPr>
        <w:t>、存货</w:t>
      </w:r>
      <w:bookmarkEnd w:id="924"/>
      <w:bookmarkEnd w:id="925"/>
      <w:bookmarkEnd w:id="926"/>
    </w:p>
    <w:p>
      <w:pPr>
        <w:pStyle w:val="Style16"/>
        <w:keepNext w:val="0"/>
        <w:keepLines w:val="0"/>
        <w:widowControl w:val="0"/>
        <w:shd w:val="clear" w:color="auto" w:fill="auto"/>
        <w:bidi w:val="0"/>
        <w:spacing w:before="0" w:after="100" w:line="240" w:lineRule="auto"/>
        <w:ind w:left="0" w:right="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.存货的分类</w:t>
      </w:r>
    </w:p>
    <w:p>
      <w:pPr>
        <w:pStyle w:val="Style16"/>
        <w:keepNext w:val="0"/>
        <w:keepLines w:val="0"/>
        <w:widowControl w:val="0"/>
        <w:shd w:val="clear" w:color="auto" w:fill="auto"/>
        <w:bidi w:val="0"/>
        <w:spacing w:before="0" w:after="100" w:line="240" w:lineRule="auto"/>
        <w:ind w:left="0" w:right="0"/>
        <w:jc w:val="both"/>
      </w:pPr>
      <w:r>
        <w:rPr>
          <w:color w:val="000000"/>
          <w:spacing w:val="0"/>
          <w:w w:val="100"/>
          <w:position w:val="0"/>
        </w:rPr>
        <w:t>存货是指本公司在日常活动中持有以备出售的产成品或商品、合同履约成本等。</w:t>
      </w:r>
    </w:p>
    <w:p>
      <w:pPr>
        <w:pStyle w:val="Style16"/>
        <w:keepNext w:val="0"/>
        <w:keepLines w:val="0"/>
        <w:widowControl w:val="0"/>
        <w:numPr>
          <w:ilvl w:val="0"/>
          <w:numId w:val="53"/>
        </w:numPr>
        <w:shd w:val="clear" w:color="auto" w:fill="auto"/>
        <w:bidi w:val="0"/>
        <w:spacing w:before="0" w:after="100" w:line="240" w:lineRule="auto"/>
        <w:ind w:left="0" w:right="0"/>
        <w:jc w:val="both"/>
      </w:pPr>
      <w:bookmarkStart w:id="927" w:name="bookmark927"/>
      <w:bookmarkEnd w:id="927"/>
      <w:r>
        <w:rPr>
          <w:color w:val="000000"/>
          <w:spacing w:val="0"/>
          <w:w w:val="100"/>
          <w:position w:val="0"/>
        </w:rPr>
        <w:t>存货的计价方法</w:t>
      </w:r>
    </w:p>
    <w:p>
      <w:pPr>
        <w:pStyle w:val="Style16"/>
        <w:keepNext w:val="0"/>
        <w:keepLines w:val="0"/>
        <w:widowControl w:val="0"/>
        <w:shd w:val="clear" w:color="auto" w:fill="auto"/>
        <w:bidi w:val="0"/>
        <w:spacing w:before="0" w:after="100" w:line="240" w:lineRule="auto"/>
        <w:ind w:left="0" w:right="0"/>
        <w:jc w:val="both"/>
      </w:pPr>
      <w:r>
        <w:rPr>
          <w:color w:val="000000"/>
          <w:spacing w:val="0"/>
          <w:w w:val="100"/>
          <w:position w:val="0"/>
        </w:rPr>
        <w:t>存货在取得时，按成本进行初始计量，包括采购成本、加工成本和其他成本。存货发出时按个别认定法计价。</w:t>
      </w:r>
    </w:p>
    <w:p>
      <w:pPr>
        <w:pStyle w:val="Style16"/>
        <w:keepNext w:val="0"/>
        <w:keepLines w:val="0"/>
        <w:widowControl w:val="0"/>
        <w:shd w:val="clear" w:color="auto" w:fill="auto"/>
        <w:bidi w:val="0"/>
        <w:spacing w:before="0" w:after="160" w:line="240" w:lineRule="auto"/>
        <w:ind w:left="0" w:right="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.存货可变现净值的确定依据及存货跌价准备的计提方法</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价格为基础计算。</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16"/>
        <w:keepNext w:val="0"/>
        <w:keepLines w:val="0"/>
        <w:widowControl w:val="0"/>
        <w:shd w:val="clear" w:color="auto" w:fill="auto"/>
        <w:bidi w:val="0"/>
        <w:spacing w:before="0" w:after="100" w:line="313" w:lineRule="exact"/>
        <w:ind w:left="0" w:right="0"/>
        <w:jc w:val="left"/>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16"/>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.存货的盘存制度</w:t>
      </w:r>
    </w:p>
    <w:p>
      <w:pPr>
        <w:pStyle w:val="Style16"/>
        <w:keepNext w:val="0"/>
        <w:keepLines w:val="0"/>
        <w:widowControl w:val="0"/>
        <w:shd w:val="clear" w:color="auto" w:fill="auto"/>
        <w:bidi w:val="0"/>
        <w:spacing w:before="0" w:after="100" w:line="313" w:lineRule="exact"/>
        <w:ind w:left="0" w:right="0"/>
        <w:jc w:val="left"/>
      </w:pPr>
      <w:r>
        <w:rPr>
          <w:color w:val="000000"/>
          <w:spacing w:val="0"/>
          <w:w w:val="100"/>
          <w:position w:val="0"/>
        </w:rPr>
        <w:t>采用永续盘存制</w:t>
      </w:r>
    </w:p>
    <w:p>
      <w:pPr>
        <w:pStyle w:val="Style16"/>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.低值易耗品和包装物的摊销方法</w:t>
      </w:r>
    </w:p>
    <w:p>
      <w:pPr>
        <w:pStyle w:val="Style16"/>
        <w:keepNext w:val="0"/>
        <w:keepLines w:val="0"/>
        <w:widowControl w:val="0"/>
        <w:numPr>
          <w:ilvl w:val="0"/>
          <w:numId w:val="55"/>
        </w:numPr>
        <w:shd w:val="clear" w:color="auto" w:fill="auto"/>
        <w:tabs>
          <w:tab w:pos="814" w:val="left"/>
        </w:tabs>
        <w:bidi w:val="0"/>
        <w:spacing w:before="0" w:after="0" w:line="313" w:lineRule="exact"/>
        <w:ind w:left="0" w:right="0"/>
        <w:jc w:val="left"/>
      </w:pPr>
      <w:bookmarkStart w:id="928" w:name="bookmark928"/>
      <w:bookmarkEnd w:id="928"/>
      <w:r>
        <w:rPr>
          <w:color w:val="000000"/>
          <w:spacing w:val="0"/>
          <w:w w:val="100"/>
          <w:position w:val="0"/>
        </w:rPr>
        <w:t>低值易耗品采用一次转销法；</w:t>
      </w:r>
    </w:p>
    <w:p>
      <w:pPr>
        <w:pStyle w:val="Style16"/>
        <w:keepNext w:val="0"/>
        <w:keepLines w:val="0"/>
        <w:widowControl w:val="0"/>
        <w:numPr>
          <w:ilvl w:val="0"/>
          <w:numId w:val="55"/>
        </w:numPr>
        <w:shd w:val="clear" w:color="auto" w:fill="auto"/>
        <w:tabs>
          <w:tab w:pos="814" w:val="left"/>
        </w:tabs>
        <w:bidi w:val="0"/>
        <w:spacing w:before="0" w:after="0" w:line="313" w:lineRule="exact"/>
        <w:ind w:left="0" w:right="0"/>
        <w:jc w:val="left"/>
      </w:pPr>
      <w:bookmarkStart w:id="929" w:name="bookmark929"/>
      <w:bookmarkEnd w:id="929"/>
      <w:r>
        <w:rPr>
          <w:color w:val="000000"/>
          <w:spacing w:val="0"/>
          <w:w w:val="100"/>
          <w:position w:val="0"/>
        </w:rPr>
        <w:t>包装物采用一次转销法。</w:t>
      </w:r>
    </w:p>
    <w:p>
      <w:pPr>
        <w:pStyle w:val="Style16"/>
        <w:keepNext w:val="0"/>
        <w:keepLines w:val="0"/>
        <w:widowControl w:val="0"/>
        <w:numPr>
          <w:ilvl w:val="0"/>
          <w:numId w:val="55"/>
        </w:numPr>
        <w:shd w:val="clear" w:color="auto" w:fill="auto"/>
        <w:tabs>
          <w:tab w:pos="814" w:val="left"/>
        </w:tabs>
        <w:bidi w:val="0"/>
        <w:spacing w:before="0" w:after="40" w:line="313" w:lineRule="exact"/>
        <w:ind w:left="0" w:right="0"/>
        <w:jc w:val="left"/>
      </w:pPr>
      <w:bookmarkStart w:id="930" w:name="bookmark930"/>
      <w:bookmarkEnd w:id="930"/>
      <w:r>
        <w:rPr>
          <w:color w:val="000000"/>
          <w:spacing w:val="0"/>
          <w:w w:val="100"/>
          <w:position w:val="0"/>
        </w:rPr>
        <w:t>其他周转材料采用一次转销法摊销。</w:t>
      </w:r>
    </w:p>
    <w:p>
      <w:pPr>
        <w:pStyle w:val="Style16"/>
        <w:keepNext w:val="0"/>
        <w:keepLines w:val="0"/>
        <w:widowControl w:val="0"/>
        <w:shd w:val="clear" w:color="auto" w:fill="auto"/>
        <w:bidi w:val="0"/>
        <w:spacing w:before="0" w:after="100" w:line="312" w:lineRule="exact"/>
        <w:ind w:left="0" w:right="0"/>
        <w:jc w:val="left"/>
      </w:pPr>
      <w:r>
        <w:rPr>
          <w:color w:val="000000"/>
          <w:spacing w:val="0"/>
          <w:w w:val="100"/>
          <w:position w:val="0"/>
        </w:rPr>
        <w:t>注：说明存货类别，发出存货的计价方法，确定不同类别存货可变现净值的依据，存货的盘存制度以及低值易耗品和包 装物的摊销方法。</w:t>
      </w:r>
    </w:p>
    <w:p>
      <w:pPr>
        <w:pStyle w:val="Style16"/>
        <w:keepNext w:val="0"/>
        <w:keepLines w:val="0"/>
        <w:widowControl w:val="0"/>
        <w:numPr>
          <w:ilvl w:val="0"/>
          <w:numId w:val="57"/>
        </w:numPr>
        <w:shd w:val="clear" w:color="auto" w:fill="auto"/>
        <w:tabs>
          <w:tab w:pos="695" w:val="left"/>
        </w:tabs>
        <w:bidi w:val="0"/>
        <w:spacing w:before="0" w:after="0" w:line="360" w:lineRule="auto"/>
        <w:ind w:left="0" w:right="0"/>
        <w:jc w:val="left"/>
      </w:pPr>
      <w:bookmarkStart w:id="931" w:name="bookmark931"/>
      <w:bookmarkEnd w:id="931"/>
      <w:r>
        <w:rPr>
          <w:color w:val="000000"/>
          <w:spacing w:val="0"/>
          <w:w w:val="100"/>
          <w:position w:val="0"/>
        </w:rPr>
        <w:t>存货的分类</w:t>
      </w:r>
    </w:p>
    <w:p>
      <w:pPr>
        <w:pStyle w:val="Style16"/>
        <w:keepNext w:val="0"/>
        <w:keepLines w:val="0"/>
        <w:widowControl w:val="0"/>
        <w:shd w:val="clear" w:color="auto" w:fill="auto"/>
        <w:bidi w:val="0"/>
        <w:spacing w:before="0" w:after="100" w:line="314" w:lineRule="exact"/>
        <w:ind w:left="0" w:right="0"/>
        <w:jc w:val="left"/>
      </w:pPr>
      <w:r>
        <w:rPr>
          <w:color w:val="000000"/>
          <w:spacing w:val="0"/>
          <w:w w:val="100"/>
          <w:position w:val="0"/>
        </w:rPr>
        <w:t>存货是指本公司在日常活动中持有以备出售的产成品或商品、合同履约成本等。</w:t>
      </w:r>
    </w:p>
    <w:p>
      <w:pPr>
        <w:pStyle w:val="Style16"/>
        <w:keepNext w:val="0"/>
        <w:keepLines w:val="0"/>
        <w:widowControl w:val="0"/>
        <w:numPr>
          <w:ilvl w:val="0"/>
          <w:numId w:val="57"/>
        </w:numPr>
        <w:shd w:val="clear" w:color="auto" w:fill="auto"/>
        <w:tabs>
          <w:tab w:pos="709" w:val="left"/>
        </w:tabs>
        <w:bidi w:val="0"/>
        <w:spacing w:before="0" w:after="0" w:line="360" w:lineRule="auto"/>
        <w:ind w:left="0" w:right="0"/>
        <w:jc w:val="left"/>
      </w:pPr>
      <w:bookmarkStart w:id="932" w:name="bookmark932"/>
      <w:bookmarkEnd w:id="932"/>
      <w:r>
        <w:rPr>
          <w:color w:val="000000"/>
          <w:spacing w:val="0"/>
          <w:w w:val="100"/>
          <w:position w:val="0"/>
        </w:rPr>
        <w:t>存货的计价方法</w:t>
      </w:r>
    </w:p>
    <w:p>
      <w:pPr>
        <w:pStyle w:val="Style16"/>
        <w:keepNext w:val="0"/>
        <w:keepLines w:val="0"/>
        <w:widowControl w:val="0"/>
        <w:shd w:val="clear" w:color="auto" w:fill="auto"/>
        <w:bidi w:val="0"/>
        <w:spacing w:before="0" w:after="100" w:line="314" w:lineRule="exact"/>
        <w:ind w:left="0" w:right="0"/>
        <w:jc w:val="left"/>
      </w:pPr>
      <w:r>
        <w:rPr>
          <w:color w:val="000000"/>
          <w:spacing w:val="0"/>
          <w:w w:val="100"/>
          <w:position w:val="0"/>
        </w:rPr>
        <w:t>存货在取得时，按成本进行初始计量，包括采购成本、加工成本和其他成本。存货发出时按个别认定法计价。</w:t>
      </w:r>
    </w:p>
    <w:p>
      <w:pPr>
        <w:pStyle w:val="Style16"/>
        <w:keepNext w:val="0"/>
        <w:keepLines w:val="0"/>
        <w:widowControl w:val="0"/>
        <w:numPr>
          <w:ilvl w:val="0"/>
          <w:numId w:val="57"/>
        </w:numPr>
        <w:shd w:val="clear" w:color="auto" w:fill="auto"/>
        <w:tabs>
          <w:tab w:pos="709" w:val="left"/>
        </w:tabs>
        <w:bidi w:val="0"/>
        <w:spacing w:before="0" w:after="0" w:line="360" w:lineRule="auto"/>
        <w:ind w:left="0" w:right="0"/>
        <w:jc w:val="left"/>
      </w:pPr>
      <w:bookmarkStart w:id="933" w:name="bookmark933"/>
      <w:bookmarkEnd w:id="933"/>
      <w:r>
        <w:rPr>
          <w:color w:val="000000"/>
          <w:spacing w:val="0"/>
          <w:w w:val="100"/>
          <w:position w:val="0"/>
        </w:rPr>
        <w:t>存货可变现净值的确定依据及存货跌价准备的计提方法</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价格为基础计算。</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16"/>
        <w:keepNext w:val="0"/>
        <w:keepLines w:val="0"/>
        <w:widowControl w:val="0"/>
        <w:shd w:val="clear" w:color="auto" w:fill="auto"/>
        <w:bidi w:val="0"/>
        <w:spacing w:before="0" w:after="100" w:line="314" w:lineRule="exact"/>
        <w:ind w:left="0" w:right="0"/>
        <w:jc w:val="left"/>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16"/>
        <w:keepNext w:val="0"/>
        <w:keepLines w:val="0"/>
        <w:widowControl w:val="0"/>
        <w:numPr>
          <w:ilvl w:val="0"/>
          <w:numId w:val="57"/>
        </w:numPr>
        <w:shd w:val="clear" w:color="auto" w:fill="auto"/>
        <w:tabs>
          <w:tab w:pos="709" w:val="left"/>
        </w:tabs>
        <w:bidi w:val="0"/>
        <w:spacing w:before="0" w:after="0" w:line="360" w:lineRule="auto"/>
        <w:ind w:left="0" w:right="0"/>
        <w:jc w:val="left"/>
      </w:pPr>
      <w:bookmarkStart w:id="934" w:name="bookmark934"/>
      <w:bookmarkEnd w:id="934"/>
      <w:r>
        <w:rPr>
          <w:color w:val="000000"/>
          <w:spacing w:val="0"/>
          <w:w w:val="100"/>
          <w:position w:val="0"/>
        </w:rPr>
        <w:t>存货的盘存制度</w:t>
      </w:r>
    </w:p>
    <w:p>
      <w:pPr>
        <w:pStyle w:val="Style16"/>
        <w:keepNext w:val="0"/>
        <w:keepLines w:val="0"/>
        <w:widowControl w:val="0"/>
        <w:shd w:val="clear" w:color="auto" w:fill="auto"/>
        <w:bidi w:val="0"/>
        <w:spacing w:before="0" w:after="100" w:line="314" w:lineRule="exact"/>
        <w:ind w:left="0" w:right="0"/>
        <w:jc w:val="both"/>
      </w:pPr>
      <w:r>
        <w:rPr>
          <w:color w:val="000000"/>
          <w:spacing w:val="0"/>
          <w:w w:val="100"/>
          <w:position w:val="0"/>
        </w:rPr>
        <w:t>采用永续盘存制</w:t>
      </w:r>
    </w:p>
    <w:p>
      <w:pPr>
        <w:pStyle w:val="Style16"/>
        <w:keepNext w:val="0"/>
        <w:keepLines w:val="0"/>
        <w:widowControl w:val="0"/>
        <w:numPr>
          <w:ilvl w:val="0"/>
          <w:numId w:val="57"/>
        </w:numPr>
        <w:shd w:val="clear" w:color="auto" w:fill="auto"/>
        <w:tabs>
          <w:tab w:pos="709" w:val="left"/>
        </w:tabs>
        <w:bidi w:val="0"/>
        <w:spacing w:before="0" w:after="0" w:line="360" w:lineRule="auto"/>
        <w:ind w:left="0" w:right="0"/>
        <w:jc w:val="both"/>
      </w:pPr>
      <w:bookmarkStart w:id="935" w:name="bookmark935"/>
      <w:bookmarkEnd w:id="935"/>
      <w:r>
        <w:rPr>
          <w:color w:val="000000"/>
          <w:spacing w:val="0"/>
          <w:w w:val="100"/>
          <w:position w:val="0"/>
        </w:rPr>
        <w:t>低值易耗品和包装物的摊销方法</w:t>
      </w:r>
    </w:p>
    <w:p>
      <w:pPr>
        <w:pStyle w:val="Style16"/>
        <w:keepNext w:val="0"/>
        <w:keepLines w:val="0"/>
        <w:widowControl w:val="0"/>
        <w:numPr>
          <w:ilvl w:val="0"/>
          <w:numId w:val="59"/>
        </w:numPr>
        <w:shd w:val="clear" w:color="auto" w:fill="auto"/>
        <w:tabs>
          <w:tab w:pos="814" w:val="left"/>
        </w:tabs>
        <w:bidi w:val="0"/>
        <w:spacing w:before="0" w:after="0" w:line="314" w:lineRule="exact"/>
        <w:ind w:left="0" w:right="0"/>
        <w:jc w:val="both"/>
      </w:pPr>
      <w:bookmarkStart w:id="936" w:name="bookmark936"/>
      <w:bookmarkEnd w:id="936"/>
      <w:r>
        <w:rPr>
          <w:color w:val="000000"/>
          <w:spacing w:val="0"/>
          <w:w w:val="100"/>
          <w:position w:val="0"/>
        </w:rPr>
        <w:t>低值易耗品采用一次转销法；</w:t>
      </w:r>
    </w:p>
    <w:p>
      <w:pPr>
        <w:pStyle w:val="Style16"/>
        <w:keepNext w:val="0"/>
        <w:keepLines w:val="0"/>
        <w:widowControl w:val="0"/>
        <w:numPr>
          <w:ilvl w:val="0"/>
          <w:numId w:val="59"/>
        </w:numPr>
        <w:shd w:val="clear" w:color="auto" w:fill="auto"/>
        <w:tabs>
          <w:tab w:pos="814" w:val="left"/>
        </w:tabs>
        <w:bidi w:val="0"/>
        <w:spacing w:before="0" w:after="0" w:line="314" w:lineRule="exact"/>
        <w:ind w:left="0" w:right="0"/>
        <w:jc w:val="both"/>
      </w:pPr>
      <w:bookmarkStart w:id="937" w:name="bookmark937"/>
      <w:bookmarkEnd w:id="937"/>
      <w:r>
        <w:rPr>
          <w:color w:val="000000"/>
          <w:spacing w:val="0"/>
          <w:w w:val="100"/>
          <w:position w:val="0"/>
        </w:rPr>
        <w:t>包装物采用一次转销法。</w:t>
      </w:r>
    </w:p>
    <w:p>
      <w:pPr>
        <w:pStyle w:val="Style16"/>
        <w:keepNext w:val="0"/>
        <w:keepLines w:val="0"/>
        <w:widowControl w:val="0"/>
        <w:numPr>
          <w:ilvl w:val="0"/>
          <w:numId w:val="59"/>
        </w:numPr>
        <w:shd w:val="clear" w:color="auto" w:fill="auto"/>
        <w:tabs>
          <w:tab w:pos="814" w:val="left"/>
        </w:tabs>
        <w:bidi w:val="0"/>
        <w:spacing w:before="0" w:after="100" w:line="314" w:lineRule="exact"/>
        <w:ind w:left="0" w:right="0"/>
        <w:jc w:val="both"/>
      </w:pPr>
      <w:bookmarkStart w:id="938" w:name="bookmark938"/>
      <w:bookmarkEnd w:id="938"/>
      <w:r>
        <w:rPr>
          <w:color w:val="000000"/>
          <w:spacing w:val="0"/>
          <w:w w:val="100"/>
          <w:position w:val="0"/>
        </w:rPr>
        <w:t>其他周转材料采用一次转销法摊销。</w:t>
      </w:r>
    </w:p>
    <w:p>
      <w:pPr>
        <w:pStyle w:val="Style27"/>
        <w:keepNext/>
        <w:keepLines/>
        <w:widowControl w:val="0"/>
        <w:shd w:val="clear" w:color="auto" w:fill="auto"/>
        <w:tabs>
          <w:tab w:pos="474" w:val="left"/>
        </w:tabs>
        <w:bidi w:val="0"/>
        <w:spacing w:before="0" w:after="280" w:line="240" w:lineRule="auto"/>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1</w:t>
      </w:r>
      <w:bookmarkEnd w:id="941"/>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39"/>
      <w:bookmarkEnd w:id="940"/>
      <w:bookmarkEnd w:id="942"/>
    </w:p>
    <w:p>
      <w:pPr>
        <w:pStyle w:val="Style1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本公司已向客户转让商品而有权收取对价的权利，且该权利取决于时间流逝之外的其他因素的，确认为合同资产。本公 司拥有的无条件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向客户收取对价的权利作为应收款项单独列示。</w:t>
      </w:r>
    </w:p>
    <w:p>
      <w:pPr>
        <w:pStyle w:val="Style16"/>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本公司对合同资产的预期信用损失的确定方法及会计处理方法详见本附注五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7"/>
        <w:keepNext/>
        <w:keepLines/>
        <w:widowControl w:val="0"/>
        <w:shd w:val="clear" w:color="auto" w:fill="auto"/>
        <w:tabs>
          <w:tab w:pos="474" w:val="left"/>
        </w:tabs>
        <w:bidi w:val="0"/>
        <w:spacing w:before="0" w:after="280" w:line="240" w:lineRule="auto"/>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1</w:t>
      </w:r>
      <w:bookmarkEnd w:id="94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43"/>
      <w:bookmarkEnd w:id="944"/>
      <w:bookmarkEnd w:id="946"/>
    </w:p>
    <w:p>
      <w:pPr>
        <w:pStyle w:val="Style16"/>
        <w:keepNext w:val="0"/>
        <w:keepLines w:val="0"/>
        <w:widowControl w:val="0"/>
        <w:numPr>
          <w:ilvl w:val="0"/>
          <w:numId w:val="61"/>
        </w:numPr>
        <w:shd w:val="clear" w:color="auto" w:fill="auto"/>
        <w:tabs>
          <w:tab w:pos="661" w:val="left"/>
        </w:tabs>
        <w:bidi w:val="0"/>
        <w:spacing w:before="0" w:after="0" w:line="314" w:lineRule="exact"/>
        <w:ind w:left="0" w:right="0" w:firstLine="360"/>
        <w:jc w:val="both"/>
      </w:pPr>
      <w:bookmarkStart w:id="947" w:name="bookmark947"/>
      <w:bookmarkEnd w:id="947"/>
      <w:r>
        <w:rPr>
          <w:color w:val="000000"/>
          <w:spacing w:val="0"/>
          <w:w w:val="100"/>
          <w:position w:val="0"/>
        </w:rPr>
        <w:t>合同履约成本</w:t>
      </w:r>
    </w:p>
    <w:p>
      <w:pPr>
        <w:pStyle w:val="Style1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本公司对于为履行合同发生的成本，不属于除收入准则外的其他企业会计准则范围且同时满足下列条件的作为合同履约 成本确认为一项资产：</w:t>
      </w:r>
    </w:p>
    <w:p>
      <w:pPr>
        <w:pStyle w:val="Style16"/>
        <w:keepNext w:val="0"/>
        <w:keepLines w:val="0"/>
        <w:widowControl w:val="0"/>
        <w:shd w:val="clear" w:color="auto" w:fill="auto"/>
        <w:tabs>
          <w:tab w:pos="901" w:val="left"/>
        </w:tabs>
        <w:bidi w:val="0"/>
        <w:spacing w:before="0" w:after="0" w:line="314" w:lineRule="exact"/>
        <w:ind w:left="0" w:right="0" w:firstLine="36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该成本与一份当前或预期取得的合同直接相关，包括直接人工、直接材料、制造费用（或类似费用）、明确由客 户承担的成本以及仅因该合同而发生的其他成本；</w:t>
      </w:r>
    </w:p>
    <w:p>
      <w:pPr>
        <w:pStyle w:val="Style16"/>
        <w:keepNext w:val="0"/>
        <w:keepLines w:val="0"/>
        <w:widowControl w:val="0"/>
        <w:shd w:val="clear" w:color="auto" w:fill="auto"/>
        <w:tabs>
          <w:tab w:pos="805" w:val="left"/>
        </w:tabs>
        <w:bidi w:val="0"/>
        <w:spacing w:before="0" w:after="0" w:line="314" w:lineRule="exact"/>
        <w:ind w:left="0" w:right="0" w:firstLine="36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该成本增加了企业未来用于履行履约义务的资源。</w:t>
      </w:r>
    </w:p>
    <w:p>
      <w:pPr>
        <w:pStyle w:val="Style16"/>
        <w:keepNext w:val="0"/>
        <w:keepLines w:val="0"/>
        <w:widowControl w:val="0"/>
        <w:shd w:val="clear" w:color="auto" w:fill="auto"/>
        <w:tabs>
          <w:tab w:pos="805" w:val="left"/>
        </w:tabs>
        <w:bidi w:val="0"/>
        <w:spacing w:before="0" w:after="0" w:line="314" w:lineRule="exact"/>
        <w:ind w:left="0" w:right="0" w:firstLine="360"/>
        <w:jc w:val="both"/>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该成本预期能够收回。</w:t>
      </w:r>
    </w:p>
    <w:p>
      <w:pPr>
        <w:pStyle w:val="Style1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该资产根据其初始确认时摊销期限是否超过一个正常营业周期在存货或其他非流动资产中列报。</w:t>
      </w:r>
    </w:p>
    <w:p>
      <w:pPr>
        <w:pStyle w:val="Style16"/>
        <w:keepNext w:val="0"/>
        <w:keepLines w:val="0"/>
        <w:widowControl w:val="0"/>
        <w:numPr>
          <w:ilvl w:val="0"/>
          <w:numId w:val="61"/>
        </w:numPr>
        <w:shd w:val="clear" w:color="auto" w:fill="auto"/>
        <w:tabs>
          <w:tab w:pos="680" w:val="left"/>
        </w:tabs>
        <w:bidi w:val="0"/>
        <w:spacing w:before="0" w:after="0" w:line="313" w:lineRule="exact"/>
        <w:ind w:left="0" w:right="0" w:firstLine="360"/>
        <w:jc w:val="both"/>
      </w:pPr>
      <w:bookmarkStart w:id="951" w:name="bookmark951"/>
      <w:bookmarkEnd w:id="951"/>
      <w:r>
        <w:rPr>
          <w:color w:val="000000"/>
          <w:spacing w:val="0"/>
          <w:w w:val="100"/>
          <w:position w:val="0"/>
        </w:rPr>
        <w:t>合同取得成本</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本公司为取得合同发生的增量成本预期能够收回的，作为合同取得成本确认为一项资产。增量成本是指本公司不取得合 同就不会发生的成本，如销售佣金等。对于摊销期限不超过一年的，在发生时计入当期损益。</w:t>
      </w:r>
    </w:p>
    <w:p>
      <w:pPr>
        <w:pStyle w:val="Style16"/>
        <w:keepNext w:val="0"/>
        <w:keepLines w:val="0"/>
        <w:widowControl w:val="0"/>
        <w:numPr>
          <w:ilvl w:val="0"/>
          <w:numId w:val="61"/>
        </w:numPr>
        <w:shd w:val="clear" w:color="auto" w:fill="auto"/>
        <w:tabs>
          <w:tab w:pos="680" w:val="left"/>
        </w:tabs>
        <w:bidi w:val="0"/>
        <w:spacing w:before="0" w:after="0" w:line="313" w:lineRule="exact"/>
        <w:ind w:left="0" w:right="0" w:firstLine="360"/>
        <w:jc w:val="both"/>
      </w:pPr>
      <w:bookmarkStart w:id="952" w:name="bookmark952"/>
      <w:bookmarkEnd w:id="952"/>
      <w:r>
        <w:rPr>
          <w:color w:val="000000"/>
          <w:spacing w:val="0"/>
          <w:w w:val="100"/>
          <w:position w:val="0"/>
        </w:rPr>
        <w:t>合同成本摊销</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上述与合同成本有关的资产，采用与该资产相关的商品或服务收入确认相同的基础，在履约义务履行的时点或按照履约 义务的履约进度进行摊销，计入当期损益。</w:t>
      </w:r>
    </w:p>
    <w:p>
      <w:pPr>
        <w:pStyle w:val="Style16"/>
        <w:keepNext w:val="0"/>
        <w:keepLines w:val="0"/>
        <w:widowControl w:val="0"/>
        <w:numPr>
          <w:ilvl w:val="0"/>
          <w:numId w:val="61"/>
        </w:numPr>
        <w:shd w:val="clear" w:color="auto" w:fill="auto"/>
        <w:tabs>
          <w:tab w:pos="680" w:val="left"/>
        </w:tabs>
        <w:bidi w:val="0"/>
        <w:spacing w:before="0" w:after="0" w:line="313" w:lineRule="exact"/>
        <w:ind w:left="0" w:right="0" w:firstLine="360"/>
        <w:jc w:val="both"/>
      </w:pPr>
      <w:bookmarkStart w:id="953" w:name="bookmark953"/>
      <w:bookmarkEnd w:id="953"/>
      <w:r>
        <w:rPr>
          <w:color w:val="000000"/>
          <w:spacing w:val="0"/>
          <w:w w:val="100"/>
          <w:position w:val="0"/>
        </w:rPr>
        <w:t>合同成本减值</w:t>
      </w:r>
    </w:p>
    <w:p>
      <w:pPr>
        <w:pStyle w:val="Style16"/>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上述与合同成本有关的资产，账面价值高于本公司因转让与该资产相关的商品预期能够取得剩余对价与为转让该相关商 品估计将要发生的成本的差额的，超出部分应当计提减值准备，并确认为资产减值损失。</w:t>
      </w:r>
    </w:p>
    <w:p>
      <w:pPr>
        <w:pStyle w:val="Style16"/>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计提减值准备后，如果以前期间减值的因素发生变化，使得上述两项差额高于该资产账面价值的，转回原已计提的资产 减值准备，并计入当期损益，但转回后的资产账面价值不超过假定不计提减值准备情况下该资产在转回日的账面价值。</w:t>
      </w:r>
    </w:p>
    <w:p>
      <w:pPr>
        <w:pStyle w:val="Style27"/>
        <w:keepNext/>
        <w:keepLines/>
        <w:widowControl w:val="0"/>
        <w:shd w:val="clear" w:color="auto" w:fill="auto"/>
        <w:tabs>
          <w:tab w:pos="474" w:val="left"/>
        </w:tabs>
        <w:bidi w:val="0"/>
        <w:spacing w:before="0" w:after="280" w:line="240" w:lineRule="auto"/>
        <w:ind w:left="0" w:right="0" w:firstLine="0"/>
        <w:jc w:val="both"/>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1</w:t>
      </w:r>
      <w:bookmarkEnd w:id="95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54"/>
      <w:bookmarkEnd w:id="955"/>
      <w:bookmarkEnd w:id="957"/>
    </w:p>
    <w:p>
      <w:pPr>
        <w:pStyle w:val="Style16"/>
        <w:keepNext w:val="0"/>
        <w:keepLines w:val="0"/>
        <w:widowControl w:val="0"/>
        <w:numPr>
          <w:ilvl w:val="0"/>
          <w:numId w:val="63"/>
        </w:numPr>
        <w:shd w:val="clear" w:color="auto" w:fill="auto"/>
        <w:tabs>
          <w:tab w:pos="764" w:val="left"/>
        </w:tabs>
        <w:bidi w:val="0"/>
        <w:spacing w:before="0" w:after="0" w:line="314" w:lineRule="exact"/>
        <w:ind w:left="0" w:right="0" w:firstLine="360"/>
        <w:jc w:val="both"/>
      </w:pPr>
      <w:bookmarkStart w:id="958" w:name="bookmark958"/>
      <w:bookmarkEnd w:id="958"/>
      <w:r>
        <w:rPr>
          <w:color w:val="000000"/>
          <w:spacing w:val="0"/>
          <w:w w:val="100"/>
          <w:position w:val="0"/>
        </w:rPr>
        <w:t>划分为持有待售确认标准</w:t>
      </w:r>
    </w:p>
    <w:p>
      <w:pPr>
        <w:pStyle w:val="Style1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本公司将同时满足下列条件的非流动资产或处置组确认为持有待售组成部分：</w:t>
      </w:r>
    </w:p>
    <w:p>
      <w:pPr>
        <w:pStyle w:val="Style16"/>
        <w:keepNext w:val="0"/>
        <w:keepLines w:val="0"/>
        <w:widowControl w:val="0"/>
        <w:shd w:val="clear" w:color="auto" w:fill="auto"/>
        <w:tabs>
          <w:tab w:pos="805" w:val="left"/>
        </w:tabs>
        <w:bidi w:val="0"/>
        <w:spacing w:before="0" w:after="0" w:line="314" w:lineRule="exact"/>
        <w:ind w:left="0" w:right="0" w:firstLine="36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根据类似交易中出售此类资产或处置组的惯例，在当前状况下即可立即出售；</w:t>
      </w:r>
    </w:p>
    <w:p>
      <w:pPr>
        <w:pStyle w:val="Style16"/>
        <w:keepNext w:val="0"/>
        <w:keepLines w:val="0"/>
        <w:widowControl w:val="0"/>
        <w:shd w:val="clear" w:color="auto" w:fill="auto"/>
        <w:tabs>
          <w:tab w:pos="805" w:val="left"/>
        </w:tabs>
        <w:bidi w:val="0"/>
        <w:spacing w:before="0" w:after="0" w:line="314" w:lineRule="exact"/>
        <w:ind w:left="0" w:right="0" w:firstLine="36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出售极可能发生，即本公司已经就一项出售计划作出决议，且获得确定的购买承诺，预计出售将在一年内完成。</w:t>
      </w:r>
    </w:p>
    <w:p>
      <w:pPr>
        <w:pStyle w:val="Style1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确定的购买承诺，是指本公司与其他方签订的具有法律约束力的购买协议，该协议包含交易价格、时间和足够严厉的违 约惩罚等重要条款，使协议出现重大调整或者撤销的可能性极小。</w:t>
      </w:r>
    </w:p>
    <w:p>
      <w:pPr>
        <w:pStyle w:val="Style16"/>
        <w:keepNext w:val="0"/>
        <w:keepLines w:val="0"/>
        <w:widowControl w:val="0"/>
        <w:numPr>
          <w:ilvl w:val="0"/>
          <w:numId w:val="63"/>
        </w:numPr>
        <w:shd w:val="clear" w:color="auto" w:fill="auto"/>
        <w:tabs>
          <w:tab w:pos="764" w:val="left"/>
        </w:tabs>
        <w:bidi w:val="0"/>
        <w:spacing w:before="0" w:after="0" w:line="314" w:lineRule="exact"/>
        <w:ind w:left="0" w:right="0" w:firstLine="360"/>
        <w:jc w:val="both"/>
      </w:pPr>
      <w:bookmarkStart w:id="961" w:name="bookmark961"/>
      <w:bookmarkEnd w:id="961"/>
      <w:r>
        <w:rPr>
          <w:color w:val="000000"/>
          <w:spacing w:val="0"/>
          <w:w w:val="100"/>
          <w:position w:val="0"/>
        </w:rPr>
        <w:t>持有待售核算方法</w:t>
      </w:r>
    </w:p>
    <w:p>
      <w:pPr>
        <w:pStyle w:val="Style1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本公司对于持有待售的非流动资产或处置组不计提折旧或摊销，其账面价值高于公允价值减去出售费用后的净额的，应 当将账面价值减记至公允价值减去出售费用后的净额，减记的金额确认为资产减值损失，计入当期损益，同时计提持有待售 资产减值准备。</w:t>
      </w:r>
    </w:p>
    <w:p>
      <w:pPr>
        <w:pStyle w:val="Style16"/>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对于取得日划分为持有待售类别的非流动资产或处置组，在初始计量时比较假定其不划分为持有待售类别情况下的初始 计量金额和公允价值减去出售费用后的净额，以两者孰低计量。</w:t>
      </w:r>
    </w:p>
    <w:p>
      <w:pPr>
        <w:pStyle w:val="Style16"/>
        <w:keepNext w:val="0"/>
        <w:keepLines w:val="0"/>
        <w:widowControl w:val="0"/>
        <w:shd w:val="clear" w:color="auto" w:fill="auto"/>
        <w:bidi w:val="0"/>
        <w:spacing w:before="0" w:after="280" w:line="314" w:lineRule="exact"/>
        <w:ind w:left="0" w:right="0" w:firstLine="360"/>
        <w:jc w:val="both"/>
      </w:pPr>
      <w:r>
        <w:rPr>
          <w:color w:val="000000"/>
          <w:spacing w:val="0"/>
          <w:w w:val="100"/>
          <w:position w:val="0"/>
        </w:rPr>
        <w:t>上述原则适用于所有非流动资产，但不包括采用公允价值模式进行后续计量的投资性房地产、采用公允价值减去出售费 用后的净额计量的生物资产、职工薪酬形成的资产、递延所得税资产、由金融工具相关会计准则规范的金融资产、由保险合 同相关会计准则规范的保险合同所产生的权利。</w:t>
      </w:r>
    </w:p>
    <w:p>
      <w:pPr>
        <w:pStyle w:val="Style27"/>
        <w:keepNext/>
        <w:keepLines/>
        <w:widowControl w:val="0"/>
        <w:shd w:val="clear" w:color="auto" w:fill="auto"/>
        <w:tabs>
          <w:tab w:pos="468" w:val="left"/>
        </w:tabs>
        <w:bidi w:val="0"/>
        <w:spacing w:before="0" w:after="280" w:line="240" w:lineRule="auto"/>
        <w:ind w:left="0" w:right="0" w:firstLine="0"/>
        <w:jc w:val="both"/>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1</w:t>
      </w:r>
      <w:bookmarkEnd w:id="964"/>
      <w:r>
        <w:rPr>
          <w:rFonts w:ascii="Times New Roman" w:eastAsia="Times New Roman" w:hAnsi="Times New Roman" w:cs="Times New Roman"/>
          <w:color w:val="000000"/>
          <w:spacing w:val="0"/>
          <w:w w:val="100"/>
          <w:position w:val="0"/>
        </w:rPr>
        <w:t>9</w:t>
      </w:r>
      <w:r>
        <w:rPr>
          <w:color w:val="000000"/>
          <w:spacing w:val="0"/>
          <w:w w:val="100"/>
          <w:position w:val="0"/>
        </w:rPr>
        <w:t>、</w:t>
        <w:tab/>
        <w:t>其他债权投资</w:t>
      </w:r>
      <w:bookmarkEnd w:id="962"/>
      <w:bookmarkEnd w:id="963"/>
      <w:bookmarkEnd w:id="965"/>
    </w:p>
    <w:p>
      <w:pPr>
        <w:pStyle w:val="Style16"/>
        <w:keepNext w:val="0"/>
        <w:keepLines w:val="0"/>
        <w:widowControl w:val="0"/>
        <w:shd w:val="clear" w:color="auto" w:fill="auto"/>
        <w:bidi w:val="0"/>
        <w:spacing w:before="0" w:after="380" w:line="313" w:lineRule="exact"/>
        <w:ind w:left="0" w:right="0"/>
        <w:jc w:val="both"/>
        <w:rPr>
          <w:sz w:val="18"/>
          <w:szCs w:val="18"/>
        </w:rPr>
      </w:pPr>
      <w:r>
        <w:rPr>
          <w:color w:val="000000"/>
          <w:spacing w:val="0"/>
          <w:w w:val="100"/>
          <w:position w:val="0"/>
          <w:sz w:val="17"/>
          <w:szCs w:val="17"/>
        </w:rPr>
        <w:t>本公司对其他债权投资的预期信用损失的确定方法及会计处理方法详见本附注五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金融工具减值</w:t>
      </w:r>
      <w:r>
        <w:rPr>
          <w:rFonts w:ascii="Times New Roman" w:eastAsia="Times New Roman" w:hAnsi="Times New Roman" w:cs="Times New Roman"/>
          <w:color w:val="000000"/>
          <w:spacing w:val="0"/>
          <w:w w:val="100"/>
          <w:position w:val="0"/>
          <w:sz w:val="18"/>
          <w:szCs w:val="18"/>
        </w:rPr>
        <w:t>i</w:t>
      </w:r>
    </w:p>
    <w:p>
      <w:pPr>
        <w:pStyle w:val="Style27"/>
        <w:keepNext/>
        <w:keepLines/>
        <w:widowControl w:val="0"/>
        <w:shd w:val="clear" w:color="auto" w:fill="auto"/>
        <w:tabs>
          <w:tab w:pos="478" w:val="left"/>
        </w:tabs>
        <w:bidi w:val="0"/>
        <w:spacing w:before="0" w:after="28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0</w:t>
      </w:r>
      <w:r>
        <w:rPr>
          <w:color w:val="000000"/>
          <w:spacing w:val="0"/>
          <w:w w:val="100"/>
          <w:position w:val="0"/>
        </w:rPr>
        <w:t>、</w:t>
        <w:tab/>
        <w:t>长期应收款</w:t>
      </w:r>
      <w:bookmarkEnd w:id="966"/>
      <w:bookmarkEnd w:id="967"/>
      <w:bookmarkEnd w:id="969"/>
    </w:p>
    <w:p>
      <w:pPr>
        <w:pStyle w:val="Style16"/>
        <w:keepNext w:val="0"/>
        <w:keepLines w:val="0"/>
        <w:widowControl w:val="0"/>
        <w:shd w:val="clear" w:color="auto" w:fill="auto"/>
        <w:bidi w:val="0"/>
        <w:spacing w:before="0" w:after="380" w:line="313" w:lineRule="exact"/>
        <w:ind w:left="0" w:right="0"/>
        <w:jc w:val="both"/>
      </w:pPr>
      <w:r>
        <w:rPr>
          <w:color w:val="000000"/>
          <w:spacing w:val="0"/>
          <w:w w:val="100"/>
          <w:position w:val="0"/>
        </w:rPr>
        <w:t>本公司对长期应收款的预期信用损失的确定方法及会计处理方法详见本附注五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金融工具减值。</w:t>
      </w:r>
    </w:p>
    <w:p>
      <w:pPr>
        <w:pStyle w:val="Style27"/>
        <w:keepNext/>
        <w:keepLines/>
        <w:widowControl w:val="0"/>
        <w:shd w:val="clear" w:color="auto" w:fill="auto"/>
        <w:tabs>
          <w:tab w:pos="478" w:val="left"/>
        </w:tabs>
        <w:bidi w:val="0"/>
        <w:spacing w:before="0" w:after="28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bookmarkEnd w:id="972"/>
      <w:r>
        <w:rPr>
          <w:rFonts w:ascii="Times New Roman" w:eastAsia="Times New Roman" w:hAnsi="Times New Roman" w:cs="Times New Roman"/>
          <w:color w:val="000000"/>
          <w:spacing w:val="0"/>
          <w:w w:val="100"/>
          <w:position w:val="0"/>
        </w:rPr>
        <w:t>1</w:t>
      </w:r>
      <w:r>
        <w:rPr>
          <w:color w:val="000000"/>
          <w:spacing w:val="0"/>
          <w:w w:val="100"/>
          <w:position w:val="0"/>
        </w:rPr>
        <w:t>、</w:t>
        <w:tab/>
        <w:t>长期股权投资</w:t>
      </w:r>
      <w:bookmarkEnd w:id="970"/>
      <w:bookmarkEnd w:id="971"/>
      <w:bookmarkEnd w:id="973"/>
    </w:p>
    <w:p>
      <w:pPr>
        <w:pStyle w:val="Style16"/>
        <w:keepNext w:val="0"/>
        <w:keepLines w:val="0"/>
        <w:widowControl w:val="0"/>
        <w:numPr>
          <w:ilvl w:val="0"/>
          <w:numId w:val="65"/>
        </w:numPr>
        <w:shd w:val="clear" w:color="auto" w:fill="auto"/>
        <w:tabs>
          <w:tab w:pos="786" w:val="left"/>
        </w:tabs>
        <w:bidi w:val="0"/>
        <w:spacing w:before="0" w:after="0" w:line="313" w:lineRule="exact"/>
        <w:ind w:left="0" w:right="0"/>
        <w:jc w:val="both"/>
      </w:pPr>
      <w:bookmarkStart w:id="974" w:name="bookmark974"/>
      <w:bookmarkEnd w:id="974"/>
      <w:r>
        <w:rPr>
          <w:color w:val="000000"/>
          <w:spacing w:val="0"/>
          <w:w w:val="100"/>
          <w:position w:val="0"/>
        </w:rPr>
        <w:t>初始投资成本的确定</w:t>
      </w:r>
    </w:p>
    <w:p>
      <w:pPr>
        <w:pStyle w:val="Style16"/>
        <w:keepNext w:val="0"/>
        <w:keepLines w:val="0"/>
        <w:widowControl w:val="0"/>
        <w:numPr>
          <w:ilvl w:val="0"/>
          <w:numId w:val="67"/>
        </w:numPr>
        <w:shd w:val="clear" w:color="auto" w:fill="auto"/>
        <w:tabs>
          <w:tab w:pos="895" w:val="left"/>
        </w:tabs>
        <w:bidi w:val="0"/>
        <w:spacing w:before="0" w:after="0" w:line="313" w:lineRule="exact"/>
        <w:ind w:left="0" w:right="0"/>
        <w:jc w:val="both"/>
      </w:pPr>
      <w:bookmarkStart w:id="975" w:name="bookmark975"/>
      <w:bookmarkEnd w:id="975"/>
      <w:r>
        <w:rPr>
          <w:color w:val="000000"/>
          <w:spacing w:val="0"/>
          <w:w w:val="100"/>
          <w:position w:val="0"/>
        </w:rPr>
        <w:t>企业合并形成的长期股权投资，具体会计政策详见本附注五</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)同一控制下和非同一控制下企业合并的会计处 理方法。</w:t>
      </w:r>
    </w:p>
    <w:p>
      <w:pPr>
        <w:pStyle w:val="Style16"/>
        <w:keepNext w:val="0"/>
        <w:keepLines w:val="0"/>
        <w:widowControl w:val="0"/>
        <w:numPr>
          <w:ilvl w:val="0"/>
          <w:numId w:val="67"/>
        </w:numPr>
        <w:shd w:val="clear" w:color="auto" w:fill="auto"/>
        <w:tabs>
          <w:tab w:pos="819" w:val="left"/>
        </w:tabs>
        <w:bidi w:val="0"/>
        <w:spacing w:before="0" w:after="0" w:line="313" w:lineRule="exact"/>
        <w:ind w:left="0" w:right="0"/>
        <w:jc w:val="both"/>
      </w:pPr>
      <w:bookmarkStart w:id="976" w:name="bookmark976"/>
      <w:bookmarkEnd w:id="976"/>
      <w:r>
        <w:rPr>
          <w:color w:val="000000"/>
          <w:spacing w:val="0"/>
          <w:w w:val="100"/>
          <w:position w:val="0"/>
        </w:rPr>
        <w:t>其他方式取得的长期股权投资</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通过债务重组取得的长期股权投资，其初始投资成本按照公允价值为基础确定。</w:t>
      </w:r>
    </w:p>
    <w:p>
      <w:pPr>
        <w:pStyle w:val="Style16"/>
        <w:keepNext w:val="0"/>
        <w:keepLines w:val="0"/>
        <w:widowControl w:val="0"/>
        <w:numPr>
          <w:ilvl w:val="0"/>
          <w:numId w:val="65"/>
        </w:numPr>
        <w:shd w:val="clear" w:color="auto" w:fill="auto"/>
        <w:tabs>
          <w:tab w:pos="786" w:val="left"/>
        </w:tabs>
        <w:bidi w:val="0"/>
        <w:spacing w:before="0" w:after="0" w:line="313" w:lineRule="exact"/>
        <w:ind w:left="0" w:right="0"/>
        <w:jc w:val="both"/>
      </w:pPr>
      <w:bookmarkStart w:id="977" w:name="bookmark977"/>
      <w:bookmarkEnd w:id="977"/>
      <w:r>
        <w:rPr>
          <w:color w:val="000000"/>
          <w:spacing w:val="0"/>
          <w:w w:val="100"/>
          <w:position w:val="0"/>
        </w:rPr>
        <w:t>后续计量及损益确认</w:t>
      </w:r>
    </w:p>
    <w:p>
      <w:pPr>
        <w:pStyle w:val="Style16"/>
        <w:keepNext w:val="0"/>
        <w:keepLines w:val="0"/>
        <w:widowControl w:val="0"/>
        <w:numPr>
          <w:ilvl w:val="0"/>
          <w:numId w:val="69"/>
        </w:numPr>
        <w:shd w:val="clear" w:color="auto" w:fill="auto"/>
        <w:tabs>
          <w:tab w:pos="819" w:val="left"/>
        </w:tabs>
        <w:bidi w:val="0"/>
        <w:spacing w:before="0" w:after="0" w:line="313" w:lineRule="exact"/>
        <w:ind w:left="0" w:right="0"/>
        <w:jc w:val="both"/>
      </w:pPr>
      <w:bookmarkStart w:id="978" w:name="bookmark978"/>
      <w:bookmarkEnd w:id="978"/>
      <w:r>
        <w:rPr>
          <w:color w:val="000000"/>
          <w:spacing w:val="0"/>
          <w:w w:val="100"/>
          <w:position w:val="0"/>
        </w:rPr>
        <w:t>成本法</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16"/>
        <w:keepNext w:val="0"/>
        <w:keepLines w:val="0"/>
        <w:widowControl w:val="0"/>
        <w:numPr>
          <w:ilvl w:val="0"/>
          <w:numId w:val="69"/>
        </w:numPr>
        <w:shd w:val="clear" w:color="auto" w:fill="auto"/>
        <w:tabs>
          <w:tab w:pos="819" w:val="left"/>
        </w:tabs>
        <w:bidi w:val="0"/>
        <w:spacing w:before="0" w:after="0" w:line="313" w:lineRule="exact"/>
        <w:ind w:left="0" w:right="0"/>
        <w:jc w:val="both"/>
      </w:pPr>
      <w:bookmarkStart w:id="979" w:name="bookmark979"/>
      <w:bookmarkEnd w:id="979"/>
      <w:r>
        <w:rPr>
          <w:color w:val="000000"/>
          <w:spacing w:val="0"/>
          <w:w w:val="100"/>
          <w:position w:val="0"/>
        </w:rPr>
        <w:t>权益法</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本公司在确认应享有被投资单位净损益的份额时，以取得投资时被投资单位各项可辨认资产等的公允价值为基础，对被 投资单位的净利润进行调整后确认。本公司与联营企业、合营企业之间发生的未实现内部交易损益按照应享有的比例计算归 属于本公司的部分予以抵销，在此基础上确认投资损益。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16"/>
        <w:keepNext w:val="0"/>
        <w:keepLines w:val="0"/>
        <w:widowControl w:val="0"/>
        <w:shd w:val="clear" w:color="auto" w:fill="auto"/>
        <w:bidi w:val="0"/>
        <w:spacing w:before="0" w:after="100" w:line="313" w:lineRule="exact"/>
        <w:ind w:left="0" w:right="0"/>
        <w:jc w:val="both"/>
      </w:pPr>
      <w:r>
        <w:rPr>
          <w:color w:val="000000"/>
          <w:spacing w:val="0"/>
          <w:w w:val="100"/>
          <w:position w:val="0"/>
        </w:rPr>
        <w:t xml:space="preserve">被投资单位以后期间实现盈利的，公司在扣除未确认的亏损分担额后，按与上述相反的顺序处理，减记已确认预计负债 </w:t>
      </w:r>
      <w:r>
        <w:rPr>
          <w:color w:val="000000"/>
          <w:spacing w:val="0"/>
          <w:w w:val="100"/>
          <w:position w:val="0"/>
        </w:rPr>
        <w:t>的账面余额、恢复其他实质上构成对被投资单位净投资的长期权益及长期股权投资的账面价值后，恢复确认投资收益。</w:t>
      </w:r>
    </w:p>
    <w:p>
      <w:pPr>
        <w:pStyle w:val="Style16"/>
        <w:keepNext w:val="0"/>
        <w:keepLines w:val="0"/>
        <w:widowControl w:val="0"/>
        <w:numPr>
          <w:ilvl w:val="0"/>
          <w:numId w:val="65"/>
        </w:numPr>
        <w:shd w:val="clear" w:color="auto" w:fill="auto"/>
        <w:tabs>
          <w:tab w:pos="782" w:val="left"/>
        </w:tabs>
        <w:bidi w:val="0"/>
        <w:spacing w:before="0" w:after="0" w:line="360" w:lineRule="auto"/>
        <w:ind w:left="0" w:right="0"/>
        <w:jc w:val="both"/>
      </w:pPr>
      <w:bookmarkStart w:id="980" w:name="bookmark980"/>
      <w:bookmarkEnd w:id="980"/>
      <w:r>
        <w:rPr>
          <w:color w:val="000000"/>
          <w:spacing w:val="0"/>
          <w:w w:val="100"/>
          <w:position w:val="0"/>
        </w:rPr>
        <w:t>长期股权投资核算方法的转换</w:t>
      </w:r>
    </w:p>
    <w:p>
      <w:pPr>
        <w:pStyle w:val="Style16"/>
        <w:keepNext w:val="0"/>
        <w:keepLines w:val="0"/>
        <w:widowControl w:val="0"/>
        <w:numPr>
          <w:ilvl w:val="0"/>
          <w:numId w:val="71"/>
        </w:numPr>
        <w:shd w:val="clear" w:color="auto" w:fill="auto"/>
        <w:tabs>
          <w:tab w:pos="812" w:val="left"/>
        </w:tabs>
        <w:bidi w:val="0"/>
        <w:spacing w:before="0" w:after="0" w:line="315" w:lineRule="exact"/>
        <w:ind w:left="0" w:right="0"/>
        <w:jc w:val="both"/>
      </w:pPr>
      <w:bookmarkStart w:id="981" w:name="bookmark981"/>
      <w:bookmarkEnd w:id="981"/>
      <w:r>
        <w:rPr>
          <w:color w:val="000000"/>
          <w:spacing w:val="0"/>
          <w:w w:val="100"/>
          <w:position w:val="0"/>
        </w:rPr>
        <w:t>公允价值计量转权益法核算</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本公司原持有的对被投资单位不具有控制、共同控制或重大影响的按金融工具确认和计量准则进行会计处理的权益性投 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 融工具确认和计量》确定的原持有的股权投资的公允价值加上新增投资成本之和，作为改按权益法核算的初始投资成本。</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Style16"/>
        <w:keepNext w:val="0"/>
        <w:keepLines w:val="0"/>
        <w:widowControl w:val="0"/>
        <w:numPr>
          <w:ilvl w:val="0"/>
          <w:numId w:val="71"/>
        </w:numPr>
        <w:shd w:val="clear" w:color="auto" w:fill="auto"/>
        <w:tabs>
          <w:tab w:pos="812" w:val="left"/>
        </w:tabs>
        <w:bidi w:val="0"/>
        <w:spacing w:before="0" w:after="0" w:line="314" w:lineRule="exact"/>
        <w:ind w:left="0" w:right="0"/>
        <w:jc w:val="both"/>
      </w:pPr>
      <w:bookmarkStart w:id="982" w:name="bookmark982"/>
      <w:bookmarkEnd w:id="982"/>
      <w:r>
        <w:rPr>
          <w:color w:val="000000"/>
          <w:spacing w:val="0"/>
          <w:w w:val="100"/>
          <w:position w:val="0"/>
        </w:rPr>
        <w:t>公允价值计量或权益法核算转成本法核算</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本公司原持有的对被投资单位不具有控制、共同控制或重大影响的按金融工具确认和计量准则进行会计处理的权益性投 资，或原持有对联营企业、合营企业的长期股权投资，因追加投资等原因能够对非同一控制下的被投资单位实施控制的，在 编制个别财务报表时，按照原持有的股权投资账面价值加上新增投资成本之和，作为改按成本法核算的初始投资成本。</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购买日之前持有的股权投资因采用权益法核算而确认的其他综合收益，在处置该项投资时采用与被投资单位直接处置相 关资产或负债相同的基础进行会计处理。</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号——金融工具确认和计量》的有关规定进行会计处理的，原计入 其他综合收益的累计公允价值变动在改按成本法核算时转入当期损益。</w:t>
      </w:r>
    </w:p>
    <w:p>
      <w:pPr>
        <w:pStyle w:val="Style16"/>
        <w:keepNext w:val="0"/>
        <w:keepLines w:val="0"/>
        <w:widowControl w:val="0"/>
        <w:numPr>
          <w:ilvl w:val="0"/>
          <w:numId w:val="71"/>
        </w:numPr>
        <w:shd w:val="clear" w:color="auto" w:fill="auto"/>
        <w:tabs>
          <w:tab w:pos="812" w:val="left"/>
        </w:tabs>
        <w:bidi w:val="0"/>
        <w:spacing w:before="0" w:after="0" w:line="314" w:lineRule="exact"/>
        <w:ind w:left="0" w:right="0"/>
        <w:jc w:val="both"/>
      </w:pPr>
      <w:bookmarkStart w:id="983" w:name="bookmark983"/>
      <w:bookmarkEnd w:id="983"/>
      <w:r>
        <w:rPr>
          <w:color w:val="000000"/>
          <w:spacing w:val="0"/>
          <w:w w:val="100"/>
          <w:position w:val="0"/>
        </w:rPr>
        <w:t>权益法核算转公允价值计量</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本公司因处置部分股权投资等原因丧失了对被投资单位的共同控制或重大影响的，处置后的剩余股权改按《企业会计准 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号——金融工具确认和计量》核算，其在丧失共同控制或重大影响之日的公允价值与账面价值之间的差额计入当期损 益。</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原股权投资因采用权益法核算而确认的其他综合收益，在终止采用权益法核算时采用与被投资单位直接处置相关资产或 负债相同的基础进行会计处理。</w:t>
      </w:r>
    </w:p>
    <w:p>
      <w:pPr>
        <w:pStyle w:val="Style16"/>
        <w:keepNext w:val="0"/>
        <w:keepLines w:val="0"/>
        <w:widowControl w:val="0"/>
        <w:numPr>
          <w:ilvl w:val="0"/>
          <w:numId w:val="71"/>
        </w:numPr>
        <w:shd w:val="clear" w:color="auto" w:fill="auto"/>
        <w:tabs>
          <w:tab w:pos="812" w:val="left"/>
        </w:tabs>
        <w:bidi w:val="0"/>
        <w:spacing w:before="0" w:after="0" w:line="314" w:lineRule="exact"/>
        <w:ind w:left="0" w:right="0"/>
        <w:jc w:val="both"/>
      </w:pPr>
      <w:bookmarkStart w:id="984" w:name="bookmark984"/>
      <w:bookmarkEnd w:id="984"/>
      <w:r>
        <w:rPr>
          <w:color w:val="000000"/>
          <w:spacing w:val="0"/>
          <w:w w:val="100"/>
          <w:position w:val="0"/>
        </w:rPr>
        <w:t>成本法转权益法</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本公司因处置部分权益性投资等原因丧失了对被投资单位的控制的，在编制个别财务报表时，处置后的剩余股权能够对 被投资单位实施共同控制或施加重大影响的，改按权益法核算，并对该剩余股权视同自取得时即采用权益法核算进行调整。</w:t>
      </w:r>
    </w:p>
    <w:p>
      <w:pPr>
        <w:pStyle w:val="Style16"/>
        <w:keepNext w:val="0"/>
        <w:keepLines w:val="0"/>
        <w:widowControl w:val="0"/>
        <w:numPr>
          <w:ilvl w:val="0"/>
          <w:numId w:val="71"/>
        </w:numPr>
        <w:shd w:val="clear" w:color="auto" w:fill="auto"/>
        <w:tabs>
          <w:tab w:pos="812" w:val="left"/>
        </w:tabs>
        <w:bidi w:val="0"/>
        <w:spacing w:before="0" w:after="0" w:line="319" w:lineRule="exact"/>
        <w:ind w:left="0" w:right="0"/>
        <w:jc w:val="both"/>
      </w:pPr>
      <w:bookmarkStart w:id="985" w:name="bookmark985"/>
      <w:bookmarkEnd w:id="985"/>
      <w:r>
        <w:rPr>
          <w:color w:val="000000"/>
          <w:spacing w:val="0"/>
          <w:w w:val="100"/>
          <w:position w:val="0"/>
        </w:rPr>
        <w:t>成本法转公允价值计量</w:t>
      </w:r>
    </w:p>
    <w:p>
      <w:pPr>
        <w:pStyle w:val="Style16"/>
        <w:keepNext w:val="0"/>
        <w:keepLines w:val="0"/>
        <w:widowControl w:val="0"/>
        <w:shd w:val="clear" w:color="auto" w:fill="auto"/>
        <w:bidi w:val="0"/>
        <w:spacing w:before="0" w:after="100" w:line="319" w:lineRule="exact"/>
        <w:ind w:left="0" w:right="0"/>
        <w:jc w:val="both"/>
      </w:pPr>
      <w:r>
        <w:rPr>
          <w:color w:val="000000"/>
          <w:spacing w:val="0"/>
          <w:w w:val="100"/>
          <w:position w:val="0"/>
        </w:rPr>
        <w:t>本公司因处置部分权益性投资等原因丧失了对被投资单位的控制的，在编制个别财务报表时，处置后的剩余股权不能对 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号——金融工具确认和计量》的有关规定进行会计处 理，其在丧失控制之日的公允价值与账面价值间的差额计入当期损益。</w:t>
      </w:r>
    </w:p>
    <w:p>
      <w:pPr>
        <w:pStyle w:val="Style16"/>
        <w:keepNext w:val="0"/>
        <w:keepLines w:val="0"/>
        <w:widowControl w:val="0"/>
        <w:numPr>
          <w:ilvl w:val="0"/>
          <w:numId w:val="65"/>
        </w:numPr>
        <w:shd w:val="clear" w:color="auto" w:fill="auto"/>
        <w:tabs>
          <w:tab w:pos="782" w:val="left"/>
        </w:tabs>
        <w:bidi w:val="0"/>
        <w:spacing w:before="0" w:after="0" w:line="360" w:lineRule="auto"/>
        <w:ind w:left="0" w:right="0"/>
        <w:jc w:val="both"/>
      </w:pPr>
      <w:bookmarkStart w:id="986" w:name="bookmark986"/>
      <w:bookmarkEnd w:id="986"/>
      <w:r>
        <w:rPr>
          <w:color w:val="000000"/>
          <w:spacing w:val="0"/>
          <w:w w:val="100"/>
          <w:position w:val="0"/>
        </w:rPr>
        <w:t>长期股权投资的处置</w:t>
      </w:r>
    </w:p>
    <w:p>
      <w:pPr>
        <w:pStyle w:val="Style16"/>
        <w:keepNext w:val="0"/>
        <w:keepLines w:val="0"/>
        <w:widowControl w:val="0"/>
        <w:shd w:val="clear" w:color="auto" w:fill="auto"/>
        <w:bidi w:val="0"/>
        <w:spacing w:before="0" w:after="0" w:line="309" w:lineRule="exact"/>
        <w:ind w:left="0" w:right="0"/>
        <w:jc w:val="both"/>
      </w:pPr>
      <w:r>
        <w:rPr>
          <w:color w:val="000000"/>
          <w:spacing w:val="0"/>
          <w:w w:val="100"/>
          <w:position w:val="0"/>
        </w:rPr>
        <w:t>处置长期股权投资，其账面价值与实际取得价款之间的差额，应当计入当期损益。采用权益法核算的长期股权投资，在 处置该项投资时，采用与被投资单位直接处置相关资产或负债相同的基础，按相应比例对原计入其他综合收益的部分进行会 计处理。</w:t>
      </w:r>
    </w:p>
    <w:p>
      <w:pPr>
        <w:pStyle w:val="Style16"/>
        <w:keepNext w:val="0"/>
        <w:keepLines w:val="0"/>
        <w:widowControl w:val="0"/>
        <w:shd w:val="clear" w:color="auto" w:fill="auto"/>
        <w:bidi w:val="0"/>
        <w:spacing w:before="0" w:after="0" w:line="309" w:lineRule="exact"/>
        <w:ind w:left="0" w:right="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16"/>
        <w:keepNext w:val="0"/>
        <w:keepLines w:val="0"/>
        <w:widowControl w:val="0"/>
        <w:numPr>
          <w:ilvl w:val="0"/>
          <w:numId w:val="73"/>
        </w:numPr>
        <w:shd w:val="clear" w:color="auto" w:fill="auto"/>
        <w:tabs>
          <w:tab w:pos="812" w:val="left"/>
        </w:tabs>
        <w:bidi w:val="0"/>
        <w:spacing w:before="0" w:after="0" w:line="309" w:lineRule="exact"/>
        <w:ind w:left="0" w:right="0"/>
        <w:jc w:val="both"/>
      </w:pPr>
      <w:bookmarkStart w:id="987" w:name="bookmark987"/>
      <w:bookmarkEnd w:id="987"/>
      <w:r>
        <w:rPr>
          <w:color w:val="000000"/>
          <w:spacing w:val="0"/>
          <w:w w:val="100"/>
          <w:position w:val="0"/>
        </w:rPr>
        <w:t>这些交易是同时或者在考虑了彼此影响的情况下订立的；</w:t>
      </w:r>
    </w:p>
    <w:p>
      <w:pPr>
        <w:pStyle w:val="Style16"/>
        <w:keepNext w:val="0"/>
        <w:keepLines w:val="0"/>
        <w:widowControl w:val="0"/>
        <w:numPr>
          <w:ilvl w:val="0"/>
          <w:numId w:val="73"/>
        </w:numPr>
        <w:shd w:val="clear" w:color="auto" w:fill="auto"/>
        <w:tabs>
          <w:tab w:pos="812" w:val="left"/>
        </w:tabs>
        <w:bidi w:val="0"/>
        <w:spacing w:before="0" w:after="0" w:line="309" w:lineRule="exact"/>
        <w:ind w:left="0" w:right="0"/>
        <w:jc w:val="both"/>
      </w:pPr>
      <w:bookmarkStart w:id="988" w:name="bookmark988"/>
      <w:bookmarkEnd w:id="988"/>
      <w:r>
        <w:rPr>
          <w:color w:val="000000"/>
          <w:spacing w:val="0"/>
          <w:w w:val="100"/>
          <w:position w:val="0"/>
        </w:rPr>
        <w:t>这些交易整体才能达成一项完整的商业结果；</w:t>
      </w:r>
    </w:p>
    <w:p>
      <w:pPr>
        <w:pStyle w:val="Style16"/>
        <w:keepNext w:val="0"/>
        <w:keepLines w:val="0"/>
        <w:widowControl w:val="0"/>
        <w:numPr>
          <w:ilvl w:val="0"/>
          <w:numId w:val="73"/>
        </w:numPr>
        <w:shd w:val="clear" w:color="auto" w:fill="auto"/>
        <w:tabs>
          <w:tab w:pos="812" w:val="left"/>
        </w:tabs>
        <w:bidi w:val="0"/>
        <w:spacing w:before="0" w:after="0" w:line="309" w:lineRule="exact"/>
        <w:ind w:left="0" w:right="0"/>
        <w:jc w:val="both"/>
      </w:pPr>
      <w:bookmarkStart w:id="989" w:name="bookmark989"/>
      <w:bookmarkEnd w:id="989"/>
      <w:r>
        <w:rPr>
          <w:color w:val="000000"/>
          <w:spacing w:val="0"/>
          <w:w w:val="100"/>
          <w:position w:val="0"/>
        </w:rPr>
        <w:t>一项交易的发生取决于其他至少一项交易的发生；</w:t>
      </w:r>
    </w:p>
    <w:p>
      <w:pPr>
        <w:pStyle w:val="Style16"/>
        <w:keepNext w:val="0"/>
        <w:keepLines w:val="0"/>
        <w:widowControl w:val="0"/>
        <w:numPr>
          <w:ilvl w:val="0"/>
          <w:numId w:val="73"/>
        </w:numPr>
        <w:shd w:val="clear" w:color="auto" w:fill="auto"/>
        <w:tabs>
          <w:tab w:pos="812" w:val="left"/>
        </w:tabs>
        <w:bidi w:val="0"/>
        <w:spacing w:before="0" w:after="0" w:line="309" w:lineRule="exact"/>
        <w:ind w:left="0" w:right="0"/>
        <w:jc w:val="both"/>
      </w:pPr>
      <w:bookmarkStart w:id="990" w:name="bookmark990"/>
      <w:bookmarkEnd w:id="990"/>
      <w:r>
        <w:rPr>
          <w:color w:val="000000"/>
          <w:spacing w:val="0"/>
          <w:w w:val="100"/>
          <w:position w:val="0"/>
        </w:rPr>
        <w:t>一项交易单独看是不经济的，但是和其他交易一并考虑时是经济的。</w:t>
      </w:r>
    </w:p>
    <w:p>
      <w:pPr>
        <w:pStyle w:val="Style16"/>
        <w:keepNext w:val="0"/>
        <w:keepLines w:val="0"/>
        <w:widowControl w:val="0"/>
        <w:shd w:val="clear" w:color="auto" w:fill="auto"/>
        <w:bidi w:val="0"/>
        <w:spacing w:before="0" w:after="0" w:line="309" w:lineRule="exact"/>
        <w:ind w:left="0" w:right="0"/>
        <w:jc w:val="both"/>
      </w:pPr>
      <w:r>
        <w:rPr>
          <w:color w:val="000000"/>
          <w:spacing w:val="0"/>
          <w:w w:val="100"/>
          <w:position w:val="0"/>
        </w:rPr>
        <w:t>因处置部分股权投资或其他原因丧失了对原有子公司控制权的，不属于一揽子交易的，区分个别财务报表和合并财务报 表进行相关会计处理：</w:t>
      </w:r>
    </w:p>
    <w:p>
      <w:pPr>
        <w:pStyle w:val="Style16"/>
        <w:keepNext w:val="0"/>
        <w:keepLines w:val="0"/>
        <w:widowControl w:val="0"/>
        <w:numPr>
          <w:ilvl w:val="0"/>
          <w:numId w:val="75"/>
        </w:numPr>
        <w:shd w:val="clear" w:color="auto" w:fill="auto"/>
        <w:bidi w:val="0"/>
        <w:spacing w:before="0" w:after="0" w:line="309" w:lineRule="exact"/>
        <w:ind w:left="0" w:right="0"/>
        <w:jc w:val="both"/>
      </w:pPr>
      <w:bookmarkStart w:id="991" w:name="bookmark991"/>
      <w:bookmarkEnd w:id="991"/>
      <w:r>
        <w:rPr>
          <w:color w:val="000000"/>
          <w:spacing w:val="0"/>
          <w:w w:val="100"/>
          <w:position w:val="0"/>
        </w:rPr>
        <w:t>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号——金融工具确认 </w:t>
      </w:r>
      <w:r>
        <w:rPr>
          <w:color w:val="000000"/>
          <w:spacing w:val="0"/>
          <w:w w:val="100"/>
          <w:position w:val="0"/>
        </w:rPr>
        <w:t>和计量》的有关规定进行会计处理，其在丧失控制之日的公允价值与账面价值间的差额计入当期损益。</w:t>
      </w:r>
    </w:p>
    <w:p>
      <w:pPr>
        <w:pStyle w:val="Style16"/>
        <w:keepNext w:val="0"/>
        <w:keepLines w:val="0"/>
        <w:widowControl w:val="0"/>
        <w:shd w:val="clear" w:color="auto" w:fill="auto"/>
        <w:bidi w:val="0"/>
        <w:spacing w:before="0" w:after="0" w:line="315" w:lineRule="exact"/>
        <w:ind w:left="0" w:right="0"/>
        <w:jc w:val="both"/>
      </w:pPr>
      <w:bookmarkStart w:id="992" w:name="bookmark992"/>
      <w:r>
        <w:rPr>
          <w:color w:val="000000"/>
          <w:spacing w:val="0"/>
          <w:w w:val="100"/>
          <w:position w:val="0"/>
        </w:rPr>
        <w:t>（</w:t>
      </w:r>
      <w:bookmarkEnd w:id="9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16"/>
        <w:keepNext w:val="0"/>
        <w:keepLines w:val="0"/>
        <w:widowControl w:val="0"/>
        <w:shd w:val="clear" w:color="auto" w:fill="auto"/>
        <w:bidi w:val="0"/>
        <w:spacing w:before="0" w:after="0" w:line="315" w:lineRule="exact"/>
        <w:ind w:left="0" w:right="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16"/>
        <w:keepNext w:val="0"/>
        <w:keepLines w:val="0"/>
        <w:widowControl w:val="0"/>
        <w:shd w:val="clear" w:color="auto" w:fill="auto"/>
        <w:tabs>
          <w:tab w:pos="866" w:val="left"/>
        </w:tabs>
        <w:bidi w:val="0"/>
        <w:spacing w:before="0" w:after="0" w:line="315" w:lineRule="exact"/>
        <w:ind w:left="0" w:right="0"/>
        <w:jc w:val="both"/>
      </w:pPr>
      <w:bookmarkStart w:id="993" w:name="bookmark993"/>
      <w:r>
        <w:rPr>
          <w:color w:val="000000"/>
          <w:spacing w:val="0"/>
          <w:w w:val="100"/>
          <w:position w:val="0"/>
        </w:rPr>
        <w:t>（</w:t>
      </w:r>
      <w:bookmarkEnd w:id="9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在个别财务报表中，在丧失控制权之前每一次处置价款与处置的股权对应的长期股权投资账面价值之间的差额， 确认为其他综合收益，在丧失控制权时一并转入丧失控制权当期的损益。</w:t>
      </w:r>
    </w:p>
    <w:p>
      <w:pPr>
        <w:pStyle w:val="Style16"/>
        <w:keepNext w:val="0"/>
        <w:keepLines w:val="0"/>
        <w:widowControl w:val="0"/>
        <w:shd w:val="clear" w:color="auto" w:fill="auto"/>
        <w:tabs>
          <w:tab w:pos="861" w:val="left"/>
        </w:tabs>
        <w:bidi w:val="0"/>
        <w:spacing w:before="0" w:after="80" w:line="313" w:lineRule="exact"/>
        <w:ind w:left="0" w:right="0"/>
        <w:jc w:val="both"/>
      </w:pPr>
      <w:bookmarkStart w:id="994" w:name="bookmark994"/>
      <w:r>
        <w:rPr>
          <w:color w:val="000000"/>
          <w:spacing w:val="0"/>
          <w:w w:val="100"/>
          <w:position w:val="0"/>
        </w:rPr>
        <w:t>（</w:t>
      </w:r>
      <w:bookmarkEnd w:id="9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在合并财务报表中，在丧失控制权之前每一次处置价款与处置投资对应的享有该子公司净资产份额的差额，确认 为其他综合收益，在丧失控制权时一并转入丧失控制权当期的损益。</w:t>
      </w:r>
    </w:p>
    <w:p>
      <w:pPr>
        <w:pStyle w:val="Style16"/>
        <w:keepNext w:val="0"/>
        <w:keepLines w:val="0"/>
        <w:widowControl w:val="0"/>
        <w:numPr>
          <w:ilvl w:val="0"/>
          <w:numId w:val="65"/>
        </w:numPr>
        <w:shd w:val="clear" w:color="auto" w:fill="auto"/>
        <w:tabs>
          <w:tab w:pos="823" w:val="left"/>
        </w:tabs>
        <w:bidi w:val="0"/>
        <w:spacing w:before="0" w:after="0" w:line="360" w:lineRule="auto"/>
        <w:ind w:left="0" w:right="0"/>
        <w:jc w:val="both"/>
      </w:pPr>
      <w:bookmarkStart w:id="995" w:name="bookmark995"/>
      <w:bookmarkEnd w:id="995"/>
      <w:r>
        <w:rPr>
          <w:color w:val="000000"/>
          <w:spacing w:val="0"/>
          <w:w w:val="100"/>
          <w:position w:val="0"/>
        </w:rPr>
        <w:t>共同控制、重大影响的判断标准</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16"/>
        <w:keepNext w:val="0"/>
        <w:keepLines w:val="0"/>
        <w:widowControl w:val="0"/>
        <w:shd w:val="clear" w:color="auto" w:fill="auto"/>
        <w:bidi w:val="0"/>
        <w:spacing w:before="0" w:after="400" w:line="313"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在被投资单位的董事会或类似权力机构中派有代表；（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）参与被投资单位财务和经营政策制定过程；（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）与被投资单位之 间发生重要交易；（</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）向被投资单位派出管理人员；（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）向被投资单位提供关键技术资料。</w:t>
      </w:r>
    </w:p>
    <w:p>
      <w:pPr>
        <w:pStyle w:val="Style27"/>
        <w:keepNext/>
        <w:keepLines/>
        <w:widowControl w:val="0"/>
        <w:shd w:val="clear" w:color="auto" w:fill="auto"/>
        <w:bidi w:val="0"/>
        <w:spacing w:before="0" w:after="280" w:line="240" w:lineRule="auto"/>
        <w:ind w:left="0" w:right="0" w:firstLine="0"/>
        <w:jc w:val="both"/>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8"/>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996"/>
      <w:bookmarkEnd w:id="997"/>
      <w:bookmarkEnd w:id="999"/>
    </w:p>
    <w:p>
      <w:pPr>
        <w:pStyle w:val="Style16"/>
        <w:keepNext w:val="0"/>
        <w:keepLines w:val="0"/>
        <w:widowControl w:val="0"/>
        <w:shd w:val="clear" w:color="auto" w:fill="auto"/>
        <w:bidi w:val="0"/>
        <w:spacing w:before="0" w:after="40" w:line="313" w:lineRule="exact"/>
        <w:ind w:left="0" w:right="0" w:firstLine="0"/>
        <w:jc w:val="both"/>
      </w:pPr>
      <w:r>
        <w:rPr>
          <w:color w:val="000000"/>
          <w:spacing w:val="0"/>
          <w:w w:val="100"/>
          <w:position w:val="0"/>
        </w:rPr>
        <w:t>投资性房地产计量模式</w:t>
      </w:r>
    </w:p>
    <w:p>
      <w:pPr>
        <w:pStyle w:val="Style16"/>
        <w:keepNext w:val="0"/>
        <w:keepLines w:val="0"/>
        <w:widowControl w:val="0"/>
        <w:shd w:val="clear" w:color="auto" w:fill="auto"/>
        <w:bidi w:val="0"/>
        <w:spacing w:before="0" w:after="40" w:line="313" w:lineRule="exact"/>
        <w:ind w:left="0" w:right="0" w:firstLine="0"/>
        <w:jc w:val="both"/>
      </w:pPr>
      <w:r>
        <w:rPr>
          <w:color w:val="000000"/>
          <w:spacing w:val="0"/>
          <w:w w:val="100"/>
          <w:position w:val="0"/>
        </w:rPr>
        <w:t>成本法计量</w:t>
      </w:r>
    </w:p>
    <w:p>
      <w:pPr>
        <w:pStyle w:val="Style16"/>
        <w:keepNext w:val="0"/>
        <w:keepLines w:val="0"/>
        <w:widowControl w:val="0"/>
        <w:shd w:val="clear" w:color="auto" w:fill="auto"/>
        <w:bidi w:val="0"/>
        <w:spacing w:before="0" w:after="40" w:line="313" w:lineRule="exact"/>
        <w:ind w:left="0" w:right="0" w:firstLine="0"/>
        <w:jc w:val="both"/>
      </w:pPr>
      <w:r>
        <w:rPr>
          <w:color w:val="000000"/>
          <w:spacing w:val="0"/>
          <w:w w:val="100"/>
          <w:position w:val="0"/>
        </w:rPr>
        <w:t>折旧或摊销方法</w:t>
      </w:r>
    </w:p>
    <w:p>
      <w:pPr>
        <w:pStyle w:val="Style16"/>
        <w:keepNext w:val="0"/>
        <w:keepLines w:val="0"/>
        <w:widowControl w:val="0"/>
        <w:shd w:val="clear" w:color="auto" w:fill="auto"/>
        <w:bidi w:val="0"/>
        <w:spacing w:before="0" w:after="40" w:line="312" w:lineRule="exact"/>
        <w:ind w:left="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转让的土地使用权、已出租的建筑物。此外，对于本公司持有以备经营出租的空置建筑物，若董事会作出书面决议，明确表 示将其用于经营出租且持有意图短期内不再发生变化的，也作为投资性房地产列报。</w:t>
      </w:r>
    </w:p>
    <w:p>
      <w:pPr>
        <w:pStyle w:val="Style16"/>
        <w:keepNext w:val="0"/>
        <w:keepLines w:val="0"/>
        <w:widowControl w:val="0"/>
        <w:shd w:val="clear" w:color="auto" w:fill="auto"/>
        <w:bidi w:val="0"/>
        <w:spacing w:before="0" w:after="40" w:line="312" w:lineRule="exact"/>
        <w:ind w:left="0" w:right="0"/>
        <w:jc w:val="both"/>
      </w:pPr>
      <w:r>
        <w:rPr>
          <w:color w:val="000000"/>
          <w:spacing w:val="0"/>
          <w:w w:val="100"/>
          <w:position w:val="0"/>
        </w:rPr>
        <w:t>本公司的投资性房地产按其成本作为入账价值，外购投资性房地产的成本包括购买价款、相关税费和可直接归属于该资 产的其他支出；自行建造投资性房地产的成本，由建造该项资产达到预定可使用状态前所发生的必要支出构成。</w:t>
      </w:r>
    </w:p>
    <w:p>
      <w:pPr>
        <w:pStyle w:val="Style16"/>
        <w:keepNext w:val="0"/>
        <w:keepLines w:val="0"/>
        <w:widowControl w:val="0"/>
        <w:shd w:val="clear" w:color="auto" w:fill="auto"/>
        <w:bidi w:val="0"/>
        <w:spacing w:before="0" w:after="80" w:line="317" w:lineRule="exact"/>
        <w:ind w:left="0" w:right="0"/>
        <w:jc w:val="both"/>
      </w:pPr>
      <w:r>
        <w:rPr>
          <w:color w:val="000000"/>
          <w:spacing w:val="0"/>
          <w:w w:val="100"/>
          <w:position w:val="0"/>
        </w:rPr>
        <w:t>本公司对投资性房地产采用成本模式进行后续计量，按其预计使用寿命及净残值率对建筑物和土地使用权计提折旧或摊 销。投资性房地产的预计使用寿命、净残值率及年折旧（摊销）率列示如下：</w:t>
      </w:r>
    </w:p>
    <w:tbl>
      <w:tblPr>
        <w:tblOverlap w:val="never"/>
        <w:jc w:val="center"/>
        <w:tblLayout w:type="fixed"/>
      </w:tblPr>
      <w:tblGrid>
        <w:gridCol w:w="2419"/>
        <w:gridCol w:w="2246"/>
        <w:gridCol w:w="2568"/>
        <w:gridCol w:w="2443"/>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w:t>
            </w:r>
          </w:p>
        </w:tc>
      </w:tr>
    </w:tbl>
    <w:p>
      <w:pPr>
        <w:widowControl w:val="0"/>
        <w:spacing w:after="39" w:line="1" w:lineRule="exact"/>
      </w:pP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投资性房地产的用途改变为自用时，自改变之日起，本公司将该投资性房地产转换为固定资产或无形资产。自用房地 产的用途改变为赚取租金或资本增值时，自改变之日起，本公司将固定资产或无形资产转换为投资性房地产。发生转换时， 以转换前的账面价值作为转换后的入账价值。</w:t>
      </w:r>
    </w:p>
    <w:p>
      <w:pPr>
        <w:pStyle w:val="Style16"/>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 xml:space="preserve">当投资性房地产被处置，或者永久退出使用且预计不能从其处置中取得经济利益时，终止确认该项投资性房地产。投 </w:t>
      </w:r>
      <w:r>
        <w:rPr>
          <w:color w:val="000000"/>
          <w:spacing w:val="0"/>
          <w:w w:val="100"/>
          <w:position w:val="0"/>
        </w:rPr>
        <w:t>资性房地产出售、转让、报废或毁损的处置收入扣除其账面价值和相关税费后的金额计入当期损益。</w:t>
      </w:r>
    </w:p>
    <w:p>
      <w:pPr>
        <w:pStyle w:val="Style27"/>
        <w:keepNext/>
        <w:keepLines/>
        <w:widowControl w:val="0"/>
        <w:shd w:val="clear" w:color="auto" w:fill="auto"/>
        <w:bidi w:val="0"/>
        <w:spacing w:before="0" w:line="240" w:lineRule="auto"/>
        <w:ind w:left="0" w:right="0" w:firstLine="0"/>
        <w:jc w:val="both"/>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2</w:t>
      </w:r>
      <w:bookmarkEnd w:id="1002"/>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000"/>
      <w:bookmarkEnd w:id="1001"/>
      <w:bookmarkEnd w:id="1003"/>
    </w:p>
    <w:p>
      <w:pPr>
        <w:pStyle w:val="Style27"/>
        <w:keepNext/>
        <w:keepLines/>
        <w:widowControl w:val="0"/>
        <w:shd w:val="clear" w:color="auto" w:fill="auto"/>
        <w:bidi w:val="0"/>
        <w:spacing w:before="0" w:after="280" w:line="240" w:lineRule="auto"/>
        <w:ind w:left="0" w:right="0" w:firstLine="0"/>
        <w:jc w:val="both"/>
      </w:pPr>
      <w:bookmarkStart w:id="1000" w:name="bookmark1000"/>
      <w:bookmarkStart w:id="1001" w:name="bookmark1001"/>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00"/>
      <w:bookmarkEnd w:id="1001"/>
      <w:bookmarkEnd w:id="1005"/>
    </w:p>
    <w:p>
      <w:pPr>
        <w:pStyle w:val="Style16"/>
        <w:keepNext w:val="0"/>
        <w:keepLines w:val="0"/>
        <w:widowControl w:val="0"/>
        <w:shd w:val="clear" w:color="auto" w:fill="auto"/>
        <w:bidi w:val="0"/>
        <w:spacing w:before="0" w:after="0" w:line="302"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）该固定资产的成本能够可靠地计量。</w:t>
      </w:r>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本公司固定资产按成本进行初始计量。（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）外购的固定资产的成本包括买价、进口关税等相关税费，以及为使固定资产达到 预定可使用状态前所发生的可直接归属于该资产的其他支出。（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）自行建造固定资产的成本，由建造该项资产达到预定可使 用状态前所发生的必要支出构成。（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）投资者投入的固定资产，按投资合同或协议约定的价值作为入账价值，但合同或协议 约定价值不公允的按公允价值入账。（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）购买固定资产的价款超过正常信用条件延期支付，实质上具有融资性质的，固定资 产的成本以购买价款的现值为基础确定。实际支付的价款与购买价款的现值之间的差额，除应予资本化的以外，在信用期间 内计入当期损益。</w:t>
      </w:r>
    </w:p>
    <w:p>
      <w:pPr>
        <w:pStyle w:val="Style27"/>
        <w:keepNext/>
        <w:keepLines/>
        <w:widowControl w:val="0"/>
        <w:shd w:val="clear" w:color="auto" w:fill="auto"/>
        <w:bidi w:val="0"/>
        <w:spacing w:before="0" w:after="320" w:line="240" w:lineRule="auto"/>
        <w:ind w:left="0" w:right="0" w:firstLine="0"/>
        <w:jc w:val="both"/>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06"/>
      <w:bookmarkEnd w:id="1007"/>
      <w:bookmarkEnd w:id="1009"/>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2.375T.75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19~31.67</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19~31.67</w:t>
            </w:r>
          </w:p>
        </w:tc>
      </w:tr>
    </w:tbl>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固定资产折旧按其入账价值减去预计净残值后在预计使用寿命内计提。对计提了减值准备的固定资产，则在未来期间按 扣除减值准备后的账面价值及依据尚可使用年限确定折旧额；已提足折旧仍继续使用的固定资产不计提折旧。</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本公司根据固定资产的性质和使用情况，确定固定资产的使用寿命和预计净残值。并在年度终了，对固定资产的使用寿 命、预计净残值和折旧方法进行复核，如与原先估计数存在差异的，进行相应的调整。</w:t>
      </w:r>
    </w:p>
    <w:p>
      <w:pPr>
        <w:pStyle w:val="Style16"/>
        <w:keepNext w:val="0"/>
        <w:keepLines w:val="0"/>
        <w:widowControl w:val="0"/>
        <w:shd w:val="clear" w:color="auto" w:fill="auto"/>
        <w:bidi w:val="0"/>
        <w:spacing w:before="0" w:after="0" w:line="307" w:lineRule="exact"/>
        <w:ind w:left="0" w:right="0"/>
        <w:jc w:val="both"/>
      </w:pPr>
      <w:r>
        <w:rPr>
          <w:color w:val="000000"/>
          <w:spacing w:val="0"/>
          <w:w w:val="100"/>
          <w:position w:val="0"/>
        </w:rPr>
        <w:t>与固定资产有关的后续支出，符合固定资产确认条件的，计入固定资产成本；不符合固定资产确认条件的，在发生时计 入当期损益。</w:t>
      </w:r>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27"/>
        <w:keepNext/>
        <w:keepLines/>
        <w:widowControl w:val="0"/>
        <w:shd w:val="clear" w:color="auto" w:fill="auto"/>
        <w:bidi w:val="0"/>
        <w:spacing w:before="0" w:after="280" w:line="240" w:lineRule="auto"/>
        <w:ind w:left="0" w:right="0" w:firstLine="0"/>
        <w:jc w:val="both"/>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10"/>
      <w:bookmarkEnd w:id="1011"/>
      <w:bookmarkEnd w:id="1013"/>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融资租入固定资产的认定依据、计价和折旧方法（适用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日之前）</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当本公司租入的固定资产符合下列一项或数项标准时，确认为融资租入固定资产：</w:t>
      </w:r>
    </w:p>
    <w:p>
      <w:pPr>
        <w:pStyle w:val="Style16"/>
        <w:keepNext w:val="0"/>
        <w:keepLines w:val="0"/>
        <w:widowControl w:val="0"/>
        <w:shd w:val="clear" w:color="auto" w:fill="auto"/>
        <w:tabs>
          <w:tab w:pos="445" w:val="left"/>
        </w:tabs>
        <w:bidi w:val="0"/>
        <w:spacing w:before="0" w:after="0" w:line="326" w:lineRule="exact"/>
        <w:ind w:left="0" w:right="0" w:firstLine="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在租赁期届满时，租赁资产的所有权转移给本公司。</w:t>
      </w:r>
    </w:p>
    <w:p>
      <w:pPr>
        <w:pStyle w:val="Style16"/>
        <w:keepNext w:val="0"/>
        <w:keepLines w:val="0"/>
        <w:widowControl w:val="0"/>
        <w:shd w:val="clear" w:color="auto" w:fill="auto"/>
        <w:tabs>
          <w:tab w:pos="541" w:val="left"/>
        </w:tabs>
        <w:bidi w:val="0"/>
        <w:spacing w:before="0" w:after="0" w:line="326" w:lineRule="exact"/>
        <w:ind w:left="0" w:right="0" w:firstLine="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本公司有购买租赁资产的选择权，所订立的购买价款预计将远低于行使选择权时租赁资产的公允价值，因而在租赁开 始日就可以合理确定本公司将会行使这种选择权。</w:t>
      </w:r>
    </w:p>
    <w:p>
      <w:pPr>
        <w:pStyle w:val="Style16"/>
        <w:keepNext w:val="0"/>
        <w:keepLines w:val="0"/>
        <w:widowControl w:val="0"/>
        <w:shd w:val="clear" w:color="auto" w:fill="auto"/>
        <w:tabs>
          <w:tab w:pos="445" w:val="left"/>
        </w:tabs>
        <w:bidi w:val="0"/>
        <w:spacing w:before="0" w:after="0" w:line="326" w:lineRule="exact"/>
        <w:ind w:left="0" w:right="0" w:firstLine="0"/>
        <w:jc w:val="both"/>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即使资产的所有权不转移，但租赁期占租赁资产使用寿命的大部分。</w:t>
      </w:r>
    </w:p>
    <w:p>
      <w:pPr>
        <w:pStyle w:val="Style16"/>
        <w:keepNext w:val="0"/>
        <w:keepLines w:val="0"/>
        <w:widowControl w:val="0"/>
        <w:shd w:val="clear" w:color="auto" w:fill="auto"/>
        <w:tabs>
          <w:tab w:pos="445" w:val="left"/>
        </w:tabs>
        <w:bidi w:val="0"/>
        <w:spacing w:before="0" w:after="0" w:line="312" w:lineRule="exact"/>
        <w:ind w:left="0" w:right="0" w:firstLine="0"/>
        <w:jc w:val="both"/>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本公司在租赁开始日的最低租赁付款额现值，几乎相当于租赁开始日租赁资产公允价值。</w:t>
      </w:r>
    </w:p>
    <w:p>
      <w:pPr>
        <w:pStyle w:val="Style16"/>
        <w:keepNext w:val="0"/>
        <w:keepLines w:val="0"/>
        <w:widowControl w:val="0"/>
        <w:shd w:val="clear" w:color="auto" w:fill="auto"/>
        <w:tabs>
          <w:tab w:pos="445" w:val="left"/>
        </w:tabs>
        <w:bidi w:val="0"/>
        <w:spacing w:before="0" w:after="0" w:line="312" w:lineRule="exact"/>
        <w:ind w:left="0" w:right="0" w:firstLine="0"/>
        <w:jc w:val="both"/>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租赁资产性质特殊，如果不作较大改造，只有本公司才能使用。</w:t>
      </w:r>
    </w:p>
    <w:p>
      <w:pPr>
        <w:pStyle w:val="Style16"/>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融资租赁租入的固定资产，按租赁开始日租赁资产公允价值与最低租赁付款额的现值两者中较低者，作为入账价值。最低租 赁付款额作为长期应付款的入账价值，其差额作为未确认融资费用。在租赁谈判和签订租赁合同过程中发生的，可归属于租 赁项目的手续费、律师费、差旅费、印花税等初始直接费用，计入租入资产价值。未确认融资费用在租赁期内各个期间采用 实际利率法进行分摊。</w:t>
      </w:r>
    </w:p>
    <w:p>
      <w:pPr>
        <w:pStyle w:val="Style1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本公司采用与自有固定资产相一致的折旧政策计提融资租入固定资产折旧。能够合理确定租赁期届满时取得租赁资产所有权 的，在租赁资产使用寿命内计提折旧。无法合理确定租赁期届满时能够取得租赁资产所有权的，在租赁期与租赁资产使用寿 命两者中较短的期间内计提折旧。</w:t>
      </w:r>
    </w:p>
    <w:p>
      <w:pPr>
        <w:pStyle w:val="Style27"/>
        <w:keepNext/>
        <w:keepLines/>
        <w:widowControl w:val="0"/>
        <w:shd w:val="clear" w:color="auto" w:fill="auto"/>
        <w:tabs>
          <w:tab w:pos="483" w:val="left"/>
        </w:tabs>
        <w:bidi w:val="0"/>
        <w:spacing w:before="0" w:line="240" w:lineRule="auto"/>
        <w:ind w:left="0" w:right="0" w:firstLine="0"/>
        <w:jc w:val="both"/>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2</w:t>
      </w:r>
      <w:bookmarkEnd w:id="1021"/>
      <w:r>
        <w:rPr>
          <w:rFonts w:ascii="Times New Roman" w:eastAsia="Times New Roman" w:hAnsi="Times New Roman" w:cs="Times New Roman"/>
          <w:color w:val="000000"/>
          <w:spacing w:val="0"/>
          <w:w w:val="100"/>
          <w:position w:val="0"/>
        </w:rPr>
        <w:t>4</w:t>
      </w:r>
      <w:r>
        <w:rPr>
          <w:color w:val="000000"/>
          <w:spacing w:val="0"/>
          <w:w w:val="100"/>
          <w:position w:val="0"/>
        </w:rPr>
        <w:t>、</w:t>
        <w:tab/>
        <w:t>在建工程</w:t>
      </w:r>
      <w:bookmarkEnd w:id="1019"/>
      <w:bookmarkEnd w:id="1020"/>
      <w:bookmarkEnd w:id="1022"/>
    </w:p>
    <w:p>
      <w:pPr>
        <w:pStyle w:val="Style16"/>
        <w:keepNext w:val="0"/>
        <w:keepLines w:val="0"/>
        <w:widowControl w:val="0"/>
        <w:numPr>
          <w:ilvl w:val="0"/>
          <w:numId w:val="77"/>
        </w:numPr>
        <w:shd w:val="clear" w:color="auto" w:fill="auto"/>
        <w:tabs>
          <w:tab w:pos="699" w:val="left"/>
        </w:tabs>
        <w:bidi w:val="0"/>
        <w:spacing w:before="0" w:after="0" w:line="360" w:lineRule="auto"/>
        <w:ind w:left="0" w:right="0"/>
        <w:jc w:val="both"/>
      </w:pPr>
      <w:bookmarkStart w:id="1023" w:name="bookmark1023"/>
      <w:bookmarkEnd w:id="1023"/>
      <w:r>
        <w:rPr>
          <w:color w:val="000000"/>
          <w:spacing w:val="0"/>
          <w:w w:val="100"/>
          <w:position w:val="0"/>
        </w:rPr>
        <w:t>在建工程初始计量</w:t>
      </w:r>
    </w:p>
    <w:p>
      <w:pPr>
        <w:pStyle w:val="Style16"/>
        <w:keepNext w:val="0"/>
        <w:keepLines w:val="0"/>
        <w:widowControl w:val="0"/>
        <w:shd w:val="clear" w:color="auto" w:fill="auto"/>
        <w:bidi w:val="0"/>
        <w:spacing w:before="0" w:after="100" w:line="313" w:lineRule="exact"/>
        <w:ind w:left="0" w:right="0"/>
        <w:jc w:val="both"/>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包括工程用物资成本、人工成本、交纳的相关税费、应予资本化的借款费用以及应分摊的间接费用等。本公司的在建工程以 项目分类核算。</w:t>
      </w:r>
    </w:p>
    <w:p>
      <w:pPr>
        <w:pStyle w:val="Style16"/>
        <w:keepNext w:val="0"/>
        <w:keepLines w:val="0"/>
        <w:widowControl w:val="0"/>
        <w:numPr>
          <w:ilvl w:val="0"/>
          <w:numId w:val="77"/>
        </w:numPr>
        <w:shd w:val="clear" w:color="auto" w:fill="auto"/>
        <w:tabs>
          <w:tab w:pos="719" w:val="left"/>
        </w:tabs>
        <w:bidi w:val="0"/>
        <w:spacing w:before="0" w:after="0" w:line="360" w:lineRule="auto"/>
        <w:ind w:left="0" w:right="0"/>
        <w:jc w:val="both"/>
      </w:pPr>
      <w:bookmarkStart w:id="1024" w:name="bookmark1024"/>
      <w:bookmarkEnd w:id="1024"/>
      <w:r>
        <w:rPr>
          <w:color w:val="000000"/>
          <w:spacing w:val="0"/>
          <w:w w:val="100"/>
          <w:position w:val="0"/>
        </w:rPr>
        <w:t>在建工程结转为固定资产的标准和时点</w:t>
      </w:r>
    </w:p>
    <w:p>
      <w:pPr>
        <w:pStyle w:val="Style16"/>
        <w:keepNext w:val="0"/>
        <w:keepLines w:val="0"/>
        <w:widowControl w:val="0"/>
        <w:shd w:val="clear" w:color="auto" w:fill="auto"/>
        <w:bidi w:val="0"/>
        <w:spacing w:before="0" w:after="380" w:line="313" w:lineRule="exact"/>
        <w:ind w:left="0" w:right="0"/>
        <w:jc w:val="both"/>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27"/>
        <w:keepNext/>
        <w:keepLines/>
        <w:widowControl w:val="0"/>
        <w:shd w:val="clear" w:color="auto" w:fill="auto"/>
        <w:tabs>
          <w:tab w:pos="483" w:val="left"/>
        </w:tabs>
        <w:bidi w:val="0"/>
        <w:spacing w:before="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2</w:t>
      </w:r>
      <w:bookmarkEnd w:id="1027"/>
      <w:r>
        <w:rPr>
          <w:rFonts w:ascii="Times New Roman" w:eastAsia="Times New Roman" w:hAnsi="Times New Roman" w:cs="Times New Roman"/>
          <w:color w:val="000000"/>
          <w:spacing w:val="0"/>
          <w:w w:val="100"/>
          <w:position w:val="0"/>
        </w:rPr>
        <w:t>5</w:t>
      </w:r>
      <w:r>
        <w:rPr>
          <w:color w:val="000000"/>
          <w:spacing w:val="0"/>
          <w:w w:val="100"/>
          <w:position w:val="0"/>
        </w:rPr>
        <w:t>、</w:t>
        <w:tab/>
        <w:t>借款费用</w:t>
      </w:r>
      <w:bookmarkEnd w:id="1025"/>
      <w:bookmarkEnd w:id="1026"/>
      <w:bookmarkEnd w:id="1028"/>
    </w:p>
    <w:p>
      <w:pPr>
        <w:pStyle w:val="Style16"/>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.借款费用资本化的确认原则</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借款费用同时满足下列条件时开始资本化：</w:t>
      </w:r>
    </w:p>
    <w:p>
      <w:pPr>
        <w:pStyle w:val="Style16"/>
        <w:keepNext w:val="0"/>
        <w:keepLines w:val="0"/>
        <w:widowControl w:val="0"/>
        <w:shd w:val="clear" w:color="auto" w:fill="auto"/>
        <w:tabs>
          <w:tab w:pos="900" w:val="left"/>
        </w:tabs>
        <w:bidi w:val="0"/>
        <w:spacing w:before="0" w:after="0" w:line="314" w:lineRule="exact"/>
        <w:ind w:left="0" w:right="0"/>
        <w:jc w:val="left"/>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16"/>
        <w:keepNext w:val="0"/>
        <w:keepLines w:val="0"/>
        <w:widowControl w:val="0"/>
        <w:shd w:val="clear" w:color="auto" w:fill="auto"/>
        <w:tabs>
          <w:tab w:pos="824" w:val="left"/>
        </w:tabs>
        <w:bidi w:val="0"/>
        <w:spacing w:before="0" w:after="0" w:line="314" w:lineRule="exact"/>
        <w:ind w:left="0" w:right="0"/>
        <w:jc w:val="left"/>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借款费用已经发生；</w:t>
      </w:r>
    </w:p>
    <w:p>
      <w:pPr>
        <w:pStyle w:val="Style16"/>
        <w:keepNext w:val="0"/>
        <w:keepLines w:val="0"/>
        <w:widowControl w:val="0"/>
        <w:shd w:val="clear" w:color="auto" w:fill="auto"/>
        <w:bidi w:val="0"/>
        <w:spacing w:before="0" w:after="100" w:line="314"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）为使资产达到预定可使用或者可销售状态所必要的购建或者生产活动已经开始。</w:t>
      </w:r>
    </w:p>
    <w:p>
      <w:pPr>
        <w:pStyle w:val="Style16"/>
        <w:keepNext w:val="0"/>
        <w:keepLines w:val="0"/>
        <w:widowControl w:val="0"/>
        <w:numPr>
          <w:ilvl w:val="0"/>
          <w:numId w:val="79"/>
        </w:numPr>
        <w:shd w:val="clear" w:color="auto" w:fill="auto"/>
        <w:tabs>
          <w:tab w:pos="719" w:val="left"/>
        </w:tabs>
        <w:bidi w:val="0"/>
        <w:spacing w:before="0" w:after="0" w:line="360" w:lineRule="auto"/>
        <w:ind w:left="0" w:right="0"/>
        <w:jc w:val="left"/>
      </w:pPr>
      <w:bookmarkStart w:id="1031" w:name="bookmark1031"/>
      <w:bookmarkEnd w:id="1031"/>
      <w:r>
        <w:rPr>
          <w:color w:val="000000"/>
          <w:spacing w:val="0"/>
          <w:w w:val="100"/>
          <w:position w:val="0"/>
        </w:rPr>
        <w:t>借款费用资本化期间</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资本化期间，指从借款费用开始资本化时点到停止资本化时点的期间，借款费用暂停资本化的期间不包括在内。</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16"/>
        <w:keepNext w:val="0"/>
        <w:keepLines w:val="0"/>
        <w:widowControl w:val="0"/>
        <w:shd w:val="clear" w:color="auto" w:fill="auto"/>
        <w:bidi w:val="0"/>
        <w:spacing w:before="0" w:after="0" w:line="314" w:lineRule="exact"/>
        <w:ind w:left="0" w:right="0"/>
        <w:jc w:val="left"/>
      </w:pPr>
      <w:r>
        <w:rPr>
          <w:color w:val="000000"/>
          <w:spacing w:val="0"/>
          <w:w w:val="100"/>
          <w:position w:val="0"/>
        </w:rPr>
        <w:t>当购建或者生产符合资本化条件的资产中部分项目分别完工且可单独使用时，该部分资产借款费用停止资本化。</w:t>
      </w:r>
    </w:p>
    <w:p>
      <w:pPr>
        <w:pStyle w:val="Style16"/>
        <w:keepNext w:val="0"/>
        <w:keepLines w:val="0"/>
        <w:widowControl w:val="0"/>
        <w:shd w:val="clear" w:color="auto" w:fill="auto"/>
        <w:bidi w:val="0"/>
        <w:spacing w:before="0" w:after="100" w:line="314" w:lineRule="exact"/>
        <w:ind w:left="0" w:right="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16"/>
        <w:keepNext w:val="0"/>
        <w:keepLines w:val="0"/>
        <w:widowControl w:val="0"/>
        <w:numPr>
          <w:ilvl w:val="0"/>
          <w:numId w:val="79"/>
        </w:numPr>
        <w:shd w:val="clear" w:color="auto" w:fill="auto"/>
        <w:tabs>
          <w:tab w:pos="719" w:val="left"/>
        </w:tabs>
        <w:bidi w:val="0"/>
        <w:spacing w:before="0" w:after="0" w:line="360" w:lineRule="auto"/>
        <w:ind w:left="0" w:right="0"/>
        <w:jc w:val="left"/>
      </w:pPr>
      <w:bookmarkStart w:id="1032" w:name="bookmark1032"/>
      <w:bookmarkEnd w:id="1032"/>
      <w:r>
        <w:rPr>
          <w:color w:val="000000"/>
          <w:spacing w:val="0"/>
          <w:w w:val="100"/>
          <w:position w:val="0"/>
        </w:rPr>
        <w:t>暂停资本化期间</w:t>
      </w:r>
    </w:p>
    <w:p>
      <w:pPr>
        <w:pStyle w:val="Style16"/>
        <w:keepNext w:val="0"/>
        <w:keepLines w:val="0"/>
        <w:widowControl w:val="0"/>
        <w:shd w:val="clear" w:color="auto" w:fill="auto"/>
        <w:bidi w:val="0"/>
        <w:spacing w:before="0" w:after="100" w:line="314" w:lineRule="exact"/>
        <w:ind w:left="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16"/>
        <w:keepNext w:val="0"/>
        <w:keepLines w:val="0"/>
        <w:widowControl w:val="0"/>
        <w:numPr>
          <w:ilvl w:val="0"/>
          <w:numId w:val="79"/>
        </w:numPr>
        <w:shd w:val="clear" w:color="auto" w:fill="auto"/>
        <w:tabs>
          <w:tab w:pos="719" w:val="left"/>
        </w:tabs>
        <w:bidi w:val="0"/>
        <w:spacing w:before="0" w:after="0" w:line="360" w:lineRule="auto"/>
        <w:ind w:left="0" w:right="0"/>
        <w:jc w:val="both"/>
      </w:pPr>
      <w:bookmarkStart w:id="1033" w:name="bookmark1033"/>
      <w:bookmarkEnd w:id="1033"/>
      <w:r>
        <w:rPr>
          <w:color w:val="000000"/>
          <w:spacing w:val="0"/>
          <w:w w:val="100"/>
          <w:position w:val="0"/>
        </w:rPr>
        <w:t>借款费用资本化金额的计算方法</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专门借款的利息费用（扣除尚未动用的借款资金存入银行取得的利息收入或者进行暂时性投资取得的投资收益）及其辅 </w:t>
      </w:r>
      <w:r>
        <w:rPr>
          <w:color w:val="000000"/>
          <w:spacing w:val="0"/>
          <w:w w:val="100"/>
          <w:position w:val="0"/>
        </w:rPr>
        <w:t>助费用在所购建或者生产的符合资本化条件的资产达到预定可使用或者可销售状态前，予以资本化。</w:t>
      </w:r>
    </w:p>
    <w:p>
      <w:pPr>
        <w:pStyle w:val="Style16"/>
        <w:keepNext w:val="0"/>
        <w:keepLines w:val="0"/>
        <w:widowControl w:val="0"/>
        <w:shd w:val="clear" w:color="auto" w:fill="auto"/>
        <w:bidi w:val="0"/>
        <w:spacing w:before="0" w:after="0" w:line="307" w:lineRule="exact"/>
        <w:ind w:left="0" w:right="0"/>
        <w:jc w:val="both"/>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16"/>
        <w:keepNext w:val="0"/>
        <w:keepLines w:val="0"/>
        <w:widowControl w:val="0"/>
        <w:shd w:val="clear" w:color="auto" w:fill="auto"/>
        <w:bidi w:val="0"/>
        <w:spacing w:before="0" w:after="380" w:line="307" w:lineRule="exact"/>
        <w:ind w:left="0" w:right="0"/>
        <w:jc w:val="both"/>
      </w:pPr>
      <w:r>
        <w:rPr>
          <w:color w:val="000000"/>
          <w:spacing w:val="0"/>
          <w:w w:val="100"/>
          <w:position w:val="0"/>
        </w:rPr>
        <w:t>借款存在折价或者溢价的，按照实际利率法确定每一会计期间应摊销的折价或者溢价金额，调整每期利息金额。</w:t>
      </w:r>
    </w:p>
    <w:p>
      <w:pPr>
        <w:pStyle w:val="Style27"/>
        <w:keepNext/>
        <w:keepLines/>
        <w:widowControl w:val="0"/>
        <w:shd w:val="clear" w:color="auto" w:fill="auto"/>
        <w:tabs>
          <w:tab w:pos="530" w:val="left"/>
        </w:tabs>
        <w:bidi w:val="0"/>
        <w:spacing w:before="0" w:after="260" w:line="240" w:lineRule="auto"/>
        <w:ind w:left="0" w:right="0" w:firstLine="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2</w:t>
      </w:r>
      <w:bookmarkEnd w:id="1036"/>
      <w:r>
        <w:rPr>
          <w:rFonts w:ascii="Times New Roman" w:eastAsia="Times New Roman" w:hAnsi="Times New Roman" w:cs="Times New Roman"/>
          <w:color w:val="000000"/>
          <w:spacing w:val="0"/>
          <w:w w:val="100"/>
          <w:position w:val="0"/>
        </w:rPr>
        <w:t>6</w:t>
      </w:r>
      <w:r>
        <w:rPr>
          <w:color w:val="000000"/>
          <w:spacing w:val="0"/>
          <w:w w:val="100"/>
          <w:position w:val="0"/>
        </w:rPr>
        <w:t>、</w:t>
        <w:tab/>
        <w:t>使用权资产</w:t>
      </w:r>
      <w:bookmarkEnd w:id="1034"/>
      <w:bookmarkEnd w:id="1035"/>
      <w:bookmarkEnd w:id="1037"/>
    </w:p>
    <w:p>
      <w:pPr>
        <w:pStyle w:val="Style16"/>
        <w:keepNext w:val="0"/>
        <w:keepLines w:val="0"/>
        <w:widowControl w:val="0"/>
        <w:shd w:val="clear" w:color="auto" w:fill="auto"/>
        <w:bidi w:val="0"/>
        <w:spacing w:before="0" w:after="100" w:line="317" w:lineRule="exact"/>
        <w:ind w:left="0" w:right="0"/>
        <w:jc w:val="both"/>
      </w:pPr>
      <w:r>
        <w:rPr>
          <w:color w:val="000000"/>
          <w:spacing w:val="0"/>
          <w:w w:val="100"/>
          <w:position w:val="0"/>
        </w:rPr>
        <w:t>本公司对使用权资产按照成本进行初始计量，该成本包括：</w:t>
      </w:r>
    </w:p>
    <w:p>
      <w:pPr>
        <w:pStyle w:val="Style16"/>
        <w:keepNext w:val="0"/>
        <w:keepLines w:val="0"/>
        <w:widowControl w:val="0"/>
        <w:numPr>
          <w:ilvl w:val="0"/>
          <w:numId w:val="81"/>
        </w:numPr>
        <w:shd w:val="clear" w:color="auto" w:fill="auto"/>
        <w:tabs>
          <w:tab w:pos="681" w:val="left"/>
        </w:tabs>
        <w:bidi w:val="0"/>
        <w:spacing w:before="0" w:after="0" w:line="360" w:lineRule="auto"/>
        <w:ind w:left="0" w:right="0"/>
        <w:jc w:val="both"/>
      </w:pPr>
      <w:bookmarkStart w:id="1038" w:name="bookmark1038"/>
      <w:bookmarkEnd w:id="1038"/>
      <w:r>
        <w:rPr>
          <w:color w:val="000000"/>
          <w:spacing w:val="0"/>
          <w:w w:val="100"/>
          <w:position w:val="0"/>
        </w:rPr>
        <w:t>租赁负债的初始计量金额；</w:t>
      </w:r>
    </w:p>
    <w:p>
      <w:pPr>
        <w:pStyle w:val="Style16"/>
        <w:keepNext w:val="0"/>
        <w:keepLines w:val="0"/>
        <w:widowControl w:val="0"/>
        <w:numPr>
          <w:ilvl w:val="0"/>
          <w:numId w:val="81"/>
        </w:numPr>
        <w:shd w:val="clear" w:color="auto" w:fill="auto"/>
        <w:tabs>
          <w:tab w:pos="700" w:val="left"/>
        </w:tabs>
        <w:bidi w:val="0"/>
        <w:spacing w:before="0" w:after="0" w:line="360" w:lineRule="auto"/>
        <w:ind w:left="0" w:right="0"/>
        <w:jc w:val="both"/>
      </w:pPr>
      <w:bookmarkStart w:id="1039" w:name="bookmark1039"/>
      <w:bookmarkEnd w:id="1039"/>
      <w:r>
        <w:rPr>
          <w:color w:val="000000"/>
          <w:spacing w:val="0"/>
          <w:w w:val="100"/>
          <w:position w:val="0"/>
        </w:rPr>
        <w:t>在租赁期开始日或之前支付的租赁付款额，存在租赁激励的，扣除已享受的租赁激励相关金额；</w:t>
      </w:r>
    </w:p>
    <w:p>
      <w:pPr>
        <w:pStyle w:val="Style16"/>
        <w:keepNext w:val="0"/>
        <w:keepLines w:val="0"/>
        <w:widowControl w:val="0"/>
        <w:numPr>
          <w:ilvl w:val="0"/>
          <w:numId w:val="81"/>
        </w:numPr>
        <w:shd w:val="clear" w:color="auto" w:fill="auto"/>
        <w:tabs>
          <w:tab w:pos="700" w:val="left"/>
        </w:tabs>
        <w:bidi w:val="0"/>
        <w:spacing w:before="0" w:after="0" w:line="360" w:lineRule="auto"/>
        <w:ind w:left="0" w:right="0"/>
        <w:jc w:val="both"/>
      </w:pPr>
      <w:bookmarkStart w:id="1040" w:name="bookmark1040"/>
      <w:bookmarkEnd w:id="1040"/>
      <w:r>
        <w:rPr>
          <w:color w:val="000000"/>
          <w:spacing w:val="0"/>
          <w:w w:val="100"/>
          <w:position w:val="0"/>
        </w:rPr>
        <w:t>本公司发生的初始直接费用；</w:t>
      </w:r>
    </w:p>
    <w:p>
      <w:pPr>
        <w:pStyle w:val="Style16"/>
        <w:keepNext w:val="0"/>
        <w:keepLines w:val="0"/>
        <w:widowControl w:val="0"/>
        <w:numPr>
          <w:ilvl w:val="0"/>
          <w:numId w:val="81"/>
        </w:numPr>
        <w:shd w:val="clear" w:color="auto" w:fill="auto"/>
        <w:bidi w:val="0"/>
        <w:spacing w:before="0" w:after="0" w:line="317" w:lineRule="exact"/>
        <w:ind w:left="0" w:right="0"/>
        <w:jc w:val="both"/>
      </w:pPr>
      <w:bookmarkStart w:id="1041" w:name="bookmark1041"/>
      <w:bookmarkEnd w:id="1041"/>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本公司为拆卸及移除租赁资产、复原租赁资产所在场地或将租赁资产恢复至租赁条款约定状态预计将发生的成本(不 包括为生产存货而发生的成本)。</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在租赁期开始日后，本公司采用成本模式对使用权资产进行后续计量。</w:t>
      </w:r>
    </w:p>
    <w:p>
      <w:pPr>
        <w:pStyle w:val="Style16"/>
        <w:keepNext w:val="0"/>
        <w:keepLines w:val="0"/>
        <w:widowControl w:val="0"/>
        <w:shd w:val="clear" w:color="auto" w:fill="auto"/>
        <w:bidi w:val="0"/>
        <w:spacing w:before="0" w:after="380" w:line="317" w:lineRule="exact"/>
        <w:ind w:left="0" w:right="0"/>
        <w:jc w:val="both"/>
      </w:pPr>
      <w:r>
        <w:rPr>
          <w:color w:val="000000"/>
          <w:spacing w:val="0"/>
          <w:w w:val="100"/>
          <w:position w:val="0"/>
        </w:rPr>
        <w:t>能够合理确定租赁期届满时取得租赁资产所有权的，本公司在租赁资产剩余使用寿命内计提折旧。无法合理确定租赁期 届满时能够取得租赁资产所有权的，本公司在租赁期与租赁资产剩余使用寿命两者孰短的期间内计提折旧。对计提了减值准 备的使用权资产，则在未来期间按扣除减值准备后的账面价值参照上述原则计提折旧。</w:t>
      </w:r>
    </w:p>
    <w:p>
      <w:pPr>
        <w:pStyle w:val="Style27"/>
        <w:keepNext/>
        <w:keepLines/>
        <w:widowControl w:val="0"/>
        <w:shd w:val="clear" w:color="auto" w:fill="auto"/>
        <w:tabs>
          <w:tab w:pos="530" w:val="left"/>
        </w:tabs>
        <w:bidi w:val="0"/>
        <w:spacing w:before="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2</w:t>
      </w:r>
      <w:bookmarkEnd w:id="1044"/>
      <w:r>
        <w:rPr>
          <w:rFonts w:ascii="Times New Roman" w:eastAsia="Times New Roman" w:hAnsi="Times New Roman" w:cs="Times New Roman"/>
          <w:color w:val="000000"/>
          <w:spacing w:val="0"/>
          <w:w w:val="100"/>
          <w:position w:val="0"/>
        </w:rPr>
        <w:t>7</w:t>
      </w:r>
      <w:r>
        <w:rPr>
          <w:color w:val="000000"/>
          <w:spacing w:val="0"/>
          <w:w w:val="100"/>
          <w:position w:val="0"/>
        </w:rPr>
        <w:t>、</w:t>
        <w:tab/>
        <w:t>无形资产</w:t>
      </w:r>
      <w:bookmarkEnd w:id="1042"/>
      <w:bookmarkEnd w:id="1043"/>
      <w:bookmarkEnd w:id="1045"/>
    </w:p>
    <w:p>
      <w:pPr>
        <w:pStyle w:val="Style27"/>
        <w:keepNext/>
        <w:keepLines/>
        <w:widowControl w:val="0"/>
        <w:numPr>
          <w:ilvl w:val="0"/>
          <w:numId w:val="83"/>
        </w:numPr>
        <w:shd w:val="clear" w:color="auto" w:fill="auto"/>
        <w:bidi w:val="0"/>
        <w:spacing w:before="0" w:after="260" w:line="240" w:lineRule="auto"/>
        <w:ind w:left="0" w:right="0" w:firstLine="0"/>
        <w:jc w:val="left"/>
      </w:pPr>
      <w:bookmarkStart w:id="1042" w:name="bookmark1042"/>
      <w:bookmarkStart w:id="1043" w:name="bookmark1043"/>
      <w:bookmarkStart w:id="1046" w:name="bookmark1046"/>
      <w:bookmarkStart w:id="1047" w:name="bookmark1047"/>
      <w:bookmarkEnd w:id="1046"/>
      <w:r>
        <w:rPr>
          <w:color w:val="000000"/>
          <w:spacing w:val="0"/>
          <w:w w:val="100"/>
          <w:position w:val="0"/>
        </w:rPr>
        <w:t>计价方法、使用寿命、减值测试</w:t>
      </w:r>
      <w:bookmarkEnd w:id="1042"/>
      <w:bookmarkEnd w:id="1043"/>
      <w:bookmarkEnd w:id="1047"/>
    </w:p>
    <w:p>
      <w:pPr>
        <w:pStyle w:val="Style16"/>
        <w:keepNext w:val="0"/>
        <w:keepLines w:val="0"/>
        <w:widowControl w:val="0"/>
        <w:shd w:val="clear" w:color="auto" w:fill="auto"/>
        <w:bidi w:val="0"/>
        <w:spacing w:before="0" w:after="100" w:line="313" w:lineRule="exact"/>
        <w:ind w:left="0" w:right="0"/>
        <w:jc w:val="both"/>
      </w:pPr>
      <w:r>
        <w:rPr>
          <w:color w:val="000000"/>
          <w:spacing w:val="0"/>
          <w:w w:val="100"/>
          <w:position w:val="0"/>
        </w:rPr>
        <w:t>无形资产是指本公司。拥有或者控制的没有实物形态的可辨认非货币性资产，包括软件著作权及非专利技术等。</w:t>
      </w:r>
    </w:p>
    <w:p>
      <w:pPr>
        <w:pStyle w:val="Style16"/>
        <w:keepNext w:val="0"/>
        <w:keepLines w:val="0"/>
        <w:widowControl w:val="0"/>
        <w:numPr>
          <w:ilvl w:val="0"/>
          <w:numId w:val="85"/>
        </w:numPr>
        <w:shd w:val="clear" w:color="auto" w:fill="auto"/>
        <w:tabs>
          <w:tab w:pos="735" w:val="left"/>
        </w:tabs>
        <w:bidi w:val="0"/>
        <w:spacing w:before="0" w:after="0" w:line="360" w:lineRule="auto"/>
        <w:ind w:left="0" w:right="0"/>
        <w:jc w:val="both"/>
      </w:pPr>
      <w:bookmarkStart w:id="1048" w:name="bookmark1048"/>
      <w:bookmarkEnd w:id="1048"/>
      <w:r>
        <w:rPr>
          <w:color w:val="000000"/>
          <w:spacing w:val="0"/>
          <w:w w:val="100"/>
          <w:position w:val="0"/>
        </w:rPr>
        <w:t>无形资产的初始计量</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16"/>
        <w:keepNext w:val="0"/>
        <w:keepLines w:val="0"/>
        <w:widowControl w:val="0"/>
        <w:shd w:val="clear" w:color="auto" w:fill="auto"/>
        <w:bidi w:val="0"/>
        <w:spacing w:before="0" w:after="100" w:line="313" w:lineRule="exact"/>
        <w:ind w:left="0" w:right="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16"/>
        <w:keepNext w:val="0"/>
        <w:keepLines w:val="0"/>
        <w:widowControl w:val="0"/>
        <w:numPr>
          <w:ilvl w:val="0"/>
          <w:numId w:val="85"/>
        </w:numPr>
        <w:shd w:val="clear" w:color="auto" w:fill="auto"/>
        <w:tabs>
          <w:tab w:pos="735" w:val="left"/>
        </w:tabs>
        <w:bidi w:val="0"/>
        <w:spacing w:before="0" w:after="0" w:line="360" w:lineRule="auto"/>
        <w:ind w:left="0" w:right="0"/>
        <w:jc w:val="both"/>
      </w:pPr>
      <w:bookmarkStart w:id="1049" w:name="bookmark1049"/>
      <w:bookmarkEnd w:id="1049"/>
      <w:r>
        <w:rPr>
          <w:color w:val="000000"/>
          <w:spacing w:val="0"/>
          <w:w w:val="100"/>
          <w:position w:val="0"/>
        </w:rPr>
        <w:t>无形资产的后续计量</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本公司在取得无形资产时分析判断其使用寿命，划分为使用寿命有限和使用寿命不确定的无形资产。</w:t>
      </w:r>
    </w:p>
    <w:p>
      <w:pPr>
        <w:pStyle w:val="Style16"/>
        <w:keepNext w:val="0"/>
        <w:keepLines w:val="0"/>
        <w:widowControl w:val="0"/>
        <w:numPr>
          <w:ilvl w:val="0"/>
          <w:numId w:val="87"/>
        </w:numPr>
        <w:shd w:val="clear" w:color="auto" w:fill="auto"/>
        <w:tabs>
          <w:tab w:pos="825" w:val="left"/>
        </w:tabs>
        <w:bidi w:val="0"/>
        <w:spacing w:before="0" w:after="0" w:line="313" w:lineRule="exact"/>
        <w:ind w:left="0" w:right="0"/>
        <w:jc w:val="both"/>
      </w:pPr>
      <w:bookmarkStart w:id="1050" w:name="bookmark1050"/>
      <w:bookmarkEnd w:id="1050"/>
      <w:r>
        <w:rPr>
          <w:color w:val="000000"/>
          <w:spacing w:val="0"/>
          <w:w w:val="100"/>
          <w:position w:val="0"/>
        </w:rPr>
        <w:t>使用寿命有限的无形资产</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对于使用寿命有限的无形资产，在为企业带来经济利益的期限内按直线法摊销。使用寿命有限的无形资产预计寿命及依 据如下：</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按预计使用年限、合同规定的受益年限和法律规定的有效年限三者中最短者分期平均摊销。</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每期末，对使用寿命有限的无形资产的使用寿命及摊销方法进行复核，如与原先估计数存在差异的，进行相应的调整。</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经复核，本期期末无形资产的使用寿命及摊销方法与以前估计未有不同。</w:t>
      </w:r>
    </w:p>
    <w:p>
      <w:pPr>
        <w:pStyle w:val="Style16"/>
        <w:keepNext w:val="0"/>
        <w:keepLines w:val="0"/>
        <w:widowControl w:val="0"/>
        <w:numPr>
          <w:ilvl w:val="0"/>
          <w:numId w:val="87"/>
        </w:numPr>
        <w:shd w:val="clear" w:color="auto" w:fill="auto"/>
        <w:tabs>
          <w:tab w:pos="825" w:val="left"/>
        </w:tabs>
        <w:bidi w:val="0"/>
        <w:spacing w:before="0" w:after="0" w:line="313" w:lineRule="exact"/>
        <w:ind w:left="0" w:right="0"/>
        <w:jc w:val="both"/>
      </w:pPr>
      <w:bookmarkStart w:id="1051" w:name="bookmark1051"/>
      <w:bookmarkEnd w:id="1051"/>
      <w:r>
        <w:rPr>
          <w:color w:val="000000"/>
          <w:spacing w:val="0"/>
          <w:w w:val="100"/>
          <w:position w:val="0"/>
        </w:rPr>
        <w:t>使用寿命不确定的无形资产</w:t>
      </w:r>
    </w:p>
    <w:p>
      <w:pPr>
        <w:pStyle w:val="Style16"/>
        <w:keepNext w:val="0"/>
        <w:keepLines w:val="0"/>
        <w:widowControl w:val="0"/>
        <w:shd w:val="clear" w:color="auto" w:fill="auto"/>
        <w:bidi w:val="0"/>
        <w:spacing w:before="0" w:after="100" w:line="313" w:lineRule="exact"/>
        <w:ind w:left="0" w:right="0"/>
        <w:jc w:val="both"/>
      </w:pPr>
      <w:r>
        <w:rPr>
          <w:color w:val="000000"/>
          <w:spacing w:val="0"/>
          <w:w w:val="100"/>
          <w:position w:val="0"/>
        </w:rPr>
        <w:t>无法预见无形资产为企业带来经济利益期限的，视为使用寿命不确定的无形资产。</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对于使用寿命不确定的无形资产，在持有期间内不摊销，每期末对无形资产的寿命进行复核。如果期末重新复核后仍为 不确定的，在每个会计期间继续进行减值测试。</w:t>
      </w:r>
    </w:p>
    <w:p>
      <w:pPr>
        <w:pStyle w:val="Style16"/>
        <w:keepNext w:val="0"/>
        <w:keepLines w:val="0"/>
        <w:widowControl w:val="0"/>
        <w:shd w:val="clear" w:color="auto" w:fill="auto"/>
        <w:bidi w:val="0"/>
        <w:spacing w:before="0" w:after="400" w:line="312" w:lineRule="exact"/>
        <w:ind w:left="0" w:right="0"/>
        <w:jc w:val="both"/>
      </w:pPr>
      <w:r>
        <w:rPr>
          <w:color w:val="000000"/>
          <w:spacing w:val="0"/>
          <w:w w:val="100"/>
          <w:position w:val="0"/>
        </w:rPr>
        <w:t>经复核，本公司无使用寿命不确定的无形资产。</w:t>
      </w:r>
    </w:p>
    <w:p>
      <w:pPr>
        <w:pStyle w:val="Style27"/>
        <w:keepNext/>
        <w:keepLines/>
        <w:widowControl w:val="0"/>
        <w:numPr>
          <w:ilvl w:val="0"/>
          <w:numId w:val="83"/>
        </w:numPr>
        <w:shd w:val="clear" w:color="auto" w:fill="auto"/>
        <w:bidi w:val="0"/>
        <w:spacing w:before="0" w:after="400" w:line="240" w:lineRule="auto"/>
        <w:ind w:left="0" w:right="0" w:firstLine="0"/>
        <w:jc w:val="left"/>
      </w:pPr>
      <w:bookmarkStart w:id="1052" w:name="bookmark1052"/>
      <w:bookmarkStart w:id="1053" w:name="bookmark1053"/>
      <w:bookmarkStart w:id="1054" w:name="bookmark1054"/>
      <w:bookmarkStart w:id="1055" w:name="bookmark1055"/>
      <w:bookmarkEnd w:id="1054"/>
      <w:r>
        <w:rPr>
          <w:color w:val="000000"/>
          <w:spacing w:val="0"/>
          <w:w w:val="100"/>
          <w:position w:val="0"/>
        </w:rPr>
        <w:t>内部研究开发支出会计政策</w:t>
      </w:r>
      <w:bookmarkEnd w:id="1052"/>
      <w:bookmarkEnd w:id="1053"/>
      <w:bookmarkEnd w:id="1055"/>
    </w:p>
    <w:p>
      <w:pPr>
        <w:pStyle w:val="Style16"/>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.划分公司内部研究开发项目的研究阶段和开发阶段具体标准</w:t>
      </w:r>
    </w:p>
    <w:p>
      <w:pPr>
        <w:pStyle w:val="Style16"/>
        <w:keepNext w:val="0"/>
        <w:keepLines w:val="0"/>
        <w:widowControl w:val="0"/>
        <w:shd w:val="clear" w:color="auto" w:fill="auto"/>
        <w:bidi w:val="0"/>
        <w:spacing w:before="0" w:after="0" w:line="318"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16"/>
        <w:keepNext w:val="0"/>
        <w:keepLines w:val="0"/>
        <w:widowControl w:val="0"/>
        <w:shd w:val="clear" w:color="auto" w:fill="auto"/>
        <w:bidi w:val="0"/>
        <w:spacing w:before="0" w:after="0" w:line="318"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16"/>
        <w:keepNext w:val="0"/>
        <w:keepLines w:val="0"/>
        <w:widowControl w:val="0"/>
        <w:shd w:val="clear" w:color="auto" w:fill="auto"/>
        <w:bidi w:val="0"/>
        <w:spacing w:before="0" w:after="100" w:line="318" w:lineRule="exact"/>
        <w:ind w:left="0" w:right="0"/>
        <w:jc w:val="both"/>
      </w:pPr>
      <w:r>
        <w:rPr>
          <w:color w:val="000000"/>
          <w:spacing w:val="0"/>
          <w:w w:val="100"/>
          <w:position w:val="0"/>
        </w:rPr>
        <w:t>内部研究开发项目研究阶段的支出，在发生时计入当期损益。</w:t>
      </w:r>
    </w:p>
    <w:p>
      <w:pPr>
        <w:pStyle w:val="Style16"/>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.开发阶段支出符合资本化的具体标准</w:t>
      </w:r>
    </w:p>
    <w:p>
      <w:pPr>
        <w:pStyle w:val="Style16"/>
        <w:keepNext w:val="0"/>
        <w:keepLines w:val="0"/>
        <w:widowControl w:val="0"/>
        <w:shd w:val="clear" w:color="auto" w:fill="auto"/>
        <w:bidi w:val="0"/>
        <w:spacing w:before="0" w:after="0" w:line="318" w:lineRule="exact"/>
        <w:ind w:left="0" w:right="0"/>
        <w:jc w:val="left"/>
      </w:pPr>
      <w:r>
        <w:rPr>
          <w:color w:val="000000"/>
          <w:spacing w:val="0"/>
          <w:w w:val="100"/>
          <w:position w:val="0"/>
        </w:rPr>
        <w:t>内部研究开发项目开发阶段的支出，同时满足下列条件时确认为无形资产：</w:t>
      </w:r>
    </w:p>
    <w:p>
      <w:pPr>
        <w:pStyle w:val="Style16"/>
        <w:keepNext w:val="0"/>
        <w:keepLines w:val="0"/>
        <w:widowControl w:val="0"/>
        <w:numPr>
          <w:ilvl w:val="0"/>
          <w:numId w:val="89"/>
        </w:numPr>
        <w:shd w:val="clear" w:color="auto" w:fill="auto"/>
        <w:tabs>
          <w:tab w:pos="825" w:val="left"/>
        </w:tabs>
        <w:bidi w:val="0"/>
        <w:spacing w:before="0" w:after="0" w:line="318" w:lineRule="exact"/>
        <w:ind w:left="0" w:right="0"/>
        <w:jc w:val="left"/>
      </w:pPr>
      <w:bookmarkStart w:id="1056" w:name="bookmark1056"/>
      <w:bookmarkEnd w:id="1056"/>
      <w:r>
        <w:rPr>
          <w:color w:val="000000"/>
          <w:spacing w:val="0"/>
          <w:w w:val="100"/>
          <w:position w:val="0"/>
        </w:rPr>
        <w:t>完成该无形资产以使其能够使用或出售在技术上具有可行性；</w:t>
      </w:r>
    </w:p>
    <w:p>
      <w:pPr>
        <w:pStyle w:val="Style16"/>
        <w:keepNext w:val="0"/>
        <w:keepLines w:val="0"/>
        <w:widowControl w:val="0"/>
        <w:numPr>
          <w:ilvl w:val="0"/>
          <w:numId w:val="89"/>
        </w:numPr>
        <w:shd w:val="clear" w:color="auto" w:fill="auto"/>
        <w:tabs>
          <w:tab w:pos="825" w:val="left"/>
        </w:tabs>
        <w:bidi w:val="0"/>
        <w:spacing w:before="0" w:after="0" w:line="318" w:lineRule="exact"/>
        <w:ind w:left="0" w:right="0"/>
        <w:jc w:val="left"/>
      </w:pPr>
      <w:bookmarkStart w:id="1057" w:name="bookmark1057"/>
      <w:bookmarkEnd w:id="1057"/>
      <w:r>
        <w:rPr>
          <w:color w:val="000000"/>
          <w:spacing w:val="0"/>
          <w:w w:val="100"/>
          <w:position w:val="0"/>
        </w:rPr>
        <w:t>具有完成该无形资产并使用或出售的意图；</w:t>
      </w:r>
    </w:p>
    <w:p>
      <w:pPr>
        <w:pStyle w:val="Style16"/>
        <w:keepNext w:val="0"/>
        <w:keepLines w:val="0"/>
        <w:widowControl w:val="0"/>
        <w:numPr>
          <w:ilvl w:val="0"/>
          <w:numId w:val="89"/>
        </w:numPr>
        <w:shd w:val="clear" w:color="auto" w:fill="auto"/>
        <w:tabs>
          <w:tab w:pos="901" w:val="left"/>
        </w:tabs>
        <w:bidi w:val="0"/>
        <w:spacing w:before="0" w:after="0" w:line="318" w:lineRule="exact"/>
        <w:ind w:left="0" w:right="0"/>
        <w:jc w:val="both"/>
      </w:pPr>
      <w:bookmarkStart w:id="1058" w:name="bookmark1058"/>
      <w:bookmarkEnd w:id="1058"/>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16"/>
        <w:keepNext w:val="0"/>
        <w:keepLines w:val="0"/>
        <w:widowControl w:val="0"/>
        <w:numPr>
          <w:ilvl w:val="0"/>
          <w:numId w:val="89"/>
        </w:numPr>
        <w:shd w:val="clear" w:color="auto" w:fill="auto"/>
        <w:tabs>
          <w:tab w:pos="825" w:val="left"/>
        </w:tabs>
        <w:bidi w:val="0"/>
        <w:spacing w:before="0" w:after="0" w:line="318" w:lineRule="exact"/>
        <w:ind w:left="0" w:right="0"/>
        <w:jc w:val="both"/>
      </w:pPr>
      <w:bookmarkStart w:id="1059" w:name="bookmark1059"/>
      <w:bookmarkEnd w:id="1059"/>
      <w:r>
        <w:rPr>
          <w:color w:val="000000"/>
          <w:spacing w:val="0"/>
          <w:w w:val="100"/>
          <w:position w:val="0"/>
        </w:rPr>
        <w:t>有足够的技术、财务资源和其他资源支持，以完成该无形资产的开发，并有能力使用或出售该无形资产；</w:t>
      </w:r>
    </w:p>
    <w:p>
      <w:pPr>
        <w:pStyle w:val="Style16"/>
        <w:keepNext w:val="0"/>
        <w:keepLines w:val="0"/>
        <w:widowControl w:val="0"/>
        <w:numPr>
          <w:ilvl w:val="0"/>
          <w:numId w:val="89"/>
        </w:numPr>
        <w:shd w:val="clear" w:color="auto" w:fill="auto"/>
        <w:tabs>
          <w:tab w:pos="825" w:val="left"/>
        </w:tabs>
        <w:bidi w:val="0"/>
        <w:spacing w:before="0" w:after="0" w:line="318" w:lineRule="exact"/>
        <w:ind w:left="0" w:right="0"/>
        <w:jc w:val="both"/>
      </w:pPr>
      <w:bookmarkStart w:id="1060" w:name="bookmark1060"/>
      <w:bookmarkEnd w:id="1060"/>
      <w:r>
        <w:rPr>
          <w:color w:val="000000"/>
          <w:spacing w:val="0"/>
          <w:w w:val="100"/>
          <w:position w:val="0"/>
        </w:rPr>
        <w:t>归属于该无形资产开发阶段的支出能够可靠地计量。</w:t>
      </w:r>
    </w:p>
    <w:p>
      <w:pPr>
        <w:pStyle w:val="Style16"/>
        <w:keepNext w:val="0"/>
        <w:keepLines w:val="0"/>
        <w:widowControl w:val="0"/>
        <w:shd w:val="clear" w:color="auto" w:fill="auto"/>
        <w:bidi w:val="0"/>
        <w:spacing w:before="0" w:after="400" w:line="318" w:lineRule="exact"/>
        <w:ind w:left="0" w:right="0"/>
        <w:jc w:val="both"/>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27"/>
        <w:keepNext/>
        <w:keepLines/>
        <w:widowControl w:val="0"/>
        <w:shd w:val="clear" w:color="auto" w:fill="auto"/>
        <w:tabs>
          <w:tab w:pos="483" w:val="left"/>
        </w:tabs>
        <w:bidi w:val="0"/>
        <w:spacing w:before="0" w:after="26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2</w:t>
      </w:r>
      <w:bookmarkEnd w:id="1063"/>
      <w:r>
        <w:rPr>
          <w:rFonts w:ascii="Times New Roman" w:eastAsia="Times New Roman" w:hAnsi="Times New Roman" w:cs="Times New Roman"/>
          <w:color w:val="000000"/>
          <w:spacing w:val="0"/>
          <w:w w:val="100"/>
          <w:position w:val="0"/>
        </w:rPr>
        <w:t>8</w:t>
      </w:r>
      <w:r>
        <w:rPr>
          <w:color w:val="000000"/>
          <w:spacing w:val="0"/>
          <w:w w:val="100"/>
          <w:position w:val="0"/>
        </w:rPr>
        <w:t>、</w:t>
        <w:tab/>
        <w:t>长期资产减值</w:t>
      </w:r>
      <w:bookmarkEnd w:id="1061"/>
      <w:bookmarkEnd w:id="1062"/>
      <w:bookmarkEnd w:id="1064"/>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本公司在资产负债表日判断长期资产是否存在可能发生减值的迹象。如果长期资产存在减值迹象的，以单项资产为基础 估计其可收回金额；难以对单项资产的可收回金额进行估计的，以该资产所属的资产组为基础确定资产组的可收回金额。</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资产可收回金额的估计，根据其公允价值减去处置费用后的净额与资产预计未来现金流量的现值两者之间较高者确定。</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可收回金额的计量结果表明，长期资产的可收回金额低于其账面价值的，将长期资产的账面价值减记至可收回金额，减 记的金额确认为资产减值损失，计入当期损益，同时计提相应的资产减值准备。资产减值损失一经确认，在以后会计期间不 得转回。</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资产减值损失确认后，减值资产的折旧或者摊销费用在未来期间作相应调整，以使该资产在剩余使用寿命内，系统地分 摊调整后的资产账面价值(扣除预计净残值)。</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因企业合并所形成的商誉和使用寿命不确定的无形资产，无论是否存在减值迹象，每年都进行减值测试。</w:t>
      </w:r>
    </w:p>
    <w:p>
      <w:pPr>
        <w:pStyle w:val="Style16"/>
        <w:keepNext w:val="0"/>
        <w:keepLines w:val="0"/>
        <w:widowControl w:val="0"/>
        <w:shd w:val="clear" w:color="auto" w:fill="auto"/>
        <w:bidi w:val="0"/>
        <w:spacing w:before="0" w:after="400" w:line="314" w:lineRule="exact"/>
        <w:ind w:left="0" w:right="0"/>
        <w:jc w:val="both"/>
      </w:pPr>
      <w:r>
        <w:rPr>
          <w:color w:val="000000"/>
          <w:spacing w:val="0"/>
          <w:w w:val="100"/>
          <w:position w:val="0"/>
        </w:rPr>
        <w:t>在对商誉进行减值测试时，将商誉的账面价值分摊至预期从企业合并的协同效应中受益的资产组或资产组组合。在对包 含商誉的相关资产组或者资产组组合进行减值测试时，如与商誉相关的资产组或者资产组组合存在减值迹象的，先对不包含 商誉的资产组或者资产组组合进行减值测试，计算可收回金额，并与相关账面价值相比较，确认相应的减值损失。再对包含 商誉的资产组或者资产组组合进行减值测试，比较这些相关资产组或者资产组组合的账面价值(包括所分摊的商誉的账面价 值部分)与其可收回金额，如相关资产组或者资产组组合的可收回金额低于其账面价值的，确认商誉的减值损失。</w:t>
      </w:r>
    </w:p>
    <w:p>
      <w:pPr>
        <w:pStyle w:val="Style27"/>
        <w:keepNext/>
        <w:keepLines/>
        <w:widowControl w:val="0"/>
        <w:shd w:val="clear" w:color="auto" w:fill="auto"/>
        <w:tabs>
          <w:tab w:pos="483" w:val="left"/>
        </w:tabs>
        <w:bidi w:val="0"/>
        <w:spacing w:before="0" w:after="26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2</w:t>
      </w:r>
      <w:bookmarkEnd w:id="1067"/>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1065"/>
      <w:bookmarkEnd w:id="1066"/>
      <w:bookmarkEnd w:id="1068"/>
    </w:p>
    <w:p>
      <w:pPr>
        <w:pStyle w:val="Style16"/>
        <w:keepNext w:val="0"/>
        <w:keepLines w:val="0"/>
        <w:widowControl w:val="0"/>
        <w:shd w:val="clear" w:color="auto" w:fill="auto"/>
        <w:bidi w:val="0"/>
        <w:spacing w:before="0" w:after="260" w:line="312" w:lineRule="exact"/>
        <w:ind w:left="0" w:right="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年以上的各项费用。长期待摊费用在受 益期内按直线法分期摊销。</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3</w:t>
      </w:r>
      <w:bookmarkEnd w:id="1071"/>
      <w:r>
        <w:rPr>
          <w:rFonts w:ascii="Times New Roman" w:eastAsia="Times New Roman" w:hAnsi="Times New Roman" w:cs="Times New Roman"/>
          <w:color w:val="000000"/>
          <w:spacing w:val="0"/>
          <w:w w:val="100"/>
          <w:position w:val="0"/>
        </w:rPr>
        <w:t>0</w:t>
      </w:r>
      <w:r>
        <w:rPr>
          <w:color w:val="000000"/>
          <w:spacing w:val="0"/>
          <w:w w:val="100"/>
          <w:position w:val="0"/>
        </w:rPr>
        <w:t>、</w:t>
        <w:tab/>
        <w:t>合同负债</w:t>
      </w:r>
      <w:bookmarkEnd w:id="1069"/>
      <w:bookmarkEnd w:id="1070"/>
      <w:bookmarkEnd w:id="1072"/>
    </w:p>
    <w:p>
      <w:pPr>
        <w:pStyle w:val="Style16"/>
        <w:keepNext w:val="0"/>
        <w:keepLines w:val="0"/>
        <w:widowControl w:val="0"/>
        <w:shd w:val="clear" w:color="auto" w:fill="auto"/>
        <w:bidi w:val="0"/>
        <w:spacing w:before="0" w:after="380" w:line="313" w:lineRule="exact"/>
        <w:ind w:left="0" w:right="0"/>
        <w:jc w:val="left"/>
      </w:pPr>
      <w:r>
        <w:rPr>
          <w:color w:val="000000"/>
          <w:spacing w:val="0"/>
          <w:w w:val="100"/>
          <w:position w:val="0"/>
        </w:rPr>
        <w:t>本公司将已收或应收客户对价而应向客户转让商品的义务部分确认为合同负债。</w:t>
      </w:r>
    </w:p>
    <w:p>
      <w:pPr>
        <w:pStyle w:val="Style27"/>
        <w:keepNext/>
        <w:keepLines/>
        <w:widowControl w:val="0"/>
        <w:shd w:val="clear" w:color="auto" w:fill="auto"/>
        <w:tabs>
          <w:tab w:pos="483" w:val="left"/>
        </w:tabs>
        <w:bidi w:val="0"/>
        <w:spacing w:before="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3</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1073"/>
      <w:bookmarkEnd w:id="1074"/>
      <w:bookmarkEnd w:id="1076"/>
    </w:p>
    <w:p>
      <w:pPr>
        <w:pStyle w:val="Style27"/>
        <w:keepNext/>
        <w:keepLines/>
        <w:widowControl w:val="0"/>
        <w:shd w:val="clear" w:color="auto" w:fill="auto"/>
        <w:tabs>
          <w:tab w:pos="493" w:val="left"/>
        </w:tabs>
        <w:bidi w:val="0"/>
        <w:spacing w:before="0" w:after="280" w:line="240" w:lineRule="auto"/>
        <w:ind w:left="0" w:right="0" w:firstLine="0"/>
        <w:jc w:val="left"/>
      </w:pPr>
      <w:bookmarkStart w:id="1073" w:name="bookmark1073"/>
      <w:bookmarkStart w:id="1074" w:name="bookmark1074"/>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73"/>
      <w:bookmarkEnd w:id="1074"/>
      <w:bookmarkEnd w:id="1078"/>
    </w:p>
    <w:p>
      <w:pPr>
        <w:pStyle w:val="Style16"/>
        <w:keepNext w:val="0"/>
        <w:keepLines w:val="0"/>
        <w:widowControl w:val="0"/>
        <w:shd w:val="clear" w:color="auto" w:fill="auto"/>
        <w:bidi w:val="0"/>
        <w:spacing w:before="0" w:after="380" w:line="314" w:lineRule="exact"/>
        <w:ind w:left="0" w:right="0"/>
        <w:jc w:val="left"/>
      </w:pPr>
      <w:r>
        <w:rPr>
          <w:color w:val="000000"/>
          <w:spacing w:val="0"/>
          <w:w w:val="100"/>
          <w:position w:val="0"/>
        </w:rPr>
        <w:t>短期薪酬是指本公司在职工提供相关服务的年度报告期间结束后十二个月内需要全部予以支付的职工薪酬，离职后福利 和辞退福利除外。本公司在职工提供服务的会计期间，将应付的短期薪酬确认为负债，并根据职工提供服务的受益对象计入 相关资产成本和费用。</w:t>
      </w:r>
    </w:p>
    <w:p>
      <w:pPr>
        <w:pStyle w:val="Style27"/>
        <w:keepNext/>
        <w:keepLines/>
        <w:widowControl w:val="0"/>
        <w:shd w:val="clear" w:color="auto" w:fill="auto"/>
        <w:tabs>
          <w:tab w:pos="493" w:val="left"/>
        </w:tabs>
        <w:bidi w:val="0"/>
        <w:spacing w:before="0" w:after="28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79"/>
      <w:bookmarkEnd w:id="1080"/>
      <w:bookmarkEnd w:id="1082"/>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本公司的离职后福利计划全部为设定提存计划。</w:t>
      </w:r>
    </w:p>
    <w:p>
      <w:pPr>
        <w:pStyle w:val="Style16"/>
        <w:keepNext w:val="0"/>
        <w:keepLines w:val="0"/>
        <w:widowControl w:val="0"/>
        <w:shd w:val="clear" w:color="auto" w:fill="auto"/>
        <w:bidi w:val="0"/>
        <w:spacing w:before="0" w:after="0" w:line="312" w:lineRule="exact"/>
        <w:ind w:left="0" w:right="0"/>
        <w:jc w:val="left"/>
      </w:pPr>
      <w:r>
        <w:rPr>
          <w:color w:val="000000"/>
          <w:spacing w:val="0"/>
          <w:w w:val="100"/>
          <w:position w:val="0"/>
        </w:rPr>
        <w:t>离职后福利设定提存计划主要为参加由各地劳动及社会保障机构组织实施的社会基本养老保险、失业保险等；在职工为 本公司提供服务的会计期间，将根据设定提存计划计算的应缴存金额确认为负债，并计入当期损益或相关资产成本。</w:t>
      </w:r>
    </w:p>
    <w:p>
      <w:pPr>
        <w:pStyle w:val="Style16"/>
        <w:keepNext w:val="0"/>
        <w:keepLines w:val="0"/>
        <w:widowControl w:val="0"/>
        <w:shd w:val="clear" w:color="auto" w:fill="auto"/>
        <w:bidi w:val="0"/>
        <w:spacing w:before="0" w:after="380" w:line="312" w:lineRule="exact"/>
        <w:ind w:left="0" w:right="0"/>
        <w:jc w:val="left"/>
      </w:pPr>
      <w:r>
        <w:rPr>
          <w:color w:val="000000"/>
          <w:spacing w:val="0"/>
          <w:w w:val="100"/>
          <w:position w:val="0"/>
        </w:rPr>
        <w:t>本公司按照国家规定的标准和年金计划定期缴付上述款项后，不再有其他的支付义务。</w:t>
      </w:r>
    </w:p>
    <w:p>
      <w:pPr>
        <w:pStyle w:val="Style27"/>
        <w:keepNext/>
        <w:keepLines/>
        <w:widowControl w:val="0"/>
        <w:shd w:val="clear" w:color="auto" w:fill="auto"/>
        <w:tabs>
          <w:tab w:pos="493" w:val="left"/>
        </w:tabs>
        <w:bidi w:val="0"/>
        <w:spacing w:before="0" w:after="28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83"/>
      <w:bookmarkEnd w:id="1084"/>
      <w:bookmarkEnd w:id="1086"/>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16"/>
        <w:keepNext w:val="0"/>
        <w:keepLines w:val="0"/>
        <w:widowControl w:val="0"/>
        <w:shd w:val="clear" w:color="auto" w:fill="auto"/>
        <w:bidi w:val="0"/>
        <w:spacing w:before="0" w:after="380" w:line="313" w:lineRule="exact"/>
        <w:ind w:left="0" w:right="0"/>
        <w:jc w:val="left"/>
      </w:pPr>
      <w:r>
        <w:rPr>
          <w:color w:val="000000"/>
          <w:spacing w:val="0"/>
          <w:w w:val="100"/>
          <w:position w:val="0"/>
        </w:rPr>
        <w:t>本公司向接受内部退休安排的职工提供内退福利。内退福利是指，向未达到国家规定的退休年龄、经本公司管理层批准 自愿退出工作岗位的职工支付的工资及为其缴纳的社会保险费等。本公司自内部退休安排开始之日起至职工达到正常退休年 龄止，向内退职工支付内部退养福利。对于内退福利，本公司比照辞退福利进行会计处理，在符合辞退福利相关确认条件时， 将自职工停止提供服务日至正常退休日期间拟支付的内退职工工资和缴纳的社会保险费等，确认为负债，一次性计入当期损 益。内退福利的精算假设变化及福利标准调整引起的差异于发生时计入当期损益。</w:t>
      </w:r>
    </w:p>
    <w:p>
      <w:pPr>
        <w:pStyle w:val="Style27"/>
        <w:keepNext/>
        <w:keepLines/>
        <w:widowControl w:val="0"/>
        <w:shd w:val="clear" w:color="auto" w:fill="auto"/>
        <w:tabs>
          <w:tab w:pos="493" w:val="left"/>
        </w:tabs>
        <w:bidi w:val="0"/>
        <w:spacing w:before="0" w:after="28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87"/>
      <w:bookmarkEnd w:id="1088"/>
      <w:bookmarkEnd w:id="1090"/>
    </w:p>
    <w:p>
      <w:pPr>
        <w:pStyle w:val="Style16"/>
        <w:keepNext w:val="0"/>
        <w:keepLines w:val="0"/>
        <w:widowControl w:val="0"/>
        <w:shd w:val="clear" w:color="auto" w:fill="auto"/>
        <w:bidi w:val="0"/>
        <w:spacing w:before="0" w:after="0" w:line="310" w:lineRule="exact"/>
        <w:ind w:left="0" w:right="0"/>
        <w:jc w:val="left"/>
      </w:pPr>
      <w:r>
        <w:rPr>
          <w:color w:val="000000"/>
          <w:spacing w:val="0"/>
          <w:w w:val="100"/>
          <w:position w:val="0"/>
        </w:rPr>
        <w:t>其他长期职工福利是指除短期薪酬、离职后福利、辞退福利之外的其他所有职工福利。</w:t>
      </w:r>
    </w:p>
    <w:p>
      <w:pPr>
        <w:pStyle w:val="Style16"/>
        <w:keepNext w:val="0"/>
        <w:keepLines w:val="0"/>
        <w:widowControl w:val="0"/>
        <w:shd w:val="clear" w:color="auto" w:fill="auto"/>
        <w:bidi w:val="0"/>
        <w:spacing w:before="0" w:after="380" w:line="310" w:lineRule="exact"/>
        <w:ind w:left="0" w:right="0"/>
        <w:jc w:val="left"/>
      </w:pPr>
      <w:r>
        <w:rPr>
          <w:color w:val="000000"/>
          <w:spacing w:val="0"/>
          <w:w w:val="100"/>
          <w:position w:val="0"/>
        </w:rPr>
        <w:t>对符合设定提存计划条件的其他长期职工福利，在职工为本公司提供服务的会计期间，将应缴存金额确认为负债，并计 入当期损益或相关资产成本；除上述情形外的其他长期职工福利，在资产负债表日使用预期累计福利单位法进行精算，将设 定受益计划产生的福利义务归属于职工提供服务的期间，并计入当期损益或相关资产成本。</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3</w:t>
      </w:r>
      <w:bookmarkEnd w:id="1093"/>
      <w:r>
        <w:rPr>
          <w:rFonts w:ascii="Times New Roman" w:eastAsia="Times New Roman" w:hAnsi="Times New Roman" w:cs="Times New Roman"/>
          <w:color w:val="000000"/>
          <w:spacing w:val="0"/>
          <w:w w:val="100"/>
          <w:position w:val="0"/>
        </w:rPr>
        <w:t>2</w:t>
      </w:r>
      <w:r>
        <w:rPr>
          <w:color w:val="000000"/>
          <w:spacing w:val="0"/>
          <w:w w:val="100"/>
          <w:position w:val="0"/>
        </w:rPr>
        <w:t>、</w:t>
        <w:tab/>
        <w:t>租赁负债</w:t>
      </w:r>
      <w:bookmarkEnd w:id="1091"/>
      <w:bookmarkEnd w:id="1092"/>
      <w:bookmarkEnd w:id="1094"/>
    </w:p>
    <w:p>
      <w:pPr>
        <w:pStyle w:val="Style16"/>
        <w:keepNext w:val="0"/>
        <w:keepLines w:val="0"/>
        <w:widowControl w:val="0"/>
        <w:shd w:val="clear" w:color="auto" w:fill="auto"/>
        <w:bidi w:val="0"/>
        <w:spacing w:before="0" w:after="0" w:line="322" w:lineRule="exact"/>
        <w:ind w:left="0" w:right="0"/>
        <w:jc w:val="left"/>
      </w:pPr>
      <w:r>
        <w:rPr>
          <w:color w:val="000000"/>
          <w:spacing w:val="0"/>
          <w:w w:val="100"/>
          <w:position w:val="0"/>
        </w:rPr>
        <w:t>本公司对租赁负债按照租赁期开始日尚未支付的租赁付款额的现值进行初始计量。在计算租赁付款额的现值时，本公司 采用租赁内含利率作为折现率；无法确定租赁内含利率的，采用本公司增量借款利率作为折现率。租赁付款额包括：</w:t>
      </w:r>
    </w:p>
    <w:p>
      <w:pPr>
        <w:pStyle w:val="Style16"/>
        <w:keepNext w:val="0"/>
        <w:keepLines w:val="0"/>
        <w:widowControl w:val="0"/>
        <w:numPr>
          <w:ilvl w:val="0"/>
          <w:numId w:val="91"/>
        </w:numPr>
        <w:shd w:val="clear" w:color="auto" w:fill="auto"/>
        <w:tabs>
          <w:tab w:pos="681" w:val="left"/>
        </w:tabs>
        <w:bidi w:val="0"/>
        <w:spacing w:before="0" w:after="0" w:line="322" w:lineRule="exact"/>
        <w:ind w:left="0" w:right="0"/>
        <w:jc w:val="left"/>
      </w:pPr>
      <w:bookmarkStart w:id="1095" w:name="bookmark1095"/>
      <w:bookmarkEnd w:id="1095"/>
      <w:r>
        <w:rPr>
          <w:color w:val="000000"/>
          <w:spacing w:val="0"/>
          <w:w w:val="100"/>
          <w:position w:val="0"/>
        </w:rPr>
        <w:t>扣除租赁激励相关金额后的固定付款额及实质固定付款额；</w:t>
      </w:r>
    </w:p>
    <w:p>
      <w:pPr>
        <w:pStyle w:val="Style16"/>
        <w:keepNext w:val="0"/>
        <w:keepLines w:val="0"/>
        <w:widowControl w:val="0"/>
        <w:numPr>
          <w:ilvl w:val="0"/>
          <w:numId w:val="91"/>
        </w:numPr>
        <w:shd w:val="clear" w:color="auto" w:fill="auto"/>
        <w:tabs>
          <w:tab w:pos="700" w:val="left"/>
        </w:tabs>
        <w:bidi w:val="0"/>
        <w:spacing w:before="0" w:after="320" w:line="322" w:lineRule="exact"/>
        <w:ind w:left="0" w:right="0"/>
        <w:jc w:val="left"/>
      </w:pPr>
      <w:bookmarkStart w:id="1096" w:name="bookmark1096"/>
      <w:bookmarkEnd w:id="1096"/>
      <w:r>
        <w:rPr>
          <w:color w:val="000000"/>
          <w:spacing w:val="0"/>
          <w:w w:val="100"/>
          <w:position w:val="0"/>
        </w:rPr>
        <w:t>取决于指数或比率的可变租赁付款额；</w:t>
      </w:r>
    </w:p>
    <w:p>
      <w:pPr>
        <w:pStyle w:val="Style16"/>
        <w:keepNext w:val="0"/>
        <w:keepLines w:val="0"/>
        <w:widowControl w:val="0"/>
        <w:numPr>
          <w:ilvl w:val="0"/>
          <w:numId w:val="91"/>
        </w:numPr>
        <w:shd w:val="clear" w:color="auto" w:fill="auto"/>
        <w:bidi w:val="0"/>
        <w:spacing w:before="0" w:after="0" w:line="311" w:lineRule="exact"/>
        <w:ind w:left="0" w:right="0"/>
        <w:jc w:val="both"/>
      </w:pPr>
      <w:bookmarkStart w:id="1097" w:name="bookmark1097"/>
      <w:bookmarkEnd w:id="1097"/>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在本公司合理确定将行使该选择权的情况下，租赁付款额包括购买选择权的行权价格；</w:t>
      </w:r>
    </w:p>
    <w:p>
      <w:pPr>
        <w:pStyle w:val="Style16"/>
        <w:keepNext w:val="0"/>
        <w:keepLines w:val="0"/>
        <w:widowControl w:val="0"/>
        <w:numPr>
          <w:ilvl w:val="0"/>
          <w:numId w:val="91"/>
        </w:numPr>
        <w:shd w:val="clear" w:color="auto" w:fill="auto"/>
        <w:tabs>
          <w:tab w:pos="700" w:val="left"/>
        </w:tabs>
        <w:bidi w:val="0"/>
        <w:spacing w:before="0" w:after="0" w:line="311" w:lineRule="exact"/>
        <w:ind w:left="0" w:right="0"/>
        <w:jc w:val="both"/>
      </w:pPr>
      <w:bookmarkStart w:id="1098" w:name="bookmark1098"/>
      <w:bookmarkEnd w:id="1098"/>
      <w:r>
        <w:rPr>
          <w:color w:val="000000"/>
          <w:spacing w:val="0"/>
          <w:w w:val="100"/>
          <w:position w:val="0"/>
        </w:rPr>
        <w:t>在租赁期反映出本公司将行使终止租赁选择权的情况下，租赁付款额包括行使终止租赁选择权需支付的款项；</w:t>
      </w:r>
    </w:p>
    <w:p>
      <w:pPr>
        <w:pStyle w:val="Style16"/>
        <w:keepNext w:val="0"/>
        <w:keepLines w:val="0"/>
        <w:widowControl w:val="0"/>
        <w:numPr>
          <w:ilvl w:val="0"/>
          <w:numId w:val="91"/>
        </w:numPr>
        <w:shd w:val="clear" w:color="auto" w:fill="auto"/>
        <w:tabs>
          <w:tab w:pos="700" w:val="left"/>
        </w:tabs>
        <w:bidi w:val="0"/>
        <w:spacing w:before="0" w:after="0" w:line="311" w:lineRule="exact"/>
        <w:ind w:left="0" w:right="0"/>
        <w:jc w:val="both"/>
      </w:pPr>
      <w:bookmarkStart w:id="1099" w:name="bookmark1099"/>
      <w:bookmarkEnd w:id="1099"/>
      <w:r>
        <w:rPr>
          <w:color w:val="000000"/>
          <w:spacing w:val="0"/>
          <w:w w:val="100"/>
          <w:position w:val="0"/>
        </w:rPr>
        <w:t>根据本公司提供的担保余值预计应支付的款项。</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本公司按照固定的折现率计算租赁负债在租赁期内各期间的利息费用，并计入当期损益或相关资产成本。</w:t>
      </w:r>
    </w:p>
    <w:p>
      <w:pPr>
        <w:pStyle w:val="Style16"/>
        <w:keepNext w:val="0"/>
        <w:keepLines w:val="0"/>
        <w:widowControl w:val="0"/>
        <w:shd w:val="clear" w:color="auto" w:fill="auto"/>
        <w:bidi w:val="0"/>
        <w:spacing w:before="0" w:after="380" w:line="311" w:lineRule="exact"/>
        <w:ind w:left="0" w:right="0"/>
        <w:jc w:val="both"/>
      </w:pPr>
      <w:r>
        <w:rPr>
          <w:color w:val="000000"/>
          <w:spacing w:val="0"/>
          <w:w w:val="100"/>
          <w:position w:val="0"/>
        </w:rPr>
        <w:t>未纳入租赁负债计量的可变租赁付款额应当在实际发生时计入当期损益或相关资产成本。</w:t>
      </w:r>
    </w:p>
    <w:p>
      <w:pPr>
        <w:pStyle w:val="Style27"/>
        <w:keepNext/>
        <w:keepLines/>
        <w:widowControl w:val="0"/>
        <w:shd w:val="clear" w:color="auto" w:fill="auto"/>
        <w:tabs>
          <w:tab w:pos="548" w:val="left"/>
        </w:tabs>
        <w:bidi w:val="0"/>
        <w:spacing w:before="0" w:after="28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3</w:t>
      </w:r>
      <w:bookmarkEnd w:id="1102"/>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1100"/>
      <w:bookmarkEnd w:id="1101"/>
      <w:bookmarkEnd w:id="1103"/>
    </w:p>
    <w:p>
      <w:pPr>
        <w:pStyle w:val="Style16"/>
        <w:keepNext w:val="0"/>
        <w:keepLines w:val="0"/>
        <w:widowControl w:val="0"/>
        <w:numPr>
          <w:ilvl w:val="0"/>
          <w:numId w:val="93"/>
        </w:numPr>
        <w:shd w:val="clear" w:color="auto" w:fill="auto"/>
        <w:tabs>
          <w:tab w:pos="628" w:val="left"/>
        </w:tabs>
        <w:bidi w:val="0"/>
        <w:spacing w:before="0" w:after="0" w:line="311" w:lineRule="exact"/>
        <w:ind w:left="0" w:right="0"/>
        <w:jc w:val="both"/>
      </w:pPr>
      <w:bookmarkStart w:id="1104" w:name="bookmark1104"/>
      <w:bookmarkEnd w:id="1104"/>
      <w:r>
        <w:rPr>
          <w:color w:val="000000"/>
          <w:spacing w:val="0"/>
          <w:w w:val="100"/>
          <w:position w:val="0"/>
        </w:rPr>
        <w:t>.预计负债的确认标准</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与或有事项相关的义务同时满足下列条件时，本公司确认为预计负债：</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该义务是本公司承担的现时义务；</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履行该义务很可能导致经济利益流出本公司；</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该义务的金额能够可靠地计量。</w:t>
      </w:r>
    </w:p>
    <w:p>
      <w:pPr>
        <w:pStyle w:val="Style16"/>
        <w:keepNext w:val="0"/>
        <w:keepLines w:val="0"/>
        <w:widowControl w:val="0"/>
        <w:numPr>
          <w:ilvl w:val="0"/>
          <w:numId w:val="93"/>
        </w:numPr>
        <w:shd w:val="clear" w:color="auto" w:fill="auto"/>
        <w:tabs>
          <w:tab w:pos="662" w:val="left"/>
        </w:tabs>
        <w:bidi w:val="0"/>
        <w:spacing w:before="0" w:after="0" w:line="311" w:lineRule="exact"/>
        <w:ind w:left="0" w:right="0"/>
        <w:jc w:val="both"/>
      </w:pPr>
      <w:bookmarkStart w:id="1105" w:name="bookmark1105"/>
      <w:bookmarkEnd w:id="1105"/>
      <w:r>
        <w:rPr>
          <w:color w:val="000000"/>
          <w:spacing w:val="0"/>
          <w:w w:val="100"/>
          <w:position w:val="0"/>
        </w:rPr>
        <w:t>.预计负债的计量方法</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本公司预计负债按履行相关现时义务所需的支出的最佳估计数进行初始计量。</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最佳估计数分别以下情况处理：</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16"/>
        <w:keepNext w:val="0"/>
        <w:keepLines w:val="0"/>
        <w:widowControl w:val="0"/>
        <w:shd w:val="clear" w:color="auto" w:fill="auto"/>
        <w:bidi w:val="0"/>
        <w:spacing w:before="0" w:after="380" w:line="311" w:lineRule="exact"/>
        <w:ind w:left="0" w:right="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27"/>
        <w:keepNext/>
        <w:keepLines/>
        <w:widowControl w:val="0"/>
        <w:shd w:val="clear" w:color="auto" w:fill="auto"/>
        <w:tabs>
          <w:tab w:pos="548" w:val="left"/>
        </w:tabs>
        <w:bidi w:val="0"/>
        <w:spacing w:before="0" w:after="28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3</w:t>
      </w:r>
      <w:bookmarkEnd w:id="1108"/>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1106"/>
      <w:bookmarkEnd w:id="1107"/>
      <w:bookmarkEnd w:id="1109"/>
    </w:p>
    <w:p>
      <w:pPr>
        <w:pStyle w:val="Style16"/>
        <w:keepNext w:val="0"/>
        <w:keepLines w:val="0"/>
        <w:widowControl w:val="0"/>
        <w:numPr>
          <w:ilvl w:val="0"/>
          <w:numId w:val="95"/>
        </w:numPr>
        <w:shd w:val="clear" w:color="auto" w:fill="auto"/>
        <w:tabs>
          <w:tab w:pos="700" w:val="left"/>
        </w:tabs>
        <w:bidi w:val="0"/>
        <w:spacing w:before="0" w:after="0" w:line="312" w:lineRule="exact"/>
        <w:ind w:left="0" w:right="0"/>
        <w:jc w:val="both"/>
      </w:pPr>
      <w:bookmarkStart w:id="1110" w:name="bookmark1110"/>
      <w:bookmarkEnd w:id="1110"/>
      <w:r>
        <w:rPr>
          <w:color w:val="000000"/>
          <w:spacing w:val="0"/>
          <w:w w:val="100"/>
          <w:position w:val="0"/>
        </w:rPr>
        <w:t>股份支付的种类</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本公司的股份支付分为以权益结算的股份支付和以现金结算的股份支付。</w:t>
      </w:r>
    </w:p>
    <w:p>
      <w:pPr>
        <w:pStyle w:val="Style16"/>
        <w:keepNext w:val="0"/>
        <w:keepLines w:val="0"/>
        <w:widowControl w:val="0"/>
        <w:numPr>
          <w:ilvl w:val="0"/>
          <w:numId w:val="95"/>
        </w:numPr>
        <w:shd w:val="clear" w:color="auto" w:fill="auto"/>
        <w:tabs>
          <w:tab w:pos="719" w:val="left"/>
        </w:tabs>
        <w:bidi w:val="0"/>
        <w:spacing w:before="0" w:after="0" w:line="312" w:lineRule="exact"/>
        <w:ind w:left="0" w:right="0"/>
        <w:jc w:val="both"/>
      </w:pPr>
      <w:bookmarkStart w:id="1111" w:name="bookmark1111"/>
      <w:bookmarkEnd w:id="1111"/>
      <w:r>
        <w:rPr>
          <w:color w:val="000000"/>
          <w:spacing w:val="0"/>
          <w:w w:val="100"/>
          <w:position w:val="0"/>
        </w:rPr>
        <w:t>权益工具公允价值的确定方法</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对于授予的存在活跃市场的期权等权益工具，按照活跃市场中的报价确定其公允价值。对于授予的不存在活跃市场的期 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 权的有效期；（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）期权有效期内的无风险利率。</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在确定权益工具授予日的公允价值时，考虑股份支付协议规定的可行权条件中的市场条件和非可行权条件的影响。股份 支付存在非可行权条件的，只要职工或其他方满足了所有可行权条件中的非市场条件（如服务期限等），即确认已得到服务 相对应的成本费用。</w:t>
      </w:r>
    </w:p>
    <w:p>
      <w:pPr>
        <w:pStyle w:val="Style16"/>
        <w:keepNext w:val="0"/>
        <w:keepLines w:val="0"/>
        <w:widowControl w:val="0"/>
        <w:numPr>
          <w:ilvl w:val="0"/>
          <w:numId w:val="95"/>
        </w:numPr>
        <w:shd w:val="clear" w:color="auto" w:fill="auto"/>
        <w:tabs>
          <w:tab w:pos="719" w:val="left"/>
        </w:tabs>
        <w:bidi w:val="0"/>
        <w:spacing w:before="0" w:after="0" w:line="312" w:lineRule="exact"/>
        <w:ind w:left="0" w:right="0"/>
        <w:jc w:val="both"/>
      </w:pPr>
      <w:bookmarkStart w:id="1112" w:name="bookmark1112"/>
      <w:bookmarkEnd w:id="1112"/>
      <w:r>
        <w:rPr>
          <w:color w:val="000000"/>
          <w:spacing w:val="0"/>
          <w:w w:val="100"/>
          <w:position w:val="0"/>
        </w:rPr>
        <w:t>确定可行权权益工具最佳估计的依据</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等待期内每个资产负债表日，根据最新取得的可行权职工人数变动等后续信息作出最佳估计，修正预计可行权的权益工 具数量。在可行权日，最终预计可行权权益工具的数量与实际可行权数量一致。</w:t>
      </w:r>
    </w:p>
    <w:p>
      <w:pPr>
        <w:pStyle w:val="Style16"/>
        <w:keepNext w:val="0"/>
        <w:keepLines w:val="0"/>
        <w:widowControl w:val="0"/>
        <w:numPr>
          <w:ilvl w:val="0"/>
          <w:numId w:val="95"/>
        </w:numPr>
        <w:shd w:val="clear" w:color="auto" w:fill="auto"/>
        <w:tabs>
          <w:tab w:pos="719" w:val="left"/>
        </w:tabs>
        <w:bidi w:val="0"/>
        <w:spacing w:before="0" w:after="0" w:line="312" w:lineRule="exact"/>
        <w:ind w:left="0" w:right="0"/>
        <w:jc w:val="both"/>
      </w:pPr>
      <w:bookmarkStart w:id="1113" w:name="bookmark1113"/>
      <w:bookmarkEnd w:id="1113"/>
      <w:r>
        <w:rPr>
          <w:color w:val="000000"/>
          <w:spacing w:val="0"/>
          <w:w w:val="100"/>
          <w:position w:val="0"/>
        </w:rPr>
        <w:t>会计处理方法</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16"/>
        <w:keepNext w:val="0"/>
        <w:keepLines w:val="0"/>
        <w:widowControl w:val="0"/>
        <w:shd w:val="clear" w:color="auto" w:fill="auto"/>
        <w:bidi w:val="0"/>
        <w:spacing w:before="0" w:after="400" w:line="312" w:lineRule="exact"/>
        <w:ind w:left="0" w:right="0"/>
        <w:jc w:val="both"/>
      </w:pPr>
      <w:r>
        <w:rPr>
          <w:color w:val="000000"/>
          <w:spacing w:val="0"/>
          <w:w w:val="100"/>
          <w:position w:val="0"/>
        </w:rPr>
        <w:t>若在等待期内取消了授予的权益工具，本公司对取消所授予的权益性工具作为加速行权处理，将剩余等待期内应确认的 金额立即计入当期损益，同时确认资本公积。职工或其他方能够选择满足非可行权条件但在等待期内未满足的，本公司将其 作为授予权益工具的取消处理。</w:t>
      </w:r>
    </w:p>
    <w:p>
      <w:pPr>
        <w:pStyle w:val="Style27"/>
        <w:keepNext/>
        <w:keepLines/>
        <w:widowControl w:val="0"/>
        <w:shd w:val="clear" w:color="auto" w:fill="auto"/>
        <w:tabs>
          <w:tab w:pos="483" w:val="left"/>
        </w:tabs>
        <w:bidi w:val="0"/>
        <w:spacing w:before="0" w:after="26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3</w:t>
      </w:r>
      <w:bookmarkEnd w:id="1116"/>
      <w:r>
        <w:rPr>
          <w:rFonts w:ascii="Times New Roman" w:eastAsia="Times New Roman" w:hAnsi="Times New Roman" w:cs="Times New Roman"/>
          <w:color w:val="000000"/>
          <w:spacing w:val="0"/>
          <w:w w:val="100"/>
          <w:position w:val="0"/>
        </w:rPr>
        <w:t>5</w:t>
      </w:r>
      <w:r>
        <w:rPr>
          <w:color w:val="000000"/>
          <w:spacing w:val="0"/>
          <w:w w:val="100"/>
          <w:position w:val="0"/>
        </w:rPr>
        <w:t>、</w:t>
        <w:tab/>
        <w:t>优先股、永续债等其他金融工具</w:t>
      </w:r>
      <w:bookmarkEnd w:id="1114"/>
      <w:bookmarkEnd w:id="1115"/>
      <w:bookmarkEnd w:id="1117"/>
    </w:p>
    <w:p>
      <w:pPr>
        <w:pStyle w:val="Style16"/>
        <w:keepNext w:val="0"/>
        <w:keepLines w:val="0"/>
        <w:widowControl w:val="0"/>
        <w:shd w:val="clear" w:color="auto" w:fill="auto"/>
        <w:bidi w:val="0"/>
        <w:spacing w:before="0" w:after="120" w:line="311" w:lineRule="exact"/>
        <w:ind w:left="0" w:right="0"/>
        <w:jc w:val="both"/>
      </w:pPr>
      <w:r>
        <w:rPr>
          <w:color w:val="000000"/>
          <w:spacing w:val="0"/>
          <w:w w:val="100"/>
          <w:position w:val="0"/>
        </w:rPr>
        <w:t>本公司按照金融工具准则的规定，根据所发行优先股、永续债等金融工具的合同条款及其所反映的经济实质而非仅以法 律形式，结合金融负债和权益工具的定义，在初始确认时将该金融工具或其组成部分分类为金融负债或权益工具：</w:t>
      </w:r>
    </w:p>
    <w:p>
      <w:pPr>
        <w:pStyle w:val="Style16"/>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.符合下列条件之一，将发行的金融工具分类为金融负债：</w:t>
      </w:r>
    </w:p>
    <w:p>
      <w:pPr>
        <w:pStyle w:val="Style16"/>
        <w:keepNext w:val="0"/>
        <w:keepLines w:val="0"/>
        <w:widowControl w:val="0"/>
        <w:numPr>
          <w:ilvl w:val="0"/>
          <w:numId w:val="97"/>
        </w:numPr>
        <w:shd w:val="clear" w:color="auto" w:fill="auto"/>
        <w:tabs>
          <w:tab w:pos="825" w:val="left"/>
        </w:tabs>
        <w:bidi w:val="0"/>
        <w:spacing w:before="0" w:after="0" w:line="311" w:lineRule="exact"/>
        <w:ind w:left="0" w:right="0"/>
        <w:jc w:val="both"/>
      </w:pPr>
      <w:bookmarkStart w:id="1118" w:name="bookmark1118"/>
      <w:bookmarkEnd w:id="1118"/>
      <w:r>
        <w:rPr>
          <w:color w:val="000000"/>
          <w:spacing w:val="0"/>
          <w:w w:val="100"/>
          <w:position w:val="0"/>
        </w:rPr>
        <w:t>向其他方交付现金或其他金融资产的合同义务；</w:t>
      </w:r>
    </w:p>
    <w:p>
      <w:pPr>
        <w:pStyle w:val="Style16"/>
        <w:keepNext w:val="0"/>
        <w:keepLines w:val="0"/>
        <w:widowControl w:val="0"/>
        <w:numPr>
          <w:ilvl w:val="0"/>
          <w:numId w:val="97"/>
        </w:numPr>
        <w:shd w:val="clear" w:color="auto" w:fill="auto"/>
        <w:tabs>
          <w:tab w:pos="825" w:val="left"/>
        </w:tabs>
        <w:bidi w:val="0"/>
        <w:spacing w:before="0" w:after="0" w:line="311" w:lineRule="exact"/>
        <w:ind w:left="0" w:right="0"/>
        <w:jc w:val="both"/>
      </w:pPr>
      <w:bookmarkStart w:id="1119" w:name="bookmark1119"/>
      <w:bookmarkEnd w:id="1119"/>
      <w:r>
        <w:rPr>
          <w:color w:val="000000"/>
          <w:spacing w:val="0"/>
          <w:w w:val="100"/>
          <w:position w:val="0"/>
        </w:rPr>
        <w:t>在潜在不利条件下，与其他方交换金融资产或金融负债的合同义务；</w:t>
      </w:r>
    </w:p>
    <w:p>
      <w:pPr>
        <w:pStyle w:val="Style16"/>
        <w:keepNext w:val="0"/>
        <w:keepLines w:val="0"/>
        <w:widowControl w:val="0"/>
        <w:numPr>
          <w:ilvl w:val="0"/>
          <w:numId w:val="97"/>
        </w:numPr>
        <w:shd w:val="clear" w:color="auto" w:fill="auto"/>
        <w:tabs>
          <w:tab w:pos="901" w:val="left"/>
        </w:tabs>
        <w:bidi w:val="0"/>
        <w:spacing w:before="0" w:after="0" w:line="311" w:lineRule="exact"/>
        <w:ind w:left="0" w:right="0"/>
        <w:jc w:val="both"/>
      </w:pPr>
      <w:bookmarkStart w:id="1120" w:name="bookmark1120"/>
      <w:bookmarkEnd w:id="1120"/>
      <w:r>
        <w:rPr>
          <w:color w:val="000000"/>
          <w:spacing w:val="0"/>
          <w:w w:val="100"/>
          <w:position w:val="0"/>
        </w:rPr>
        <w:t>将来须用或可用企业自身权益工具进行结算的非衍生工具合同，且企业根据该合同将交付可变数量的自身权益工 具；</w:t>
      </w:r>
    </w:p>
    <w:p>
      <w:pPr>
        <w:pStyle w:val="Style16"/>
        <w:keepNext w:val="0"/>
        <w:keepLines w:val="0"/>
        <w:widowControl w:val="0"/>
        <w:numPr>
          <w:ilvl w:val="0"/>
          <w:numId w:val="97"/>
        </w:numPr>
        <w:shd w:val="clear" w:color="auto" w:fill="auto"/>
        <w:tabs>
          <w:tab w:pos="901" w:val="left"/>
        </w:tabs>
        <w:bidi w:val="0"/>
        <w:spacing w:before="0" w:after="120" w:line="311" w:lineRule="exact"/>
        <w:ind w:left="0" w:right="0"/>
        <w:jc w:val="both"/>
      </w:pPr>
      <w:bookmarkStart w:id="1121" w:name="bookmark1121"/>
      <w:bookmarkEnd w:id="1121"/>
      <w:r>
        <w:rPr>
          <w:color w:val="000000"/>
          <w:spacing w:val="0"/>
          <w:w w:val="100"/>
          <w:position w:val="0"/>
        </w:rPr>
        <w:t>将来须用或可用企业自身权益工具进行结算的衍生工具合同，但以固定数量的自身权益工具交换固定金额的现金 或其他金融资产的衍生工具合同除外。</w:t>
      </w:r>
    </w:p>
    <w:p>
      <w:pPr>
        <w:pStyle w:val="Style16"/>
        <w:keepNext w:val="0"/>
        <w:keepLines w:val="0"/>
        <w:widowControl w:val="0"/>
        <w:numPr>
          <w:ilvl w:val="0"/>
          <w:numId w:val="99"/>
        </w:numPr>
        <w:shd w:val="clear" w:color="auto" w:fill="auto"/>
        <w:tabs>
          <w:tab w:pos="740" w:val="left"/>
        </w:tabs>
        <w:bidi w:val="0"/>
        <w:spacing w:before="0" w:after="0" w:line="360" w:lineRule="auto"/>
        <w:ind w:left="0" w:right="0"/>
        <w:jc w:val="both"/>
      </w:pPr>
      <w:bookmarkStart w:id="1122" w:name="bookmark1122"/>
      <w:bookmarkEnd w:id="1122"/>
      <w:r>
        <w:rPr>
          <w:color w:val="000000"/>
          <w:spacing w:val="0"/>
          <w:w w:val="100"/>
          <w:position w:val="0"/>
        </w:rPr>
        <w:t>同时满足下列条件的，将发行的金融工具分类为权益工具：</w:t>
      </w:r>
    </w:p>
    <w:p>
      <w:pPr>
        <w:pStyle w:val="Style16"/>
        <w:keepNext w:val="0"/>
        <w:keepLines w:val="0"/>
        <w:widowControl w:val="0"/>
        <w:numPr>
          <w:ilvl w:val="0"/>
          <w:numId w:val="101"/>
        </w:numPr>
        <w:shd w:val="clear" w:color="auto" w:fill="auto"/>
        <w:tabs>
          <w:tab w:pos="901" w:val="left"/>
        </w:tabs>
        <w:bidi w:val="0"/>
        <w:spacing w:before="0" w:after="0" w:line="311" w:lineRule="exact"/>
        <w:ind w:left="0" w:right="0"/>
        <w:jc w:val="both"/>
      </w:pPr>
      <w:bookmarkStart w:id="1123" w:name="bookmark1123"/>
      <w:bookmarkEnd w:id="1123"/>
      <w:r>
        <w:rPr>
          <w:color w:val="000000"/>
          <w:spacing w:val="0"/>
          <w:w w:val="100"/>
          <w:position w:val="0"/>
        </w:rPr>
        <w:t>该金融工具不包括交付现金或其他金融资产给其他方，或在潜在不利条件下与其他方交换金融资产或金融负债的 合同义务；</w:t>
      </w:r>
    </w:p>
    <w:p>
      <w:pPr>
        <w:pStyle w:val="Style16"/>
        <w:keepNext w:val="0"/>
        <w:keepLines w:val="0"/>
        <w:widowControl w:val="0"/>
        <w:numPr>
          <w:ilvl w:val="0"/>
          <w:numId w:val="101"/>
        </w:numPr>
        <w:shd w:val="clear" w:color="auto" w:fill="auto"/>
        <w:bidi w:val="0"/>
        <w:spacing w:before="0" w:after="120" w:line="314" w:lineRule="exact"/>
        <w:ind w:left="0" w:right="0"/>
        <w:jc w:val="both"/>
      </w:pPr>
      <w:bookmarkStart w:id="1124" w:name="bookmark1124"/>
      <w:bookmarkEnd w:id="1124"/>
      <w:r>
        <w:rPr>
          <w:color w:val="000000"/>
          <w:spacing w:val="0"/>
          <w:w w:val="100"/>
          <w:position w:val="0"/>
        </w:rPr>
        <w:t xml:space="preserve"> 将来须用或可用企业自身权益工具结算该金融工具的，如该金融工具为非衍生工具，不包括交付可变数量的自身 权益工具进行结算的合同义务；如为衍生工具，企业只能通过以固定数量的自身权益工具交换固定金额的现金或其他金融资 产结算该金融工具。</w:t>
      </w:r>
    </w:p>
    <w:p>
      <w:pPr>
        <w:pStyle w:val="Style16"/>
        <w:keepNext w:val="0"/>
        <w:keepLines w:val="0"/>
        <w:widowControl w:val="0"/>
        <w:numPr>
          <w:ilvl w:val="0"/>
          <w:numId w:val="99"/>
        </w:numPr>
        <w:shd w:val="clear" w:color="auto" w:fill="auto"/>
        <w:tabs>
          <w:tab w:pos="740" w:val="left"/>
        </w:tabs>
        <w:bidi w:val="0"/>
        <w:spacing w:before="0" w:after="0" w:line="360" w:lineRule="auto"/>
        <w:ind w:left="0" w:right="0"/>
        <w:jc w:val="both"/>
      </w:pPr>
      <w:bookmarkStart w:id="1125" w:name="bookmark1125"/>
      <w:bookmarkEnd w:id="1125"/>
      <w:r>
        <w:rPr>
          <w:color w:val="000000"/>
          <w:spacing w:val="0"/>
          <w:w w:val="100"/>
          <w:position w:val="0"/>
        </w:rPr>
        <w:t>会计处理方法</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对于归类为权益工具的金融工具，其利息支出或股利分配都应当作为发行企业的利润分配，其回购、注销等作为权益的 变动处理，手续费、佣金等交易费用从权益中扣除；</w:t>
      </w:r>
    </w:p>
    <w:p>
      <w:pPr>
        <w:pStyle w:val="Style16"/>
        <w:keepNext w:val="0"/>
        <w:keepLines w:val="0"/>
        <w:widowControl w:val="0"/>
        <w:shd w:val="clear" w:color="auto" w:fill="auto"/>
        <w:bidi w:val="0"/>
        <w:spacing w:before="0" w:after="400" w:line="314" w:lineRule="exact"/>
        <w:ind w:left="0" w:right="0"/>
        <w:jc w:val="both"/>
      </w:pPr>
      <w:r>
        <w:rPr>
          <w:color w:val="000000"/>
          <w:spacing w:val="0"/>
          <w:w w:val="100"/>
          <w:position w:val="0"/>
        </w:rPr>
        <w:t>对于归类为金融负债的金融工具，其利息支出或股利分配原则上按照借款费用进行处理，其回购或赎回产生的利得或损 失等计入当期损益，手续费、佣金等交易费用计入所发行工具的初始计量金额。</w:t>
      </w:r>
    </w:p>
    <w:p>
      <w:pPr>
        <w:pStyle w:val="Style27"/>
        <w:keepNext/>
        <w:keepLines/>
        <w:widowControl w:val="0"/>
        <w:shd w:val="clear" w:color="auto" w:fill="auto"/>
        <w:tabs>
          <w:tab w:pos="483" w:val="left"/>
        </w:tabs>
        <w:bidi w:val="0"/>
        <w:spacing w:before="0" w:after="260" w:line="240" w:lineRule="auto"/>
        <w:ind w:left="0" w:right="0" w:firstLine="0"/>
        <w:jc w:val="both"/>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3</w:t>
      </w:r>
      <w:bookmarkEnd w:id="1128"/>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1126"/>
      <w:bookmarkEnd w:id="1127"/>
      <w:bookmarkEnd w:id="1129"/>
    </w:p>
    <w:p>
      <w:pPr>
        <w:pStyle w:val="Style16"/>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本公司的收入主要来源于如下业务类型：</w:t>
      </w:r>
    </w:p>
    <w:p>
      <w:pPr>
        <w:pStyle w:val="Style16"/>
        <w:keepNext w:val="0"/>
        <w:keepLines w:val="0"/>
        <w:widowControl w:val="0"/>
        <w:numPr>
          <w:ilvl w:val="0"/>
          <w:numId w:val="103"/>
        </w:numPr>
        <w:shd w:val="clear" w:color="auto" w:fill="auto"/>
        <w:tabs>
          <w:tab w:pos="825" w:val="left"/>
        </w:tabs>
        <w:bidi w:val="0"/>
        <w:spacing w:before="0" w:after="0" w:line="317" w:lineRule="exact"/>
        <w:ind w:left="0" w:right="0"/>
        <w:jc w:val="both"/>
      </w:pPr>
      <w:bookmarkStart w:id="1130" w:name="bookmark1130"/>
      <w:bookmarkEnd w:id="1130"/>
      <w:r>
        <w:rPr>
          <w:color w:val="000000"/>
          <w:spacing w:val="0"/>
          <w:w w:val="100"/>
          <w:position w:val="0"/>
        </w:rPr>
        <w:t>技术开发业务</w:t>
      </w:r>
    </w:p>
    <w:p>
      <w:pPr>
        <w:pStyle w:val="Style16"/>
        <w:keepNext w:val="0"/>
        <w:keepLines w:val="0"/>
        <w:widowControl w:val="0"/>
        <w:numPr>
          <w:ilvl w:val="0"/>
          <w:numId w:val="103"/>
        </w:numPr>
        <w:shd w:val="clear" w:color="auto" w:fill="auto"/>
        <w:tabs>
          <w:tab w:pos="825" w:val="left"/>
        </w:tabs>
        <w:bidi w:val="0"/>
        <w:spacing w:before="0" w:after="0" w:line="317" w:lineRule="exact"/>
        <w:ind w:left="0" w:right="0"/>
        <w:jc w:val="both"/>
      </w:pPr>
      <w:bookmarkStart w:id="1131" w:name="bookmark1131"/>
      <w:bookmarkEnd w:id="1131"/>
      <w:r>
        <w:rPr>
          <w:color w:val="000000"/>
          <w:spacing w:val="0"/>
          <w:w w:val="100"/>
          <w:position w:val="0"/>
        </w:rPr>
        <w:t>技术服务业务</w:t>
      </w:r>
    </w:p>
    <w:p>
      <w:pPr>
        <w:pStyle w:val="Style16"/>
        <w:keepNext w:val="0"/>
        <w:keepLines w:val="0"/>
        <w:widowControl w:val="0"/>
        <w:numPr>
          <w:ilvl w:val="0"/>
          <w:numId w:val="103"/>
        </w:numPr>
        <w:shd w:val="clear" w:color="auto" w:fill="auto"/>
        <w:tabs>
          <w:tab w:pos="825" w:val="left"/>
        </w:tabs>
        <w:bidi w:val="0"/>
        <w:spacing w:before="0" w:after="0" w:line="317" w:lineRule="exact"/>
        <w:ind w:left="0" w:right="0"/>
        <w:jc w:val="both"/>
      </w:pPr>
      <w:bookmarkStart w:id="1132" w:name="bookmark1132"/>
      <w:bookmarkEnd w:id="1132"/>
      <w:r>
        <w:rPr>
          <w:color w:val="000000"/>
          <w:spacing w:val="0"/>
          <w:w w:val="100"/>
          <w:position w:val="0"/>
        </w:rPr>
        <w:t>咨询服务业务</w:t>
      </w:r>
    </w:p>
    <w:p>
      <w:pPr>
        <w:pStyle w:val="Style16"/>
        <w:keepNext w:val="0"/>
        <w:keepLines w:val="0"/>
        <w:widowControl w:val="0"/>
        <w:numPr>
          <w:ilvl w:val="0"/>
          <w:numId w:val="103"/>
        </w:numPr>
        <w:shd w:val="clear" w:color="auto" w:fill="auto"/>
        <w:tabs>
          <w:tab w:pos="825" w:val="left"/>
        </w:tabs>
        <w:bidi w:val="0"/>
        <w:spacing w:before="0" w:after="120" w:line="317" w:lineRule="exact"/>
        <w:ind w:left="0" w:right="0"/>
        <w:jc w:val="both"/>
      </w:pPr>
      <w:bookmarkStart w:id="1133" w:name="bookmark1133"/>
      <w:bookmarkEnd w:id="1133"/>
      <w:r>
        <w:rPr>
          <w:color w:val="000000"/>
          <w:spacing w:val="0"/>
          <w:w w:val="100"/>
          <w:position w:val="0"/>
        </w:rPr>
        <w:t>系统集成业务</w:t>
      </w:r>
    </w:p>
    <w:p>
      <w:pPr>
        <w:pStyle w:val="Style16"/>
        <w:keepNext w:val="0"/>
        <w:keepLines w:val="0"/>
        <w:widowControl w:val="0"/>
        <w:numPr>
          <w:ilvl w:val="0"/>
          <w:numId w:val="105"/>
        </w:numPr>
        <w:shd w:val="clear" w:color="auto" w:fill="auto"/>
        <w:bidi w:val="0"/>
        <w:spacing w:before="0" w:after="0" w:line="360" w:lineRule="auto"/>
        <w:ind w:left="0" w:right="0"/>
        <w:jc w:val="both"/>
      </w:pPr>
      <w:bookmarkStart w:id="1134" w:name="bookmark1134"/>
      <w:bookmarkEnd w:id="1134"/>
      <w:r>
        <w:rPr>
          <w:color w:val="000000"/>
          <w:spacing w:val="0"/>
          <w:w w:val="100"/>
          <w:position w:val="0"/>
        </w:rPr>
        <w:t>收入确认的一般原则</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本公司在履行了合同中的履约义务，即在客户取得相关商品或服务控制权时，按照分摊至该项履约义务的交易价格确认 收入。</w:t>
      </w:r>
    </w:p>
    <w:p>
      <w:pPr>
        <w:pStyle w:val="Style16"/>
        <w:keepNext w:val="0"/>
        <w:keepLines w:val="0"/>
        <w:widowControl w:val="0"/>
        <w:shd w:val="clear" w:color="auto" w:fill="auto"/>
        <w:bidi w:val="0"/>
        <w:spacing w:before="0" w:after="180" w:line="317" w:lineRule="exact"/>
        <w:ind w:left="0" w:right="0"/>
        <w:jc w:val="both"/>
      </w:pPr>
      <w:r>
        <w:rPr>
          <w:color w:val="000000"/>
          <w:spacing w:val="0"/>
          <w:w w:val="100"/>
          <w:position w:val="0"/>
        </w:rPr>
        <w:t>履约义务，是指合同中本公司向客户转让可明确区分商品或服务的承诺。</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取得相关商品控制权，是指能够主导该商品的使用并从中获得几乎全部的经济利益。</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本公司在合同开始日即对合同进行评估，识别该合同所包含的各单项履约义务，并确定各单项履约义务是在某一时段内 履行，还是某一时点履行。满足下列条件之一的，属于在某一时间段内履行的履约义务，本公司按照履约进度，在一段时间 内确认收入：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客户在本公司履约的同时即取得并消耗本公司履约所带来的经济利益；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客户能够控制本公司履约过程中 在建的商品；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本公司履约过程中所产出的商品具有不可替代用途，且本公司在整个合同期间内有权就累计至今已完成的 履约部分收取款项。否则，本公司在客户取得相关商品或服务控制权的时点确认收入。</w:t>
      </w:r>
    </w:p>
    <w:p>
      <w:pPr>
        <w:pStyle w:val="Style16"/>
        <w:keepNext w:val="0"/>
        <w:keepLines w:val="0"/>
        <w:widowControl w:val="0"/>
        <w:shd w:val="clear" w:color="auto" w:fill="auto"/>
        <w:bidi w:val="0"/>
        <w:spacing w:before="0" w:after="100" w:line="313" w:lineRule="exact"/>
        <w:ind w:left="0" w:right="0"/>
        <w:jc w:val="both"/>
      </w:pPr>
      <w:r>
        <w:rPr>
          <w:color w:val="000000"/>
          <w:spacing w:val="0"/>
          <w:w w:val="100"/>
          <w:position w:val="0"/>
        </w:rPr>
        <w:t>对于在某一时段内履行的履约义务，本公司根据商品和劳务的性质，采用投入法确定恰当的履约进度。投入法是根据公 司为履行履约义务的投入确定履约进度。当履约进度不能合理确定时，公司已经发生的成本预计能够得到补偿的，按照已经 发生的成本金额确认收入，直到履约进度能够合理确定为止；公司已经发生的成本预计不能够得到补偿的，将已经发生的成 本计入当期损益，不确认收入。</w:t>
      </w:r>
    </w:p>
    <w:p>
      <w:pPr>
        <w:pStyle w:val="Style16"/>
        <w:keepNext w:val="0"/>
        <w:keepLines w:val="0"/>
        <w:widowControl w:val="0"/>
        <w:numPr>
          <w:ilvl w:val="0"/>
          <w:numId w:val="105"/>
        </w:numPr>
        <w:shd w:val="clear" w:color="auto" w:fill="auto"/>
        <w:bidi w:val="0"/>
        <w:spacing w:before="0" w:after="0" w:line="360" w:lineRule="auto"/>
        <w:ind w:left="0" w:right="0"/>
        <w:jc w:val="both"/>
      </w:pPr>
      <w:bookmarkStart w:id="1135" w:name="bookmark1135"/>
      <w:bookmarkEnd w:id="1135"/>
      <w:r>
        <w:rPr>
          <w:color w:val="000000"/>
          <w:spacing w:val="0"/>
          <w:w w:val="100"/>
          <w:position w:val="0"/>
        </w:rPr>
        <w:t>收入确认的具体方法</w:t>
      </w:r>
    </w:p>
    <w:p>
      <w:pPr>
        <w:pStyle w:val="Style16"/>
        <w:keepNext w:val="0"/>
        <w:keepLines w:val="0"/>
        <w:widowControl w:val="0"/>
        <w:shd w:val="clear" w:color="auto" w:fill="auto"/>
        <w:tabs>
          <w:tab w:pos="799" w:val="left"/>
        </w:tabs>
        <w:bidi w:val="0"/>
        <w:spacing w:before="0" w:after="100" w:line="313" w:lineRule="exact"/>
        <w:ind w:left="0" w:right="0"/>
        <w:jc w:val="both"/>
      </w:pPr>
      <w:bookmarkStart w:id="1136" w:name="bookmark1136"/>
      <w:r>
        <w:rPr>
          <w:color w:val="000000"/>
          <w:spacing w:val="0"/>
          <w:w w:val="100"/>
          <w:position w:val="0"/>
        </w:rPr>
        <w:t>（</w:t>
      </w:r>
      <w:bookmarkEnd w:id="11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技术开发业务</w:t>
      </w:r>
    </w:p>
    <w:p>
      <w:pPr>
        <w:pStyle w:val="Style16"/>
        <w:keepNext w:val="0"/>
        <w:keepLines w:val="0"/>
        <w:widowControl w:val="0"/>
        <w:shd w:val="clear" w:color="auto" w:fill="auto"/>
        <w:tabs>
          <w:tab w:pos="703" w:val="left"/>
        </w:tabs>
        <w:bidi w:val="0"/>
        <w:spacing w:before="0" w:after="0" w:line="360" w:lineRule="auto"/>
        <w:ind w:left="0" w:right="0"/>
        <w:jc w:val="both"/>
      </w:pPr>
      <w:bookmarkStart w:id="1137" w:name="bookmark1137"/>
      <w:r>
        <w:rPr>
          <w:rFonts w:ascii="Times New Roman" w:eastAsia="Times New Roman" w:hAnsi="Times New Roman" w:cs="Times New Roman"/>
          <w:color w:val="000000"/>
          <w:spacing w:val="0"/>
          <w:w w:val="100"/>
          <w:position w:val="0"/>
          <w:sz w:val="18"/>
          <w:szCs w:val="18"/>
        </w:rPr>
        <w:t>1</w:t>
      </w:r>
      <w:bookmarkEnd w:id="1137"/>
      <w:r>
        <w:rPr>
          <w:color w:val="000000"/>
          <w:spacing w:val="0"/>
          <w:w w:val="100"/>
          <w:position w:val="0"/>
        </w:rPr>
        <w:t>）</w:t>
        <w:tab/>
        <w:t>约定了合同总额的技术开发业务</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基于公司或者客户指定的平台和产品，进行满足客户个性化需求的软件开发或系统优化，公司需对开发成果负责，成果 交付时通常需客户进行验收。此类业务仅当本公司在履约过程中所产出的商品具有不可替代用途，且本公司在整个合同期间 内有权就累计至今已完成的履约部分收取款项的情况下，本公司按照合同期间已完成履约义务的进度在一段时间内确认收 入，履约进度依据已经发生的成本占预计总成本的比例确定。否则，公司在软件系统上线运行并通过客户验收后按合同约定 金额确认收入。</w:t>
      </w:r>
    </w:p>
    <w:p>
      <w:pPr>
        <w:pStyle w:val="Style16"/>
        <w:keepNext w:val="0"/>
        <w:keepLines w:val="0"/>
        <w:widowControl w:val="0"/>
        <w:shd w:val="clear" w:color="auto" w:fill="auto"/>
        <w:bidi w:val="0"/>
        <w:spacing w:before="0" w:after="100" w:line="313" w:lineRule="exact"/>
        <w:ind w:left="0" w:right="0"/>
        <w:jc w:val="both"/>
      </w:pPr>
      <w:r>
        <w:rPr>
          <w:color w:val="000000"/>
          <w:spacing w:val="0"/>
          <w:w w:val="100"/>
          <w:position w:val="0"/>
        </w:rPr>
        <w:t>对于在某一时段内履行的履约义务，当履约进度不能合理确定时，公司已经发生的成本预计能够得到补偿的，按照已经 发生的成本金额确认收入，直到履约进度能够合理确定为止。</w:t>
      </w:r>
    </w:p>
    <w:p>
      <w:pPr>
        <w:pStyle w:val="Style16"/>
        <w:keepNext w:val="0"/>
        <w:keepLines w:val="0"/>
        <w:widowControl w:val="0"/>
        <w:shd w:val="clear" w:color="auto" w:fill="auto"/>
        <w:tabs>
          <w:tab w:pos="722" w:val="left"/>
        </w:tabs>
        <w:bidi w:val="0"/>
        <w:spacing w:before="0" w:after="0" w:line="360" w:lineRule="auto"/>
        <w:ind w:left="0" w:right="0"/>
        <w:jc w:val="both"/>
      </w:pPr>
      <w:bookmarkStart w:id="1138" w:name="bookmark1138"/>
      <w:r>
        <w:rPr>
          <w:rFonts w:ascii="Times New Roman" w:eastAsia="Times New Roman" w:hAnsi="Times New Roman" w:cs="Times New Roman"/>
          <w:color w:val="000000"/>
          <w:spacing w:val="0"/>
          <w:w w:val="100"/>
          <w:position w:val="0"/>
          <w:sz w:val="18"/>
          <w:szCs w:val="18"/>
        </w:rPr>
        <w:t>2</w:t>
      </w:r>
      <w:bookmarkEnd w:id="1138"/>
      <w:r>
        <w:rPr>
          <w:color w:val="000000"/>
          <w:spacing w:val="0"/>
          <w:w w:val="100"/>
          <w:position w:val="0"/>
        </w:rPr>
        <w:t>）</w:t>
        <w:tab/>
        <w:t>按人月工作量结算的技术开发业务</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在资产负债表日以双方确认的实际工作量及合同约定人月单价计算并确认为当期技术开发收入。</w:t>
      </w:r>
    </w:p>
    <w:p>
      <w:pPr>
        <w:pStyle w:val="Style16"/>
        <w:keepNext w:val="0"/>
        <w:keepLines w:val="0"/>
        <w:widowControl w:val="0"/>
        <w:shd w:val="clear" w:color="auto" w:fill="auto"/>
        <w:tabs>
          <w:tab w:pos="799" w:val="left"/>
        </w:tabs>
        <w:bidi w:val="0"/>
        <w:spacing w:before="0" w:after="100" w:line="312" w:lineRule="exact"/>
        <w:ind w:left="0" w:right="0"/>
        <w:jc w:val="both"/>
      </w:pPr>
      <w:bookmarkStart w:id="1139" w:name="bookmark1139"/>
      <w:r>
        <w:rPr>
          <w:color w:val="000000"/>
          <w:spacing w:val="0"/>
          <w:w w:val="100"/>
          <w:position w:val="0"/>
        </w:rPr>
        <w:t>（</w:t>
      </w:r>
      <w:bookmarkEnd w:id="11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技术服务业务</w:t>
      </w:r>
    </w:p>
    <w:p>
      <w:pPr>
        <w:pStyle w:val="Style16"/>
        <w:keepNext w:val="0"/>
        <w:keepLines w:val="0"/>
        <w:widowControl w:val="0"/>
        <w:shd w:val="clear" w:color="auto" w:fill="auto"/>
        <w:tabs>
          <w:tab w:pos="703" w:val="left"/>
        </w:tabs>
        <w:bidi w:val="0"/>
        <w:spacing w:before="0" w:after="0" w:line="360" w:lineRule="auto"/>
        <w:ind w:left="0" w:right="0"/>
        <w:jc w:val="both"/>
      </w:pPr>
      <w:bookmarkStart w:id="1140" w:name="bookmark1140"/>
      <w:r>
        <w:rPr>
          <w:rFonts w:ascii="Times New Roman" w:eastAsia="Times New Roman" w:hAnsi="Times New Roman" w:cs="Times New Roman"/>
          <w:color w:val="000000"/>
          <w:spacing w:val="0"/>
          <w:w w:val="100"/>
          <w:position w:val="0"/>
          <w:sz w:val="18"/>
          <w:szCs w:val="18"/>
        </w:rPr>
        <w:t>1</w:t>
      </w:r>
      <w:bookmarkEnd w:id="1140"/>
      <w:r>
        <w:rPr>
          <w:color w:val="000000"/>
          <w:spacing w:val="0"/>
          <w:w w:val="100"/>
          <w:position w:val="0"/>
        </w:rPr>
        <w:t>）</w:t>
        <w:tab/>
        <w:t>约定了合同总额及服务期间的技术服务业务</w:t>
      </w:r>
    </w:p>
    <w:p>
      <w:pPr>
        <w:pStyle w:val="Style16"/>
        <w:keepNext w:val="0"/>
        <w:keepLines w:val="0"/>
        <w:widowControl w:val="0"/>
        <w:shd w:val="clear" w:color="auto" w:fill="auto"/>
        <w:bidi w:val="0"/>
        <w:spacing w:before="0" w:after="100" w:line="312" w:lineRule="exact"/>
        <w:ind w:left="0" w:right="0"/>
        <w:jc w:val="both"/>
      </w:pPr>
      <w:r>
        <w:rPr>
          <w:color w:val="000000"/>
          <w:spacing w:val="0"/>
          <w:w w:val="100"/>
          <w:position w:val="0"/>
        </w:rPr>
        <w:t>因运营维护服务在服务期间基本均衡发生，故按合同总收入和已提供服务期间占合同期间的比例计算确定的金额确认当 期技术服务收入。</w:t>
      </w:r>
    </w:p>
    <w:p>
      <w:pPr>
        <w:pStyle w:val="Style16"/>
        <w:keepNext w:val="0"/>
        <w:keepLines w:val="0"/>
        <w:widowControl w:val="0"/>
        <w:shd w:val="clear" w:color="auto" w:fill="auto"/>
        <w:tabs>
          <w:tab w:pos="722" w:val="left"/>
        </w:tabs>
        <w:bidi w:val="0"/>
        <w:spacing w:before="0" w:after="0" w:line="360" w:lineRule="auto"/>
        <w:ind w:left="0" w:right="0"/>
        <w:jc w:val="both"/>
      </w:pPr>
      <w:bookmarkStart w:id="1141" w:name="bookmark1141"/>
      <w:r>
        <w:rPr>
          <w:rFonts w:ascii="Times New Roman" w:eastAsia="Times New Roman" w:hAnsi="Times New Roman" w:cs="Times New Roman"/>
          <w:color w:val="000000"/>
          <w:spacing w:val="0"/>
          <w:w w:val="100"/>
          <w:position w:val="0"/>
          <w:sz w:val="18"/>
          <w:szCs w:val="18"/>
        </w:rPr>
        <w:t>2</w:t>
      </w:r>
      <w:bookmarkEnd w:id="1141"/>
      <w:r>
        <w:rPr>
          <w:color w:val="000000"/>
          <w:spacing w:val="0"/>
          <w:w w:val="100"/>
          <w:position w:val="0"/>
        </w:rPr>
        <w:t>）</w:t>
        <w:tab/>
        <w:t>仅约定了合同总额的技术服务业务</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仅约定了合同总额，未约定服务期间，服务结束需客户进行验收的技术服务业务。此类业务仅当本公司在履约过程中所 产出的商品具有不可替代用途，且本公司在整个合同期间内有权就累计至今已完成的履约部分收取款项的情况下，本公司按 照合同期间已完成履约义务的进度在一段时间内确认收入，履约进度依据已经发生的成本占预计总成本的比例确定。否则， 公司在服务提供完毕并通过客户验收后按合同约定金额确认收入。</w:t>
      </w:r>
    </w:p>
    <w:p>
      <w:pPr>
        <w:pStyle w:val="Style16"/>
        <w:keepNext w:val="0"/>
        <w:keepLines w:val="0"/>
        <w:widowControl w:val="0"/>
        <w:shd w:val="clear" w:color="auto" w:fill="auto"/>
        <w:bidi w:val="0"/>
        <w:spacing w:before="0" w:after="100" w:line="312" w:lineRule="exact"/>
        <w:ind w:left="0" w:right="0"/>
        <w:jc w:val="both"/>
      </w:pPr>
      <w:r>
        <w:rPr>
          <w:color w:val="000000"/>
          <w:spacing w:val="0"/>
          <w:w w:val="100"/>
          <w:position w:val="0"/>
        </w:rPr>
        <w:t>对于在某一时段内履行的履约义务，当履约进度不能合理确定时，公司已经发生的成本预计能够得到补偿的，按照已经 发生的成本金额确认收入，直到履约进度能够合理确定为止。</w:t>
      </w:r>
    </w:p>
    <w:p>
      <w:pPr>
        <w:pStyle w:val="Style16"/>
        <w:keepNext w:val="0"/>
        <w:keepLines w:val="0"/>
        <w:widowControl w:val="0"/>
        <w:shd w:val="clear" w:color="auto" w:fill="auto"/>
        <w:tabs>
          <w:tab w:pos="722" w:val="left"/>
        </w:tabs>
        <w:bidi w:val="0"/>
        <w:spacing w:before="0" w:after="0" w:line="360" w:lineRule="auto"/>
        <w:ind w:left="0" w:right="0"/>
        <w:jc w:val="both"/>
      </w:pPr>
      <w:bookmarkStart w:id="1142" w:name="bookmark1142"/>
      <w:r>
        <w:rPr>
          <w:rFonts w:ascii="Times New Roman" w:eastAsia="Times New Roman" w:hAnsi="Times New Roman" w:cs="Times New Roman"/>
          <w:color w:val="000000"/>
          <w:spacing w:val="0"/>
          <w:w w:val="100"/>
          <w:position w:val="0"/>
          <w:sz w:val="18"/>
          <w:szCs w:val="18"/>
        </w:rPr>
        <w:t>3</w:t>
      </w:r>
      <w:bookmarkEnd w:id="1142"/>
      <w:r>
        <w:rPr>
          <w:color w:val="000000"/>
          <w:spacing w:val="0"/>
          <w:w w:val="100"/>
          <w:position w:val="0"/>
        </w:rPr>
        <w:t>）</w:t>
        <w:tab/>
        <w:t>按人月工作量结算的技术服务业务</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在资产负债表日以双方确认的实际工作量及合同约定人月单价计算并确认为当期技术服务收入。</w:t>
      </w:r>
    </w:p>
    <w:p>
      <w:pPr>
        <w:pStyle w:val="Style16"/>
        <w:keepNext w:val="0"/>
        <w:keepLines w:val="0"/>
        <w:widowControl w:val="0"/>
        <w:shd w:val="clear" w:color="auto" w:fill="auto"/>
        <w:tabs>
          <w:tab w:pos="799" w:val="left"/>
        </w:tabs>
        <w:bidi w:val="0"/>
        <w:spacing w:before="0" w:after="100" w:line="312" w:lineRule="exact"/>
        <w:ind w:left="0" w:right="0"/>
        <w:jc w:val="both"/>
      </w:pPr>
      <w:bookmarkStart w:id="1143" w:name="bookmark1143"/>
      <w:r>
        <w:rPr>
          <w:color w:val="000000"/>
          <w:spacing w:val="0"/>
          <w:w w:val="100"/>
          <w:position w:val="0"/>
        </w:rPr>
        <w:t>（</w:t>
      </w:r>
      <w:bookmarkEnd w:id="11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咨询服务业务</w:t>
      </w:r>
    </w:p>
    <w:p>
      <w:pPr>
        <w:pStyle w:val="Style16"/>
        <w:keepNext w:val="0"/>
        <w:keepLines w:val="0"/>
        <w:widowControl w:val="0"/>
        <w:shd w:val="clear" w:color="auto" w:fill="auto"/>
        <w:tabs>
          <w:tab w:pos="703" w:val="left"/>
        </w:tabs>
        <w:bidi w:val="0"/>
        <w:spacing w:before="0" w:after="0" w:line="360" w:lineRule="auto"/>
        <w:ind w:left="0" w:right="0"/>
        <w:jc w:val="both"/>
      </w:pPr>
      <w:bookmarkStart w:id="1144" w:name="bookmark1144"/>
      <w:r>
        <w:rPr>
          <w:rFonts w:ascii="Times New Roman" w:eastAsia="Times New Roman" w:hAnsi="Times New Roman" w:cs="Times New Roman"/>
          <w:color w:val="000000"/>
          <w:spacing w:val="0"/>
          <w:w w:val="100"/>
          <w:position w:val="0"/>
          <w:sz w:val="18"/>
          <w:szCs w:val="18"/>
        </w:rPr>
        <w:t>1</w:t>
      </w:r>
      <w:bookmarkEnd w:id="1144"/>
      <w:r>
        <w:rPr>
          <w:color w:val="000000"/>
          <w:spacing w:val="0"/>
          <w:w w:val="100"/>
          <w:position w:val="0"/>
        </w:rPr>
        <w:t>）</w:t>
        <w:tab/>
        <w:t>约定了合同总额的咨询服务业务</w:t>
      </w:r>
    </w:p>
    <w:p>
      <w:pPr>
        <w:pStyle w:val="Style16"/>
        <w:keepNext w:val="0"/>
        <w:keepLines w:val="0"/>
        <w:widowControl w:val="0"/>
        <w:shd w:val="clear" w:color="auto" w:fill="auto"/>
        <w:bidi w:val="0"/>
        <w:spacing w:before="0" w:after="0" w:line="312" w:lineRule="exact"/>
        <w:ind w:left="0" w:right="0"/>
        <w:jc w:val="both"/>
      </w:pPr>
      <w:r>
        <w:rPr>
          <w:color w:val="000000"/>
          <w:spacing w:val="0"/>
          <w:w w:val="100"/>
          <w:position w:val="0"/>
        </w:rPr>
        <w:t>根据客户的具体情况，从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规划、项目管理、业务咨询等方面提出可落地的咨询建议和解决方案，成果交付时通常需客 户进行验收。此类业务仅当本公司在履约过程中所产出的商品具有不可替代用途，且本公司在整个合同期间内有权就累计至 今已完成的履约部分收取款项的情况下，本公司按照合同期间已完成履约义务的进度在一段时间内确认收入，履约进度依据 已经发生的成本占预计总成本的比例确定。否则，公司在成果交付并通过客户验收后按合同约定金额确认收入。</w:t>
      </w:r>
    </w:p>
    <w:p>
      <w:pPr>
        <w:pStyle w:val="Style16"/>
        <w:keepNext w:val="0"/>
        <w:keepLines w:val="0"/>
        <w:widowControl w:val="0"/>
        <w:shd w:val="clear" w:color="auto" w:fill="auto"/>
        <w:bidi w:val="0"/>
        <w:spacing w:before="0" w:after="100" w:line="312" w:lineRule="exact"/>
        <w:ind w:left="0" w:right="0"/>
        <w:jc w:val="both"/>
      </w:pPr>
      <w:r>
        <w:rPr>
          <w:color w:val="000000"/>
          <w:spacing w:val="0"/>
          <w:w w:val="100"/>
          <w:position w:val="0"/>
        </w:rPr>
        <w:t>对于在某一时段内履行的履约义务，当履约进度不能合理确定时，公司已经发生的成本预计能够得到补偿的，按照已经 发生的成本金额确认收入，直到履约进度能够合理确定为止。</w:t>
      </w:r>
    </w:p>
    <w:p>
      <w:pPr>
        <w:pStyle w:val="Style16"/>
        <w:keepNext w:val="0"/>
        <w:keepLines w:val="0"/>
        <w:widowControl w:val="0"/>
        <w:shd w:val="clear" w:color="auto" w:fill="auto"/>
        <w:tabs>
          <w:tab w:pos="722" w:val="left"/>
        </w:tabs>
        <w:bidi w:val="0"/>
        <w:spacing w:before="0" w:after="100" w:line="360" w:lineRule="auto"/>
        <w:ind w:left="0" w:right="0"/>
        <w:jc w:val="both"/>
      </w:pPr>
      <w:bookmarkStart w:id="1145" w:name="bookmark1145"/>
      <w:r>
        <w:rPr>
          <w:rFonts w:ascii="Times New Roman" w:eastAsia="Times New Roman" w:hAnsi="Times New Roman" w:cs="Times New Roman"/>
          <w:color w:val="000000"/>
          <w:spacing w:val="0"/>
          <w:w w:val="100"/>
          <w:position w:val="0"/>
          <w:sz w:val="18"/>
          <w:szCs w:val="18"/>
        </w:rPr>
        <w:t>2</w:t>
      </w:r>
      <w:bookmarkEnd w:id="1145"/>
      <w:r>
        <w:rPr>
          <w:color w:val="000000"/>
          <w:spacing w:val="0"/>
          <w:w w:val="100"/>
          <w:position w:val="0"/>
        </w:rPr>
        <w:t>）</w:t>
        <w:tab/>
        <w:t>按人月工作量结算的咨询服务业务</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在资产负债表日以双方确认的实际工作量及合同约定人月单价计算并确认为当期咨询服务收入。</w:t>
      </w:r>
    </w:p>
    <w:p>
      <w:pPr>
        <w:pStyle w:val="Style16"/>
        <w:keepNext w:val="0"/>
        <w:keepLines w:val="0"/>
        <w:widowControl w:val="0"/>
        <w:shd w:val="clear" w:color="auto" w:fill="auto"/>
        <w:bidi w:val="0"/>
        <w:spacing w:before="0" w:after="0" w:line="314" w:lineRule="exact"/>
        <w:ind w:left="0" w:right="0"/>
        <w:jc w:val="both"/>
      </w:pPr>
      <w:bookmarkStart w:id="1146" w:name="bookmark1146"/>
      <w:r>
        <w:rPr>
          <w:color w:val="000000"/>
          <w:spacing w:val="0"/>
          <w:w w:val="100"/>
          <w:position w:val="0"/>
        </w:rPr>
        <w:t>（</w:t>
      </w:r>
      <w:bookmarkEnd w:id="1146"/>
      <w:r>
        <w:rPr>
          <w:rFonts w:ascii="Times New Roman" w:eastAsia="Times New Roman" w:hAnsi="Times New Roman" w:cs="Times New Roman"/>
          <w:color w:val="000000"/>
          <w:spacing w:val="0"/>
          <w:w w:val="100"/>
          <w:position w:val="0"/>
          <w:sz w:val="18"/>
          <w:szCs w:val="18"/>
        </w:rPr>
        <w:t>4</w:t>
      </w:r>
      <w:r>
        <w:rPr>
          <w:color w:val="000000"/>
          <w:spacing w:val="0"/>
          <w:w w:val="100"/>
          <w:position w:val="0"/>
        </w:rPr>
        <w:t>）系统集成业务</w:t>
      </w:r>
    </w:p>
    <w:p>
      <w:pPr>
        <w:pStyle w:val="Style16"/>
        <w:keepNext w:val="0"/>
        <w:keepLines w:val="0"/>
        <w:widowControl w:val="0"/>
        <w:shd w:val="clear" w:color="auto" w:fill="auto"/>
        <w:bidi w:val="0"/>
        <w:spacing w:before="0" w:after="400" w:line="314" w:lineRule="exact"/>
        <w:ind w:left="0" w:right="0"/>
        <w:jc w:val="both"/>
      </w:pPr>
      <w:r>
        <w:rPr>
          <w:color w:val="000000"/>
          <w:spacing w:val="0"/>
          <w:w w:val="100"/>
          <w:position w:val="0"/>
        </w:rPr>
        <w:t>在公司将产品发出并取得客户的验收单据、已收取价款或取得收款权利且相关的经济利益很可能流入时确认收入。</w:t>
      </w:r>
    </w:p>
    <w:p>
      <w:pPr>
        <w:pStyle w:val="Style27"/>
        <w:keepNext/>
        <w:keepLines/>
        <w:widowControl w:val="0"/>
        <w:shd w:val="clear" w:color="auto" w:fill="auto"/>
        <w:tabs>
          <w:tab w:pos="483" w:val="left"/>
        </w:tabs>
        <w:bidi w:val="0"/>
        <w:spacing w:before="0" w:after="400" w:line="240" w:lineRule="auto"/>
        <w:ind w:left="0" w:right="0" w:firstLine="0"/>
        <w:jc w:val="both"/>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3</w:t>
      </w:r>
      <w:bookmarkEnd w:id="1149"/>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1147"/>
      <w:bookmarkEnd w:id="1148"/>
      <w:bookmarkEnd w:id="1150"/>
    </w:p>
    <w:p>
      <w:pPr>
        <w:pStyle w:val="Style16"/>
        <w:keepNext w:val="0"/>
        <w:keepLines w:val="0"/>
        <w:widowControl w:val="0"/>
        <w:numPr>
          <w:ilvl w:val="0"/>
          <w:numId w:val="107"/>
        </w:numPr>
        <w:shd w:val="clear" w:color="auto" w:fill="auto"/>
        <w:tabs>
          <w:tab w:pos="700" w:val="left"/>
        </w:tabs>
        <w:bidi w:val="0"/>
        <w:spacing w:before="0" w:after="0" w:line="360" w:lineRule="auto"/>
        <w:ind w:left="0" w:right="0"/>
        <w:jc w:val="both"/>
      </w:pPr>
      <w:bookmarkStart w:id="1151" w:name="bookmark1151"/>
      <w:bookmarkEnd w:id="1151"/>
      <w:r>
        <w:rPr>
          <w:color w:val="000000"/>
          <w:spacing w:val="0"/>
          <w:w w:val="100"/>
          <w:position w:val="0"/>
        </w:rPr>
        <w:t>类型</w:t>
      </w:r>
    </w:p>
    <w:p>
      <w:pPr>
        <w:pStyle w:val="Style16"/>
        <w:keepNext w:val="0"/>
        <w:keepLines w:val="0"/>
        <w:widowControl w:val="0"/>
        <w:shd w:val="clear" w:color="auto" w:fill="auto"/>
        <w:bidi w:val="0"/>
        <w:spacing w:before="0" w:after="0" w:line="317" w:lineRule="exact"/>
        <w:ind w:left="0" w:right="0"/>
        <w:jc w:val="both"/>
      </w:pPr>
      <w:r>
        <w:rPr>
          <w:color w:val="000000"/>
          <w:spacing w:val="0"/>
          <w:w w:val="100"/>
          <w:position w:val="0"/>
        </w:rPr>
        <w:t>政府补助，是本公司从政府无偿取得的货币性资产与非货币性资产。根据相关政府文件规定的补助对象，将政府补助划 分为与资产相关的政府补助和与收益相关的政府补助。</w:t>
      </w:r>
    </w:p>
    <w:p>
      <w:pPr>
        <w:pStyle w:val="Style16"/>
        <w:keepNext w:val="0"/>
        <w:keepLines w:val="0"/>
        <w:widowControl w:val="0"/>
        <w:shd w:val="clear" w:color="auto" w:fill="auto"/>
        <w:bidi w:val="0"/>
        <w:spacing w:before="0" w:after="100" w:line="317" w:lineRule="exact"/>
        <w:ind w:left="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16"/>
        <w:keepNext w:val="0"/>
        <w:keepLines w:val="0"/>
        <w:widowControl w:val="0"/>
        <w:numPr>
          <w:ilvl w:val="0"/>
          <w:numId w:val="107"/>
        </w:numPr>
        <w:shd w:val="clear" w:color="auto" w:fill="auto"/>
        <w:tabs>
          <w:tab w:pos="719" w:val="left"/>
        </w:tabs>
        <w:bidi w:val="0"/>
        <w:spacing w:before="0" w:after="0" w:line="360" w:lineRule="auto"/>
        <w:ind w:left="0" w:right="0"/>
        <w:jc w:val="both"/>
      </w:pPr>
      <w:bookmarkStart w:id="1152" w:name="bookmark1152"/>
      <w:bookmarkEnd w:id="1152"/>
      <w:r>
        <w:rPr>
          <w:color w:val="000000"/>
          <w:spacing w:val="0"/>
          <w:w w:val="100"/>
          <w:position w:val="0"/>
        </w:rPr>
        <w:t>政府补助的确认</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对期末有证据表明公司能够符合财政扶持政策规定的相关条件且预计能够收到财政扶持资金的，按应收金额确认政府补 助。除此之外，政府补助均在实际收到时确认。</w:t>
      </w:r>
    </w:p>
    <w:p>
      <w:pPr>
        <w:pStyle w:val="Style16"/>
        <w:keepNext w:val="0"/>
        <w:keepLines w:val="0"/>
        <w:widowControl w:val="0"/>
        <w:shd w:val="clear" w:color="auto" w:fill="auto"/>
        <w:bidi w:val="0"/>
        <w:spacing w:before="0" w:after="100" w:line="311" w:lineRule="exact"/>
        <w:ind w:left="0" w:right="0"/>
        <w:jc w:val="both"/>
      </w:pPr>
      <w:r>
        <w:rPr>
          <w:color w:val="000000"/>
          <w:spacing w:val="0"/>
          <w:w w:val="100"/>
          <w:position w:val="0"/>
        </w:rPr>
        <w:t>政府补助为货币性资产的，按照收到或应收的金额计量。政府补助为非货币性资产的，按照公允价值计量；公允价值不 能够可靠取得的，按照名义金额（人民币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元）计量。按照名义金额计量的政府补助，直接计入当期损益。</w:t>
      </w:r>
    </w:p>
    <w:p>
      <w:pPr>
        <w:pStyle w:val="Style16"/>
        <w:keepNext w:val="0"/>
        <w:keepLines w:val="0"/>
        <w:widowControl w:val="0"/>
        <w:numPr>
          <w:ilvl w:val="0"/>
          <w:numId w:val="107"/>
        </w:numPr>
        <w:shd w:val="clear" w:color="auto" w:fill="auto"/>
        <w:tabs>
          <w:tab w:pos="719" w:val="left"/>
        </w:tabs>
        <w:bidi w:val="0"/>
        <w:spacing w:before="0" w:after="0" w:line="360" w:lineRule="auto"/>
        <w:ind w:left="0" w:right="0"/>
        <w:jc w:val="both"/>
      </w:pPr>
      <w:bookmarkStart w:id="1153" w:name="bookmark1153"/>
      <w:bookmarkEnd w:id="1153"/>
      <w:r>
        <w:rPr>
          <w:color w:val="000000"/>
          <w:spacing w:val="0"/>
          <w:w w:val="100"/>
          <w:position w:val="0"/>
        </w:rPr>
        <w:t>会计处理方法</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与资产相关的政府补助，应当冲减相关资产的账面价值或确认为递延收益。与资产相关的政府补助确认为递延收益的， 在所建造或购买资产使用寿命内按照合理、系统的方法分期计入损益。</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与收益相关的政府补助，用于补偿企业以后期间的相关费用或损失的，确认为递延收益，在确认相关费用或损失的期间 计入当期损益或冲减相关成本；用于补偿企业已发生的相关费用或损失的，取得时直接计入当期损益或冲减相关成本。</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与企业日常活动相关的政府补助计入其他收益或冲减相关成本费用；与企业日常活动无关的政府补助计入营业外收支。</w:t>
      </w:r>
    </w:p>
    <w:p>
      <w:pPr>
        <w:pStyle w:val="Style16"/>
        <w:keepNext w:val="0"/>
        <w:keepLines w:val="0"/>
        <w:widowControl w:val="0"/>
        <w:shd w:val="clear" w:color="auto" w:fill="auto"/>
        <w:bidi w:val="0"/>
        <w:spacing w:before="0" w:after="0" w:line="311" w:lineRule="exact"/>
        <w:ind w:left="0" w:right="0"/>
        <w:jc w:val="both"/>
      </w:pPr>
      <w:r>
        <w:rPr>
          <w:color w:val="000000"/>
          <w:spacing w:val="0"/>
          <w:w w:val="100"/>
          <w:position w:val="0"/>
        </w:rPr>
        <w:t>收到与政策性优惠贷款贴息相关的政府补助冲减相关借款费用；取得贷款银行提供的政策性优惠利率贷款的，以实际收 到的借款金额作为借款的入账价值，按照借款本金和该政策性优惠利率计算相关借款费用。</w:t>
      </w:r>
    </w:p>
    <w:p>
      <w:pPr>
        <w:pStyle w:val="Style16"/>
        <w:keepNext w:val="0"/>
        <w:keepLines w:val="0"/>
        <w:widowControl w:val="0"/>
        <w:shd w:val="clear" w:color="auto" w:fill="auto"/>
        <w:bidi w:val="0"/>
        <w:spacing w:before="0" w:after="400" w:line="311" w:lineRule="exact"/>
        <w:ind w:left="0" w:right="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pStyle w:val="Style27"/>
        <w:keepNext/>
        <w:keepLines/>
        <w:widowControl w:val="0"/>
        <w:shd w:val="clear" w:color="auto" w:fill="auto"/>
        <w:tabs>
          <w:tab w:pos="483" w:val="left"/>
        </w:tabs>
        <w:bidi w:val="0"/>
        <w:spacing w:before="0" w:after="26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3</w:t>
      </w:r>
      <w:bookmarkEnd w:id="1156"/>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54"/>
      <w:bookmarkEnd w:id="1155"/>
      <w:bookmarkEnd w:id="1157"/>
    </w:p>
    <w:p>
      <w:pPr>
        <w:pStyle w:val="Style16"/>
        <w:keepNext w:val="0"/>
        <w:keepLines w:val="0"/>
        <w:widowControl w:val="0"/>
        <w:shd w:val="clear" w:color="auto" w:fill="auto"/>
        <w:bidi w:val="0"/>
        <w:spacing w:before="0" w:after="100" w:line="314" w:lineRule="exact"/>
        <w:ind w:left="0" w:right="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计算确认。于资产负债 表日，递延所得税资产和递延所得税负债，按照预期收回该资产或清偿该负债期间的适用税率计量。</w:t>
      </w:r>
    </w:p>
    <w:p>
      <w:pPr>
        <w:pStyle w:val="Style16"/>
        <w:keepNext w:val="0"/>
        <w:keepLines w:val="0"/>
        <w:widowControl w:val="0"/>
        <w:numPr>
          <w:ilvl w:val="0"/>
          <w:numId w:val="109"/>
        </w:numPr>
        <w:shd w:val="clear" w:color="auto" w:fill="auto"/>
        <w:tabs>
          <w:tab w:pos="700" w:val="left"/>
        </w:tabs>
        <w:bidi w:val="0"/>
        <w:spacing w:before="0" w:after="0" w:line="360" w:lineRule="auto"/>
        <w:ind w:left="0" w:right="0"/>
        <w:jc w:val="both"/>
      </w:pPr>
      <w:bookmarkStart w:id="1158" w:name="bookmark1158"/>
      <w:bookmarkEnd w:id="1158"/>
      <w:r>
        <w:rPr>
          <w:color w:val="000000"/>
          <w:spacing w:val="0"/>
          <w:w w:val="100"/>
          <w:position w:val="0"/>
        </w:rPr>
        <w:t>确认递延所得税资产的依据</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本公司以很可能取得用来抵扣可抵扣暂时性差异、能够结转以后年度的可抵扣亏损和税款抵减的应纳税所得额为限，确 认由可抵扣暂时性差异产生的递延所得税资产。但是，同时具有下列特征的交易中因资产或负债的初始确认所产生的递延所 得税资产不予确认：（</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）交易发生时既不影响会计利润也不影响应纳税所得额或可抵扣亏损。</w:t>
      </w:r>
    </w:p>
    <w:p>
      <w:pPr>
        <w:pStyle w:val="Style16"/>
        <w:keepNext w:val="0"/>
        <w:keepLines w:val="0"/>
        <w:widowControl w:val="0"/>
        <w:shd w:val="clear" w:color="auto" w:fill="auto"/>
        <w:bidi w:val="0"/>
        <w:spacing w:before="0" w:after="100" w:line="314" w:lineRule="exact"/>
        <w:ind w:left="0" w:right="0"/>
        <w:jc w:val="both"/>
      </w:pPr>
      <w:r>
        <w:rPr>
          <w:color w:val="000000"/>
          <w:spacing w:val="0"/>
          <w:w w:val="100"/>
          <w:position w:val="0"/>
        </w:rPr>
        <w:t>对于与联营企业投资相关的可抵扣暂时性差异，同时满足下列条件的，确认相应的递延所得税资产：暂时性差异在可预 见的未来很可能转回，且未来很可能获得用来抵扣可抵扣暂时性差异的应纳税所得额。</w:t>
      </w:r>
    </w:p>
    <w:p>
      <w:pPr>
        <w:pStyle w:val="Style16"/>
        <w:keepNext w:val="0"/>
        <w:keepLines w:val="0"/>
        <w:widowControl w:val="0"/>
        <w:numPr>
          <w:ilvl w:val="0"/>
          <w:numId w:val="109"/>
        </w:numPr>
        <w:shd w:val="clear" w:color="auto" w:fill="auto"/>
        <w:tabs>
          <w:tab w:pos="719" w:val="left"/>
        </w:tabs>
        <w:bidi w:val="0"/>
        <w:spacing w:before="0" w:after="0" w:line="360" w:lineRule="auto"/>
        <w:ind w:left="0" w:right="0"/>
        <w:jc w:val="both"/>
      </w:pPr>
      <w:bookmarkStart w:id="1159" w:name="bookmark1159"/>
      <w:bookmarkEnd w:id="1159"/>
      <w:r>
        <w:rPr>
          <w:color w:val="000000"/>
          <w:spacing w:val="0"/>
          <w:w w:val="100"/>
          <w:position w:val="0"/>
        </w:rPr>
        <w:t>确认递延所得税负债的依据</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公司将当期与以前期间应交未交的应纳税暂时性差异确认为递延所得税负债。但不包括：</w:t>
      </w:r>
    </w:p>
    <w:p>
      <w:pPr>
        <w:pStyle w:val="Style16"/>
        <w:keepNext w:val="0"/>
        <w:keepLines w:val="0"/>
        <w:widowControl w:val="0"/>
        <w:shd w:val="clear" w:color="auto" w:fill="auto"/>
        <w:tabs>
          <w:tab w:pos="825" w:val="left"/>
        </w:tabs>
        <w:bidi w:val="0"/>
        <w:spacing w:before="0" w:after="0" w:line="314" w:lineRule="exact"/>
        <w:ind w:left="0" w:right="0"/>
        <w:jc w:val="both"/>
      </w:pPr>
      <w:bookmarkStart w:id="1160" w:name="bookmark1160"/>
      <w:r>
        <w:rPr>
          <w:color w:val="000000"/>
          <w:spacing w:val="0"/>
          <w:w w:val="100"/>
          <w:position w:val="0"/>
        </w:rPr>
        <w:t>（</w:t>
      </w:r>
      <w:bookmarkEnd w:id="11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商誉的初始确认所形成的暂时性差异；</w:t>
      </w:r>
    </w:p>
    <w:p>
      <w:pPr>
        <w:pStyle w:val="Style16"/>
        <w:keepNext w:val="0"/>
        <w:keepLines w:val="0"/>
        <w:widowControl w:val="0"/>
        <w:shd w:val="clear" w:color="auto" w:fill="auto"/>
        <w:tabs>
          <w:tab w:pos="901" w:val="left"/>
        </w:tabs>
        <w:bidi w:val="0"/>
        <w:spacing w:before="0" w:after="0" w:line="314" w:lineRule="exact"/>
        <w:ind w:left="0" w:right="0"/>
        <w:jc w:val="both"/>
      </w:pPr>
      <w:bookmarkStart w:id="1161" w:name="bookmark1161"/>
      <w:r>
        <w:rPr>
          <w:color w:val="000000"/>
          <w:spacing w:val="0"/>
          <w:w w:val="100"/>
          <w:position w:val="0"/>
        </w:rPr>
        <w:t>（</w:t>
      </w:r>
      <w:bookmarkEnd w:id="11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非企业合并形成的交易或事项，且该交易或事项发生时既不影响会计利润，也不影响应纳税所得额（或可抵扣亏 损）所形成的暂时性差异；</w:t>
      </w:r>
    </w:p>
    <w:p>
      <w:pPr>
        <w:pStyle w:val="Style16"/>
        <w:keepNext w:val="0"/>
        <w:keepLines w:val="0"/>
        <w:widowControl w:val="0"/>
        <w:shd w:val="clear" w:color="auto" w:fill="auto"/>
        <w:tabs>
          <w:tab w:pos="901" w:val="left"/>
        </w:tabs>
        <w:bidi w:val="0"/>
        <w:spacing w:before="0" w:after="100" w:line="314" w:lineRule="exact"/>
        <w:ind w:left="0" w:right="0"/>
        <w:jc w:val="both"/>
      </w:pPr>
      <w:bookmarkStart w:id="1162" w:name="bookmark1162"/>
      <w:r>
        <w:rPr>
          <w:color w:val="000000"/>
          <w:spacing w:val="0"/>
          <w:w w:val="100"/>
          <w:position w:val="0"/>
        </w:rPr>
        <w:t>（</w:t>
      </w:r>
      <w:bookmarkEnd w:id="116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对于与子公司、联营企业投资相关的应纳税暂时性差异，该暂时性差异转回的时间能够控制并且该暂时性差异在 可预见的未来很可能不会转回。</w:t>
      </w:r>
    </w:p>
    <w:p>
      <w:pPr>
        <w:pStyle w:val="Style16"/>
        <w:keepNext w:val="0"/>
        <w:keepLines w:val="0"/>
        <w:widowControl w:val="0"/>
        <w:numPr>
          <w:ilvl w:val="0"/>
          <w:numId w:val="109"/>
        </w:numPr>
        <w:shd w:val="clear" w:color="auto" w:fill="auto"/>
        <w:tabs>
          <w:tab w:pos="719" w:val="left"/>
        </w:tabs>
        <w:bidi w:val="0"/>
        <w:spacing w:before="0" w:after="100" w:line="360" w:lineRule="auto"/>
        <w:ind w:left="0" w:right="0"/>
        <w:jc w:val="both"/>
      </w:pPr>
      <w:bookmarkStart w:id="1163" w:name="bookmark1163"/>
      <w:bookmarkEnd w:id="1163"/>
      <w:r>
        <w:rPr>
          <w:color w:val="000000"/>
          <w:spacing w:val="0"/>
          <w:w w:val="100"/>
          <w:position w:val="0"/>
        </w:rPr>
        <w:t>同时满足下列条件时，将递延所得税资产及递延所得税负债以抵销后的净额列示</w:t>
      </w:r>
    </w:p>
    <w:p>
      <w:pPr>
        <w:pStyle w:val="Style16"/>
        <w:keepNext w:val="0"/>
        <w:keepLines w:val="0"/>
        <w:widowControl w:val="0"/>
        <w:shd w:val="clear" w:color="auto" w:fill="auto"/>
        <w:tabs>
          <w:tab w:pos="825" w:val="left"/>
        </w:tabs>
        <w:bidi w:val="0"/>
        <w:spacing w:before="0" w:after="0" w:line="307" w:lineRule="exact"/>
        <w:ind w:left="0" w:right="0"/>
        <w:jc w:val="both"/>
      </w:pPr>
      <w:bookmarkStart w:id="1164" w:name="bookmark1164"/>
      <w:r>
        <w:rPr>
          <w:color w:val="000000"/>
          <w:spacing w:val="0"/>
          <w:w w:val="100"/>
          <w:position w:val="0"/>
        </w:rPr>
        <w:t>（</w:t>
      </w:r>
      <w:bookmarkEnd w:id="11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企业拥有以净额结算当期所得税资产及当期所得税负债的法定权利；</w:t>
      </w:r>
    </w:p>
    <w:p>
      <w:pPr>
        <w:pStyle w:val="Style16"/>
        <w:keepNext w:val="0"/>
        <w:keepLines w:val="0"/>
        <w:widowControl w:val="0"/>
        <w:shd w:val="clear" w:color="auto" w:fill="auto"/>
        <w:tabs>
          <w:tab w:pos="901" w:val="left"/>
        </w:tabs>
        <w:bidi w:val="0"/>
        <w:spacing w:before="0" w:after="360" w:line="319" w:lineRule="exact"/>
        <w:ind w:left="0" w:right="0"/>
        <w:jc w:val="both"/>
      </w:pPr>
      <w:bookmarkStart w:id="1165" w:name="bookmark1165"/>
      <w:r>
        <w:rPr>
          <w:color w:val="000000"/>
          <w:spacing w:val="0"/>
          <w:w w:val="100"/>
          <w:position w:val="0"/>
        </w:rPr>
        <w:t>（</w:t>
      </w:r>
      <w:bookmarkEnd w:id="11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递延所得税资产和递延所得税负债是与同一税收征管部门对同一纳税主体征收的所得税相关或者对不同的纳税主 体相关，但在未来每一具有重要性的递延所得税资产和递延所得税负债转回的期间内，涉及的纳税主体体意图以净额结算当 期所得税资产及当期所得税负债或是同时取得资产、清偿债务。</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3</w:t>
      </w:r>
      <w:bookmarkEnd w:id="1168"/>
      <w:r>
        <w:rPr>
          <w:rFonts w:ascii="Times New Roman" w:eastAsia="Times New Roman" w:hAnsi="Times New Roman" w:cs="Times New Roman"/>
          <w:color w:val="000000"/>
          <w:spacing w:val="0"/>
          <w:w w:val="100"/>
          <w:position w:val="0"/>
        </w:rPr>
        <w:t>9</w:t>
      </w:r>
      <w:r>
        <w:rPr>
          <w:color w:val="000000"/>
          <w:spacing w:val="0"/>
          <w:w w:val="100"/>
          <w:position w:val="0"/>
        </w:rPr>
        <w:t>、</w:t>
        <w:tab/>
        <w:t>租赁</w:t>
      </w:r>
      <w:bookmarkEnd w:id="1166"/>
      <w:bookmarkEnd w:id="1167"/>
      <w:bookmarkEnd w:id="1169"/>
    </w:p>
    <w:p>
      <w:pPr>
        <w:pStyle w:val="Style27"/>
        <w:keepNext/>
        <w:keepLines/>
        <w:widowControl w:val="0"/>
        <w:shd w:val="clear" w:color="auto" w:fill="auto"/>
        <w:tabs>
          <w:tab w:pos="493" w:val="left"/>
        </w:tabs>
        <w:bidi w:val="0"/>
        <w:spacing w:before="0" w:after="260" w:line="240" w:lineRule="auto"/>
        <w:ind w:left="0" w:right="0" w:firstLine="0"/>
        <w:jc w:val="left"/>
      </w:pPr>
      <w:bookmarkStart w:id="1166" w:name="bookmark1166"/>
      <w:bookmarkStart w:id="1167" w:name="bookmark1167"/>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166"/>
      <w:bookmarkEnd w:id="1167"/>
      <w:bookmarkEnd w:id="1171"/>
    </w:p>
    <w:p>
      <w:pPr>
        <w:pStyle w:val="Style16"/>
        <w:keepNext w:val="0"/>
        <w:keepLines w:val="0"/>
        <w:widowControl w:val="0"/>
        <w:shd w:val="clear" w:color="auto" w:fill="auto"/>
        <w:bidi w:val="0"/>
        <w:spacing w:before="0" w:after="360" w:line="317" w:lineRule="exact"/>
        <w:ind w:left="0" w:right="0"/>
        <w:jc w:val="both"/>
      </w:pPr>
      <w:r>
        <w:rPr>
          <w:color w:val="000000"/>
          <w:spacing w:val="0"/>
          <w:w w:val="100"/>
          <w:position w:val="0"/>
        </w:rPr>
        <w:t>本公司在租赁期内各个期间采用直线法或其他系统合理的方法，将经营租赁的租赁收款额确认为租金收入；发生的与经 营租赁有关的初始直接费用资本化，在租赁期内按照与租金收入确认相同的基础进行分摊，分期计入当期损益；取得的与经 营租赁有关的未计入租赁收款额的可变租赁付款额，在实际发生时计入当期损益。</w:t>
      </w:r>
    </w:p>
    <w:p>
      <w:pPr>
        <w:pStyle w:val="Style27"/>
        <w:keepNext/>
        <w:keepLines/>
        <w:widowControl w:val="0"/>
        <w:shd w:val="clear" w:color="auto" w:fill="auto"/>
        <w:tabs>
          <w:tab w:pos="493" w:val="left"/>
        </w:tabs>
        <w:bidi w:val="0"/>
        <w:spacing w:before="0" w:after="260" w:line="240" w:lineRule="auto"/>
        <w:ind w:left="0" w:right="0" w:firstLine="0"/>
        <w:jc w:val="left"/>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72"/>
      <w:bookmarkEnd w:id="1173"/>
      <w:bookmarkEnd w:id="1175"/>
    </w:p>
    <w:p>
      <w:pPr>
        <w:pStyle w:val="Style16"/>
        <w:keepNext w:val="0"/>
        <w:keepLines w:val="0"/>
        <w:widowControl w:val="0"/>
        <w:shd w:val="clear" w:color="auto" w:fill="auto"/>
        <w:bidi w:val="0"/>
        <w:spacing w:before="0" w:after="0" w:line="302" w:lineRule="exact"/>
        <w:ind w:left="0" w:right="0"/>
        <w:jc w:val="both"/>
      </w:pPr>
      <w:r>
        <w:rPr>
          <w:color w:val="000000"/>
          <w:spacing w:val="0"/>
          <w:w w:val="100"/>
          <w:position w:val="0"/>
        </w:rPr>
        <w:t>在租赁期开始日，本公司对融资租赁确认应收融资租赁款，并终止确认融资租赁资产。</w:t>
      </w:r>
    </w:p>
    <w:p>
      <w:pPr>
        <w:pStyle w:val="Style16"/>
        <w:keepNext w:val="0"/>
        <w:keepLines w:val="0"/>
        <w:widowControl w:val="0"/>
        <w:shd w:val="clear" w:color="auto" w:fill="auto"/>
        <w:bidi w:val="0"/>
        <w:spacing w:before="0" w:after="0" w:line="302" w:lineRule="exact"/>
        <w:ind w:left="0" w:right="0"/>
        <w:jc w:val="both"/>
      </w:pPr>
      <w:r>
        <w:rPr>
          <w:color w:val="000000"/>
          <w:spacing w:val="0"/>
          <w:w w:val="100"/>
          <w:position w:val="0"/>
        </w:rPr>
        <w:t>应收融资租赁款初始计量时，以未担保余值和租赁期开始日尚未收到的租赁收款额按照租赁内含利率折现的现值之和作 为应收融资租赁款的入账价值。租赁收款额包括：</w:t>
      </w:r>
    </w:p>
    <w:p>
      <w:pPr>
        <w:pStyle w:val="Style16"/>
        <w:keepNext w:val="0"/>
        <w:keepLines w:val="0"/>
        <w:widowControl w:val="0"/>
        <w:shd w:val="clear" w:color="auto" w:fill="auto"/>
        <w:tabs>
          <w:tab w:pos="729" w:val="left"/>
        </w:tabs>
        <w:bidi w:val="0"/>
        <w:spacing w:before="0" w:after="0" w:line="302" w:lineRule="exact"/>
        <w:ind w:left="0" w:right="0"/>
        <w:jc w:val="both"/>
      </w:pPr>
      <w:bookmarkStart w:id="1176" w:name="bookmark1176"/>
      <w:r>
        <w:rPr>
          <w:rFonts w:ascii="Times New Roman" w:eastAsia="Times New Roman" w:hAnsi="Times New Roman" w:cs="Times New Roman"/>
          <w:color w:val="000000"/>
          <w:spacing w:val="0"/>
          <w:w w:val="100"/>
          <w:position w:val="0"/>
          <w:sz w:val="18"/>
          <w:szCs w:val="18"/>
        </w:rPr>
        <w:t>1</w:t>
      </w:r>
      <w:bookmarkEnd w:id="1176"/>
      <w:r>
        <w:rPr>
          <w:color w:val="000000"/>
          <w:spacing w:val="0"/>
          <w:w w:val="100"/>
          <w:position w:val="0"/>
        </w:rPr>
        <w:t>）</w:t>
        <w:tab/>
        <w:t>扣除租赁激励相关金额后的固定付款额及实质固定付款额；</w:t>
      </w:r>
    </w:p>
    <w:p>
      <w:pPr>
        <w:pStyle w:val="Style16"/>
        <w:keepNext w:val="0"/>
        <w:keepLines w:val="0"/>
        <w:widowControl w:val="0"/>
        <w:shd w:val="clear" w:color="auto" w:fill="auto"/>
        <w:tabs>
          <w:tab w:pos="748" w:val="left"/>
        </w:tabs>
        <w:bidi w:val="0"/>
        <w:spacing w:before="0" w:after="0" w:line="302" w:lineRule="exact"/>
        <w:ind w:left="0" w:right="0"/>
        <w:jc w:val="both"/>
      </w:pPr>
      <w:bookmarkStart w:id="1177" w:name="bookmark1177"/>
      <w:r>
        <w:rPr>
          <w:rFonts w:ascii="Times New Roman" w:eastAsia="Times New Roman" w:hAnsi="Times New Roman" w:cs="Times New Roman"/>
          <w:color w:val="000000"/>
          <w:spacing w:val="0"/>
          <w:w w:val="100"/>
          <w:position w:val="0"/>
          <w:sz w:val="18"/>
          <w:szCs w:val="18"/>
        </w:rPr>
        <w:t>2</w:t>
      </w:r>
      <w:bookmarkEnd w:id="1177"/>
      <w:r>
        <w:rPr>
          <w:color w:val="000000"/>
          <w:spacing w:val="0"/>
          <w:w w:val="100"/>
          <w:position w:val="0"/>
        </w:rPr>
        <w:t>）</w:t>
        <w:tab/>
        <w:t>取决于指数或比率的可变租赁付款额；</w:t>
      </w:r>
    </w:p>
    <w:p>
      <w:pPr>
        <w:pStyle w:val="Style16"/>
        <w:keepNext w:val="0"/>
        <w:keepLines w:val="0"/>
        <w:widowControl w:val="0"/>
        <w:shd w:val="clear" w:color="auto" w:fill="auto"/>
        <w:tabs>
          <w:tab w:pos="748" w:val="left"/>
        </w:tabs>
        <w:bidi w:val="0"/>
        <w:spacing w:before="0" w:after="0" w:line="302" w:lineRule="exact"/>
        <w:ind w:left="0" w:right="0"/>
        <w:jc w:val="both"/>
      </w:pPr>
      <w:bookmarkStart w:id="1178" w:name="bookmark1178"/>
      <w:r>
        <w:rPr>
          <w:rFonts w:ascii="Times New Roman" w:eastAsia="Times New Roman" w:hAnsi="Times New Roman" w:cs="Times New Roman"/>
          <w:color w:val="000000"/>
          <w:spacing w:val="0"/>
          <w:w w:val="100"/>
          <w:position w:val="0"/>
          <w:sz w:val="18"/>
          <w:szCs w:val="18"/>
        </w:rPr>
        <w:t>3</w:t>
      </w:r>
      <w:bookmarkEnd w:id="1178"/>
      <w:r>
        <w:rPr>
          <w:color w:val="000000"/>
          <w:spacing w:val="0"/>
          <w:w w:val="100"/>
          <w:position w:val="0"/>
        </w:rPr>
        <w:t>）</w:t>
        <w:tab/>
        <w:t>合理确定承租人将行使购买选择权的情况下，租赁收款额包括购买选择权的行权价格；</w:t>
      </w:r>
    </w:p>
    <w:p>
      <w:pPr>
        <w:pStyle w:val="Style16"/>
        <w:keepNext w:val="0"/>
        <w:keepLines w:val="0"/>
        <w:widowControl w:val="0"/>
        <w:shd w:val="clear" w:color="auto" w:fill="auto"/>
        <w:tabs>
          <w:tab w:pos="748" w:val="left"/>
        </w:tabs>
        <w:bidi w:val="0"/>
        <w:spacing w:before="0" w:after="0" w:line="302" w:lineRule="exact"/>
        <w:ind w:left="0" w:right="0"/>
        <w:jc w:val="both"/>
      </w:pPr>
      <w:bookmarkStart w:id="1179" w:name="bookmark1179"/>
      <w:r>
        <w:rPr>
          <w:rFonts w:ascii="Times New Roman" w:eastAsia="Times New Roman" w:hAnsi="Times New Roman" w:cs="Times New Roman"/>
          <w:color w:val="000000"/>
          <w:spacing w:val="0"/>
          <w:w w:val="100"/>
          <w:position w:val="0"/>
          <w:sz w:val="18"/>
          <w:szCs w:val="18"/>
        </w:rPr>
        <w:t>4</w:t>
      </w:r>
      <w:bookmarkEnd w:id="1179"/>
      <w:r>
        <w:rPr>
          <w:color w:val="000000"/>
          <w:spacing w:val="0"/>
          <w:w w:val="100"/>
          <w:position w:val="0"/>
        </w:rPr>
        <w:t>）</w:t>
        <w:tab/>
        <w:t>租赁期反映出承租人将行使终止租赁选择权的情况下，租赁收款额包括承租人行使终止租赁选择权需支付的款项；</w:t>
      </w:r>
    </w:p>
    <w:p>
      <w:pPr>
        <w:pStyle w:val="Style16"/>
        <w:keepNext w:val="0"/>
        <w:keepLines w:val="0"/>
        <w:widowControl w:val="0"/>
        <w:shd w:val="clear" w:color="auto" w:fill="auto"/>
        <w:tabs>
          <w:tab w:pos="748" w:val="left"/>
        </w:tabs>
        <w:bidi w:val="0"/>
        <w:spacing w:before="0" w:after="0" w:line="302" w:lineRule="exact"/>
        <w:ind w:left="0" w:right="0"/>
        <w:jc w:val="both"/>
      </w:pPr>
      <w:bookmarkStart w:id="1180" w:name="bookmark1180"/>
      <w:r>
        <w:rPr>
          <w:rFonts w:ascii="Times New Roman" w:eastAsia="Times New Roman" w:hAnsi="Times New Roman" w:cs="Times New Roman"/>
          <w:color w:val="000000"/>
          <w:spacing w:val="0"/>
          <w:w w:val="100"/>
          <w:position w:val="0"/>
          <w:sz w:val="18"/>
          <w:szCs w:val="18"/>
        </w:rPr>
        <w:t>5</w:t>
      </w:r>
      <w:bookmarkEnd w:id="1180"/>
      <w:r>
        <w:rPr>
          <w:color w:val="000000"/>
          <w:spacing w:val="0"/>
          <w:w w:val="100"/>
          <w:position w:val="0"/>
        </w:rPr>
        <w:t>）</w:t>
        <w:tab/>
        <w:t>由承租人、与承租人有关的一方以及有经济能力履行担保义务的独立第三方向出租人提供的担保余值。</w:t>
      </w:r>
    </w:p>
    <w:p>
      <w:pPr>
        <w:pStyle w:val="Style16"/>
        <w:keepNext w:val="0"/>
        <w:keepLines w:val="0"/>
        <w:widowControl w:val="0"/>
        <w:shd w:val="clear" w:color="auto" w:fill="auto"/>
        <w:bidi w:val="0"/>
        <w:spacing w:before="0" w:after="360" w:line="312" w:lineRule="exact"/>
        <w:ind w:left="0" w:right="0"/>
        <w:jc w:val="both"/>
      </w:pPr>
      <w:r>
        <w:rPr>
          <w:color w:val="000000"/>
          <w:spacing w:val="0"/>
          <w:w w:val="100"/>
          <w:position w:val="0"/>
        </w:rPr>
        <w:t>本公司按照固定的租赁内含利率计算并确认租赁期内各个期间的利息收入，所取得的未纳入租赁投资净额计量的可变租 赁付款额在实际发生时计入当期损益。</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4</w:t>
      </w:r>
      <w:bookmarkEnd w:id="1183"/>
      <w:r>
        <w:rPr>
          <w:rFonts w:ascii="Times New Roman" w:eastAsia="Times New Roman" w:hAnsi="Times New Roman" w:cs="Times New Roman"/>
          <w:color w:val="000000"/>
          <w:spacing w:val="0"/>
          <w:w w:val="100"/>
          <w:position w:val="0"/>
        </w:rPr>
        <w:t>0</w:t>
      </w:r>
      <w:r>
        <w:rPr>
          <w:color w:val="000000"/>
          <w:spacing w:val="0"/>
          <w:w w:val="100"/>
          <w:position w:val="0"/>
        </w:rPr>
        <w:t>、</w:t>
        <w:tab/>
        <w:t>重要会计政策和会计估计变更</w:t>
      </w:r>
      <w:bookmarkEnd w:id="1181"/>
      <w:bookmarkEnd w:id="1182"/>
      <w:bookmarkEnd w:id="1184"/>
    </w:p>
    <w:p>
      <w:pPr>
        <w:pStyle w:val="Style27"/>
        <w:keepNext/>
        <w:keepLines/>
        <w:widowControl w:val="0"/>
        <w:shd w:val="clear" w:color="auto" w:fill="auto"/>
        <w:bidi w:val="0"/>
        <w:spacing w:before="0" w:after="360" w:line="240" w:lineRule="auto"/>
        <w:ind w:left="0" w:right="0" w:firstLine="0"/>
        <w:jc w:val="left"/>
      </w:pPr>
      <w:bookmarkStart w:id="1181" w:name="bookmark1181"/>
      <w:bookmarkStart w:id="1182" w:name="bookmark1182"/>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81"/>
      <w:bookmarkEnd w:id="1182"/>
      <w:bookmarkEnd w:id="1186"/>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日起执行财政部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bl>
    <w:p>
      <w:pPr>
        <w:pStyle w:val="Style23"/>
        <w:keepNext w:val="0"/>
        <w:keepLines w:val="0"/>
        <w:widowControl w:val="0"/>
        <w:shd w:val="clear" w:color="auto" w:fill="auto"/>
        <w:bidi w:val="0"/>
        <w:spacing w:before="0" w:after="100" w:line="240" w:lineRule="auto"/>
        <w:ind w:left="226" w:right="0" w:firstLine="0"/>
        <w:jc w:val="left"/>
      </w:pPr>
      <w:r>
        <w:rPr>
          <w:color w:val="000000"/>
          <w:spacing w:val="0"/>
          <w:w w:val="100"/>
          <w:position w:val="0"/>
        </w:rPr>
        <w:t>会计政策变更说明：</w:t>
      </w:r>
    </w:p>
    <w:p>
      <w:pPr>
        <w:pStyle w:val="Style23"/>
        <w:keepNext w:val="0"/>
        <w:keepLines w:val="0"/>
        <w:widowControl w:val="0"/>
        <w:shd w:val="clear" w:color="auto" w:fill="auto"/>
        <w:bidi w:val="0"/>
        <w:spacing w:before="0" w:after="0" w:line="240" w:lineRule="auto"/>
        <w:ind w:left="22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号——租赁》，变更后的会计政策详见附注</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五。</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在首次执行日，本公司选择不重新评估此前已存在的合同是否为租赁或是否包含租赁，并将此方法一致应用于所有合同， 因此仅对上述在原租赁准则下识别为租赁的合同采用本准则衔接规定。</w:t>
      </w:r>
    </w:p>
    <w:p>
      <w:pPr>
        <w:pStyle w:val="Style16"/>
        <w:keepNext w:val="0"/>
        <w:keepLines w:val="0"/>
        <w:widowControl w:val="0"/>
        <w:shd w:val="clear" w:color="auto" w:fill="auto"/>
        <w:bidi w:val="0"/>
        <w:spacing w:before="0" w:after="0" w:line="314" w:lineRule="exact"/>
        <w:ind w:left="0" w:right="0"/>
        <w:jc w:val="both"/>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号——会计政策、会计估计变更和差错更正》的规定选择采 用简化的追溯调整法进行衔接会计处理，即调整首次执行本准则当年年初留存收益及财务报表其他相关项目金额，不调整可 比期间信息。</w:t>
      </w:r>
    </w:p>
    <w:p>
      <w:pPr>
        <w:pStyle w:val="Style16"/>
        <w:keepNext w:val="0"/>
        <w:keepLines w:val="0"/>
        <w:widowControl w:val="0"/>
        <w:shd w:val="clear" w:color="auto" w:fill="auto"/>
        <w:bidi w:val="0"/>
        <w:spacing w:before="0" w:after="320" w:line="314" w:lineRule="exact"/>
        <w:ind w:left="0" w:right="0"/>
        <w:jc w:val="both"/>
      </w:pPr>
      <w:r>
        <w:rPr>
          <w:color w:val="000000"/>
          <w:spacing w:val="0"/>
          <w:w w:val="100"/>
          <w:position w:val="0"/>
        </w:rPr>
        <w:t>本公司对低价值资产租赁的会计政策为不确认使用权资产和租赁负债。根据新租赁准则的衔接规定，本公司在首次执行</w:t>
      </w:r>
      <w:r>
        <w:br w:type="page"/>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日前的低价值资产租赁，自首次执行日起按照新租赁准则进行会计处理，不对低价值资产租赁进行追溯调整。</w:t>
      </w:r>
    </w:p>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执行新租赁准则对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日财务报表相关项目的影响列示如下:</w:t>
      </w:r>
    </w:p>
    <w:tbl>
      <w:tblPr>
        <w:tblOverlap w:val="never"/>
        <w:jc w:val="center"/>
        <w:tblLayout w:type="fixed"/>
      </w:tblPr>
      <w:tblGrid>
        <w:gridCol w:w="1958"/>
        <w:gridCol w:w="1973"/>
        <w:gridCol w:w="1147"/>
        <w:gridCol w:w="1387"/>
        <w:gridCol w:w="1392"/>
        <w:gridCol w:w="1819"/>
      </w:tblGrid>
      <w:tr>
        <w:trPr>
          <w:trHeight w:val="35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重新计量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小计</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15,848,470.30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-614,451.82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-614,451.82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15,234,018.48</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2,447,887,528.12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-614,451.82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-614,451.82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2,447,273,076.30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12,499,894.43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12,499,894.43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12,499,894.43</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276,416,721.32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12,499,894.43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12,499,894.43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288,916,615.75</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2,724,304,249.44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11,885,442.61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11,885,442.61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2,736,189,692.05</w:t>
            </w:r>
          </w:p>
        </w:tc>
      </w:tr>
      <w:tr>
        <w:trPr>
          <w:trHeight w:val="6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一年内到期的非流动负 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20,279,767.23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2,407,560.95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2,407,560.95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22,687,328.18</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503,334,254.85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2,407,560.95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2,407,560.95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505,741,815.80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9,477,881.66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9,477,881.66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9,477,881.66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7,172,615.08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9,477,881.66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9,477,881.66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16,650,496.74</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510,506,869.93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11,885,442.61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11,885,442.61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522,392,312.54</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2,724,304,249.44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11,885,442.61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11,885,442.61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2,736,189,692.05</w:t>
            </w:r>
          </w:p>
        </w:tc>
      </w:tr>
      <w:tr>
        <w:trPr>
          <w:trHeight w:val="66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支付其他与经营活动有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关的现金</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1,251,633.08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-1,251,633.08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-1,251,633.08</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注：上表仅呈列受影响的财务报表项目，不受影响的财务报表项目不包括在内，因此所披露的小计和合计无法根据上表 中呈列的数字重新计算得出。</w:t>
      </w:r>
    </w:p>
    <w:p>
      <w:pPr>
        <w:widowControl w:val="0"/>
        <w:spacing w:after="399" w:line="1" w:lineRule="exact"/>
      </w:pPr>
    </w:p>
    <w:p>
      <w:pPr>
        <w:pStyle w:val="Style27"/>
        <w:keepNext/>
        <w:keepLines/>
        <w:widowControl w:val="0"/>
        <w:shd w:val="clear" w:color="auto" w:fill="auto"/>
        <w:tabs>
          <w:tab w:pos="493" w:val="left"/>
        </w:tabs>
        <w:bidi w:val="0"/>
        <w:spacing w:before="0" w:after="400" w:line="240" w:lineRule="auto"/>
        <w:ind w:left="0" w:right="0" w:firstLine="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87"/>
      <w:bookmarkEnd w:id="1188"/>
      <w:bookmarkEnd w:id="1190"/>
    </w:p>
    <w:p>
      <w:pPr>
        <w:pStyle w:val="Style16"/>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93" w:val="left"/>
        </w:tabs>
        <w:bidi w:val="0"/>
        <w:spacing w:before="0" w:after="400" w:line="240" w:lineRule="auto"/>
        <w:ind w:left="0" w:right="0" w:firstLine="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91"/>
      <w:bookmarkEnd w:id="1192"/>
      <w:bookmarkEnd w:id="1194"/>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是否需要调整年初资产负债表科目</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合并资产负债表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270"/>
        <w:gridCol w:w="2410"/>
        <w:gridCol w:w="20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1,013,322,382.09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1,013,322,382.09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2270"/>
        <w:gridCol w:w="2410"/>
        <w:gridCol w:w="206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911,693,673.27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911,693,673.27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15,848,470.30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15,234,018.48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614,451.82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15,701,064.99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15,701,064.99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216,847,776.91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216,847,776.91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124,585,955.53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124,585,955.53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5,888,205.03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5,888,205.03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2,447,887,528.12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2,447,273,076.30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614,451.82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11,451,668.30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11,451,668.30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105,093,189.47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105,093,189.47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12,499,894.43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-12,499,894.43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123,454,402.70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123,454,402.70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2270"/>
        <w:gridCol w:w="2410"/>
        <w:gridCol w:w="206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3,105,521.12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3,105,521.12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11,286,977.73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11,286,977.73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276,416,721.32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288,916,615.75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-12,499,894.43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2,724,304,249.44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2,724,304,249.44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-11,885,442.61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252,900,000.00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252,900,000.00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15,457,516.46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15,457,516.46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8,220,312.41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8,220,312.41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98,238,961.16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98,238,961.16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95,837,191.60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95,837,191.60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12,400,505.99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12,400,505.99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20,279,767.23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22,687,328.18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-2,407,560.95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503,334,254.85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505,741,815.80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-2,407,560.95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2270"/>
        <w:gridCol w:w="2410"/>
        <w:gridCol w:w="206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9,477,881.66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7,172,615.08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7,172,615.08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7,172,615.08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16,650,496.74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-9,477,881.66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510,506,869.93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522,392,312.54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-11,885,442.61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224,682,030.00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224,682,030.00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1,531,738,857.74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1,531,738,857.74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34,086,829.11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34,086,829.11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416,726,684.88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416,726,684.88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2,207,239,321.60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6,558,057.91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6,558,057.91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2,213,797,379.51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2,213,797,379.51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2,724,304,249.44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2,736,189,692.05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-11,885,442.61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16"/>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号——租赁》，变更后的会计政策详见附注五。</w:t>
      </w:r>
    </w:p>
    <w:p>
      <w:pPr>
        <w:pStyle w:val="Style16"/>
        <w:keepNext w:val="0"/>
        <w:keepLines w:val="0"/>
        <w:widowControl w:val="0"/>
        <w:shd w:val="clear" w:color="auto" w:fill="auto"/>
        <w:bidi w:val="0"/>
        <w:spacing w:before="0" w:after="0" w:line="307" w:lineRule="exact"/>
        <w:ind w:left="0" w:right="0" w:firstLine="360"/>
        <w:jc w:val="left"/>
      </w:pPr>
      <w:r>
        <w:rPr>
          <w:color w:val="000000"/>
          <w:spacing w:val="0"/>
          <w:w w:val="100"/>
          <w:position w:val="0"/>
        </w:rPr>
        <w:t>在首次执行日，本公司选择不重新评估此前已存在的合同是否为租赁或是否包含租赁，并将此方法一致应用于所有合同， 因此仅对上述在原租赁准则下识别为租赁的合同采用本准则衔接规定。</w:t>
      </w:r>
    </w:p>
    <w:p>
      <w:pPr>
        <w:pStyle w:val="Style16"/>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号——会计政策、会计估计变更和差错更正》的规定选择采 用简化的追溯调整法进行衔接会计处理，即调整首次执行本准则当年年初留存收益及财务报表其他相关项目金额，不调整可</w:t>
        <w:br w:type="page"/>
      </w:r>
      <w:r>
        <w:rPr>
          <w:color w:val="000000"/>
          <w:spacing w:val="0"/>
          <w:w w:val="100"/>
          <w:position w:val="0"/>
        </w:rPr>
        <w:t>比期间信息。</w:t>
      </w:r>
    </w:p>
    <w:p>
      <w:pPr>
        <w:pStyle w:val="Style1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本公司对低价值资产租赁的会计政策为不确认使用权资产和租赁负债。根据新租赁准则的衔接规定，本公司在首次执行 日前的低价值资产租赁，自首次执行日起按照新租赁准则进行会计处理，不对低价值资产租赁进行追溯调整。</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首次执行新租赁准则后，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日，公司合并报表中，预付款项减少</w:t>
      </w:r>
      <w:r>
        <w:rPr>
          <w:rFonts w:ascii="Times New Roman" w:eastAsia="Times New Roman" w:hAnsi="Times New Roman" w:cs="Times New Roman"/>
          <w:color w:val="000000"/>
          <w:spacing w:val="0"/>
          <w:w w:val="100"/>
          <w:position w:val="0"/>
          <w:sz w:val="18"/>
          <w:szCs w:val="18"/>
        </w:rPr>
        <w:t>614,451.8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元，使用权资产增加</w:t>
      </w:r>
      <w:r>
        <w:rPr>
          <w:rFonts w:ascii="Times New Roman" w:eastAsia="Times New Roman" w:hAnsi="Times New Roman" w:cs="Times New Roman"/>
          <w:color w:val="000000"/>
          <w:spacing w:val="0"/>
          <w:w w:val="100"/>
          <w:position w:val="0"/>
          <w:sz w:val="18"/>
          <w:szCs w:val="18"/>
        </w:rPr>
        <w:t xml:space="preserve">12,499,894.43 </w:t>
      </w:r>
      <w:r>
        <w:rPr>
          <w:color w:val="000000"/>
          <w:spacing w:val="0"/>
          <w:w w:val="100"/>
          <w:position w:val="0"/>
        </w:rPr>
        <w:t>元，一年内到期的非流动负债增加</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,407,560.95</w:t>
      </w:r>
      <w:r>
        <w:rPr>
          <w:color w:val="000000"/>
          <w:spacing w:val="0"/>
          <w:w w:val="100"/>
          <w:position w:val="0"/>
        </w:rPr>
        <w:t>元，租赁负债增加</w:t>
      </w:r>
      <w:r>
        <w:rPr>
          <w:rFonts w:ascii="Times New Roman" w:eastAsia="Times New Roman" w:hAnsi="Times New Roman" w:cs="Times New Roman"/>
          <w:color w:val="000000"/>
          <w:spacing w:val="0"/>
          <w:w w:val="100"/>
          <w:position w:val="0"/>
          <w:sz w:val="18"/>
          <w:szCs w:val="18"/>
        </w:rPr>
        <w:t>9,477,881.66</w:t>
      </w:r>
      <w:r>
        <w:rPr>
          <w:color w:val="000000"/>
          <w:spacing w:val="0"/>
          <w:w w:val="100"/>
          <w:position w:val="0"/>
        </w:rPr>
        <w:t>元。</w:t>
      </w:r>
    </w:p>
    <w:p>
      <w:pPr>
        <w:pStyle w:val="Style16"/>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母公司资产负债表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2270"/>
        <w:gridCol w:w="2266"/>
        <w:gridCol w:w="220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936,930,163.36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936,930,163.36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845,785,294.16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845,785,294.16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15,417,057.27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14,802,605.45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614,451.82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79,107,640.69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79,107,640.69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192,635,857.16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192,635,857.16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120,144,899.93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120,144,899.93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2,334,020,912.57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2,333,406,460.75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614,451.82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385,809,527.30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385,809,527.30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102,030,869.89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102,030,869.89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2270"/>
        <w:gridCol w:w="2266"/>
        <w:gridCol w:w="220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12,499,894.43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-12,499,894.43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3,057,163.70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3,057,163.70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7,055,713.57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7,055,713.57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519,978,236.46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532,478,130.89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-12,499,894.43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2,853,999,149.03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2,865,884,591.64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-11,885,442.61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190,290,113.23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190,290,113.23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4,693,518.05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4,693,518.05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89,159,559.70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89,159,559.70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72,786,315.03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72,786,315.03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113,457,050.89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113,457,050.89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20,279,767.23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22,687,328.18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-2,407,560.95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730,666,324.13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733,073,885.08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-2,407,560.95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2270"/>
        <w:gridCol w:w="2266"/>
        <w:gridCol w:w="220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9,477,881.66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-9,477,881.66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7,172,615.08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7,172,615.08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7,172,615.08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16,650,496.74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-9,477,881.66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737,838,939.21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749,724,381.82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-11,885,442.61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224,682,030.00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224,682,030.00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1,550,609,888.79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1,550,609,888.79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34,086,829.11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34,086,829.11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306,781,461.92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306,781,461.92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2,116,160,209.82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2,116,160,209.82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2,853,999,149.03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2,865,884,591.64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-11,885,442.61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16"/>
        <w:keepNext w:val="0"/>
        <w:keepLines w:val="0"/>
        <w:widowControl w:val="0"/>
        <w:shd w:val="clear" w:color="auto" w:fill="auto"/>
        <w:bidi w:val="0"/>
        <w:spacing w:before="0" w:after="0" w:line="317" w:lineRule="exact"/>
        <w:ind w:left="0" w:right="0" w:firstLine="30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号——租赁》，变更后的会计政策详见附注五。</w:t>
      </w:r>
    </w:p>
    <w:p>
      <w:pPr>
        <w:pStyle w:val="Style16"/>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在首次执行日，本公司选择不重新评估此前已存在的合同是否为租赁或是否包含租赁，并将此方法一致应用于所有合同， 因此仅对上述在原租赁准则下识别为租赁的合同采用本准则衔接规定。</w:t>
      </w:r>
    </w:p>
    <w:p>
      <w:pPr>
        <w:pStyle w:val="Style1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此外，本公司对上述租赁合同选择按照《企业会计准则第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号——会计政策、会计估计变更和差错更正》的规定选择采 用简化的追溯调整法进行衔接会计处理，即调整首次执行本准则当年年初留存收益及财务报表其他相关项目金额，不调整可 比期间信息。</w:t>
      </w:r>
    </w:p>
    <w:p>
      <w:pPr>
        <w:pStyle w:val="Style1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本公司对低价值资产租赁的会计政策为不确认使用权资产和租赁负债。根据新租赁准则的衔接规定，本公司在首次执行 日前的低价值资产租赁，自首次执行日起按照新租赁准则进行会计处理，不对低价值资产租赁进行追溯调整。</w:t>
      </w:r>
    </w:p>
    <w:p>
      <w:pPr>
        <w:pStyle w:val="Style16"/>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首次执行新租赁准则后，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日，公司合并报表中，预付款项减少</w:t>
      </w:r>
      <w:r>
        <w:rPr>
          <w:rFonts w:ascii="Times New Roman" w:eastAsia="Times New Roman" w:hAnsi="Times New Roman" w:cs="Times New Roman"/>
          <w:color w:val="000000"/>
          <w:spacing w:val="0"/>
          <w:w w:val="100"/>
          <w:position w:val="0"/>
          <w:sz w:val="18"/>
          <w:szCs w:val="18"/>
        </w:rPr>
        <w:t>614,451.82</w:t>
      </w:r>
      <w:r>
        <w:rPr>
          <w:color w:val="000000"/>
          <w:spacing w:val="0"/>
          <w:w w:val="100"/>
          <w:position w:val="0"/>
        </w:rPr>
        <w:t>元，使用权资产增加</w:t>
      </w:r>
      <w:r>
        <w:rPr>
          <w:rFonts w:ascii="Times New Roman" w:eastAsia="Times New Roman" w:hAnsi="Times New Roman" w:cs="Times New Roman"/>
          <w:color w:val="000000"/>
          <w:spacing w:val="0"/>
          <w:w w:val="100"/>
          <w:position w:val="0"/>
          <w:sz w:val="18"/>
          <w:szCs w:val="18"/>
        </w:rPr>
        <w:t xml:space="preserve">12,499,894.43 </w:t>
      </w:r>
      <w:r>
        <w:rPr>
          <w:color w:val="000000"/>
          <w:spacing w:val="0"/>
          <w:w w:val="100"/>
          <w:position w:val="0"/>
        </w:rPr>
        <w:t>元，一年内到期的非流动负债增加</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,407,560.95</w:t>
      </w:r>
      <w:r>
        <w:rPr>
          <w:color w:val="000000"/>
          <w:spacing w:val="0"/>
          <w:w w:val="100"/>
          <w:position w:val="0"/>
        </w:rPr>
        <w:t>元，</w:t>
      </w:r>
      <w:r>
        <w:br w:type="page"/>
      </w:r>
    </w:p>
    <w:p>
      <w:pPr>
        <w:pStyle w:val="Style27"/>
        <w:keepNext/>
        <w:keepLines/>
        <w:widowControl w:val="0"/>
        <w:shd w:val="clear" w:color="auto" w:fill="auto"/>
        <w:tabs>
          <w:tab w:pos="493" w:val="left"/>
        </w:tabs>
        <w:bidi w:val="0"/>
        <w:spacing w:before="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shd w:val="clear" w:color="auto" w:fill="FFFFFF"/>
        </w:rPr>
        <w:t>（</w:t>
      </w:r>
      <w:bookmarkEnd w:id="1197"/>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95"/>
      <w:bookmarkEnd w:id="1196"/>
      <w:bookmarkEnd w:id="1198"/>
    </w:p>
    <w:p>
      <w:pPr>
        <w:pStyle w:val="Style1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41</w:t>
      </w:r>
      <w:r>
        <w:rPr>
          <w:color w:val="000000"/>
          <w:spacing w:val="0"/>
          <w:w w:val="100"/>
          <w:position w:val="0"/>
        </w:rPr>
        <w:t>、其他</w:t>
      </w:r>
      <w:bookmarkEnd w:id="1199"/>
      <w:bookmarkEnd w:id="1200"/>
      <w:bookmarkEnd w:id="1201"/>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1202" w:name="bookmark1202"/>
      <w:bookmarkStart w:id="1203" w:name="bookmark1203"/>
      <w:bookmarkStart w:id="1204" w:name="bookmark1204"/>
      <w:bookmarkStart w:id="1205" w:name="bookmark1205"/>
      <w:r>
        <w:rPr>
          <w:color w:val="000000"/>
          <w:spacing w:val="0"/>
          <w:w w:val="100"/>
          <w:position w:val="0"/>
        </w:rPr>
        <w:t>六</w:t>
      </w:r>
      <w:bookmarkEnd w:id="1204"/>
      <w:r>
        <w:rPr>
          <w:color w:val="000000"/>
          <w:spacing w:val="0"/>
          <w:w w:val="100"/>
          <w:position w:val="0"/>
        </w:rPr>
        <w:t>、税项</w:t>
      </w:r>
      <w:bookmarkEnd w:id="1202"/>
      <w:bookmarkEnd w:id="1203"/>
      <w:bookmarkEnd w:id="1205"/>
    </w:p>
    <w:p>
      <w:pPr>
        <w:pStyle w:val="Style27"/>
        <w:keepNext/>
        <w:keepLines/>
        <w:widowControl w:val="0"/>
        <w:shd w:val="clear" w:color="auto" w:fill="auto"/>
        <w:bidi w:val="0"/>
        <w:spacing w:before="0" w:after="300" w:line="240" w:lineRule="auto"/>
        <w:ind w:left="0" w:right="0" w:firstLine="0"/>
        <w:jc w:val="left"/>
      </w:pPr>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206"/>
      <w:bookmarkEnd w:id="1207"/>
      <w:bookmarkEnd w:id="1208"/>
    </w:p>
    <w:tbl>
      <w:tblPr>
        <w:tblOverlap w:val="never"/>
        <w:jc w:val="center"/>
        <w:tblLayout w:type="fixed"/>
      </w:tblPr>
      <w:tblGrid>
        <w:gridCol w:w="2986"/>
        <w:gridCol w:w="3403"/>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销售收入、技术服务收入、个税手续费返还 收入、技术开发收入、房屋出租收入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、免税（符合免税认定部分）、</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按照房产原值的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、租金收入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每平米土地每年</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元</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厦门赞扬丰硕软件技术有限公司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无锡天阳宏业软件技术有限公司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北京银恒通电子科技有限公司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北京鼎信天威科技有限公司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北京天阳融信科技有限公司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北京卡洛其咨询有限公司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北京天阳融数科技有限公司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卡洛其（天津）企业管理咨询有限公司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深圳昊天睿阳科技有限公司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长沙湘瓴睿阳科技有限公司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西藏天阳华瑞科技有限公司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天阳胜合科技（北京）有限公司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pStyle w:val="Style27"/>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209"/>
      <w:bookmarkEnd w:id="1210"/>
      <w:bookmarkEnd w:id="1211"/>
    </w:p>
    <w:p>
      <w:pPr>
        <w:pStyle w:val="Style16"/>
        <w:keepNext w:val="0"/>
        <w:keepLines w:val="0"/>
        <w:widowControl w:val="0"/>
        <w:numPr>
          <w:ilvl w:val="0"/>
          <w:numId w:val="111"/>
        </w:numPr>
        <w:shd w:val="clear" w:color="auto" w:fill="auto"/>
        <w:tabs>
          <w:tab w:pos="621" w:val="left"/>
        </w:tabs>
        <w:bidi w:val="0"/>
        <w:spacing w:before="0" w:after="0" w:line="360" w:lineRule="auto"/>
        <w:ind w:left="0" w:right="0"/>
        <w:jc w:val="both"/>
      </w:pPr>
      <w:bookmarkStart w:id="1212" w:name="bookmark1212"/>
      <w:bookmarkEnd w:id="1212"/>
      <w:r>
        <w:rPr>
          <w:color w:val="000000"/>
          <w:spacing w:val="0"/>
          <w:w w:val="100"/>
          <w:position w:val="0"/>
        </w:rPr>
        <w:t>增值税</w:t>
      </w:r>
    </w:p>
    <w:p>
      <w:pPr>
        <w:pStyle w:val="Style16"/>
        <w:keepNext w:val="0"/>
        <w:keepLines w:val="0"/>
        <w:widowControl w:val="0"/>
        <w:shd w:val="clear" w:color="auto" w:fill="auto"/>
        <w:tabs>
          <w:tab w:pos="841" w:val="left"/>
        </w:tabs>
        <w:bidi w:val="0"/>
        <w:spacing w:before="0" w:after="0" w:line="313" w:lineRule="exact"/>
        <w:ind w:left="0" w:right="0"/>
        <w:jc w:val="both"/>
      </w:pPr>
      <w:bookmarkStart w:id="1213" w:name="bookmark1213"/>
      <w:r>
        <w:rPr>
          <w:color w:val="000000"/>
          <w:spacing w:val="0"/>
          <w:w w:val="100"/>
          <w:position w:val="0"/>
        </w:rPr>
        <w:t>（</w:t>
      </w:r>
      <w:bookmarkEnd w:id="121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根据财政部、国家税务总局财税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号文《关于软件产品增值税政策的通知》的规定，自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增值税一般纳税人销售其自行开发生产的软件产品，按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 征即退政策。增值税一般纳税人将进口软件产品进行本地化改造后对外销售，其销售的软件产品可享受上述规定的增值税即 征即退政策。纳税人受托开发软件产品，著作权属于受托方的征收增值税，著作权属于委托方或属于双方共同拥有的不征收 增值税；对经过国家版权局注册登记，纳税人在销售时一并转让著作权、所有权的，不征收增值税。</w:t>
      </w:r>
    </w:p>
    <w:p>
      <w:pPr>
        <w:pStyle w:val="Style16"/>
        <w:keepNext w:val="0"/>
        <w:keepLines w:val="0"/>
        <w:widowControl w:val="0"/>
        <w:shd w:val="clear" w:color="auto" w:fill="auto"/>
        <w:bidi w:val="0"/>
        <w:spacing w:before="0" w:after="0" w:line="313" w:lineRule="exact"/>
        <w:ind w:left="0" w:right="0"/>
        <w:jc w:val="both"/>
      </w:pPr>
      <w:bookmarkStart w:id="1214" w:name="bookmark1214"/>
      <w:r>
        <w:rPr>
          <w:color w:val="000000"/>
          <w:spacing w:val="0"/>
          <w:w w:val="100"/>
          <w:position w:val="0"/>
        </w:rPr>
        <w:t>（</w:t>
      </w:r>
      <w:bookmarkEnd w:id="1214"/>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根据财政部、税务总局、海关总署《关于深化增值税改革有关政策的公告》（财政部、税务总局、海关总署公告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号）的规定，本公司自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日起发生增值税应税销售行为或者进口货物，原适用</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税率的，税率 分别调整为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。同时自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日，允许生产、生活性服务业纳税人按照当期可抵扣进项税额 加计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，抵减应纳税额，本公司自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日起享受该项税收优惠政策。</w:t>
      </w:r>
    </w:p>
    <w:p>
      <w:pPr>
        <w:pStyle w:val="Style16"/>
        <w:keepNext w:val="0"/>
        <w:keepLines w:val="0"/>
        <w:widowControl w:val="0"/>
        <w:numPr>
          <w:ilvl w:val="0"/>
          <w:numId w:val="111"/>
        </w:numPr>
        <w:shd w:val="clear" w:color="auto" w:fill="auto"/>
        <w:tabs>
          <w:tab w:pos="640" w:val="left"/>
        </w:tabs>
        <w:bidi w:val="0"/>
        <w:spacing w:before="0" w:after="0" w:line="313" w:lineRule="exact"/>
        <w:ind w:left="0" w:right="0"/>
        <w:jc w:val="both"/>
      </w:pPr>
      <w:bookmarkStart w:id="1215" w:name="bookmark1215"/>
      <w:bookmarkEnd w:id="1215"/>
      <w:r>
        <w:rPr>
          <w:color w:val="000000"/>
          <w:spacing w:val="0"/>
          <w:w w:val="100"/>
          <w:position w:val="0"/>
        </w:rPr>
        <w:t>企业所得税</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日取得西藏自治区科学技术厅、西藏自治区财政厅、国家税务总局西藏自治区税务局共同颁发的 编号为</w:t>
      </w:r>
      <w:r>
        <w:rPr>
          <w:rFonts w:ascii="Times New Roman" w:eastAsia="Times New Roman" w:hAnsi="Times New Roman" w:cs="Times New Roman"/>
          <w:color w:val="000000"/>
          <w:spacing w:val="0"/>
          <w:w w:val="100"/>
          <w:position w:val="0"/>
          <w:sz w:val="18"/>
          <w:szCs w:val="18"/>
        </w:rPr>
        <w:t>GR202154000014</w:t>
      </w:r>
      <w:r>
        <w:rPr>
          <w:color w:val="000000"/>
          <w:spacing w:val="0"/>
          <w:w w:val="100"/>
          <w:position w:val="0"/>
        </w:rPr>
        <w:t>号的高新技术企业证书，享受所得税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的税收优惠政策，有效期为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年，优惠期间为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月注册地迁往西藏。根据藏政发</w:t>
      </w:r>
      <w:r>
        <w:rPr>
          <w:rFonts w:ascii="Times New Roman" w:eastAsia="Times New Roman" w:hAnsi="Times New Roman" w:cs="Times New Roman"/>
          <w:color w:val="000000"/>
          <w:spacing w:val="0"/>
          <w:w w:val="100"/>
          <w:position w:val="0"/>
          <w:sz w:val="18"/>
          <w:szCs w:val="18"/>
        </w:rPr>
        <w:t>[2014]51</w:t>
      </w:r>
      <w:r>
        <w:rPr>
          <w:color w:val="000000"/>
          <w:spacing w:val="0"/>
          <w:w w:val="100"/>
          <w:position w:val="0"/>
        </w:rPr>
        <w:t>号文件，经国家认定为高新技术企业，且高新技术产品产值达 到国家规定比例的，自被认定之日起，可免征企业所得税，高新技术产品产值达不到国家规定比例的，仅对该产品进行免税。 对复审合格的高新技术企业，自复审批准的当年开始，可申请在有效期内继续享受企业所得税免税政策，该办法所称各项企 业所得税免税额均指属于地方分享的部分。因此，本公司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年开始按规定享受减免企业所得税中属于地方分享的部分。</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根据财预〔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号文，未设立不具有法人资格分支机构的公司或当年设立（撤销）不具有法人资格分支机构且不参 与所得税分摊的公司适用</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的地方分享比例，否则，适用</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地方分享比例。本公司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年适用减免</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地方享受部分， 实际所得税税率</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北京银恒通电子科技有限公司于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日取得北京市科学技术委员会、北京市财政局、国家税务总局北京市税务 局共同颁发的编号为</w:t>
      </w:r>
      <w:r>
        <w:rPr>
          <w:rFonts w:ascii="Times New Roman" w:eastAsia="Times New Roman" w:hAnsi="Times New Roman" w:cs="Times New Roman"/>
          <w:color w:val="000000"/>
          <w:spacing w:val="0"/>
          <w:w w:val="100"/>
          <w:position w:val="0"/>
          <w:sz w:val="18"/>
          <w:szCs w:val="18"/>
        </w:rPr>
        <w:t>GR201911004999</w:t>
      </w:r>
      <w:r>
        <w:rPr>
          <w:color w:val="000000"/>
          <w:spacing w:val="0"/>
          <w:w w:val="100"/>
          <w:position w:val="0"/>
        </w:rPr>
        <w:t>的高新技术企业证书，享受企业所得税税率为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的优惠政策，有效期间为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北京鼎信天威科技有限公司于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日取得北京市科学技术委员会、北京市财政局、国家税务总局北京市税务局 共同颁发的编号为</w:t>
      </w:r>
      <w:r>
        <w:rPr>
          <w:rFonts w:ascii="Times New Roman" w:eastAsia="Times New Roman" w:hAnsi="Times New Roman" w:cs="Times New Roman"/>
          <w:color w:val="000000"/>
          <w:spacing w:val="0"/>
          <w:w w:val="100"/>
          <w:position w:val="0"/>
          <w:sz w:val="18"/>
          <w:szCs w:val="18"/>
        </w:rPr>
        <w:t>GR20201</w:t>
      </w:r>
      <w:r>
        <w:rPr>
          <w:rFonts w:ascii="Times New Roman" w:eastAsia="Times New Roman" w:hAnsi="Times New Roman" w:cs="Times New Roman"/>
          <w:color w:val="000000"/>
          <w:spacing w:val="0"/>
          <w:w w:val="100"/>
          <w:position w:val="0"/>
          <w:sz w:val="18"/>
          <w:szCs w:val="18"/>
        </w:rPr>
        <w:t>1005261</w:t>
      </w:r>
      <w:r>
        <w:rPr>
          <w:color w:val="000000"/>
          <w:spacing w:val="0"/>
          <w:w w:val="100"/>
          <w:position w:val="0"/>
        </w:rPr>
        <w:t>的高新技术企业证书，享受所得税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的税收优惠政策，优惠期间为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北京天阳融数科技有限公司于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日取得了编号为</w:t>
      </w:r>
      <w:r>
        <w:rPr>
          <w:rFonts w:ascii="Times New Roman" w:eastAsia="Times New Roman" w:hAnsi="Times New Roman" w:cs="Times New Roman"/>
          <w:color w:val="000000"/>
          <w:spacing w:val="0"/>
          <w:w w:val="100"/>
          <w:position w:val="0"/>
          <w:sz w:val="18"/>
          <w:szCs w:val="18"/>
        </w:rPr>
        <w:t>GR201911005305</w:t>
      </w:r>
      <w:r>
        <w:rPr>
          <w:color w:val="000000"/>
          <w:spacing w:val="0"/>
          <w:w w:val="100"/>
          <w:position w:val="0"/>
        </w:rPr>
        <w:t>的高新技术企业证书，企业所得税享受</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的税收优惠政策，有效期限三年，优惠期间为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北京卡洛其咨询有限公司于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日取得了编号为</w:t>
      </w:r>
      <w:r>
        <w:rPr>
          <w:rFonts w:ascii="Times New Roman" w:eastAsia="Times New Roman" w:hAnsi="Times New Roman" w:cs="Times New Roman"/>
          <w:color w:val="000000"/>
          <w:spacing w:val="0"/>
          <w:w w:val="100"/>
          <w:position w:val="0"/>
          <w:sz w:val="18"/>
          <w:szCs w:val="18"/>
        </w:rPr>
        <w:t>GR201911006971</w:t>
      </w:r>
      <w:r>
        <w:rPr>
          <w:color w:val="000000"/>
          <w:spacing w:val="0"/>
          <w:w w:val="100"/>
          <w:position w:val="0"/>
        </w:rPr>
        <w:t>的高新技术企业证书，企业所得税享受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 税收优惠政策，有效期限三年，优惠期间为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[2018]99</w:t>
      </w:r>
      <w:r>
        <w:rPr>
          <w:color w:val="000000"/>
          <w:spacing w:val="0"/>
          <w:w w:val="100"/>
          <w:position w:val="0"/>
        </w:rPr>
        <w:t>号文件规定，企业开展研发活动中实际发生的研发费用，未形成无形资产计入当期损益的，在按规定据实 扣除的基础上，在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日期间，再按照实际发生额的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在税前加计扣除；形成无形资产的，在上 述期间按照无形资产成本的</w:t>
      </w:r>
      <w:r>
        <w:rPr>
          <w:rFonts w:ascii="Times New Roman" w:eastAsia="Times New Roman" w:hAnsi="Times New Roman" w:cs="Times New Roman"/>
          <w:color w:val="000000"/>
          <w:spacing w:val="0"/>
          <w:w w:val="100"/>
          <w:position w:val="0"/>
          <w:sz w:val="18"/>
          <w:szCs w:val="18"/>
        </w:rPr>
        <w:t>175%</w:t>
      </w:r>
      <w:r>
        <w:rPr>
          <w:color w:val="000000"/>
          <w:spacing w:val="0"/>
          <w:w w:val="100"/>
          <w:position w:val="0"/>
        </w:rPr>
        <w:t>在税前摊销。本公司自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日起享受该项税收优惠政策。根据财政部税务总局公告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号，财税</w:t>
      </w:r>
      <w:r>
        <w:rPr>
          <w:rFonts w:ascii="Times New Roman" w:eastAsia="Times New Roman" w:hAnsi="Times New Roman" w:cs="Times New Roman"/>
          <w:color w:val="000000"/>
          <w:spacing w:val="0"/>
          <w:w w:val="100"/>
          <w:position w:val="0"/>
          <w:sz w:val="18"/>
          <w:szCs w:val="18"/>
        </w:rPr>
        <w:t>[2018]99</w:t>
      </w:r>
      <w:r>
        <w:rPr>
          <w:color w:val="000000"/>
          <w:spacing w:val="0"/>
          <w:w w:val="100"/>
          <w:position w:val="0"/>
        </w:rPr>
        <w:t>号文件于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日到期，执行期限延长至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1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6"/>
        <w:keepNext w:val="0"/>
        <w:keepLines w:val="0"/>
        <w:widowControl w:val="0"/>
        <w:shd w:val="clear" w:color="auto" w:fill="auto"/>
        <w:bidi w:val="0"/>
        <w:spacing w:before="0" w:after="0" w:line="311" w:lineRule="exact"/>
        <w:ind w:left="0" w:right="0"/>
        <w:jc w:val="left"/>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号文《关于软件产品增值税政策的通知》的规定，自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日起，增值 税一般纳税人销售其自行开发生产的软件产品，按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 退政策。增值税一般纳税人将进口软件产品进行本地化改造后对外销售，其销售的软件产品可享受上述规定的增值税即征即 退政策。纳税人受托开发软件产品，著作权属于受托方的征收增值税，著作权属于委托方或属于双方共同拥有的不征收增值 税；对经过国家版权局注册登记，纳税人在销售时一并转让著作权、所有权的，不征收增值税。</w:t>
      </w:r>
      <w:r>
        <w:br w:type="page"/>
      </w:r>
    </w:p>
    <w:p>
      <w:pPr>
        <w:pStyle w:val="Style27"/>
        <w:keepNext/>
        <w:keepLines/>
        <w:widowControl w:val="0"/>
        <w:shd w:val="clear" w:color="auto" w:fill="auto"/>
        <w:bidi w:val="0"/>
        <w:spacing w:before="0" w:after="360" w:line="240" w:lineRule="auto"/>
        <w:ind w:left="0" w:right="0" w:firstLine="0"/>
        <w:jc w:val="both"/>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3</w:t>
      </w:r>
      <w:bookmarkEnd w:id="1218"/>
      <w:r>
        <w:rPr>
          <w:color w:val="000000"/>
          <w:spacing w:val="0"/>
          <w:w w:val="100"/>
          <w:position w:val="0"/>
        </w:rPr>
        <w:t>、其他</w:t>
      </w:r>
      <w:bookmarkEnd w:id="1216"/>
      <w:bookmarkEnd w:id="1217"/>
      <w:bookmarkEnd w:id="1219"/>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1"/>
        <w:keepNext/>
        <w:keepLines/>
        <w:widowControl w:val="0"/>
        <w:shd w:val="clear" w:color="auto" w:fill="auto"/>
        <w:bidi w:val="0"/>
        <w:spacing w:before="0" w:line="240" w:lineRule="auto"/>
        <w:ind w:left="0" w:right="0" w:firstLine="0"/>
        <w:jc w:val="both"/>
      </w:pPr>
      <w:bookmarkStart w:id="1220" w:name="bookmark1220"/>
      <w:bookmarkStart w:id="1221" w:name="bookmark1221"/>
      <w:bookmarkStart w:id="1222" w:name="bookmark1222"/>
      <w:bookmarkStart w:id="1223" w:name="bookmark1223"/>
      <w:r>
        <w:rPr>
          <w:color w:val="000000"/>
          <w:spacing w:val="0"/>
          <w:w w:val="100"/>
          <w:position w:val="0"/>
        </w:rPr>
        <w:t>七</w:t>
      </w:r>
      <w:bookmarkEnd w:id="1222"/>
      <w:r>
        <w:rPr>
          <w:color w:val="000000"/>
          <w:spacing w:val="0"/>
          <w:w w:val="100"/>
          <w:position w:val="0"/>
        </w:rPr>
        <w:t>、合并财务报表项目注释</w:t>
      </w:r>
      <w:bookmarkEnd w:id="1220"/>
      <w:bookmarkEnd w:id="1221"/>
      <w:bookmarkEnd w:id="1223"/>
    </w:p>
    <w:p>
      <w:pPr>
        <w:pStyle w:val="Style27"/>
        <w:keepNext/>
        <w:keepLines/>
        <w:widowControl w:val="0"/>
        <w:shd w:val="clear" w:color="auto" w:fill="auto"/>
        <w:bidi w:val="0"/>
        <w:spacing w:before="0" w:after="360" w:line="240" w:lineRule="auto"/>
        <w:ind w:left="0" w:right="0" w:firstLine="0"/>
        <w:jc w:val="both"/>
      </w:pPr>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24"/>
      <w:bookmarkEnd w:id="1225"/>
      <w:bookmarkEnd w:id="1226"/>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852,176,871.52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1,006,015,871.73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14,044,186.91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7,306,510.36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866,221,058.43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1,013,322,382.09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2,577,624.67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-466,297.38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其中受限制的货币资金明细如下:</w:t>
      </w:r>
    </w:p>
    <w:tbl>
      <w:tblPr>
        <w:tblOverlap w:val="never"/>
        <w:jc w:val="center"/>
        <w:tblLayout w:type="fixed"/>
      </w:tblPr>
      <w:tblGrid>
        <w:gridCol w:w="4147"/>
        <w:gridCol w:w="2760"/>
        <w:gridCol w:w="2770"/>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9,184,186.91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6,860,928.23</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银行贷款保证金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3,445,582.13</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承兑汇票保证金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14,044,186.91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10,306,510.36</w:t>
            </w:r>
          </w:p>
        </w:tc>
      </w:tr>
    </w:tbl>
    <w:p>
      <w:pPr>
        <w:pStyle w:val="Style23"/>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日止，除上述受限货币资金外，本公司不存在冻结或有潜在收回风险的款项。</w:t>
      </w:r>
    </w:p>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227"/>
      <w:bookmarkEnd w:id="1228"/>
      <w:bookmarkEnd w:id="1229"/>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144,000,000.00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144,000,000.00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42"/>
        <w:keepNext w:val="0"/>
        <w:keepLines w:val="0"/>
        <w:widowControl w:val="0"/>
        <w:shd w:val="clear" w:color="auto" w:fill="auto"/>
        <w:bidi w:val="0"/>
        <w:spacing w:before="0"/>
        <w:ind w:left="0" w:right="0"/>
        <w:jc w:val="both"/>
      </w:pPr>
      <w:r>
        <w:rPr>
          <w:color w:val="000000"/>
          <w:spacing w:val="0"/>
          <w:w w:val="100"/>
          <w:position w:val="0"/>
        </w:rPr>
        <w:t>交易性金融资产</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日减少较多，主要系</w:t>
      </w:r>
      <w:r>
        <w:rPr>
          <w:rFonts w:ascii="Times New Roman" w:eastAsia="Times New Roman" w:hAnsi="Times New Roman" w:cs="Times New Roman"/>
          <w:color w:val="000000"/>
          <w:spacing w:val="0"/>
          <w:w w:val="100"/>
          <w:position w:val="0"/>
        </w:rPr>
        <w:t>2021</w:t>
      </w:r>
      <w:r>
        <w:rPr>
          <w:color w:val="000000"/>
          <w:spacing w:val="0"/>
          <w:w w:val="100"/>
          <w:position w:val="0"/>
        </w:rPr>
        <w:t>年本公司购买的银行结 构性存款到期赎回所致。</w:t>
      </w:r>
      <w:r>
        <w:br w:type="page"/>
      </w:r>
    </w:p>
    <w:p>
      <w:pPr>
        <w:pStyle w:val="Style27"/>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3</w:t>
      </w:r>
      <w:bookmarkEnd w:id="1232"/>
      <w:r>
        <w:rPr>
          <w:color w:val="000000"/>
          <w:spacing w:val="0"/>
          <w:w w:val="100"/>
          <w:position w:val="0"/>
        </w:rPr>
        <w:t>、应收账款</w:t>
      </w:r>
      <w:bookmarkEnd w:id="1230"/>
      <w:bookmarkEnd w:id="1231"/>
      <w:bookmarkEnd w:id="1233"/>
    </w:p>
    <w:p>
      <w:pPr>
        <w:pStyle w:val="Style27"/>
        <w:keepNext/>
        <w:keepLines/>
        <w:widowControl w:val="0"/>
        <w:numPr>
          <w:ilvl w:val="0"/>
          <w:numId w:val="113"/>
        </w:numPr>
        <w:shd w:val="clear" w:color="auto" w:fill="auto"/>
        <w:bidi w:val="0"/>
        <w:spacing w:before="0" w:line="240" w:lineRule="auto"/>
        <w:ind w:left="0" w:right="0" w:firstLine="0"/>
        <w:jc w:val="left"/>
      </w:pPr>
      <w:bookmarkStart w:id="1230" w:name="bookmark1230"/>
      <w:bookmarkStart w:id="1231" w:name="bookmark1231"/>
      <w:bookmarkStart w:id="1234" w:name="bookmark1234"/>
      <w:bookmarkStart w:id="1235" w:name="bookmark1235"/>
      <w:bookmarkEnd w:id="1234"/>
      <w:r>
        <w:rPr>
          <w:color w:val="000000"/>
          <w:spacing w:val="0"/>
          <w:w w:val="100"/>
          <w:position w:val="0"/>
        </w:rPr>
        <w:t>应收账款分类披露</w:t>
      </w:r>
      <w:bookmarkEnd w:id="1230"/>
      <w:bookmarkEnd w:id="1231"/>
      <w:bookmarkEnd w:id="123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1,364,65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5,031.79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111,328,</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909.47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1,253,326</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1,002,601</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,707.43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90,908,03</w:t>
            </w:r>
          </w:p>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911,693,67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按账龄分析法计提 预期信用损失的应 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1,364,65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5,031.79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111,328,</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909.47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1,253,326</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1,002,601</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,707.43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90,908,03</w:t>
            </w:r>
          </w:p>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911,693,67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1,364,65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5,031.79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111,328,</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909.47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1,253,326</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,122.32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1,002,601</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,707.43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90,908,03</w:t>
            </w:r>
          </w:p>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911,693,67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111,328,909.47</w:t>
      </w:r>
    </w:p>
    <w:p>
      <w:pPr>
        <w:widowControl w:val="0"/>
        <w:spacing w:after="9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1,013,388,414.74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30,401,652.43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210,655,299.72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21,065,529.97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83,503,733.03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25,051,119.91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39,770,896.14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19,885,448.08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12,057,645.39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9,646,116.31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5,279,042.77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5,279,042.77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1,364,655,031.79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111,328,909.47</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100" w:line="350" w:lineRule="exact"/>
        <w:ind w:left="0" w:right="0" w:firstLine="0"/>
        <w:jc w:val="left"/>
      </w:pPr>
      <w:r>
        <w:rPr>
          <w:color w:val="000000"/>
          <w:spacing w:val="0"/>
          <w:w w:val="100"/>
          <w:position w:val="0"/>
        </w:rPr>
        <w:t>确定该组合依据的说明: 按组合计提坏账准备：</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7186"/>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1,013,388,414.74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210,655,299.72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83,503,733.03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57,107,584.30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39,770,896.14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i/>
                <w:iCs/>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12,057,645.39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5,279,042.77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1,364,655,031.79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left"/>
      </w:pPr>
      <w:bookmarkStart w:id="1236" w:name="bookmark1236"/>
      <w:bookmarkStart w:id="1237" w:name="bookmark1237"/>
      <w:bookmarkStart w:id="1238" w:name="bookmark1238"/>
      <w:bookmarkStart w:id="1239" w:name="bookmark1239"/>
      <w:r>
        <w:rPr>
          <w:color w:val="000000"/>
          <w:spacing w:val="0"/>
          <w:w w:val="100"/>
          <w:position w:val="0"/>
        </w:rPr>
        <w:t>（</w:t>
      </w:r>
      <w:bookmarkEnd w:id="123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36"/>
      <w:bookmarkEnd w:id="1237"/>
      <w:bookmarkEnd w:id="1239"/>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按账龄分析法计 提预期信用损失 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90,908,034.16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22,300,875.31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111,328,909.47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90,908,034.16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22,300,875.31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111,328,909.47</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1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27"/>
        <w:keepNext/>
        <w:keepLines/>
        <w:widowControl w:val="0"/>
        <w:shd w:val="clear" w:color="auto" w:fill="auto"/>
        <w:bidi w:val="0"/>
        <w:spacing w:before="0" w:after="400" w:line="240" w:lineRule="auto"/>
        <w:ind w:left="0" w:right="0" w:firstLine="0"/>
        <w:jc w:val="left"/>
      </w:pPr>
      <w:bookmarkStart w:id="1240" w:name="bookmark1240"/>
      <w:bookmarkStart w:id="1241" w:name="bookmark1241"/>
      <w:bookmarkStart w:id="1242" w:name="bookmark1242"/>
      <w:bookmarkStart w:id="1243" w:name="bookmark1243"/>
      <w:r>
        <w:rPr>
          <w:color w:val="000000"/>
          <w:spacing w:val="0"/>
          <w:w w:val="100"/>
          <w:position w:val="0"/>
        </w:rPr>
        <w:t>（</w:t>
      </w:r>
      <w:bookmarkEnd w:id="124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40"/>
      <w:bookmarkEnd w:id="1241"/>
      <w:bookmarkEnd w:id="1243"/>
    </w:p>
    <w:p>
      <w:pPr>
        <w:pStyle w:val="Style1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按账龄分析法计提预期信用损失的应收账款</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1,880,000.00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1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江苏伊斯特威尔供 应链管理有限公司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应收合同款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经总经理办公会审 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1,880,000.00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27"/>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44"/>
      <w:bookmarkEnd w:id="1245"/>
      <w:bookmarkEnd w:id="1247"/>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both"/>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期末余额前五名应收账 款汇总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693,310,278.83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48,429,290.19</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693,310,278.83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4</w:t>
      </w:r>
      <w:bookmarkEnd w:id="1250"/>
      <w:r>
        <w:rPr>
          <w:color w:val="000000"/>
          <w:spacing w:val="0"/>
          <w:w w:val="100"/>
          <w:position w:val="0"/>
        </w:rPr>
        <w:t>、预付款项</w:t>
      </w:r>
      <w:bookmarkEnd w:id="1248"/>
      <w:bookmarkEnd w:id="1249"/>
      <w:bookmarkEnd w:id="1251"/>
    </w:p>
    <w:p>
      <w:pPr>
        <w:pStyle w:val="Style27"/>
        <w:keepNext/>
        <w:keepLines/>
        <w:widowControl w:val="0"/>
        <w:shd w:val="clear" w:color="auto" w:fill="auto"/>
        <w:bidi w:val="0"/>
        <w:spacing w:before="0" w:after="340" w:line="240" w:lineRule="auto"/>
        <w:ind w:left="0" w:right="0" w:firstLine="0"/>
        <w:jc w:val="left"/>
      </w:pPr>
      <w:bookmarkStart w:id="1248" w:name="bookmark1248"/>
      <w:bookmarkStart w:id="1249" w:name="bookmark1249"/>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48"/>
      <w:bookmarkEnd w:id="1249"/>
      <w:bookmarkEnd w:id="125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6,653,130.75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15,147,725.93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9,358,871.45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86,292.55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16,018,199.01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15,234,018.48</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3043"/>
        <w:gridCol w:w="2198"/>
        <w:gridCol w:w="1282"/>
        <w:gridCol w:w="3154"/>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未及时结算原因</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塔诚时代（北京）科技有限公司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9,090,339.61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合同尚未达到验收条件</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9,090,339.61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19" w:line="1" w:lineRule="exact"/>
      </w:pPr>
    </w:p>
    <w:p>
      <w:pPr>
        <w:pStyle w:val="Style27"/>
        <w:keepNext/>
        <w:keepLines/>
        <w:widowControl w:val="0"/>
        <w:shd w:val="clear" w:color="auto" w:fill="auto"/>
        <w:bidi w:val="0"/>
        <w:spacing w:before="0" w:after="34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54"/>
      <w:bookmarkEnd w:id="1255"/>
      <w:bookmarkEnd w:id="1257"/>
    </w:p>
    <w:tbl>
      <w:tblPr>
        <w:tblOverlap w:val="never"/>
        <w:jc w:val="center"/>
        <w:tblLayout w:type="fixed"/>
      </w:tblPr>
      <w:tblGrid>
        <w:gridCol w:w="3221"/>
        <w:gridCol w:w="3211"/>
        <w:gridCol w:w="3245"/>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期末余额前五名预付款项汇总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12,759,916.12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79.66</w:t>
            </w:r>
          </w:p>
        </w:tc>
      </w:tr>
    </w:tbl>
    <w:p>
      <w:pPr>
        <w:widowControl w:val="0"/>
        <w:spacing w:after="37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日止，预付款项中无预付持有本公司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）以上表决权股份的股东及其他关联单位款项。</w:t>
      </w:r>
      <w:r>
        <w:br w:type="page"/>
      </w:r>
    </w:p>
    <w:p>
      <w:pPr>
        <w:pStyle w:val="Style27"/>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5</w:t>
      </w:r>
      <w:bookmarkEnd w:id="1260"/>
      <w:r>
        <w:rPr>
          <w:color w:val="000000"/>
          <w:spacing w:val="0"/>
          <w:w w:val="100"/>
          <w:position w:val="0"/>
        </w:rPr>
        <w:t>、其他应收款</w:t>
      </w:r>
      <w:bookmarkEnd w:id="1258"/>
      <w:bookmarkEnd w:id="1259"/>
      <w:bookmarkEnd w:id="1261"/>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34,708,899.19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15,701,064.99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34,708,899.19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15,701,064.99</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62"/>
      <w:bookmarkEnd w:id="1263"/>
      <w:bookmarkEnd w:id="1265"/>
    </w:p>
    <w:p>
      <w:pPr>
        <w:pStyle w:val="Style27"/>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6" w:name="bookmark1266"/>
      <w:bookmarkStart w:id="1267" w:name="bookmark1267"/>
      <w:r>
        <w:rPr>
          <w:rFonts w:ascii="Times New Roman" w:eastAsia="Times New Roman" w:hAnsi="Times New Roman" w:cs="Times New Roman"/>
          <w:color w:val="000000"/>
          <w:spacing w:val="0"/>
          <w:w w:val="100"/>
          <w:position w:val="0"/>
        </w:rPr>
        <w:t>1</w:t>
      </w:r>
      <w:bookmarkEnd w:id="1266"/>
      <w:r>
        <w:rPr>
          <w:color w:val="000000"/>
          <w:spacing w:val="0"/>
          <w:w w:val="100"/>
          <w:position w:val="0"/>
        </w:rPr>
        <w:t>）其他应收款按款项性质分类情况</w:t>
      </w:r>
      <w:bookmarkEnd w:id="1262"/>
      <w:bookmarkEnd w:id="1263"/>
      <w:bookmarkEnd w:id="1267"/>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21,171,710.98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10,571,115.68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社保及公积金个人部分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104,925.67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103,056.47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7,065,917.01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4,806,734.67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净额法确认收入下的代收代付款项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9,150,943.30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831,304.36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2,345,252.58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38,324,801.32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17,826,159.40</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color w:val="000000"/>
          <w:spacing w:val="0"/>
          <w:w w:val="100"/>
          <w:position w:val="0"/>
        </w:rPr>
        <w:t>）坏账准备计提情况</w:t>
      </w:r>
      <w:bookmarkEnd w:id="1268"/>
      <w:bookmarkEnd w:id="1269"/>
      <w:bookmarkEnd w:id="1271"/>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2,125,094.41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2,125,094.41</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1,490,807.72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1,490,807.72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3,615,902.13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3,615,902.13</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30,624,654.15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4,295,390.09</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1,782,665.58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1,622,091.50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805,141.50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495,950.00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38,324,801.32</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3</w:t>
      </w:r>
      <w:bookmarkEnd w:id="1274"/>
      <w:r>
        <w:rPr>
          <w:color w:val="000000"/>
          <w:spacing w:val="0"/>
          <w:w w:val="100"/>
          <w:position w:val="0"/>
        </w:rPr>
        <w:t>）本期计提、收回或转回的坏账准备情况</w:t>
      </w:r>
      <w:bookmarkEnd w:id="1272"/>
      <w:bookmarkEnd w:id="1273"/>
      <w:bookmarkEnd w:id="1275"/>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按账龄分析法计 提预期信用损失 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2,125,094.41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1,490,807.72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3,615,902.13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2,125,094.41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1,490,807.72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3,615,902.13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4</w:t>
      </w:r>
      <w:bookmarkEnd w:id="1278"/>
      <w:r>
        <w:rPr>
          <w:color w:val="000000"/>
          <w:spacing w:val="0"/>
          <w:w w:val="100"/>
          <w:position w:val="0"/>
        </w:rPr>
        <w:t>）按欠款方归集的期末余额前五名的其他应收款情况</w:t>
      </w:r>
      <w:bookmarkEnd w:id="1276"/>
      <w:bookmarkEnd w:id="1277"/>
      <w:bookmarkEnd w:id="127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8,693,396.13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457,547.17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1,803,100.00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1,031,381.19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54,283.22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1,013,650.00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13,681,527.32</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720,080.39</w:t>
            </w:r>
          </w:p>
        </w:tc>
      </w:tr>
    </w:tbl>
    <w:p>
      <w:pPr>
        <w:widowControl w:val="0"/>
        <w:spacing w:after="319" w:line="1" w:lineRule="exact"/>
      </w:pPr>
    </w:p>
    <w:p>
      <w:pPr>
        <w:pStyle w:val="Style27"/>
        <w:keepNext/>
        <w:keepLines/>
        <w:widowControl w:val="0"/>
        <w:shd w:val="clear" w:color="auto" w:fill="auto"/>
        <w:bidi w:val="0"/>
        <w:spacing w:before="0" w:after="22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6</w:t>
      </w:r>
      <w:bookmarkEnd w:id="1282"/>
      <w:r>
        <w:rPr>
          <w:color w:val="000000"/>
          <w:spacing w:val="0"/>
          <w:w w:val="100"/>
          <w:position w:val="0"/>
        </w:rPr>
        <w:t>、存货</w:t>
      </w:r>
      <w:bookmarkEnd w:id="1280"/>
      <w:bookmarkEnd w:id="1281"/>
      <w:bookmarkEnd w:id="1283"/>
    </w:p>
    <w:p>
      <w:pPr>
        <w:pStyle w:val="Style16"/>
        <w:keepNext w:val="0"/>
        <w:keepLines w:val="0"/>
        <w:widowControl w:val="0"/>
        <w:shd w:val="clear" w:color="auto" w:fill="auto"/>
        <w:bidi w:val="0"/>
        <w:spacing w:before="0" w:after="280" w:line="360" w:lineRule="exact"/>
        <w:ind w:left="0" w:right="0" w:firstLine="0"/>
        <w:jc w:val="left"/>
      </w:pPr>
      <w:r>
        <w:rPr>
          <w:color w:val="000000"/>
          <w:spacing w:val="0"/>
          <w:w w:val="100"/>
          <w:position w:val="0"/>
        </w:rPr>
        <w:t>公司是否需要遵守房地产行业的披露要求 否</w:t>
      </w:r>
      <w:r>
        <w:br w:type="page"/>
      </w:r>
    </w:p>
    <w:p>
      <w:pPr>
        <w:pStyle w:val="Style27"/>
        <w:keepNext/>
        <w:keepLines/>
        <w:widowControl w:val="0"/>
        <w:shd w:val="clear" w:color="auto" w:fill="auto"/>
        <w:bidi w:val="0"/>
        <w:spacing w:before="0" w:after="340" w:line="240" w:lineRule="auto"/>
        <w:ind w:left="0" w:right="0" w:firstLine="0"/>
        <w:jc w:val="both"/>
      </w:pPr>
      <w:bookmarkStart w:id="1284" w:name="bookmark1284"/>
      <w:bookmarkStart w:id="1285" w:name="bookmark1285"/>
      <w:bookmarkStart w:id="1286" w:name="bookmark12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84"/>
      <w:bookmarkEnd w:id="1285"/>
      <w:bookmarkEnd w:id="128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81"/>
        <w:gridCol w:w="1704"/>
        <w:gridCol w:w="1214"/>
        <w:gridCol w:w="1195"/>
        <w:gridCol w:w="1699"/>
        <w:gridCol w:w="1219"/>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存货跌价准备或合同 履约成本减值准备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存货跌价准备或合同 履约成本减值准备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278,580,400.89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450,486.35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278,129,914.54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217,627,911.56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908,334.65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216,719,576.91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278,580,400.89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450,486.35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278,129,914.54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217,756,111.56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908,334.65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216,847,776.91</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both"/>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87"/>
      <w:bookmarkEnd w:id="1288"/>
      <w:bookmarkEnd w:id="129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908,334.65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450,486.35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908,334.65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450,486.35</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908,334.65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450,486.35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908,334.65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450,486.35</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both"/>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7</w:t>
      </w:r>
      <w:bookmarkEnd w:id="1293"/>
      <w:r>
        <w:rPr>
          <w:color w:val="000000"/>
          <w:spacing w:val="0"/>
          <w:w w:val="100"/>
          <w:position w:val="0"/>
        </w:rPr>
        <w:t>、合同资产</w:t>
      </w:r>
      <w:bookmarkEnd w:id="1291"/>
      <w:bookmarkEnd w:id="1292"/>
      <w:bookmarkEnd w:id="1294"/>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金融类客户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130,221,105.27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6,210,583.82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124,010,521.45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121,438,539.58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6,845,778.47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114,592,761.11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非金融类客户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6,802,395.00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1,132,030.85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5,670,364.15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11,039,883.60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1,046,689.18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9,993,194.42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137,023,500.27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7,342,614.67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129,680,885.60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132,478,423.18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7,892,467.65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124,585,955.53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1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549,852.98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549,852.98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6"/>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日止，合同资产余额中应收关联方款项余额详见附注十二、（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br w:type="page"/>
      </w:r>
    </w:p>
    <w:p>
      <w:pPr>
        <w:pStyle w:val="Style27"/>
        <w:keepNext/>
        <w:keepLines/>
        <w:widowControl w:val="0"/>
        <w:shd w:val="clear" w:color="auto" w:fill="auto"/>
        <w:bidi w:val="0"/>
        <w:spacing w:before="0" w:line="240" w:lineRule="auto"/>
        <w:ind w:left="0" w:right="0" w:firstLine="0"/>
        <w:jc w:val="both"/>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8</w:t>
      </w:r>
      <w:bookmarkEnd w:id="1297"/>
      <w:r>
        <w:rPr>
          <w:color w:val="000000"/>
          <w:spacing w:val="0"/>
          <w:w w:val="100"/>
          <w:position w:val="0"/>
        </w:rPr>
        <w:t>、其他流动资产</w:t>
      </w:r>
      <w:bookmarkEnd w:id="1295"/>
      <w:bookmarkEnd w:id="1296"/>
      <w:bookmarkEnd w:id="1298"/>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待认证增值税进项税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5,308,424.21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5,888,205.03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5,308,424.21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5,888,205.03</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9</w:t>
      </w:r>
      <w:bookmarkEnd w:id="1301"/>
      <w:r>
        <w:rPr>
          <w:color w:val="000000"/>
          <w:spacing w:val="0"/>
          <w:w w:val="100"/>
          <w:position w:val="0"/>
        </w:rPr>
        <w:t>、长期股权投资</w:t>
      </w:r>
      <w:bookmarkEnd w:id="1299"/>
      <w:bookmarkEnd w:id="1300"/>
      <w:bookmarkEnd w:id="130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北京德惠 众合信息 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11,451,66</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99,038.02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11,550,70</w:t>
            </w:r>
          </w:p>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北京和顺</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恒通科技</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44,204,60</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-1,201,77</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43,002,82</w:t>
            </w:r>
          </w:p>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北京金实</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宏成技术</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-1,317,70</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13,682,29</w:t>
            </w:r>
          </w:p>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11,451,66</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59,204,60</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-2,420,43</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68,235,82</w:t>
            </w:r>
          </w:p>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11,451,66</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59,204,60</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-2,420,43</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68,235,82</w:t>
            </w:r>
          </w:p>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1</w:t>
      </w:r>
      <w:bookmarkEnd w:id="1305"/>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303"/>
      <w:bookmarkEnd w:id="1304"/>
      <w:bookmarkEnd w:id="1306"/>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非交易性权益工具投资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25,685,032.00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25,685,032.00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22,000,000.00</w:t>
            </w:r>
          </w:p>
        </w:tc>
      </w:tr>
    </w:tbl>
    <w:p>
      <w:pPr>
        <w:spacing w:lineRule="exact" w:line="1"/>
        <w:rPr>
          <w:sz w:val="2"/>
          <w:szCs w:val="2"/>
        </w:rPr>
      </w:pPr>
      <w:r>
        <w:br w:type="page"/>
      </w:r>
    </w:p>
    <w:p>
      <w:pPr>
        <w:pStyle w:val="Style1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分项披露本期非交易性权益工具投资</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421"/>
        <w:gridCol w:w="850"/>
        <w:gridCol w:w="931"/>
        <w:gridCol w:w="1195"/>
        <w:gridCol w:w="1699"/>
        <w:gridCol w:w="1219"/>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指定为以公允价值计</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量且其变动计入其他</w:t>
            </w:r>
          </w:p>
          <w:p>
            <w:pPr>
              <w:pStyle w:val="Style18"/>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综合收益的原因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转入留存收益</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北京艾秀信安科技有限公司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北京技德系统技术有限公司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航天信德智图（北京）科技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长期持有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bookmarkEnd w:id="1309"/>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07"/>
      <w:bookmarkEnd w:id="1308"/>
      <w:bookmarkEnd w:id="1310"/>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122,390,312.31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105,093,189.47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122,390,312.31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105,093,189.47</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both"/>
      </w:pPr>
      <w:bookmarkStart w:id="1311" w:name="bookmark1311"/>
      <w:bookmarkStart w:id="1312" w:name="bookmark1312"/>
      <w:bookmarkStart w:id="1313" w:name="bookmark13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11"/>
      <w:bookmarkEnd w:id="1312"/>
      <w:bookmarkEnd w:id="131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114,530,471.87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461,997.44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3,639,020.32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118,631,489.63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25,415,157.75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25,415,157.75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25,415,157.75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25,415,157.75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114,530,471.87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461,997.44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29,054,178.07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144,046,647.38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10,846,164.52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263,338.56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2,428,797.08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13,538,300.16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3,703,382.88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87,779.52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4,326,872.51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8,118,034.91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3,703,382.88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87,779.52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4,326,872.51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8,118,034.91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14,549,547.40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351,118.08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6,755,669.59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21,656,335.07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99,980,924.47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110,879.36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22,298,508.48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122,390,312.31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103,684,307.35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198,658.88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1,210,223.24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105,093,189.47</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314" w:name="bookmark1314"/>
      <w:bookmarkStart w:id="1315" w:name="bookmark1315"/>
      <w:bookmarkStart w:id="1316" w:name="bookmark13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314"/>
      <w:bookmarkEnd w:id="1315"/>
      <w:bookmarkEnd w:id="131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日止，本公司固定资产抵押情况详见附注七、注释</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以及附注七、注释</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p>
    <w:p>
      <w:pPr>
        <w:pStyle w:val="Style16"/>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日止，本公司不存在通过融资租赁租入的固定资产；</w:t>
      </w:r>
    </w:p>
    <w:p>
      <w:pPr>
        <w:pStyle w:val="Style16"/>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日止，本公司固定资产不存在减值情况；</w:t>
      </w:r>
    </w:p>
    <w:p>
      <w:pPr>
        <w:pStyle w:val="Style16"/>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日止，本公司不存在固定资产清理的情况。</w:t>
      </w:r>
    </w:p>
    <w:p>
      <w:pPr>
        <w:pStyle w:val="Style27"/>
        <w:keepNext/>
        <w:keepLines/>
        <w:widowControl w:val="0"/>
        <w:shd w:val="clear" w:color="auto" w:fill="auto"/>
        <w:bidi w:val="0"/>
        <w:spacing w:before="0" w:line="240" w:lineRule="auto"/>
        <w:ind w:left="0" w:right="0" w:firstLine="0"/>
        <w:jc w:val="both"/>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1</w:t>
      </w:r>
      <w:bookmarkEnd w:id="1319"/>
      <w:r>
        <w:rPr>
          <w:rFonts w:ascii="Times New Roman" w:eastAsia="Times New Roman" w:hAnsi="Times New Roman" w:cs="Times New Roman"/>
          <w:color w:val="000000"/>
          <w:spacing w:val="0"/>
          <w:w w:val="100"/>
          <w:position w:val="0"/>
        </w:rPr>
        <w:t>2</w:t>
      </w:r>
      <w:r>
        <w:rPr>
          <w:color w:val="000000"/>
          <w:spacing w:val="0"/>
          <w:w w:val="100"/>
          <w:position w:val="0"/>
        </w:rPr>
        <w:t>、使用权资产</w:t>
      </w:r>
      <w:bookmarkEnd w:id="1317"/>
      <w:bookmarkEnd w:id="1318"/>
      <w:bookmarkEnd w:id="132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12,499,894.43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12,499,894.43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3,174,282.04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3,174,282.04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3,174,282.04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3,174,282.04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15,674,176.47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15,674,176.47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4,214,937.05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4,214,937.05</w:t>
            </w: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4,214,937.05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4,214,937.05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4,214,937.05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4,214,937.05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11,459,239.42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11,459,239.42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12,499,894.43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12,499,894.43</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w:t>
      </w:r>
      <w:bookmarkEnd w:id="1323"/>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321"/>
      <w:bookmarkEnd w:id="1322"/>
      <w:bookmarkEnd w:id="1324"/>
    </w:p>
    <w:p>
      <w:pPr>
        <w:pStyle w:val="Style27"/>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5" w:name="bookmark13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21"/>
      <w:bookmarkEnd w:id="1322"/>
      <w:bookmarkEnd w:id="132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133"/>
        <w:gridCol w:w="1133"/>
        <w:gridCol w:w="1075"/>
        <w:gridCol w:w="1368"/>
        <w:gridCol w:w="1368"/>
        <w:gridCol w:w="137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软件著作权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839,115.07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839,115.07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839,115.07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839,115.07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839,115.07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6,339,115.07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5,475,038.00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5,475,038.00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97,298.92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122,260.92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24,962.00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97,298.92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122,260.92</w:t>
            </w:r>
          </w:p>
        </w:tc>
      </w:tr>
    </w:tbl>
    <w:p>
      <w:pPr>
        <w:widowControl w:val="0"/>
        <w:spacing w:line="1" w:lineRule="exact"/>
      </w:pPr>
      <w:r>
        <w:br w:type="page"/>
      </w:r>
    </w:p>
    <w:tbl>
      <w:tblPr>
        <w:tblOverlap w:val="never"/>
        <w:jc w:val="center"/>
        <w:tblLayout w:type="fixed"/>
      </w:tblPr>
      <w:tblGrid>
        <w:gridCol w:w="2136"/>
        <w:gridCol w:w="1133"/>
        <w:gridCol w:w="1133"/>
        <w:gridCol w:w="1075"/>
        <w:gridCol w:w="1368"/>
        <w:gridCol w:w="1368"/>
        <w:gridCol w:w="137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软件著作权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97,298.92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5,597,298.92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741,816.15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741,816.15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24,962.00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326" w:name="bookmark1326"/>
      <w:bookmarkStart w:id="1327" w:name="bookmark1327"/>
      <w:bookmarkStart w:id="1328" w:name="bookmark13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26"/>
      <w:bookmarkEnd w:id="1327"/>
      <w:bookmarkEnd w:id="1328"/>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42"/>
        <w:keepNext w:val="0"/>
        <w:keepLines w:val="0"/>
        <w:widowControl w:val="0"/>
        <w:shd w:val="clear" w:color="auto" w:fill="auto"/>
        <w:bidi w:val="0"/>
        <w:spacing w:before="0" w:after="8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日止，本公司不存在无形资产未办妥产权证书的情况;</w:t>
      </w:r>
    </w:p>
    <w:p>
      <w:pPr>
        <w:pStyle w:val="Style42"/>
        <w:keepNext w:val="0"/>
        <w:keepLines w:val="0"/>
        <w:widowControl w:val="0"/>
        <w:shd w:val="clear" w:color="auto" w:fill="auto"/>
        <w:bidi w:val="0"/>
        <w:spacing w:before="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日止，本公司不存在无形资产抵押或担保的情况。</w:t>
      </w:r>
    </w:p>
    <w:p>
      <w:pPr>
        <w:pStyle w:val="Style27"/>
        <w:keepNext/>
        <w:keepLines/>
        <w:widowControl w:val="0"/>
        <w:shd w:val="clear" w:color="auto" w:fill="auto"/>
        <w:bidi w:val="0"/>
        <w:spacing w:before="0" w:after="36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bookmarkEnd w:id="1331"/>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329"/>
      <w:bookmarkEnd w:id="1330"/>
      <w:bookmarkEnd w:id="133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850"/>
        <w:gridCol w:w="1277"/>
        <w:gridCol w:w="1133"/>
        <w:gridCol w:w="638"/>
        <w:gridCol w:w="1066"/>
        <w:gridCol w:w="1061"/>
        <w:gridCol w:w="638"/>
        <w:gridCol w:w="149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确认为无形</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开放式信用卡业 务核心系统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6,181,688.14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6,181,688.14</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数字化风控应用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6,038,000.68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6,038,000.68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大数据综合营销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6,565,250.38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6,565,250.38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18,784,939.20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18,784,939.20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333"/>
      <w:bookmarkEnd w:id="1334"/>
      <w:bookmarkEnd w:id="1335"/>
    </w:p>
    <w:p>
      <w:pPr>
        <w:pStyle w:val="Style27"/>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6" w:name="bookmark13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33"/>
      <w:bookmarkEnd w:id="1334"/>
      <w:bookmarkEnd w:id="133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426"/>
        <w:gridCol w:w="1416"/>
        <w:gridCol w:w="994"/>
        <w:gridCol w:w="1306"/>
        <w:gridCol w:w="1368"/>
        <w:gridCol w:w="1373"/>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被投资单位名称或形 成商誉的事项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北京银恒通电子科技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15,779,794.49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15,779,794.49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北京鼎信天威科技有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3,077,534.82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3,077,534.82</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北京卡洛其咨询有限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104,597,073.39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104,597,073.39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123,454,402.70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123,454,402.70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337" w:name="bookmark1337"/>
      <w:bookmarkStart w:id="1338" w:name="bookmark1338"/>
      <w:bookmarkStart w:id="1339" w:name="bookmark13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37"/>
      <w:bookmarkEnd w:id="1338"/>
      <w:bookmarkEnd w:id="133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037"/>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 成商誉的事项</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北京银恒通电子科技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北京鼎信天威科技有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北京卡洛其咨询有限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公司从能产生独立现金流入的角度，并考虑管理层管理生产经营活动的方式和对资产的持续使用或者处置的决策方式 等来划分资产组。公司委托的开元资产评估有限公司评估时确定的资产组为各被投资单位与经营直接相关的长期资产，包括 固定资产、无形资产等，与形成商誉时的受益资产范围一致。</w:t>
      </w:r>
    </w:p>
    <w:p>
      <w:pPr>
        <w:pStyle w:val="Style16"/>
        <w:keepNext w:val="0"/>
        <w:keepLines w:val="0"/>
        <w:widowControl w:val="0"/>
        <w:shd w:val="clear" w:color="auto" w:fill="auto"/>
        <w:bidi w:val="0"/>
        <w:spacing w:before="0" w:after="0" w:line="30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公司委托开元资产评估有限公司对商誉所在资产组进行评估，并在此基础上进行减值测试。开元资产评估有限公司对 商誉所在资产组的评估基于未来现金流量的现值，采用收益法进行评估，收益预测期采用明确预测期和永续期两个阶段进行 预测。开元资产评估有限公司评估测试过程所采用的基本信息、经验数据及外部信息与形成商誉时未发生重大变化。</w:t>
      </w:r>
    </w:p>
    <w:p>
      <w:pPr>
        <w:pStyle w:val="Style16"/>
        <w:keepNext w:val="0"/>
        <w:keepLines w:val="0"/>
        <w:widowControl w:val="0"/>
        <w:shd w:val="clear" w:color="auto" w:fill="auto"/>
        <w:bidi w:val="0"/>
        <w:spacing w:before="0" w:after="0" w:line="322" w:lineRule="exact"/>
        <w:ind w:left="0" w:right="0" w:firstLine="0"/>
        <w:jc w:val="both"/>
      </w:pPr>
      <w:r>
        <w:rPr>
          <w:color w:val="000000"/>
          <w:spacing w:val="0"/>
          <w:w w:val="100"/>
          <w:position w:val="0"/>
        </w:rPr>
        <w:t>商誉减值测试的影响</w:t>
      </w:r>
    </w:p>
    <w:p>
      <w:pPr>
        <w:pStyle w:val="Style16"/>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开元资产评估有限公司以开元评报字</w:t>
      </w:r>
      <w:r>
        <w:rPr>
          <w:rFonts w:ascii="Times New Roman" w:eastAsia="Times New Roman" w:hAnsi="Times New Roman" w:cs="Times New Roman"/>
          <w:color w:val="000000"/>
          <w:spacing w:val="0"/>
          <w:w w:val="100"/>
          <w:position w:val="0"/>
          <w:sz w:val="18"/>
          <w:szCs w:val="18"/>
        </w:rPr>
        <w:t>[2022]0317</w:t>
      </w:r>
      <w:r>
        <w:rPr>
          <w:color w:val="000000"/>
          <w:spacing w:val="0"/>
          <w:w w:val="100"/>
          <w:position w:val="0"/>
        </w:rPr>
        <w:t>号对北京银恒通电子科技有限公司资产组在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日的未来现 金流量的现值进行了评估确认，评估结果</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万元高于资产组账面价值及对应商誉</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,672.45</w:t>
      </w:r>
      <w:r>
        <w:rPr>
          <w:color w:val="000000"/>
          <w:spacing w:val="0"/>
          <w:w w:val="100"/>
          <w:position w:val="0"/>
        </w:rPr>
        <w:t>万元，因此北京银恒通电子科 技有限公司商誉无需计提减值准备。</w:t>
      </w:r>
    </w:p>
    <w:p>
      <w:pPr>
        <w:pStyle w:val="Style16"/>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开元资产评估有限公司以开元评报字</w:t>
      </w:r>
      <w:r>
        <w:rPr>
          <w:rFonts w:ascii="Times New Roman" w:eastAsia="Times New Roman" w:hAnsi="Times New Roman" w:cs="Times New Roman"/>
          <w:color w:val="000000"/>
          <w:spacing w:val="0"/>
          <w:w w:val="100"/>
          <w:position w:val="0"/>
          <w:sz w:val="18"/>
          <w:szCs w:val="18"/>
        </w:rPr>
        <w:t>[2022]0316</w:t>
      </w:r>
      <w:r>
        <w:rPr>
          <w:color w:val="000000"/>
          <w:spacing w:val="0"/>
          <w:w w:val="100"/>
          <w:position w:val="0"/>
        </w:rPr>
        <w:t>号对北京鼎信天威科技有限公司资产组在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日的未来现金 流量的现值进行了评估确认，评估结果</w:t>
      </w:r>
      <w:r>
        <w:rPr>
          <w:rFonts w:ascii="Times New Roman" w:eastAsia="Times New Roman" w:hAnsi="Times New Roman" w:cs="Times New Roman"/>
          <w:color w:val="000000"/>
          <w:spacing w:val="0"/>
          <w:w w:val="100"/>
          <w:position w:val="0"/>
          <w:sz w:val="18"/>
          <w:szCs w:val="18"/>
        </w:rPr>
        <w:t>2,510.00</w:t>
      </w:r>
      <w:r>
        <w:rPr>
          <w:color w:val="000000"/>
          <w:spacing w:val="0"/>
          <w:w w:val="100"/>
          <w:position w:val="0"/>
        </w:rPr>
        <w:t>万元高于资产组账面价值及对应商誉</w:t>
      </w:r>
      <w:r>
        <w:rPr>
          <w:rFonts w:ascii="Times New Roman" w:eastAsia="Times New Roman" w:hAnsi="Times New Roman" w:cs="Times New Roman"/>
          <w:color w:val="000000"/>
          <w:spacing w:val="0"/>
          <w:w w:val="100"/>
          <w:position w:val="0"/>
          <w:sz w:val="18"/>
          <w:szCs w:val="18"/>
        </w:rPr>
        <w:t>603.75</w:t>
      </w:r>
      <w:r>
        <w:rPr>
          <w:color w:val="000000"/>
          <w:spacing w:val="0"/>
          <w:w w:val="100"/>
          <w:position w:val="0"/>
        </w:rPr>
        <w:t>万元（北京鼎信天威科技有限公 司商誉按收购时产生的商誉</w:t>
      </w:r>
      <w:r>
        <w:rPr>
          <w:rFonts w:ascii="Times New Roman" w:eastAsia="Times New Roman" w:hAnsi="Times New Roman" w:cs="Times New Roman"/>
          <w:color w:val="000000"/>
          <w:spacing w:val="0"/>
          <w:w w:val="100"/>
          <w:position w:val="0"/>
          <w:sz w:val="18"/>
          <w:szCs w:val="18"/>
        </w:rPr>
        <w:t>307.75</w:t>
      </w:r>
      <w:r>
        <w:rPr>
          <w:color w:val="000000"/>
          <w:spacing w:val="0"/>
          <w:w w:val="100"/>
          <w:position w:val="0"/>
        </w:rPr>
        <w:t>万元以及收购时的收购比例</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进行还原），因此北京鼎信天威科技有限公司商誉无需计 提减值准备。</w:t>
      </w:r>
    </w:p>
    <w:p>
      <w:pPr>
        <w:pStyle w:val="Style16"/>
        <w:keepNext w:val="0"/>
        <w:keepLines w:val="0"/>
        <w:widowControl w:val="0"/>
        <w:shd w:val="clear" w:color="auto" w:fill="auto"/>
        <w:bidi w:val="0"/>
        <w:spacing w:before="0" w:after="360" w:line="316" w:lineRule="exact"/>
        <w:ind w:left="0" w:right="0" w:firstLine="440"/>
        <w:jc w:val="both"/>
      </w:pPr>
      <w:r>
        <w:rPr>
          <w:color w:val="000000"/>
          <w:spacing w:val="0"/>
          <w:w w:val="100"/>
          <w:position w:val="0"/>
        </w:rPr>
        <w:t>开元资产评估有限公司以开元评报字</w:t>
      </w:r>
      <w:r>
        <w:rPr>
          <w:rFonts w:ascii="Times New Roman" w:eastAsia="Times New Roman" w:hAnsi="Times New Roman" w:cs="Times New Roman"/>
          <w:color w:val="000000"/>
          <w:spacing w:val="0"/>
          <w:w w:val="100"/>
          <w:position w:val="0"/>
          <w:sz w:val="18"/>
          <w:szCs w:val="18"/>
        </w:rPr>
        <w:t>[2022]0134</w:t>
      </w:r>
      <w:r>
        <w:rPr>
          <w:color w:val="000000"/>
          <w:spacing w:val="0"/>
          <w:w w:val="100"/>
          <w:position w:val="0"/>
        </w:rPr>
        <w:t>号对北京卡洛其咨询有限公司资产组在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日的未来现金流 量的现值进行了评估确认，评估结果</w:t>
      </w:r>
      <w:r>
        <w:rPr>
          <w:rFonts w:ascii="Times New Roman" w:eastAsia="Times New Roman" w:hAnsi="Times New Roman" w:cs="Times New Roman"/>
          <w:color w:val="000000"/>
          <w:spacing w:val="0"/>
          <w:w w:val="100"/>
          <w:position w:val="0"/>
          <w:sz w:val="18"/>
          <w:szCs w:val="18"/>
        </w:rPr>
        <w:t>11,600.00</w:t>
      </w:r>
      <w:r>
        <w:rPr>
          <w:color w:val="000000"/>
          <w:spacing w:val="0"/>
          <w:w w:val="100"/>
          <w:position w:val="0"/>
        </w:rPr>
        <w:t>万元高于资产组账面价值及对应商誉</w:t>
      </w:r>
      <w:r>
        <w:rPr>
          <w:rFonts w:ascii="Times New Roman" w:eastAsia="Times New Roman" w:hAnsi="Times New Roman" w:cs="Times New Roman"/>
          <w:color w:val="000000"/>
          <w:spacing w:val="0"/>
          <w:w w:val="100"/>
          <w:position w:val="0"/>
          <w:sz w:val="18"/>
          <w:szCs w:val="18"/>
        </w:rPr>
        <w:t>10,460.48</w:t>
      </w:r>
      <w:r>
        <w:rPr>
          <w:color w:val="000000"/>
          <w:spacing w:val="0"/>
          <w:w w:val="100"/>
          <w:position w:val="0"/>
        </w:rPr>
        <w:t>万元，因此北京卡洛其咨询有限 公司商誉无需计提减值准备。</w:t>
      </w:r>
    </w:p>
    <w:p>
      <w:pPr>
        <w:pStyle w:val="Style16"/>
        <w:keepNext w:val="0"/>
        <w:keepLines w:val="0"/>
        <w:widowControl w:val="0"/>
        <w:shd w:val="clear" w:color="auto" w:fill="auto"/>
        <w:bidi w:val="0"/>
        <w:spacing w:before="0" w:after="0" w:line="316" w:lineRule="exact"/>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购买北京银恒通电子科技有限公司股权时其原股东未作出业绩承诺；购买北京鼎信天威科技有限公司时其原股东作出 的业绩承诺已完成；购买北京卡洛其咨询有限公司股权时其原股东作出的业绩承诺已完成。业绩承诺对减值测试未产生不利 影响。</w:t>
      </w:r>
    </w:p>
    <w:p>
      <w:pPr>
        <w:pStyle w:val="Style27"/>
        <w:keepNext/>
        <w:keepLines/>
        <w:widowControl w:val="0"/>
        <w:shd w:val="clear" w:color="auto" w:fill="auto"/>
        <w:bidi w:val="0"/>
        <w:spacing w:before="0" w:after="36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1</w:t>
      </w:r>
      <w:bookmarkEnd w:id="1342"/>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340"/>
      <w:bookmarkEnd w:id="1341"/>
      <w:bookmarkEnd w:id="134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房屋装修改造费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3,057,163.70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3,670,042.33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1,509,163.65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5,218,042.38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机房改造费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48,357.42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34,204.02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3,105,521.12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3,670,042.33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1,523,317.05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5,252,246.40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1</w:t>
      </w:r>
      <w:bookmarkEnd w:id="1346"/>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44"/>
      <w:bookmarkEnd w:id="1345"/>
      <w:bookmarkEnd w:id="1347"/>
    </w:p>
    <w:p>
      <w:pPr>
        <w:pStyle w:val="Style27"/>
        <w:keepNext/>
        <w:keepLines/>
        <w:widowControl w:val="0"/>
        <w:shd w:val="clear" w:color="auto" w:fill="auto"/>
        <w:bidi w:val="0"/>
        <w:spacing w:before="0" w:after="360" w:line="240" w:lineRule="auto"/>
        <w:ind w:left="0" w:right="0" w:firstLine="0"/>
        <w:jc w:val="left"/>
      </w:pPr>
      <w:bookmarkStart w:id="1344" w:name="bookmark1344"/>
      <w:bookmarkStart w:id="1345" w:name="bookmark1345"/>
      <w:bookmarkStart w:id="1348" w:name="bookmark13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44"/>
      <w:bookmarkEnd w:id="1345"/>
      <w:bookmarkEnd w:id="134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122,503,510.33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12,603,440.40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101,624,430.87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10,542,386.59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2,683,675.66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670,918.91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4,963,940.94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744,591.14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40,369,326.25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3,633,239.36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165,556,512.24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16,907,598.67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106,588,371.81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11,286,977.73</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349" w:name="bookmark1349"/>
      <w:bookmarkStart w:id="1350" w:name="bookmark1350"/>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349"/>
      <w:bookmarkEnd w:id="1350"/>
      <w:bookmarkEnd w:id="135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16,907,598.67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11,286,977.73</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）未确认递延所得税资产明细</w:t>
      </w:r>
      <w:bookmarkEnd w:id="1352"/>
      <w:bookmarkEnd w:id="1353"/>
      <w:bookmarkEnd w:id="1355"/>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9,017,620.33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12,132,949.12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234,402.29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9,252,022.62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12,342,449.12</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）未确认递延所得税资产的可抵扣亏损将于以下年度到期</w:t>
      </w:r>
      <w:bookmarkEnd w:id="1356"/>
      <w:bookmarkEnd w:id="1357"/>
      <w:bookmarkEnd w:id="1359"/>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3,282,201.38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1,468,462.69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1,475,743.69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4,128,422.44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4,906,617.16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138,533.82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922,948.00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4,827,640.27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9,017,620.33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12,132,949.12</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1</w:t>
      </w:r>
      <w:bookmarkEnd w:id="1362"/>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360"/>
      <w:bookmarkEnd w:id="1361"/>
      <w:bookmarkEnd w:id="1363"/>
    </w:p>
    <w:p>
      <w:pPr>
        <w:pStyle w:val="Style27"/>
        <w:keepNext/>
        <w:keepLines/>
        <w:widowControl w:val="0"/>
        <w:shd w:val="clear" w:color="auto" w:fill="auto"/>
        <w:bidi w:val="0"/>
        <w:spacing w:before="0" w:line="240" w:lineRule="auto"/>
        <w:ind w:left="0" w:right="0" w:firstLine="0"/>
        <w:jc w:val="both"/>
      </w:pPr>
      <w:bookmarkStart w:id="1360" w:name="bookmark1360"/>
      <w:bookmarkStart w:id="1361" w:name="bookmark1361"/>
      <w:bookmarkStart w:id="1364" w:name="bookmark13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60"/>
      <w:bookmarkEnd w:id="1361"/>
      <w:bookmarkEnd w:id="1364"/>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218,000,000.00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338,000,000.00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252,900,000.00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1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）本公司与上海浦东发展银行股份有限公司拉萨分行于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日签订了编号为</w:t>
      </w:r>
      <w:r>
        <w:rPr>
          <w:rFonts w:ascii="Times New Roman" w:eastAsia="Times New Roman" w:hAnsi="Times New Roman" w:cs="Times New Roman"/>
          <w:color w:val="000000"/>
          <w:spacing w:val="0"/>
          <w:w w:val="100"/>
          <w:position w:val="0"/>
          <w:sz w:val="18"/>
          <w:szCs w:val="18"/>
        </w:rPr>
        <w:t>32012021280026</w:t>
      </w:r>
      <w:r>
        <w:rPr>
          <w:color w:val="000000"/>
          <w:spacing w:val="0"/>
          <w:w w:val="100"/>
          <w:position w:val="0"/>
        </w:rPr>
        <w:t xml:space="preserve">号流动资金借款 </w:t>
      </w:r>
      <w:r>
        <w:rPr>
          <w:rStyle w:val="CharStyle47"/>
          <w:rFonts w:ascii="SimSun" w:eastAsia="SimSun" w:hAnsi="SimSun" w:cs="SimSun"/>
          <w:sz w:val="17"/>
          <w:szCs w:val="17"/>
        </w:rPr>
        <w:t>合同，借款金额</w:t>
      </w:r>
      <w:r>
        <w:rPr>
          <w:rStyle w:val="CharStyle47"/>
        </w:rPr>
        <w:t>63,000,000.00</w:t>
      </w:r>
      <w:r>
        <w:rPr>
          <w:rStyle w:val="CharStyle47"/>
          <w:rFonts w:ascii="SimSun" w:eastAsia="SimSun" w:hAnsi="SimSun" w:cs="SimSun"/>
          <w:sz w:val="17"/>
          <w:szCs w:val="17"/>
        </w:rPr>
        <w:t>元，借款时间为</w:t>
      </w:r>
      <w:r>
        <w:rPr>
          <w:rStyle w:val="CharStyle47"/>
        </w:rPr>
        <w:t>2021</w:t>
      </w:r>
      <w:r>
        <w:rPr>
          <w:rStyle w:val="CharStyle47"/>
          <w:rFonts w:ascii="SimSun" w:eastAsia="SimSun" w:hAnsi="SimSun" w:cs="SimSun"/>
          <w:sz w:val="17"/>
          <w:szCs w:val="17"/>
        </w:rPr>
        <w:t>年</w:t>
      </w:r>
      <w:r>
        <w:rPr>
          <w:rStyle w:val="CharStyle47"/>
        </w:rPr>
        <w:t>5</w:t>
      </w:r>
      <w:r>
        <w:rPr>
          <w:rStyle w:val="CharStyle47"/>
          <w:rFonts w:ascii="SimSun" w:eastAsia="SimSun" w:hAnsi="SimSun" w:cs="SimSun"/>
          <w:sz w:val="17"/>
          <w:szCs w:val="17"/>
        </w:rPr>
        <w:t>月</w:t>
      </w:r>
      <w:r>
        <w:rPr>
          <w:rStyle w:val="CharStyle47"/>
        </w:rPr>
        <w:t>13</w:t>
      </w:r>
      <w:r>
        <w:rPr>
          <w:rStyle w:val="CharStyle47"/>
          <w:rFonts w:ascii="SimSun" w:eastAsia="SimSun" w:hAnsi="SimSun" w:cs="SimSun"/>
          <w:sz w:val="17"/>
          <w:szCs w:val="17"/>
        </w:rPr>
        <w:t>日至</w:t>
      </w:r>
      <w:r>
        <w:rPr>
          <w:rStyle w:val="CharStyle47"/>
        </w:rPr>
        <w:t>2022</w:t>
      </w:r>
      <w:r>
        <w:rPr>
          <w:rStyle w:val="CharStyle47"/>
          <w:rFonts w:ascii="SimSun" w:eastAsia="SimSun" w:hAnsi="SimSun" w:cs="SimSun"/>
          <w:sz w:val="17"/>
          <w:szCs w:val="17"/>
        </w:rPr>
        <w:t>年</w:t>
      </w:r>
      <w:r>
        <w:rPr>
          <w:rStyle w:val="CharStyle47"/>
        </w:rPr>
        <w:t>5</w:t>
      </w:r>
      <w:r>
        <w:rPr>
          <w:rStyle w:val="CharStyle47"/>
          <w:rFonts w:ascii="SimSun" w:eastAsia="SimSun" w:hAnsi="SimSun" w:cs="SimSun"/>
          <w:sz w:val="17"/>
          <w:szCs w:val="17"/>
        </w:rPr>
        <w:t>月</w:t>
      </w:r>
      <w:r>
        <w:rPr>
          <w:rStyle w:val="CharStyle47"/>
        </w:rPr>
        <w:t>12</w:t>
      </w:r>
      <w:r>
        <w:rPr>
          <w:rStyle w:val="CharStyle47"/>
          <w:rFonts w:ascii="SimSun" w:eastAsia="SimSun" w:hAnsi="SimSun" w:cs="SimSun"/>
          <w:sz w:val="17"/>
          <w:szCs w:val="17"/>
        </w:rPr>
        <w:t>日。</w:t>
      </w:r>
    </w:p>
    <w:p>
      <w:pPr>
        <w:pStyle w:val="Style16"/>
        <w:keepNext w:val="0"/>
        <w:keepLines w:val="0"/>
        <w:widowControl w:val="0"/>
        <w:shd w:val="clear" w:color="auto" w:fill="auto"/>
        <w:bidi w:val="0"/>
        <w:spacing w:before="0" w:after="220" w:line="312" w:lineRule="exact"/>
        <w:ind w:left="0" w:right="0" w:firstLine="360"/>
        <w:jc w:val="left"/>
      </w:pPr>
      <w:r>
        <w:rPr>
          <w:color w:val="000000"/>
          <w:spacing w:val="0"/>
          <w:w w:val="100"/>
          <w:position w:val="0"/>
        </w:rPr>
        <w:t>本公司与上海浦东发展银行股份有限公司拉萨分行于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日签订了编号为</w:t>
      </w:r>
      <w:r>
        <w:rPr>
          <w:rFonts w:ascii="Times New Roman" w:eastAsia="Times New Roman" w:hAnsi="Times New Roman" w:cs="Times New Roman"/>
          <w:color w:val="000000"/>
          <w:spacing w:val="0"/>
          <w:w w:val="100"/>
          <w:position w:val="0"/>
          <w:sz w:val="18"/>
          <w:szCs w:val="18"/>
        </w:rPr>
        <w:t>32012021280031</w:t>
      </w:r>
      <w:r>
        <w:rPr>
          <w:color w:val="000000"/>
          <w:spacing w:val="0"/>
          <w:w w:val="100"/>
          <w:position w:val="0"/>
        </w:rPr>
        <w:t>号流动资金借款合 同，借款金额</w:t>
      </w:r>
      <w:r>
        <w:rPr>
          <w:rFonts w:ascii="Times New Roman" w:eastAsia="Times New Roman" w:hAnsi="Times New Roman" w:cs="Times New Roman"/>
          <w:color w:val="000000"/>
          <w:spacing w:val="0"/>
          <w:w w:val="100"/>
          <w:position w:val="0"/>
          <w:sz w:val="18"/>
          <w:szCs w:val="18"/>
        </w:rPr>
        <w:t>63,000,000.00</w:t>
      </w:r>
      <w:r>
        <w:rPr>
          <w:color w:val="000000"/>
          <w:spacing w:val="0"/>
          <w:w w:val="100"/>
          <w:position w:val="0"/>
        </w:rPr>
        <w:t>元，借款时间为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本公司与上海浦东发展银行股份有限公司拉萨分行于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日签订了编号为</w:t>
      </w:r>
      <w:r>
        <w:rPr>
          <w:rFonts w:ascii="Times New Roman" w:eastAsia="Times New Roman" w:hAnsi="Times New Roman" w:cs="Times New Roman"/>
          <w:color w:val="000000"/>
          <w:spacing w:val="0"/>
          <w:w w:val="100"/>
          <w:position w:val="0"/>
          <w:sz w:val="18"/>
          <w:szCs w:val="18"/>
        </w:rPr>
        <w:t>32012021280038</w:t>
      </w:r>
      <w:r>
        <w:rPr>
          <w:color w:val="000000"/>
          <w:spacing w:val="0"/>
          <w:w w:val="100"/>
          <w:position w:val="0"/>
        </w:rPr>
        <w:t>号流动资金借款合 同，借款金额</w:t>
      </w:r>
      <w:r>
        <w:rPr>
          <w:rFonts w:ascii="Times New Roman" w:eastAsia="Times New Roman" w:hAnsi="Times New Roman" w:cs="Times New Roman"/>
          <w:color w:val="000000"/>
          <w:spacing w:val="0"/>
          <w:w w:val="100"/>
          <w:position w:val="0"/>
          <w:sz w:val="18"/>
          <w:szCs w:val="18"/>
        </w:rPr>
        <w:t>24,000,000.00</w:t>
      </w:r>
      <w:r>
        <w:rPr>
          <w:color w:val="000000"/>
          <w:spacing w:val="0"/>
          <w:w w:val="100"/>
          <w:position w:val="0"/>
        </w:rPr>
        <w:t>元，借款时间为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本公司股东欧阳建平、宋晓峰、师海峰、北京银恒通电子科技有限公司于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日分别同上海浦东发展银行股份 有限公司拉萨分行签订了编号为</w:t>
      </w:r>
      <w:r>
        <w:rPr>
          <w:rFonts w:ascii="Times New Roman" w:eastAsia="Times New Roman" w:hAnsi="Times New Roman" w:cs="Times New Roman"/>
          <w:color w:val="000000"/>
          <w:spacing w:val="0"/>
          <w:w w:val="100"/>
          <w:position w:val="0"/>
          <w:sz w:val="18"/>
          <w:szCs w:val="18"/>
        </w:rPr>
        <w:t>ZB3200202100000017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ZB3200202100000018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ZB3200202100000019</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ZB320020210000002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号最高额保证合同，为本公司自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日止的期间内与上海浦东发展银行股份 有限公司拉萨分行办理各类融资业务所发生的债权，提供最高不超过等值人民币</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元的连带责任保证。</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日止，该流动资金借款合同项下借款余额为人民币</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元。</w:t>
      </w:r>
    </w:p>
    <w:p>
      <w:pPr>
        <w:pStyle w:val="Style16"/>
        <w:keepNext w:val="0"/>
        <w:keepLines w:val="0"/>
        <w:widowControl w:val="0"/>
        <w:shd w:val="clear" w:color="auto" w:fill="auto"/>
        <w:tabs>
          <w:tab w:pos="852" w:val="left"/>
        </w:tabs>
        <w:bidi w:val="0"/>
        <w:spacing w:before="0" w:after="0" w:line="313" w:lineRule="exact"/>
        <w:ind w:left="0" w:right="0"/>
        <w:jc w:val="left"/>
      </w:pPr>
      <w:bookmarkStart w:id="1365" w:name="bookmark1365"/>
      <w:r>
        <w:rPr>
          <w:color w:val="000000"/>
          <w:spacing w:val="0"/>
          <w:w w:val="100"/>
          <w:position w:val="0"/>
        </w:rPr>
        <w:t>（</w:t>
      </w:r>
      <w:bookmarkEnd w:id="13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本公司与兴业银行股份有限公司拉萨分行于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日签订了编号为兴银藏（授信）字</w:t>
      </w:r>
      <w:r>
        <w:rPr>
          <w:rFonts w:ascii="Times New Roman" w:eastAsia="Times New Roman" w:hAnsi="Times New Roman" w:cs="Times New Roman"/>
          <w:color w:val="000000"/>
          <w:spacing w:val="0"/>
          <w:w w:val="100"/>
          <w:position w:val="0"/>
          <w:sz w:val="18"/>
          <w:szCs w:val="18"/>
        </w:rPr>
        <w:t>2110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A108</w:t>
      </w:r>
      <w:r>
        <w:rPr>
          <w:color w:val="000000"/>
          <w:spacing w:val="0"/>
          <w:w w:val="100"/>
          <w:position w:val="0"/>
        </w:rPr>
        <w:t>号额度授 信合同，为本公司提供最高额循环授信额度为人民币</w:t>
      </w:r>
      <w:r>
        <w:rPr>
          <w:rFonts w:ascii="Times New Roman" w:eastAsia="Times New Roman" w:hAnsi="Times New Roman" w:cs="Times New Roman"/>
          <w:color w:val="000000"/>
          <w:spacing w:val="0"/>
          <w:w w:val="100"/>
          <w:position w:val="0"/>
          <w:sz w:val="18"/>
          <w:szCs w:val="18"/>
        </w:rPr>
        <w:t>120,000,000.00</w:t>
      </w:r>
      <w:r>
        <w:rPr>
          <w:color w:val="000000"/>
          <w:spacing w:val="0"/>
          <w:w w:val="100"/>
          <w:position w:val="0"/>
        </w:rPr>
        <w:t>元的包括但不限于流动资金贷款，授信期限为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在此综合授信合同下，本公司与兴业银行股份有限公司拉萨分行签订了编号为兴银藏（流贷）字</w:t>
      </w:r>
      <w:r>
        <w:rPr>
          <w:rFonts w:ascii="Times New Roman" w:eastAsia="Times New Roman" w:hAnsi="Times New Roman" w:cs="Times New Roman"/>
          <w:color w:val="000000"/>
          <w:spacing w:val="0"/>
          <w:w w:val="100"/>
          <w:position w:val="0"/>
          <w:sz w:val="18"/>
          <w:szCs w:val="18"/>
        </w:rPr>
        <w:t>2110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A10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号的流动 资金借款合同，借款金额</w:t>
      </w:r>
      <w:r>
        <w:rPr>
          <w:rFonts w:ascii="Times New Roman" w:eastAsia="Times New Roman" w:hAnsi="Times New Roman" w:cs="Times New Roman"/>
          <w:color w:val="000000"/>
          <w:spacing w:val="0"/>
          <w:w w:val="100"/>
          <w:position w:val="0"/>
          <w:sz w:val="18"/>
          <w:szCs w:val="18"/>
        </w:rPr>
        <w:t>60,000,000.00</w:t>
      </w:r>
      <w:r>
        <w:rPr>
          <w:color w:val="000000"/>
          <w:spacing w:val="0"/>
          <w:w w:val="100"/>
          <w:position w:val="0"/>
        </w:rPr>
        <w:t>元，借款期间为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日；签订了编号为兴银藏（流贷）字 </w:t>
      </w:r>
      <w:r>
        <w:rPr>
          <w:rFonts w:ascii="Times New Roman" w:eastAsia="Times New Roman" w:hAnsi="Times New Roman" w:cs="Times New Roman"/>
          <w:color w:val="000000"/>
          <w:spacing w:val="0"/>
          <w:w w:val="100"/>
          <w:position w:val="0"/>
          <w:sz w:val="18"/>
          <w:szCs w:val="18"/>
        </w:rPr>
        <w:t>2112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A13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号的流动资金借款合同，借款金额</w:t>
      </w:r>
      <w:r>
        <w:rPr>
          <w:rFonts w:ascii="Times New Roman" w:eastAsia="Times New Roman" w:hAnsi="Times New Roman" w:cs="Times New Roman"/>
          <w:color w:val="000000"/>
          <w:spacing w:val="0"/>
          <w:w w:val="100"/>
          <w:position w:val="0"/>
          <w:sz w:val="18"/>
          <w:szCs w:val="18"/>
        </w:rPr>
        <w:t>60,000,000.00</w:t>
      </w:r>
      <w:r>
        <w:rPr>
          <w:color w:val="000000"/>
          <w:spacing w:val="0"/>
          <w:w w:val="100"/>
          <w:position w:val="0"/>
        </w:rPr>
        <w:t>元，借款期间为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本公司股东欧阳建平与兴业银行股份有限公司拉萨分行于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日签订了编号为兴银藏（保证）字</w:t>
      </w:r>
      <w:r>
        <w:rPr>
          <w:rFonts w:ascii="Times New Roman" w:eastAsia="Times New Roman" w:hAnsi="Times New Roman" w:cs="Times New Roman"/>
          <w:color w:val="000000"/>
          <w:spacing w:val="0"/>
          <w:w w:val="100"/>
          <w:position w:val="0"/>
          <w:sz w:val="18"/>
          <w:szCs w:val="18"/>
        </w:rPr>
        <w:t>2110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A109</w:t>
      </w:r>
      <w:r>
        <w:rPr>
          <w:color w:val="000000"/>
          <w:spacing w:val="0"/>
          <w:w w:val="100"/>
          <w:position w:val="0"/>
        </w:rPr>
        <w:t>号 最高额保证合同以及编号为兴银藏（担保声明）字</w:t>
      </w:r>
      <w:r>
        <w:rPr>
          <w:rFonts w:ascii="Times New Roman" w:eastAsia="Times New Roman" w:hAnsi="Times New Roman" w:cs="Times New Roman"/>
          <w:color w:val="000000"/>
          <w:spacing w:val="0"/>
          <w:w w:val="100"/>
          <w:position w:val="0"/>
          <w:sz w:val="18"/>
          <w:szCs w:val="18"/>
        </w:rPr>
        <w:t>2110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A114</w:t>
      </w:r>
      <w:r>
        <w:rPr>
          <w:color w:val="000000"/>
          <w:spacing w:val="0"/>
          <w:w w:val="100"/>
          <w:position w:val="0"/>
        </w:rPr>
        <w:t>号个人担保声明书，为该额度授信合同提供连带保证责任。</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本公司同时与兴业银行股份有限公司拉萨分行于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日签订了编号为兴银藏（抵押）字</w:t>
      </w:r>
      <w:r>
        <w:rPr>
          <w:rFonts w:ascii="Times New Roman" w:eastAsia="Times New Roman" w:hAnsi="Times New Roman" w:cs="Times New Roman"/>
          <w:color w:val="000000"/>
          <w:spacing w:val="0"/>
          <w:w w:val="100"/>
          <w:position w:val="0"/>
          <w:sz w:val="18"/>
          <w:szCs w:val="18"/>
        </w:rPr>
        <w:t>2110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A110</w:t>
      </w:r>
      <w:r>
        <w:rPr>
          <w:color w:val="000000"/>
          <w:spacing w:val="0"/>
          <w:w w:val="100"/>
          <w:position w:val="0"/>
        </w:rPr>
        <w:t>号的最高额 抵押合同，将公司位于朝阳区阜通东大街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121001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121003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121005</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121011</w:t>
      </w:r>
      <w:r>
        <w:rPr>
          <w:color w:val="000000"/>
          <w:spacing w:val="0"/>
          <w:w w:val="100"/>
          <w:position w:val="0"/>
        </w:rPr>
        <w:t>，房产证编号京（</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）朝 不动产权第</w:t>
      </w:r>
      <w:r>
        <w:rPr>
          <w:rFonts w:ascii="Times New Roman" w:eastAsia="Times New Roman" w:hAnsi="Times New Roman" w:cs="Times New Roman"/>
          <w:color w:val="000000"/>
          <w:spacing w:val="0"/>
          <w:w w:val="100"/>
          <w:position w:val="0"/>
          <w:sz w:val="18"/>
          <w:szCs w:val="18"/>
        </w:rPr>
        <w:t xml:space="preserve">0065421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0065404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0065371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0070588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0070599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0070635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0070627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0065455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0065474</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0065451</w:t>
      </w:r>
      <w:r>
        <w:rPr>
          <w:color w:val="000000"/>
          <w:spacing w:val="0"/>
          <w:w w:val="100"/>
          <w:position w:val="0"/>
        </w:rPr>
        <w:t>号房产，为该额度授信合同提供抵押担保。</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日止，该合同项下借款余额为人民币</w:t>
      </w:r>
      <w:r>
        <w:rPr>
          <w:rFonts w:ascii="Times New Roman" w:eastAsia="Times New Roman" w:hAnsi="Times New Roman" w:cs="Times New Roman"/>
          <w:color w:val="000000"/>
          <w:spacing w:val="0"/>
          <w:w w:val="100"/>
          <w:position w:val="0"/>
          <w:sz w:val="18"/>
          <w:szCs w:val="18"/>
        </w:rPr>
        <w:t>120,000,000.00</w:t>
      </w:r>
      <w:r>
        <w:rPr>
          <w:color w:val="000000"/>
          <w:spacing w:val="0"/>
          <w:w w:val="100"/>
          <w:position w:val="0"/>
        </w:rPr>
        <w:t>元。</w:t>
      </w:r>
    </w:p>
    <w:p>
      <w:pPr>
        <w:pStyle w:val="Style16"/>
        <w:keepNext w:val="0"/>
        <w:keepLines w:val="0"/>
        <w:widowControl w:val="0"/>
        <w:shd w:val="clear" w:color="auto" w:fill="auto"/>
        <w:bidi w:val="0"/>
        <w:spacing w:before="0" w:after="0" w:line="313" w:lineRule="exact"/>
        <w:ind w:left="0" w:right="0"/>
        <w:jc w:val="left"/>
      </w:pPr>
      <w:bookmarkStart w:id="1366" w:name="bookmark1366"/>
      <w:r>
        <w:rPr>
          <w:color w:val="000000"/>
          <w:spacing w:val="0"/>
          <w:w w:val="100"/>
          <w:position w:val="0"/>
        </w:rPr>
        <w:t>（</w:t>
      </w:r>
      <w:bookmarkEnd w:id="1366"/>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本公司与北京银行股份有限公司建国支行于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日签订了编号为</w:t>
      </w:r>
      <w:r>
        <w:rPr>
          <w:rFonts w:ascii="Times New Roman" w:eastAsia="Times New Roman" w:hAnsi="Times New Roman" w:cs="Times New Roman"/>
          <w:color w:val="000000"/>
          <w:spacing w:val="0"/>
          <w:w w:val="100"/>
          <w:position w:val="0"/>
          <w:sz w:val="18"/>
          <w:szCs w:val="18"/>
        </w:rPr>
        <w:t>0684322</w:t>
      </w:r>
      <w:r>
        <w:rPr>
          <w:color w:val="000000"/>
          <w:spacing w:val="0"/>
          <w:w w:val="100"/>
          <w:position w:val="0"/>
        </w:rPr>
        <w:t>号综合授信合同，为本公司提供 人民币</w:t>
      </w:r>
      <w:r>
        <w:rPr>
          <w:rFonts w:ascii="Times New Roman" w:eastAsia="Times New Roman" w:hAnsi="Times New Roman" w:cs="Times New Roman"/>
          <w:color w:val="000000"/>
          <w:spacing w:val="0"/>
          <w:w w:val="100"/>
          <w:position w:val="0"/>
          <w:sz w:val="18"/>
          <w:szCs w:val="18"/>
        </w:rPr>
        <w:t>9,500,000.00</w:t>
      </w:r>
      <w:r>
        <w:rPr>
          <w:color w:val="000000"/>
          <w:spacing w:val="0"/>
          <w:w w:val="100"/>
          <w:position w:val="0"/>
        </w:rPr>
        <w:t>元的最高循环授信额度，授信期限为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在此综合授信合同下，本公司与北京银行股份有限公司建国支行签订了编号为</w:t>
      </w:r>
      <w:r>
        <w:rPr>
          <w:rFonts w:ascii="Times New Roman" w:eastAsia="Times New Roman" w:hAnsi="Times New Roman" w:cs="Times New Roman"/>
          <w:color w:val="000000"/>
          <w:spacing w:val="0"/>
          <w:w w:val="100"/>
          <w:position w:val="0"/>
          <w:sz w:val="18"/>
          <w:szCs w:val="18"/>
        </w:rPr>
        <w:t>0685018</w:t>
      </w:r>
      <w:r>
        <w:rPr>
          <w:color w:val="000000"/>
          <w:spacing w:val="0"/>
          <w:w w:val="100"/>
          <w:position w:val="0"/>
        </w:rPr>
        <w:t xml:space="preserve">号的借款合同，借款金额 </w:t>
      </w:r>
      <w:r>
        <w:rPr>
          <w:rFonts w:ascii="Times New Roman" w:eastAsia="Times New Roman" w:hAnsi="Times New Roman" w:cs="Times New Roman"/>
          <w:color w:val="000000"/>
          <w:spacing w:val="0"/>
          <w:w w:val="100"/>
          <w:position w:val="0"/>
          <w:sz w:val="18"/>
          <w:szCs w:val="18"/>
        </w:rPr>
        <w:t>9,500,000.00</w:t>
      </w:r>
      <w:r>
        <w:rPr>
          <w:color w:val="000000"/>
          <w:spacing w:val="0"/>
          <w:w w:val="100"/>
          <w:position w:val="0"/>
        </w:rPr>
        <w:t>元，借款期间为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本公司股东欧阳建平与北京银行股份有限公司建国支行于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日签订了编号为</w:t>
      </w:r>
      <w:r>
        <w:rPr>
          <w:rFonts w:ascii="Times New Roman" w:eastAsia="Times New Roman" w:hAnsi="Times New Roman" w:cs="Times New Roman"/>
          <w:color w:val="000000"/>
          <w:spacing w:val="0"/>
          <w:w w:val="100"/>
          <w:position w:val="0"/>
          <w:sz w:val="18"/>
          <w:szCs w:val="18"/>
        </w:rPr>
        <w:t>0684322-001</w:t>
      </w:r>
      <w:r>
        <w:rPr>
          <w:color w:val="000000"/>
          <w:spacing w:val="0"/>
          <w:w w:val="100"/>
          <w:position w:val="0"/>
        </w:rPr>
        <w:t>号最高额保证合同， 为该综合授信合同提供连带责任保证担保。</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日止，该合同项下借款余额为人民币</w:t>
      </w:r>
      <w:r>
        <w:rPr>
          <w:rFonts w:ascii="Times New Roman" w:eastAsia="Times New Roman" w:hAnsi="Times New Roman" w:cs="Times New Roman"/>
          <w:color w:val="000000"/>
          <w:spacing w:val="0"/>
          <w:w w:val="100"/>
          <w:position w:val="0"/>
          <w:sz w:val="18"/>
          <w:szCs w:val="18"/>
        </w:rPr>
        <w:t>9,500,000.00</w:t>
      </w:r>
      <w:r>
        <w:rPr>
          <w:color w:val="000000"/>
          <w:spacing w:val="0"/>
          <w:w w:val="100"/>
          <w:position w:val="0"/>
        </w:rPr>
        <w:t>元。</w:t>
      </w:r>
    </w:p>
    <w:p>
      <w:pPr>
        <w:pStyle w:val="Style16"/>
        <w:keepNext w:val="0"/>
        <w:keepLines w:val="0"/>
        <w:widowControl w:val="0"/>
        <w:shd w:val="clear" w:color="auto" w:fill="auto"/>
        <w:tabs>
          <w:tab w:pos="857" w:val="left"/>
        </w:tabs>
        <w:bidi w:val="0"/>
        <w:spacing w:before="0" w:after="0" w:line="313" w:lineRule="exact"/>
        <w:ind w:left="0" w:right="0"/>
        <w:jc w:val="left"/>
      </w:pPr>
      <w:bookmarkStart w:id="1367" w:name="bookmark1367"/>
      <w:r>
        <w:rPr>
          <w:color w:val="000000"/>
          <w:spacing w:val="0"/>
          <w:w w:val="100"/>
          <w:position w:val="0"/>
        </w:rPr>
        <w:t>（</w:t>
      </w:r>
      <w:bookmarkEnd w:id="136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本公司与中信银行股份有限公司拉萨分行于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年签订了编号为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信银藏综合授信合同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年）字第 </w:t>
      </w:r>
      <w:r>
        <w:rPr>
          <w:rFonts w:ascii="Times New Roman" w:eastAsia="Times New Roman" w:hAnsi="Times New Roman" w:cs="Times New Roman"/>
          <w:color w:val="000000"/>
          <w:spacing w:val="0"/>
          <w:w w:val="100"/>
          <w:position w:val="0"/>
          <w:sz w:val="18"/>
          <w:szCs w:val="18"/>
        </w:rPr>
        <w:t>011251</w:t>
      </w:r>
      <w:r>
        <w:rPr>
          <w:color w:val="000000"/>
          <w:spacing w:val="0"/>
          <w:w w:val="100"/>
          <w:position w:val="0"/>
        </w:rPr>
        <w:t>号综合授信合同，为本公司提供人民币</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元的综合授信额度，授信期限为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在此综合授信合同下，本公司与中信银行股份有限公司拉萨分行签订了编号为信银藏信</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融字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号的业务合作协议， 借款金额</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元，借款期间为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本公司股东欧阳建平与中信银行股份有限公司拉萨分行签订了编号为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信银藏最高额保证合同</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年）字 第</w:t>
      </w:r>
      <w:r>
        <w:rPr>
          <w:rFonts w:ascii="Times New Roman" w:eastAsia="Times New Roman" w:hAnsi="Times New Roman" w:cs="Times New Roman"/>
          <w:color w:val="000000"/>
          <w:spacing w:val="0"/>
          <w:w w:val="100"/>
          <w:position w:val="0"/>
          <w:sz w:val="18"/>
          <w:szCs w:val="18"/>
        </w:rPr>
        <w:t>011351</w:t>
      </w:r>
      <w:r>
        <w:rPr>
          <w:color w:val="000000"/>
          <w:spacing w:val="0"/>
          <w:w w:val="100"/>
          <w:position w:val="0"/>
        </w:rPr>
        <w:t>号最高额保证合同，为该综合授信合同下的人民币</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元债权本金提供连带责任保证。</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日止，该合同项下借款余额为人民币</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w:t>
      </w:r>
    </w:p>
    <w:p>
      <w:pPr>
        <w:pStyle w:val="Style16"/>
        <w:keepNext w:val="0"/>
        <w:keepLines w:val="0"/>
        <w:widowControl w:val="0"/>
        <w:shd w:val="clear" w:color="auto" w:fill="auto"/>
        <w:tabs>
          <w:tab w:pos="852" w:val="left"/>
        </w:tabs>
        <w:bidi w:val="0"/>
        <w:spacing w:before="0" w:after="0" w:line="313" w:lineRule="exact"/>
        <w:ind w:left="0" w:right="0"/>
        <w:jc w:val="left"/>
      </w:pPr>
      <w:bookmarkStart w:id="1368" w:name="bookmark1368"/>
      <w:r>
        <w:rPr>
          <w:color w:val="000000"/>
          <w:spacing w:val="0"/>
          <w:w w:val="100"/>
          <w:position w:val="0"/>
        </w:rPr>
        <w:t>（</w:t>
      </w:r>
      <w:bookmarkEnd w:id="136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北京银恒通电子科技有限公司与北京银行股份有限公司建国支行于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年签订了编号为</w:t>
      </w:r>
      <w:r>
        <w:rPr>
          <w:rFonts w:ascii="Times New Roman" w:eastAsia="Times New Roman" w:hAnsi="Times New Roman" w:cs="Times New Roman"/>
          <w:color w:val="000000"/>
          <w:spacing w:val="0"/>
          <w:w w:val="100"/>
          <w:position w:val="0"/>
          <w:sz w:val="18"/>
          <w:szCs w:val="18"/>
        </w:rPr>
        <w:t>0683623</w:t>
      </w:r>
      <w:r>
        <w:rPr>
          <w:color w:val="000000"/>
          <w:spacing w:val="0"/>
          <w:w w:val="100"/>
          <w:position w:val="0"/>
        </w:rPr>
        <w:t>号综合授信合同以 及编号为</w:t>
      </w:r>
      <w:r>
        <w:rPr>
          <w:rFonts w:ascii="Times New Roman" w:eastAsia="Times New Roman" w:hAnsi="Times New Roman" w:cs="Times New Roman"/>
          <w:color w:val="000000"/>
          <w:spacing w:val="0"/>
          <w:w w:val="100"/>
          <w:position w:val="0"/>
          <w:sz w:val="18"/>
          <w:szCs w:val="18"/>
        </w:rPr>
        <w:t>0683623_003</w:t>
      </w:r>
      <w:r>
        <w:rPr>
          <w:color w:val="000000"/>
          <w:spacing w:val="0"/>
          <w:w w:val="100"/>
          <w:position w:val="0"/>
        </w:rPr>
        <w:t>号综合授信合同补充协议，为本公司提供人民币</w:t>
      </w:r>
      <w:r>
        <w:rPr>
          <w:rFonts w:ascii="Times New Roman" w:eastAsia="Times New Roman" w:hAnsi="Times New Roman" w:cs="Times New Roman"/>
          <w:color w:val="000000"/>
          <w:spacing w:val="0"/>
          <w:w w:val="100"/>
          <w:position w:val="0"/>
          <w:sz w:val="18"/>
          <w:szCs w:val="18"/>
        </w:rPr>
        <w:t>8,500,000.00</w:t>
      </w:r>
      <w:r>
        <w:rPr>
          <w:color w:val="000000"/>
          <w:spacing w:val="0"/>
          <w:w w:val="100"/>
          <w:position w:val="0"/>
        </w:rPr>
        <w:t>元的综合授信额度，授信期限为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在此综合授信合同下，北京银恒通电子科技有限公司与北京银行股份有限公司建国支行签订了编号</w:t>
      </w:r>
      <w:r>
        <w:rPr>
          <w:rFonts w:ascii="Times New Roman" w:eastAsia="Times New Roman" w:hAnsi="Times New Roman" w:cs="Times New Roman"/>
          <w:color w:val="000000"/>
          <w:spacing w:val="0"/>
          <w:w w:val="100"/>
          <w:position w:val="0"/>
          <w:sz w:val="18"/>
          <w:szCs w:val="18"/>
        </w:rPr>
        <w:t>0687004</w:t>
      </w:r>
      <w:r>
        <w:rPr>
          <w:color w:val="000000"/>
          <w:spacing w:val="0"/>
          <w:w w:val="100"/>
          <w:position w:val="0"/>
        </w:rPr>
        <w:t>号借款合同， 借款金额</w:t>
      </w:r>
      <w:r>
        <w:rPr>
          <w:rFonts w:ascii="Times New Roman" w:eastAsia="Times New Roman" w:hAnsi="Times New Roman" w:cs="Times New Roman"/>
          <w:color w:val="000000"/>
          <w:spacing w:val="0"/>
          <w:w w:val="100"/>
          <w:position w:val="0"/>
          <w:sz w:val="18"/>
          <w:szCs w:val="18"/>
        </w:rPr>
        <w:t>3,000,000.00</w:t>
      </w:r>
      <w:r>
        <w:rPr>
          <w:color w:val="000000"/>
          <w:spacing w:val="0"/>
          <w:w w:val="100"/>
          <w:position w:val="0"/>
        </w:rPr>
        <w:t>元，借款期间为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日；签订了编号</w:t>
      </w:r>
      <w:r>
        <w:rPr>
          <w:rFonts w:ascii="Times New Roman" w:eastAsia="Times New Roman" w:hAnsi="Times New Roman" w:cs="Times New Roman"/>
          <w:color w:val="000000"/>
          <w:spacing w:val="0"/>
          <w:w w:val="100"/>
          <w:position w:val="0"/>
          <w:sz w:val="18"/>
          <w:szCs w:val="18"/>
        </w:rPr>
        <w:t>0717751</w:t>
      </w:r>
      <w:r>
        <w:rPr>
          <w:color w:val="000000"/>
          <w:spacing w:val="0"/>
          <w:w w:val="100"/>
          <w:position w:val="0"/>
        </w:rPr>
        <w:t>号借款合同，借款金额</w:t>
      </w:r>
      <w:r>
        <w:rPr>
          <w:rFonts w:ascii="Times New Roman" w:eastAsia="Times New Roman" w:hAnsi="Times New Roman" w:cs="Times New Roman"/>
          <w:color w:val="000000"/>
          <w:spacing w:val="0"/>
          <w:w w:val="100"/>
          <w:position w:val="0"/>
          <w:sz w:val="18"/>
          <w:szCs w:val="18"/>
        </w:rPr>
        <w:t xml:space="preserve">5,500,000.00 </w:t>
      </w:r>
      <w:r>
        <w:rPr>
          <w:color w:val="000000"/>
          <w:spacing w:val="0"/>
          <w:w w:val="100"/>
          <w:position w:val="0"/>
        </w:rPr>
        <w:t>元，借款期间为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本公司及本公司股东欧阳建平分别与北京银行股份有限公司建国支行签订了编号为</w:t>
      </w:r>
      <w:r>
        <w:rPr>
          <w:rFonts w:ascii="Times New Roman" w:eastAsia="Times New Roman" w:hAnsi="Times New Roman" w:cs="Times New Roman"/>
          <w:color w:val="000000"/>
          <w:spacing w:val="0"/>
          <w:w w:val="100"/>
          <w:position w:val="0"/>
          <w:sz w:val="18"/>
          <w:szCs w:val="18"/>
        </w:rPr>
        <w:t>0683623_001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0683623_002</w:t>
      </w:r>
      <w:r>
        <w:rPr>
          <w:color w:val="000000"/>
          <w:spacing w:val="0"/>
          <w:w w:val="100"/>
          <w:position w:val="0"/>
        </w:rPr>
        <w:t>号最高 额保证合同，为该综合授信合同提供连带责任保证担保。</w:t>
      </w:r>
    </w:p>
    <w:p>
      <w:pPr>
        <w:pStyle w:val="Style16"/>
        <w:keepNext w:val="0"/>
        <w:keepLines w:val="0"/>
        <w:widowControl w:val="0"/>
        <w:shd w:val="clear" w:color="auto" w:fill="auto"/>
        <w:bidi w:val="0"/>
        <w:spacing w:before="0" w:after="0" w:line="313"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日止，该合同项下借款余额为人民币</w:t>
      </w:r>
      <w:r>
        <w:rPr>
          <w:rFonts w:ascii="Times New Roman" w:eastAsia="Times New Roman" w:hAnsi="Times New Roman" w:cs="Times New Roman"/>
          <w:color w:val="000000"/>
          <w:spacing w:val="0"/>
          <w:w w:val="100"/>
          <w:position w:val="0"/>
          <w:sz w:val="18"/>
          <w:szCs w:val="18"/>
        </w:rPr>
        <w:t>8,500,000.00</w:t>
      </w:r>
      <w:r>
        <w:rPr>
          <w:color w:val="000000"/>
          <w:spacing w:val="0"/>
          <w:w w:val="100"/>
          <w:position w:val="0"/>
        </w:rPr>
        <w:t>元。</w:t>
      </w:r>
    </w:p>
    <w:p>
      <w:pPr>
        <w:pStyle w:val="Style16"/>
        <w:keepNext w:val="0"/>
        <w:keepLines w:val="0"/>
        <w:widowControl w:val="0"/>
        <w:shd w:val="clear" w:color="auto" w:fill="auto"/>
        <w:bidi w:val="0"/>
        <w:spacing w:before="0" w:after="0" w:line="313" w:lineRule="exact"/>
        <w:ind w:left="0" w:right="0"/>
        <w:jc w:val="left"/>
      </w:pPr>
      <w:bookmarkStart w:id="1369" w:name="bookmark1369"/>
      <w:r>
        <w:rPr>
          <w:color w:val="000000"/>
          <w:spacing w:val="0"/>
          <w:w w:val="100"/>
          <w:position w:val="0"/>
        </w:rPr>
        <w:t>（</w:t>
      </w:r>
      <w:bookmarkEnd w:id="1369"/>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本公司与交通银行股份有限公司北京天坛支行、金网络（北京）电子商务有限公司于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日签订编号为 </w:t>
      </w:r>
      <w:r>
        <w:rPr>
          <w:rFonts w:ascii="Times New Roman" w:eastAsia="Times New Roman" w:hAnsi="Times New Roman" w:cs="Times New Roman"/>
          <w:color w:val="000000"/>
          <w:spacing w:val="0"/>
          <w:w w:val="100"/>
          <w:position w:val="0"/>
          <w:sz w:val="18"/>
          <w:szCs w:val="18"/>
        </w:rPr>
        <w:t>14210043-</w:t>
      </w:r>
      <w:r>
        <w:rPr>
          <w:color w:val="000000"/>
          <w:spacing w:val="0"/>
          <w:w w:val="100"/>
          <w:position w:val="0"/>
        </w:rPr>
        <w:t>航信《快易付业务合作协议》，开展公开型无追索权保理业务，该业务额度金额</w:t>
      </w:r>
      <w:r>
        <w:rPr>
          <w:rFonts w:ascii="Times New Roman" w:eastAsia="Times New Roman" w:hAnsi="Times New Roman" w:cs="Times New Roman"/>
          <w:color w:val="000000"/>
          <w:spacing w:val="0"/>
          <w:w w:val="100"/>
          <w:position w:val="0"/>
          <w:sz w:val="18"/>
          <w:szCs w:val="18"/>
        </w:rPr>
        <w:t>100,000,000.00</w:t>
      </w:r>
      <w:r>
        <w:rPr>
          <w:color w:val="000000"/>
          <w:spacing w:val="0"/>
          <w:w w:val="100"/>
          <w:position w:val="0"/>
        </w:rPr>
        <w:t xml:space="preserve">元，额度有效期为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在此合作协议下，北京银恒通电子科技有限公司与交通银行股份有限公司北京天坛支行签订了编号</w:t>
      </w:r>
      <w:r>
        <w:rPr>
          <w:rFonts w:ascii="Times New Roman" w:eastAsia="Times New Roman" w:hAnsi="Times New Roman" w:cs="Times New Roman"/>
          <w:color w:val="000000"/>
          <w:spacing w:val="0"/>
          <w:w w:val="100"/>
          <w:position w:val="0"/>
          <w:sz w:val="18"/>
          <w:szCs w:val="18"/>
        </w:rPr>
        <w:t>14210043-</w:t>
      </w:r>
      <w:r>
        <w:rPr>
          <w:color w:val="000000"/>
          <w:spacing w:val="0"/>
          <w:w w:val="100"/>
          <w:position w:val="0"/>
        </w:rPr>
        <w:t>航信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《无追索权快易付合同》，将其持有的应收本公司货款出售，获得保理融资金额</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元，转让期间为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日。北京鼎信天威科技有限公司与交通银行股份有限公司北京天坛支行签订了编号</w:t>
      </w:r>
      <w:r>
        <w:rPr>
          <w:rFonts w:ascii="Times New Roman" w:eastAsia="Times New Roman" w:hAnsi="Times New Roman" w:cs="Times New Roman"/>
          <w:color w:val="000000"/>
          <w:spacing w:val="0"/>
          <w:w w:val="100"/>
          <w:position w:val="0"/>
          <w:sz w:val="18"/>
          <w:szCs w:val="18"/>
        </w:rPr>
        <w:t>14210043-</w:t>
      </w:r>
      <w:r>
        <w:rPr>
          <w:color w:val="000000"/>
          <w:spacing w:val="0"/>
          <w:w w:val="100"/>
          <w:position w:val="0"/>
        </w:rPr>
        <w:t>航信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号《无 追索权保理合同》，将其持有的应收本公司货款出售，获得保理融资金额</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元，转让期间为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16"/>
        <w:keepNext w:val="0"/>
        <w:keepLines w:val="0"/>
        <w:widowControl w:val="0"/>
        <w:shd w:val="clear" w:color="auto" w:fill="auto"/>
        <w:bidi w:val="0"/>
        <w:spacing w:before="0" w:after="0" w:line="313" w:lineRule="exact"/>
        <w:ind w:left="0" w:right="0"/>
        <w:jc w:val="both"/>
      </w:pPr>
      <w:r>
        <w:rPr>
          <w:color w:val="000000"/>
          <w:spacing w:val="0"/>
          <w:w w:val="100"/>
          <w:position w:val="0"/>
        </w:rPr>
        <w:t>本公司股东欧阳建平与交通银行股份有限公司北京天坛支行签订了编号为</w:t>
      </w:r>
      <w:r>
        <w:rPr>
          <w:rFonts w:ascii="Times New Roman" w:eastAsia="Times New Roman" w:hAnsi="Times New Roman" w:cs="Times New Roman"/>
          <w:color w:val="000000"/>
          <w:spacing w:val="0"/>
          <w:w w:val="100"/>
          <w:position w:val="0"/>
          <w:sz w:val="18"/>
          <w:szCs w:val="18"/>
        </w:rPr>
        <w:t>14210043-</w:t>
      </w:r>
      <w:r>
        <w:rPr>
          <w:color w:val="000000"/>
          <w:spacing w:val="0"/>
          <w:w w:val="100"/>
          <w:position w:val="0"/>
        </w:rPr>
        <w:t>担保的保证合同，为该合作协议提 供最高额连带责任保证。</w:t>
      </w:r>
    </w:p>
    <w:p>
      <w:pPr>
        <w:pStyle w:val="Style16"/>
        <w:keepNext w:val="0"/>
        <w:keepLines w:val="0"/>
        <w:widowControl w:val="0"/>
        <w:shd w:val="clear" w:color="auto" w:fill="auto"/>
        <w:bidi w:val="0"/>
        <w:spacing w:before="0" w:after="380" w:line="313"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日止，该合作协议项下借款余额为人民币</w:t>
      </w:r>
      <w:r>
        <w:rPr>
          <w:rFonts w:ascii="Times New Roman" w:eastAsia="Times New Roman" w:hAnsi="Times New Roman" w:cs="Times New Roman"/>
          <w:color w:val="000000"/>
          <w:spacing w:val="0"/>
          <w:w w:val="100"/>
          <w:position w:val="0"/>
          <w:sz w:val="18"/>
          <w:szCs w:val="18"/>
        </w:rPr>
        <w:t>20,000,000.00</w:t>
      </w:r>
      <w:r>
        <w:rPr>
          <w:color w:val="000000"/>
          <w:spacing w:val="0"/>
          <w:w w:val="100"/>
          <w:position w:val="0"/>
        </w:rPr>
        <w:t>元。</w:t>
      </w:r>
    </w:p>
    <w:p>
      <w:pPr>
        <w:pStyle w:val="Style27"/>
        <w:keepNext/>
        <w:keepLines/>
        <w:widowControl w:val="0"/>
        <w:shd w:val="clear" w:color="auto" w:fill="auto"/>
        <w:bidi w:val="0"/>
        <w:spacing w:before="0" w:line="240" w:lineRule="auto"/>
        <w:ind w:left="0" w:right="0" w:firstLine="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1</w:t>
      </w:r>
      <w:bookmarkEnd w:id="1372"/>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370"/>
      <w:bookmarkEnd w:id="1371"/>
      <w:bookmarkEnd w:id="1373"/>
    </w:p>
    <w:p>
      <w:pPr>
        <w:pStyle w:val="Style16"/>
        <w:keepNext w:val="0"/>
        <w:keepLines w:val="0"/>
        <w:widowControl w:val="0"/>
        <w:shd w:val="clear" w:color="auto" w:fill="auto"/>
        <w:bidi w:val="0"/>
        <w:spacing w:before="0" w:after="10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p>
    <w:p>
      <w:pPr>
        <w:widowControl w:val="0"/>
        <w:spacing w:after="379" w:line="1" w:lineRule="exact"/>
      </w:pPr>
    </w:p>
    <w:p>
      <w:pPr>
        <w:pStyle w:val="Style27"/>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374"/>
      <w:bookmarkEnd w:id="1375"/>
      <w:bookmarkEnd w:id="1377"/>
    </w:p>
    <w:p>
      <w:pPr>
        <w:pStyle w:val="Style27"/>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8" w:name="bookmark13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74"/>
      <w:bookmarkEnd w:id="1375"/>
      <w:bookmarkEnd w:id="1378"/>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28,681,427.39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3,553,070.39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应付技术服务费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16,197,257.31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11,501,013.07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应付日常费用款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134,794.70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403,433.00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45,013,479.40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15,457,516.46</w:t>
            </w:r>
          </w:p>
        </w:tc>
      </w:tr>
    </w:tbl>
    <w:p>
      <w:pPr>
        <w:widowControl w:val="0"/>
        <w:spacing w:after="379" w:line="1" w:lineRule="exact"/>
      </w:pPr>
    </w:p>
    <w:p>
      <w:pPr>
        <w:pStyle w:val="Style27"/>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79"/>
      <w:bookmarkEnd w:id="1380"/>
      <w:bookmarkEnd w:id="1381"/>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40" w:line="240" w:lineRule="auto"/>
        <w:ind w:left="0" w:right="0"/>
        <w:jc w:val="both"/>
      </w:pPr>
      <w:r>
        <w:rPr>
          <w:color w:val="000000"/>
          <w:spacing w:val="0"/>
          <w:w w:val="100"/>
          <w:position w:val="0"/>
        </w:rPr>
        <w:t>期末应付账款余额中无账龄超过一年的大额应付账款。</w:t>
      </w:r>
    </w:p>
    <w:p>
      <w:pPr>
        <w:pStyle w:val="Style16"/>
        <w:keepNext w:val="0"/>
        <w:keepLines w:val="0"/>
        <w:widowControl w:val="0"/>
        <w:shd w:val="clear" w:color="auto" w:fill="auto"/>
        <w:bidi w:val="0"/>
        <w:spacing w:before="0" w:after="140" w:line="240" w:lineRule="auto"/>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日止，应付账款余额中应付关联方款项余额详见附注十二、（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16"/>
        <w:keepNext w:val="0"/>
        <w:keepLines w:val="0"/>
        <w:widowControl w:val="0"/>
        <w:shd w:val="clear" w:color="auto" w:fill="auto"/>
        <w:bidi w:val="0"/>
        <w:spacing w:before="0" w:after="260" w:line="240" w:lineRule="auto"/>
        <w:ind w:left="0" w:right="0"/>
        <w:jc w:val="both"/>
      </w:pPr>
      <w:r>
        <w:rPr>
          <w:color w:val="000000"/>
          <w:spacing w:val="0"/>
          <w:w w:val="100"/>
          <w:position w:val="0"/>
        </w:rPr>
        <w:t>应付账款期末余额较期初余额增加</w:t>
      </w:r>
      <w:r>
        <w:rPr>
          <w:rFonts w:ascii="Times New Roman" w:eastAsia="Times New Roman" w:hAnsi="Times New Roman" w:cs="Times New Roman"/>
          <w:color w:val="000000"/>
          <w:spacing w:val="0"/>
          <w:w w:val="100"/>
          <w:position w:val="0"/>
          <w:sz w:val="18"/>
          <w:szCs w:val="18"/>
        </w:rPr>
        <w:t>191.21%</w:t>
      </w:r>
      <w:r>
        <w:rPr>
          <w:color w:val="000000"/>
          <w:spacing w:val="0"/>
          <w:w w:val="100"/>
          <w:position w:val="0"/>
        </w:rPr>
        <w:t>，主要为系统集成业务规模扩大，相应的材料采购增加所致。</w:t>
      </w:r>
      <w:r>
        <w:br w:type="page"/>
      </w:r>
    </w:p>
    <w:p>
      <w:pPr>
        <w:pStyle w:val="Style27"/>
        <w:keepNext/>
        <w:keepLines/>
        <w:widowControl w:val="0"/>
        <w:shd w:val="clear" w:color="auto" w:fill="auto"/>
        <w:bidi w:val="0"/>
        <w:spacing w:before="0" w:line="240" w:lineRule="auto"/>
        <w:ind w:left="0" w:right="0" w:firstLine="0"/>
        <w:jc w:val="both"/>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bookmarkEnd w:id="1384"/>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382"/>
      <w:bookmarkEnd w:id="1383"/>
      <w:bookmarkEnd w:id="138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预收项目进度款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12,471,648.64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8,220,312.41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12,471,648.64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8,220,312.41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386"/>
      <w:bookmarkEnd w:id="1387"/>
      <w:bookmarkEnd w:id="1389"/>
    </w:p>
    <w:p>
      <w:pPr>
        <w:pStyle w:val="Style27"/>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90" w:name="bookmark13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86"/>
      <w:bookmarkEnd w:id="1387"/>
      <w:bookmarkEnd w:id="139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699"/>
        <w:gridCol w:w="1843"/>
        <w:gridCol w:w="1987"/>
        <w:gridCol w:w="164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96,762,558.87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1,322,057,336.64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1,300,657,540.70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118,162,354.81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1,476,402.29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67,760,901.22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62,915,085.53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6,322,217.98</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98,238,961.16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1,389,818,237.86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1,363,572,626.23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124,484,572.79</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391" w:name="bookmark1391"/>
      <w:bookmarkStart w:id="1392" w:name="bookmark1392"/>
      <w:bookmarkStart w:id="1393" w:name="bookmark13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91"/>
      <w:bookmarkEnd w:id="1392"/>
      <w:bookmarkEnd w:id="139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704"/>
        <w:gridCol w:w="1982"/>
        <w:gridCol w:w="1843"/>
        <w:gridCol w:w="150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89,887,917.12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1,217,247,588.97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1,197,042,071.21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110,093,434.88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9,793,026.71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9,793,026.71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3,001,875.16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41,770,735.98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41,112,568.14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3,660,043.00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2,855,772.37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38,825,633.40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38,264,913.41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3,416,492.36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41,764.80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1,621,888.70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1,521,558.08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142,095.42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104,337.99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1,323,213.88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1,326,096.65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101,455.22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3,538,283.93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50,694,363.82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49,918,802.82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4,313,844.93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334,482.66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2,551,621.16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2,791,071.82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95,032.00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96,762,558.87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1,322,057,336.64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1,300,657,540.70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118,162,354.81</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94"/>
      <w:bookmarkEnd w:id="1395"/>
      <w:bookmarkEnd w:id="139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1,422,653.03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65,494,464.01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60,786,043.87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6,131,073.17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53,749.26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2,266,437.21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2,129,041.66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191,144.81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1,476,402.29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67,760,901.22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62,915,085.53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6,322,217.98</w:t>
            </w:r>
          </w:p>
        </w:tc>
      </w:tr>
    </w:tbl>
    <w:p>
      <w:pPr>
        <w:widowControl w:val="0"/>
        <w:spacing w:after="99" w:line="1" w:lineRule="exact"/>
      </w:pPr>
    </w:p>
    <w:p>
      <w:pPr>
        <w:pStyle w:val="Style1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日止，应付职工薪酬期末余额中无属于拖欠性质的金额。</w:t>
      </w:r>
    </w:p>
    <w:p>
      <w:pPr>
        <w:pStyle w:val="Style27"/>
        <w:keepNext/>
        <w:keepLines/>
        <w:widowControl w:val="0"/>
        <w:shd w:val="clear" w:color="auto" w:fill="auto"/>
        <w:bidi w:val="0"/>
        <w:spacing w:before="0" w:after="36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2</w:t>
      </w:r>
      <w:bookmarkEnd w:id="1400"/>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398"/>
      <w:bookmarkEnd w:id="1399"/>
      <w:bookmarkEnd w:id="1401"/>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90,651,264.87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72,949,280.95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6,225,788.63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12,280,954.59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1,908,851.39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1,385,310.80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6,550,221.03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5,252,051.72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4,741,187.03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3,751,465.35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430,049.08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218,128.19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110,507,362.03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95,837,191.60</w:t>
            </w:r>
          </w:p>
        </w:tc>
      </w:tr>
    </w:tbl>
    <w:p>
      <w:pPr>
        <w:widowControl w:val="0"/>
        <w:spacing w:after="99" w:line="1" w:lineRule="exact"/>
      </w:pPr>
    </w:p>
    <w:p>
      <w:pPr>
        <w:pStyle w:val="Style1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both"/>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2</w:t>
      </w:r>
      <w:bookmarkEnd w:id="1404"/>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402"/>
      <w:bookmarkEnd w:id="1403"/>
      <w:bookmarkEnd w:id="140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14,347,525.63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12,400,505.99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14,347,525.63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12,400,505.99</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406" w:name="bookmark1406"/>
      <w:bookmarkStart w:id="1407" w:name="bookmark1407"/>
      <w:bookmarkStart w:id="1408" w:name="bookmark14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06"/>
      <w:bookmarkEnd w:id="1407"/>
      <w:bookmarkEnd w:id="1408"/>
    </w:p>
    <w:p>
      <w:pPr>
        <w:pStyle w:val="Style27"/>
        <w:keepNext/>
        <w:keepLines/>
        <w:widowControl w:val="0"/>
        <w:shd w:val="clear" w:color="auto" w:fill="auto"/>
        <w:bidi w:val="0"/>
        <w:spacing w:before="0" w:after="360" w:line="240" w:lineRule="auto"/>
        <w:ind w:left="0" w:right="0" w:firstLine="0"/>
        <w:jc w:val="left"/>
      </w:pPr>
      <w:bookmarkStart w:id="1406" w:name="bookmark1406"/>
      <w:bookmarkStart w:id="1407" w:name="bookmark1407"/>
      <w:bookmarkStart w:id="1409" w:name="bookmark1409"/>
      <w:bookmarkStart w:id="1410" w:name="bookmark1410"/>
      <w:r>
        <w:rPr>
          <w:rFonts w:ascii="Times New Roman" w:eastAsia="Times New Roman" w:hAnsi="Times New Roman" w:cs="Times New Roman"/>
          <w:color w:val="000000"/>
          <w:spacing w:val="0"/>
          <w:w w:val="100"/>
          <w:position w:val="0"/>
        </w:rPr>
        <w:t>1</w:t>
      </w:r>
      <w:bookmarkEnd w:id="1409"/>
      <w:r>
        <w:rPr>
          <w:color w:val="000000"/>
          <w:spacing w:val="0"/>
          <w:w w:val="100"/>
          <w:position w:val="0"/>
        </w:rPr>
        <w:t>）按款项性质列示其他应付款</w:t>
      </w:r>
      <w:bookmarkEnd w:id="1406"/>
      <w:bookmarkEnd w:id="1407"/>
      <w:bookmarkEnd w:id="1410"/>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1,007,050.31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1,016,050.31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待付报销款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8,791,044.39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9,321,903.58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社保及公积金个人部分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117,731.67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1,989,503.74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1,432,423.50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2,442,195.52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630,128.60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14,347,525.63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12,400,505.99</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2</w:t>
      </w:r>
      <w:bookmarkEnd w:id="141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11"/>
      <w:bookmarkEnd w:id="1412"/>
      <w:bookmarkEnd w:id="141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380" w:line="240" w:lineRule="auto"/>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日止，其他应付款余额中无应付持有本公司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）以上表决权股份的股东及其他关联单位款项。</w:t>
      </w:r>
    </w:p>
    <w:p>
      <w:pPr>
        <w:pStyle w:val="Style27"/>
        <w:keepNext/>
        <w:keepLines/>
        <w:widowControl w:val="0"/>
        <w:shd w:val="clear" w:color="auto" w:fill="auto"/>
        <w:bidi w:val="0"/>
        <w:spacing w:before="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2</w:t>
      </w:r>
      <w:bookmarkEnd w:id="1417"/>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415"/>
      <w:bookmarkEnd w:id="1416"/>
      <w:bookmarkEnd w:id="1418"/>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20,279,767.23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4,417,884.32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2,407,560.95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4,417,884.32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22,687,328.18</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2</w:t>
      </w:r>
      <w:bookmarkEnd w:id="1421"/>
      <w:r>
        <w:rPr>
          <w:rFonts w:ascii="Times New Roman" w:eastAsia="Times New Roman" w:hAnsi="Times New Roman" w:cs="Times New Roman"/>
          <w:color w:val="000000"/>
          <w:spacing w:val="0"/>
          <w:w w:val="100"/>
          <w:position w:val="0"/>
        </w:rPr>
        <w:t>6</w:t>
      </w:r>
      <w:r>
        <w:rPr>
          <w:color w:val="000000"/>
          <w:spacing w:val="0"/>
          <w:w w:val="100"/>
          <w:position w:val="0"/>
        </w:rPr>
        <w:t>、租赁负债</w:t>
      </w:r>
      <w:bookmarkEnd w:id="1419"/>
      <w:bookmarkEnd w:id="1420"/>
      <w:bookmarkEnd w:id="142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6,943,282.09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9,477,881.66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6,943,282.09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9,477,881.66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widowControl w:val="0"/>
        <w:spacing w:line="1" w:lineRule="exact"/>
      </w:pPr>
    </w:p>
    <w:tbl>
      <w:tblPr>
        <w:tblOverlap w:val="never"/>
        <w:jc w:val="center"/>
        <w:tblLayout w:type="fixed"/>
      </w:tblPr>
      <w:tblGrid>
        <w:gridCol w:w="4742"/>
        <w:gridCol w:w="2381"/>
        <w:gridCol w:w="2554"/>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剩余租赁年限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4,882,613.22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2,946,523.68</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2,441,847.18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2,942,766.18</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2,438,396.52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2,441,847.18</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2,584,700.16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2,438,396.52</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2,584,700.16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租赁付款额总额小计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12,347,557.08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13,354,233.72</w:t>
            </w:r>
          </w:p>
        </w:tc>
      </w:tr>
    </w:tbl>
    <w:p>
      <w:pPr>
        <w:widowControl w:val="0"/>
        <w:spacing w:line="1" w:lineRule="exact"/>
      </w:pPr>
      <w:r>
        <w:br w:type="page"/>
      </w:r>
    </w:p>
    <w:tbl>
      <w:tblPr>
        <w:tblOverlap w:val="never"/>
        <w:jc w:val="center"/>
        <w:tblLayout w:type="fixed"/>
      </w:tblPr>
      <w:tblGrid>
        <w:gridCol w:w="4742"/>
        <w:gridCol w:w="2381"/>
        <w:gridCol w:w="2554"/>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986,390.67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1,468,791.11</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租赁付款额现值小计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11,361,166.41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11,885,442.61</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4,417,884.32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2,407,560.95</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6,943,282.09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9,477,881.66</w:t>
            </w:r>
          </w:p>
        </w:tc>
      </w:tr>
    </w:tbl>
    <w:p>
      <w:pPr>
        <w:widowControl w:val="0"/>
        <w:spacing w:after="639" w:line="1" w:lineRule="exact"/>
      </w:pPr>
    </w:p>
    <w:p>
      <w:pPr>
        <w:pStyle w:val="Style27"/>
        <w:keepNext/>
        <w:keepLines/>
        <w:widowControl w:val="0"/>
        <w:shd w:val="clear" w:color="auto" w:fill="auto"/>
        <w:bidi w:val="0"/>
        <w:spacing w:before="0" w:line="240" w:lineRule="auto"/>
        <w:ind w:left="0" w:right="0" w:firstLine="0"/>
        <w:jc w:val="both"/>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2</w:t>
      </w:r>
      <w:bookmarkEnd w:id="1425"/>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23"/>
      <w:bookmarkEnd w:id="1424"/>
      <w:bookmarkEnd w:id="142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7,172,615.08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7,172,615.08</w:t>
            </w:r>
          </w:p>
        </w:tc>
      </w:tr>
    </w:tbl>
    <w:p>
      <w:pPr>
        <w:widowControl w:val="0"/>
        <w:spacing w:after="379" w:line="1" w:lineRule="exact"/>
      </w:pPr>
    </w:p>
    <w:p>
      <w:pPr>
        <w:pStyle w:val="Style27"/>
        <w:keepNext/>
        <w:keepLines/>
        <w:widowControl w:val="0"/>
        <w:shd w:val="clear" w:color="auto" w:fill="auto"/>
        <w:bidi w:val="0"/>
        <w:spacing w:before="0" w:line="240" w:lineRule="auto"/>
        <w:ind w:left="0" w:right="0" w:firstLine="0"/>
        <w:jc w:val="left"/>
      </w:pPr>
      <w:bookmarkStart w:id="1427" w:name="bookmark1427"/>
      <w:bookmarkStart w:id="1428" w:name="bookmark1428"/>
      <w:bookmarkStart w:id="1429" w:name="bookmark14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27"/>
      <w:bookmarkEnd w:id="1428"/>
      <w:bookmarkEnd w:id="142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应付售后回购款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27,452,382.31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20,279,767.23</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7,172,615.08</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bookmarkEnd w:id="1432"/>
      <w:r>
        <w:rPr>
          <w:rFonts w:ascii="Times New Roman" w:eastAsia="Times New Roman" w:hAnsi="Times New Roman" w:cs="Times New Roman"/>
          <w:color w:val="000000"/>
          <w:spacing w:val="0"/>
          <w:w w:val="100"/>
          <w:position w:val="0"/>
        </w:rPr>
        <w:t>8</w:t>
      </w:r>
      <w:r>
        <w:rPr>
          <w:color w:val="000000"/>
          <w:spacing w:val="0"/>
          <w:w w:val="100"/>
          <w:position w:val="0"/>
        </w:rPr>
        <w:t>、其他非流动负债</w:t>
      </w:r>
      <w:bookmarkEnd w:id="1430"/>
      <w:bookmarkEnd w:id="1431"/>
      <w:bookmarkEnd w:id="143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369,237.74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369,237.74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29</w:t>
      </w:r>
      <w:r>
        <w:rPr>
          <w:color w:val="000000"/>
          <w:spacing w:val="0"/>
          <w:w w:val="100"/>
          <w:position w:val="0"/>
        </w:rPr>
        <w:t>、股本</w:t>
      </w:r>
      <w:bookmarkEnd w:id="1434"/>
      <w:bookmarkEnd w:id="1435"/>
      <w:bookmarkEnd w:id="143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224,682,030.00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224,682,030.00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both"/>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3</w:t>
      </w:r>
      <w:bookmarkEnd w:id="1439"/>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437"/>
      <w:bookmarkEnd w:id="1438"/>
      <w:bookmarkEnd w:id="144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1,525,559,051.98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1,525,559,051.98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6,179,805.76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40,369,326.25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46,549,132.01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1,531,738,857.74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40,369,326.25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1,572,108,183.99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16"/>
        <w:keepNext w:val="0"/>
        <w:keepLines w:val="0"/>
        <w:widowControl w:val="0"/>
        <w:shd w:val="clear" w:color="auto" w:fill="auto"/>
        <w:bidi w:val="0"/>
        <w:spacing w:before="0" w:after="380" w:line="310" w:lineRule="exact"/>
        <w:ind w:left="0" w:right="0" w:firstLine="320"/>
        <w:jc w:val="both"/>
      </w:pPr>
      <w:r>
        <w:rPr>
          <w:color w:val="000000"/>
          <w:spacing w:val="0"/>
          <w:w w:val="100"/>
          <w:position w:val="0"/>
        </w:rPr>
        <w:t>根据公司第二届董事会第十五次会议、第二届监事会第十次会议以及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年第一次临时股东大会决议，审议通过了《关 于</w:t>
      </w:r>
      <w:r>
        <w:rPr>
          <w:color w:val="000000"/>
          <w:spacing w:val="0"/>
          <w:w w:val="100"/>
          <w:position w:val="0"/>
          <w:sz w:val="18"/>
          <w:szCs w:val="18"/>
        </w:rPr>
        <w:t>〈</w:t>
      </w:r>
      <w:r>
        <w:rPr>
          <w:color w:val="000000"/>
          <w:spacing w:val="0"/>
          <w:w w:val="100"/>
          <w:position w:val="0"/>
        </w:rPr>
        <w:t>天阳宏业科技股份有限公司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日召开第二届 董事会第十六次会议和第二届监事会第十一次会议，向</w:t>
      </w:r>
      <w:r>
        <w:rPr>
          <w:rFonts w:ascii="Times New Roman" w:eastAsia="Times New Roman" w:hAnsi="Times New Roman" w:cs="Times New Roman"/>
          <w:color w:val="000000"/>
          <w:spacing w:val="0"/>
          <w:w w:val="100"/>
          <w:position w:val="0"/>
          <w:sz w:val="18"/>
          <w:szCs w:val="18"/>
        </w:rPr>
        <w:t>292</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2,880</w:t>
      </w:r>
      <w:r>
        <w:rPr>
          <w:color w:val="000000"/>
          <w:spacing w:val="0"/>
          <w:w w:val="100"/>
          <w:position w:val="0"/>
        </w:rPr>
        <w:t>万股第二类限制性股票，由此产生股份支付 费用</w:t>
      </w:r>
      <w:r>
        <w:rPr>
          <w:rFonts w:ascii="Times New Roman" w:eastAsia="Times New Roman" w:hAnsi="Times New Roman" w:cs="Times New Roman"/>
          <w:color w:val="000000"/>
          <w:spacing w:val="0"/>
          <w:w w:val="100"/>
          <w:position w:val="0"/>
          <w:sz w:val="18"/>
          <w:szCs w:val="18"/>
        </w:rPr>
        <w:t>40,369,326.25</w:t>
      </w:r>
      <w:r>
        <w:rPr>
          <w:color w:val="000000"/>
          <w:spacing w:val="0"/>
          <w:w w:val="100"/>
          <w:position w:val="0"/>
        </w:rPr>
        <w:t>元计入资本公积。</w:t>
      </w:r>
    </w:p>
    <w:p>
      <w:pPr>
        <w:pStyle w:val="Style27"/>
        <w:keepNext/>
        <w:keepLines/>
        <w:widowControl w:val="0"/>
        <w:shd w:val="clear" w:color="auto" w:fill="auto"/>
        <w:bidi w:val="0"/>
        <w:spacing w:before="0" w:line="240" w:lineRule="auto"/>
        <w:ind w:left="0" w:right="0" w:firstLine="0"/>
        <w:jc w:val="both"/>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3</w:t>
      </w:r>
      <w:bookmarkEnd w:id="1443"/>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441"/>
      <w:bookmarkEnd w:id="1442"/>
      <w:bookmarkEnd w:id="1444"/>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本期所得</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税前发生</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税后归属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于母公司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4,919.87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-34,350.25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4,919.87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-34,350.25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4,919.87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-34,350.25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-33,340.54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27"/>
        <w:keepNext/>
        <w:keepLines/>
        <w:widowControl w:val="0"/>
        <w:shd w:val="clear" w:color="auto" w:fill="auto"/>
        <w:bidi w:val="0"/>
        <w:spacing w:before="0" w:line="240" w:lineRule="auto"/>
        <w:ind w:left="0" w:right="0" w:firstLine="0"/>
        <w:jc w:val="both"/>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445"/>
      <w:bookmarkEnd w:id="1446"/>
      <w:bookmarkEnd w:id="144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34,086,829.11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6,542,881.08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40,629,710.19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34,086,829.11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6,542,881.08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40,629,710.19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r>
        <w:br w:type="page"/>
      </w:r>
    </w:p>
    <w:p>
      <w:pPr>
        <w:pStyle w:val="Style27"/>
        <w:keepNext/>
        <w:keepLines/>
        <w:widowControl w:val="0"/>
        <w:shd w:val="clear" w:color="auto" w:fill="auto"/>
        <w:bidi w:val="0"/>
        <w:spacing w:before="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3</w:t>
      </w:r>
      <w:bookmarkEnd w:id="1451"/>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449"/>
      <w:bookmarkEnd w:id="1450"/>
      <w:bookmarkEnd w:id="1452"/>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416,726,684.88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296,141,786.33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416,726,684.88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296,141,786.33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98,992,071.37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133,786,814.55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6,542,881.08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13,201,916.00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对股东的分配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44,936,406.00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464,239,469.17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416,726,684.88</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6"/>
        <w:keepNext w:val="0"/>
        <w:keepLines w:val="0"/>
        <w:widowControl w:val="0"/>
        <w:shd w:val="clear" w:color="auto" w:fill="auto"/>
        <w:tabs>
          <w:tab w:pos="330" w:val="left"/>
        </w:tabs>
        <w:bidi w:val="0"/>
        <w:spacing w:before="0" w:after="140" w:line="240" w:lineRule="auto"/>
        <w:ind w:left="0" w:right="0" w:firstLine="0"/>
        <w:jc w:val="left"/>
      </w:pPr>
      <w:bookmarkStart w:id="1453" w:name="bookmark1453"/>
      <w:r>
        <w:rPr>
          <w:rFonts w:ascii="Times New Roman" w:eastAsia="Times New Roman" w:hAnsi="Times New Roman" w:cs="Times New Roman"/>
          <w:color w:val="000000"/>
          <w:spacing w:val="0"/>
          <w:w w:val="100"/>
          <w:position w:val="0"/>
          <w:sz w:val="18"/>
          <w:szCs w:val="18"/>
        </w:rPr>
        <w:t>1</w:t>
      </w:r>
      <w:bookmarkEnd w:id="14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16"/>
        <w:keepNext w:val="0"/>
        <w:keepLines w:val="0"/>
        <w:widowControl w:val="0"/>
        <w:shd w:val="clear" w:color="auto" w:fill="auto"/>
        <w:tabs>
          <w:tab w:pos="349" w:val="left"/>
        </w:tabs>
        <w:bidi w:val="0"/>
        <w:spacing w:before="0" w:after="140" w:line="240" w:lineRule="auto"/>
        <w:ind w:left="0" w:right="0" w:firstLine="0"/>
        <w:jc w:val="left"/>
      </w:pPr>
      <w:bookmarkStart w:id="1454" w:name="bookmark1454"/>
      <w:r>
        <w:rPr>
          <w:rFonts w:ascii="Times New Roman" w:eastAsia="Times New Roman" w:hAnsi="Times New Roman" w:cs="Times New Roman"/>
          <w:color w:val="000000"/>
          <w:spacing w:val="0"/>
          <w:w w:val="100"/>
          <w:position w:val="0"/>
          <w:sz w:val="18"/>
          <w:szCs w:val="18"/>
        </w:rPr>
        <w:t>2</w:t>
      </w:r>
      <w:bookmarkEnd w:id="14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16"/>
        <w:keepNext w:val="0"/>
        <w:keepLines w:val="0"/>
        <w:widowControl w:val="0"/>
        <w:shd w:val="clear" w:color="auto" w:fill="auto"/>
        <w:tabs>
          <w:tab w:pos="349" w:val="left"/>
        </w:tabs>
        <w:bidi w:val="0"/>
        <w:spacing w:before="0" w:after="140" w:line="240" w:lineRule="auto"/>
        <w:ind w:left="0" w:right="0" w:firstLine="0"/>
        <w:jc w:val="left"/>
      </w:pPr>
      <w:bookmarkStart w:id="1455" w:name="bookmark1455"/>
      <w:r>
        <w:rPr>
          <w:rFonts w:ascii="Times New Roman" w:eastAsia="Times New Roman" w:hAnsi="Times New Roman" w:cs="Times New Roman"/>
          <w:color w:val="000000"/>
          <w:spacing w:val="0"/>
          <w:w w:val="100"/>
          <w:position w:val="0"/>
          <w:sz w:val="18"/>
          <w:szCs w:val="18"/>
        </w:rPr>
        <w:t>3</w:t>
      </w:r>
      <w:bookmarkEnd w:id="14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6"/>
        <w:keepNext w:val="0"/>
        <w:keepLines w:val="0"/>
        <w:widowControl w:val="0"/>
        <w:shd w:val="clear" w:color="auto" w:fill="auto"/>
        <w:tabs>
          <w:tab w:pos="349" w:val="left"/>
        </w:tabs>
        <w:bidi w:val="0"/>
        <w:spacing w:before="0" w:after="140" w:line="240" w:lineRule="auto"/>
        <w:ind w:left="0" w:right="0" w:firstLine="0"/>
        <w:jc w:val="left"/>
      </w:pPr>
      <w:bookmarkStart w:id="1456" w:name="bookmark1456"/>
      <w:r>
        <w:rPr>
          <w:rFonts w:ascii="Times New Roman" w:eastAsia="Times New Roman" w:hAnsi="Times New Roman" w:cs="Times New Roman"/>
          <w:color w:val="000000"/>
          <w:spacing w:val="0"/>
          <w:w w:val="100"/>
          <w:position w:val="0"/>
          <w:sz w:val="18"/>
          <w:szCs w:val="18"/>
        </w:rPr>
        <w:t>4</w:t>
      </w:r>
      <w:bookmarkEnd w:id="14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6"/>
        <w:keepNext w:val="0"/>
        <w:keepLines w:val="0"/>
        <w:widowControl w:val="0"/>
        <w:shd w:val="clear" w:color="auto" w:fill="auto"/>
        <w:tabs>
          <w:tab w:pos="349" w:val="left"/>
        </w:tabs>
        <w:bidi w:val="0"/>
        <w:spacing w:before="0" w:after="380" w:line="240" w:lineRule="auto"/>
        <w:ind w:left="0" w:right="0" w:firstLine="0"/>
        <w:jc w:val="left"/>
      </w:pPr>
      <w:bookmarkStart w:id="1457" w:name="bookmark1457"/>
      <w:r>
        <w:rPr>
          <w:rFonts w:ascii="Times New Roman" w:eastAsia="Times New Roman" w:hAnsi="Times New Roman" w:cs="Times New Roman"/>
          <w:color w:val="000000"/>
          <w:spacing w:val="0"/>
          <w:w w:val="100"/>
          <w:position w:val="0"/>
          <w:sz w:val="18"/>
          <w:szCs w:val="18"/>
        </w:rPr>
        <w:t>5</w:t>
      </w:r>
      <w:bookmarkEnd w:id="14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7"/>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3</w:t>
      </w:r>
      <w:bookmarkEnd w:id="1460"/>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458"/>
      <w:bookmarkEnd w:id="1459"/>
      <w:bookmarkEnd w:id="146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1,774,116,171.84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1,211,619,846.77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1,315,283,647.30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844,658,078.76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1,976,832.55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2,805,816.67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44,036.68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1,776,093,004.39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1,214,425,663.44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1,315,327,683.98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844,696,478.76</w:t>
            </w:r>
          </w:p>
        </w:tc>
      </w:tr>
    </w:tbl>
    <w:p>
      <w:pPr>
        <w:pStyle w:val="Style1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收入相关信息：</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主营业务收入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其他业务收入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1,774,116,171.84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1,976,832.55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1,776,093,004.39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1,146,280,569.71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448,427,761.78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57,957,915.67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121,449,924.68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1,976,832.55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1,976,832.55</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主营业务收入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其他业务收入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1,774,116,171.84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1,976,832.55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1,776,093,004.39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684,794,103.83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684,794,103.83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627,835,674.14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1,976,832.55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629,812,506.69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185,799,198.17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185,799,198.17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94,890,606.56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94,890,606.56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71,647,626.27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71,647,626.27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51,226,719.71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51,226,719.71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46,397,676.23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46,397,676.23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港澳台地区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11,524,566.93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11,524,566.93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1,774,116,171.84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1,976,832.55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1,776,093,004.39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1,594,083,724.52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1,594,083,724.52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非银行金融机构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49,979,475.86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49,979,475.86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非金融类客户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130,052,971.46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1,976,832.55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132,029,804.01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1,774,116,171.84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1,976,832.55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1,776,093,004.39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1,774,116,171.84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1,976,832.55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1,776,093,004.39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1,774,116,171.84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1,976,832.55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1,776,093,004.39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无</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1,114,180,580.23</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1,069,997,730.23</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37,577,850.00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6,605,000.00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年度确认收入。</w:t>
      </w:r>
    </w:p>
    <w:p>
      <w:pPr>
        <w:pStyle w:val="Style1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报告期前五名主要客户的营业收入所占比例情况</w:t>
      </w:r>
    </w:p>
    <w:tbl>
      <w:tblPr>
        <w:tblOverlap w:val="never"/>
        <w:jc w:val="center"/>
        <w:tblLayout w:type="fixed"/>
      </w:tblPr>
      <w:tblGrid>
        <w:gridCol w:w="3710"/>
        <w:gridCol w:w="1771"/>
        <w:gridCol w:w="1291"/>
        <w:gridCol w:w="1445"/>
        <w:gridCol w:w="1459"/>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客户</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前五名主要客户营业收入合计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642,154,060.42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554,188,568.20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42.13</w:t>
            </w:r>
          </w:p>
        </w:tc>
      </w:tr>
    </w:tbl>
    <w:p>
      <w:pPr>
        <w:spacing w:lineRule="exact" w:line="1"/>
        <w:rPr>
          <w:sz w:val="2"/>
          <w:szCs w:val="2"/>
        </w:rPr>
      </w:pPr>
      <w:r>
        <w:br w:type="page"/>
      </w:r>
    </w:p>
    <w:p>
      <w:pPr>
        <w:pStyle w:val="Style27"/>
        <w:keepNext/>
        <w:keepLines/>
        <w:widowControl w:val="0"/>
        <w:shd w:val="clear" w:color="auto" w:fill="auto"/>
        <w:bidi w:val="0"/>
        <w:spacing w:before="0" w:after="40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3</w:t>
      </w:r>
      <w:bookmarkEnd w:id="1464"/>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462"/>
      <w:bookmarkEnd w:id="1463"/>
      <w:bookmarkEnd w:id="1465"/>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6,348,216.27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4,737,143.13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4,596,898.06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3,383,673.67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960,404.70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960,404.70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693,333.45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650,694.63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11,556.16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7,658.26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12,610,408.64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9,739,574.39</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其他为土地使用税、车船使用税、土地增值税。</w:t>
      </w:r>
    </w:p>
    <w:p>
      <w:pPr>
        <w:pStyle w:val="Style27"/>
        <w:keepNext/>
        <w:keepLines/>
        <w:widowControl w:val="0"/>
        <w:shd w:val="clear" w:color="auto" w:fill="auto"/>
        <w:bidi w:val="0"/>
        <w:spacing w:before="0" w:after="40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3</w:t>
      </w:r>
      <w:bookmarkEnd w:id="1468"/>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466"/>
      <w:bookmarkEnd w:id="1467"/>
      <w:bookmarkEnd w:id="146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66,750,953.50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45,187,719.53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5,037,189.01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4,349,061.35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19,657,296.54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16,535,813.25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1,736,752.19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1,084,519.74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1,150,724.92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1,215,418.72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8,416,945.38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6,181,134.21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2,324,892.60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2,838,922.39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105,074,754.14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77,392,589.19</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470"/>
      <w:bookmarkEnd w:id="1471"/>
      <w:bookmarkEnd w:id="147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54,333,236.24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43,613,431.61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1,816,372.76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1,267,425.65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5,963,103.33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7,361,100.77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1,437,282.37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1,132,248.89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交通及通讯费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1,043,633.59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1,072,016.40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招聘费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1,632,747.14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1,392,535.69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5,727,802.06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5,517,077.00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377,851.91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156,258.32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1,269,029.90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3,876,504.32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97,678.82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50,004.00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5,228,029.47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4,294,734.57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4,214,937.05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40,369,326.25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1,520,113.81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1,105,773.43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残保金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949,251.11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726,257.80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4,429,456.07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3,849,095.14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1,276,769.84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916,643.43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131,686,621.72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76,331,107.02</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3</w:t>
      </w:r>
      <w:bookmarkEnd w:id="1476"/>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474"/>
      <w:bookmarkEnd w:id="1475"/>
      <w:bookmarkEnd w:id="147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228,029,375.77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135,321,287.53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8,532,983.11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8,428,309.85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236,562,358.88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143,749,597.38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3</w:t>
      </w:r>
      <w:bookmarkEnd w:id="1480"/>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478"/>
      <w:bookmarkEnd w:id="1479"/>
      <w:bookmarkEnd w:id="1481"/>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8,513,201.78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15,421,908.41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5,633,124.69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1,575,232.99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11,064.33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257,137.67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3,889,809.41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3,137,347.76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17,747,549.16</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4</w:t>
      </w:r>
      <w:bookmarkEnd w:id="1484"/>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482"/>
      <w:bookmarkEnd w:id="1483"/>
      <w:bookmarkEnd w:id="1485"/>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29,336,408.50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24,253,538.93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345,660.26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405,672.20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增值税进项加计扣除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3,392,330.98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1,488,581.85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33,074,399.74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26,147,792.98</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4</w:t>
      </w:r>
      <w:bookmarkEnd w:id="1488"/>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486"/>
      <w:bookmarkEnd w:id="1487"/>
      <w:bookmarkEnd w:id="148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-2,420,439.23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-74,603.36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7,657,340.65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3,704,509.63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5,235,891.71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3,629,906.27</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4</w:t>
      </w:r>
      <w:bookmarkEnd w:id="1492"/>
      <w:r>
        <w:rPr>
          <w:rFonts w:ascii="Times New Roman" w:eastAsia="Times New Roman" w:hAnsi="Times New Roman" w:cs="Times New Roman"/>
          <w:color w:val="000000"/>
          <w:spacing w:val="0"/>
          <w:w w:val="100"/>
          <w:position w:val="0"/>
        </w:rPr>
        <w:t>2</w:t>
      </w:r>
      <w:r>
        <w:rPr>
          <w:color w:val="000000"/>
          <w:spacing w:val="0"/>
          <w:w w:val="100"/>
          <w:position w:val="0"/>
        </w:rPr>
        <w:t>、信用减值损失</w:t>
      </w:r>
      <w:bookmarkEnd w:id="1490"/>
      <w:bookmarkEnd w:id="1491"/>
      <w:bookmarkEnd w:id="149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-23,791,683.03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-36,560,539.34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-23,791,683.03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-36,560,539.34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4</w:t>
      </w:r>
      <w:bookmarkEnd w:id="1496"/>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494"/>
      <w:bookmarkEnd w:id="1495"/>
      <w:bookmarkEnd w:id="1497"/>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696"/>
        <w:gridCol w:w="2693"/>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-450,486.35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549,852.98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79,967.26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99,366.63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79,967.26</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4</w:t>
      </w:r>
      <w:bookmarkEnd w:id="1500"/>
      <w:r>
        <w:rPr>
          <w:rFonts w:ascii="Times New Roman" w:eastAsia="Times New Roman" w:hAnsi="Times New Roman" w:cs="Times New Roman"/>
          <w:color w:val="000000"/>
          <w:spacing w:val="0"/>
          <w:w w:val="100"/>
          <w:position w:val="0"/>
        </w:rPr>
        <w:t>4</w:t>
      </w:r>
      <w:r>
        <w:rPr>
          <w:color w:val="000000"/>
          <w:spacing w:val="0"/>
          <w:w w:val="100"/>
          <w:position w:val="0"/>
        </w:rPr>
        <w:t>、资产处置收益</w:t>
      </w:r>
      <w:bookmarkEnd w:id="1498"/>
      <w:bookmarkEnd w:id="1499"/>
      <w:bookmarkEnd w:id="1501"/>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16,340.21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无形资产处置利得或损失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16,340.21</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4</w:t>
      </w:r>
      <w:bookmarkEnd w:id="1504"/>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502"/>
      <w:bookmarkEnd w:id="1503"/>
      <w:bookmarkEnd w:id="1505"/>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021"/>
        <w:gridCol w:w="277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7,334.53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7,334.53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917"/>
        <w:gridCol w:w="1205"/>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补贴是否影响</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当年盈亏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4</w:t>
      </w:r>
      <w:bookmarkEnd w:id="1508"/>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506"/>
      <w:bookmarkEnd w:id="1507"/>
      <w:bookmarkEnd w:id="1509"/>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558"/>
        <w:gridCol w:w="2232"/>
        <w:gridCol w:w="2165"/>
        <w:gridCol w:w="263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136,495.00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139,972.50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136,495.00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551.03</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137,046.03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420,452.44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137,046.03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both"/>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4</w:t>
      </w:r>
      <w:bookmarkEnd w:id="1512"/>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510"/>
      <w:bookmarkEnd w:id="1511"/>
      <w:bookmarkEnd w:id="1513"/>
    </w:p>
    <w:p>
      <w:pPr>
        <w:pStyle w:val="Style27"/>
        <w:keepNext/>
        <w:keepLines/>
        <w:widowControl w:val="0"/>
        <w:shd w:val="clear" w:color="auto" w:fill="auto"/>
        <w:bidi w:val="0"/>
        <w:spacing w:before="0" w:line="240" w:lineRule="auto"/>
        <w:ind w:left="0" w:right="0" w:firstLine="0"/>
        <w:jc w:val="both"/>
      </w:pPr>
      <w:bookmarkStart w:id="1510" w:name="bookmark1510"/>
      <w:bookmarkStart w:id="1511" w:name="bookmark1511"/>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10"/>
      <w:bookmarkEnd w:id="1511"/>
      <w:bookmarkEnd w:id="151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5,904,712.41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10,225,715.69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-5,620,620.94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-4,576,151.13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284,091.47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5,649,564.56</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15"/>
      <w:bookmarkEnd w:id="1516"/>
      <w:bookmarkEnd w:id="1517"/>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73"/>
        <w:gridCol w:w="461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102,077,058.83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9,186,935.28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1,902,183.25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1,576,988.24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-197,350.15</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本期未确认递延所得税资产的可抵扣暂时性差异或可抵扣亏损 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775,740.93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-13,851,720.42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单独申报的分公司税率差异影响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94,262.91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子公司不可结转以后年度弥补亏损的影响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795,618.33</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284,091.47</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4</w:t>
      </w:r>
      <w:bookmarkEnd w:id="1520"/>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518"/>
      <w:bookmarkEnd w:id="1519"/>
      <w:bookmarkEnd w:id="1521"/>
    </w:p>
    <w:p>
      <w:pPr>
        <w:pStyle w:val="Style27"/>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2" w:name="bookmark15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18"/>
      <w:bookmarkEnd w:id="1519"/>
      <w:bookmarkEnd w:id="152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收回押金及保证金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37,564,438.07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24,876,339.85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员工还备用金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6,258,996.43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6,007,869.49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5,633,124.69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1,575,232.99</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1,508,679.74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2,362,898.04</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代扣代缴分红派息所得税款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2,791,279.90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26,815,099.75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21,861,867.82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457,287.58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537,441.15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81,028,906.16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57,221,649.34</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27"/>
        <w:keepNext/>
        <w:keepLines/>
        <w:widowControl w:val="0"/>
        <w:shd w:val="clear" w:color="auto" w:fill="auto"/>
        <w:bidi w:val="0"/>
        <w:spacing w:before="0" w:line="240" w:lineRule="auto"/>
        <w:ind w:left="0" w:right="0" w:firstLine="0"/>
        <w:jc w:val="left"/>
      </w:pPr>
      <w:bookmarkStart w:id="1523" w:name="bookmark1523"/>
      <w:bookmarkStart w:id="1524" w:name="bookmark1524"/>
      <w:bookmarkStart w:id="1525" w:name="bookmark15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23"/>
      <w:bookmarkEnd w:id="1524"/>
      <w:bookmarkEnd w:id="1525"/>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支付的押金及保证金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55,788,021.81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28,903,846.38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支付员工备用金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8,518,178.77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8,175,298.20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1,161,719.40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900,415.54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代扣代缴分红派息所得税款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2,791,279.90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154,975,253.99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138,513,168.34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60,479.94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223,235,004.91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176,553,208.40</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27"/>
        <w:keepNext/>
        <w:keepLines/>
        <w:widowControl w:val="0"/>
        <w:shd w:val="clear" w:color="auto" w:fill="auto"/>
        <w:bidi w:val="0"/>
        <w:spacing w:before="0" w:line="240" w:lineRule="auto"/>
        <w:ind w:left="0" w:right="0" w:firstLine="0"/>
        <w:jc w:val="left"/>
      </w:pPr>
      <w:bookmarkStart w:id="1526" w:name="bookmark1526"/>
      <w:bookmarkStart w:id="1527" w:name="bookmark1527"/>
      <w:bookmarkStart w:id="1528" w:name="bookmark1528"/>
      <w:bookmarkStart w:id="1529" w:name="bookmark1529"/>
      <w:r>
        <w:rPr>
          <w:color w:val="000000"/>
          <w:spacing w:val="0"/>
          <w:w w:val="100"/>
          <w:position w:val="0"/>
        </w:rPr>
        <w:t>（</w:t>
      </w:r>
      <w:bookmarkEnd w:id="1528"/>
      <w:r>
        <w:rPr>
          <w:rFonts w:ascii="Times New Roman" w:eastAsia="Times New Roman" w:hAnsi="Times New Roman" w:cs="Times New Roman"/>
          <w:color w:val="000000"/>
          <w:spacing w:val="0"/>
          <w:w w:val="100"/>
          <w:position w:val="0"/>
        </w:rPr>
        <w:t>3</w:t>
      </w:r>
      <w:r>
        <w:rPr>
          <w:color w:val="000000"/>
          <w:spacing w:val="0"/>
          <w:w w:val="100"/>
          <w:position w:val="0"/>
        </w:rPr>
        <w:t>）收到的其他与筹资活动有关的现金</w:t>
      </w:r>
      <w:bookmarkEnd w:id="1526"/>
      <w:bookmarkEnd w:id="1527"/>
      <w:bookmarkEnd w:id="1529"/>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汤启明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88,932.00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质押定期存单收回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贷款评估费返还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宏远商业保理（天津）有限公司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65,888,932.00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r>
        <w:br w:type="page"/>
      </w:r>
    </w:p>
    <w:p>
      <w:pPr>
        <w:pStyle w:val="Style27"/>
        <w:keepNext/>
        <w:keepLines/>
        <w:widowControl w:val="0"/>
        <w:shd w:val="clear" w:color="auto" w:fill="auto"/>
        <w:bidi w:val="0"/>
        <w:spacing w:before="0" w:after="120" w:line="240" w:lineRule="auto"/>
        <w:ind w:left="0" w:right="0" w:firstLine="0"/>
        <w:jc w:val="left"/>
      </w:pPr>
      <w:bookmarkStart w:id="1530" w:name="bookmark1530"/>
      <w:bookmarkStart w:id="1531" w:name="bookmark1531"/>
      <w:bookmarkStart w:id="1532" w:name="bookmark1532"/>
      <w:bookmarkStart w:id="1533" w:name="bookmark1533"/>
      <w:r>
        <w:rPr>
          <w:color w:val="000000"/>
          <w:spacing w:val="0"/>
          <w:w w:val="100"/>
          <w:position w:val="0"/>
        </w:rPr>
        <w:t>（</w:t>
      </w:r>
      <w:bookmarkEnd w:id="1532"/>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530"/>
      <w:bookmarkEnd w:id="1531"/>
      <w:bookmarkEnd w:id="1533"/>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担保费、公证费、评估费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64,945.56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3,605,490.00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股直接费用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13,864,901.30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汤启明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88,932.00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宏远商业保理（天津）有限公司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27,452,382.31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12,547,617.69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质押定期存单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分红派息手续费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43,186.83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偿还租赁负债本金及利息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4,293,395.28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31,853,909.98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58,906,940.99</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7"/>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4</w:t>
      </w:r>
      <w:bookmarkEnd w:id="153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534"/>
      <w:bookmarkEnd w:id="1535"/>
      <w:bookmarkEnd w:id="1537"/>
    </w:p>
    <w:p>
      <w:pPr>
        <w:pStyle w:val="Style27"/>
        <w:keepNext/>
        <w:keepLines/>
        <w:widowControl w:val="0"/>
        <w:shd w:val="clear" w:color="auto" w:fill="auto"/>
        <w:bidi w:val="0"/>
        <w:spacing w:before="0" w:after="120" w:line="240" w:lineRule="auto"/>
        <w:ind w:left="0" w:right="0" w:firstLine="0"/>
        <w:jc w:val="left"/>
      </w:pPr>
      <w:bookmarkStart w:id="1534" w:name="bookmark1534"/>
      <w:bookmarkStart w:id="1535" w:name="bookmark1535"/>
      <w:bookmarkStart w:id="1538" w:name="bookmark15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34"/>
      <w:bookmarkEnd w:id="1535"/>
      <w:bookmarkEnd w:id="1538"/>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5395"/>
        <w:gridCol w:w="2410"/>
        <w:gridCol w:w="178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101,792,967.36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132,921,572.99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23,692,316.40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36,480,572.08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8,118,034.91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4,635,319.41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4,214,937.05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122,260.92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50,004.00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1,523,317.05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1,105,773.43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处置固定资产、无形资产和其他长期资产的损失（收益以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-16,340.21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8,584,081.39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19,027,398.41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-5,235,891.71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-3,629,906.27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-5,620,620.94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-4,576,151.13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95"/>
        <w:gridCol w:w="2410"/>
        <w:gridCol w:w="1781"/>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-60,824,289.33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-79,429,404.26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-367,532,489.39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-345,423,604.83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81,530,100.87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47,391,155.75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-6,737,676.55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-2,715,316.18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-231,372,951.97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-194,178,926.81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852,176,871.52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1,003,015,871.73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1,003,015,871.73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181,997,670.80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-150,839,000.21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821,018,200.93</w:t>
            </w:r>
          </w:p>
        </w:tc>
      </w:tr>
    </w:tbl>
    <w:p>
      <w:pPr>
        <w:widowControl w:val="0"/>
        <w:spacing w:after="339" w:line="1" w:lineRule="exact"/>
      </w:pPr>
    </w:p>
    <w:p>
      <w:pPr>
        <w:pStyle w:val="Style27"/>
        <w:keepNext/>
        <w:keepLines/>
        <w:widowControl w:val="0"/>
        <w:shd w:val="clear" w:color="auto" w:fill="auto"/>
        <w:bidi w:val="0"/>
        <w:spacing w:before="0" w:after="160" w:line="240" w:lineRule="auto"/>
        <w:ind w:left="0" w:right="0" w:firstLine="0"/>
        <w:jc w:val="left"/>
      </w:pPr>
      <w:bookmarkStart w:id="1539" w:name="bookmark1539"/>
      <w:bookmarkStart w:id="1540" w:name="bookmark1540"/>
      <w:bookmarkStart w:id="1541" w:name="bookmark15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539"/>
      <w:bookmarkEnd w:id="1540"/>
      <w:bookmarkEnd w:id="1541"/>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852,176,871.52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1,003,015,871.73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852,176,871.52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1,003,015,871.73</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852,176,871.52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1,003,015,871.73</w:t>
            </w:r>
          </w:p>
        </w:tc>
      </w:tr>
    </w:tbl>
    <w:p>
      <w:pPr>
        <w:widowControl w:val="0"/>
        <w:spacing w:after="99" w:line="1" w:lineRule="exact"/>
      </w:pPr>
    </w:p>
    <w:p>
      <w:pPr>
        <w:pStyle w:val="Style1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5</w:t>
      </w:r>
      <w:bookmarkEnd w:id="1544"/>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542"/>
      <w:bookmarkEnd w:id="1543"/>
      <w:bookmarkEnd w:id="1545"/>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16"/>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本公司报告期内合并股东权益变动情况见附注六之注释</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、注释</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、注释</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、注释</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、注释</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所述。</w:t>
      </w:r>
    </w:p>
    <w:p>
      <w:pPr>
        <w:pStyle w:val="Style27"/>
        <w:keepNext/>
        <w:keepLines/>
        <w:widowControl w:val="0"/>
        <w:shd w:val="clear" w:color="auto" w:fill="auto"/>
        <w:bidi w:val="0"/>
        <w:spacing w:before="0" w:after="10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5</w:t>
      </w:r>
      <w:bookmarkEnd w:id="1548"/>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546"/>
      <w:bookmarkEnd w:id="1547"/>
      <w:bookmarkEnd w:id="1549"/>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14,044,186.91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银行承兑汇票保证金</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97,671,293.42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111,715,480.33</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5</w:t>
      </w:r>
      <w:bookmarkEnd w:id="1552"/>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550"/>
      <w:bookmarkEnd w:id="1551"/>
      <w:bookmarkEnd w:id="1553"/>
    </w:p>
    <w:p>
      <w:pPr>
        <w:pStyle w:val="Style27"/>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4" w:name="bookmark15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50"/>
      <w:bookmarkEnd w:id="1551"/>
      <w:bookmarkEnd w:id="1554"/>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2,577,624.67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3,152,672.05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2,577,624.67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1,173,592.03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1,435,411.00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1,173,592.03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27"/>
        <w:keepNext/>
        <w:keepLines/>
        <w:widowControl w:val="0"/>
        <w:shd w:val="clear" w:color="auto" w:fill="auto"/>
        <w:bidi w:val="0"/>
        <w:spacing w:before="0" w:line="331" w:lineRule="exact"/>
        <w:ind w:left="0" w:right="0" w:firstLine="0"/>
        <w:jc w:val="left"/>
      </w:pPr>
      <w:bookmarkStart w:id="1555" w:name="bookmark1555"/>
      <w:bookmarkStart w:id="1556" w:name="bookmark1556"/>
      <w:bookmarkStart w:id="1557" w:name="bookmark15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55"/>
      <w:bookmarkEnd w:id="1556"/>
      <w:bookmarkEnd w:id="1557"/>
    </w:p>
    <w:p>
      <w:pPr>
        <w:pStyle w:val="Style1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keepLines/>
        <w:widowControl w:val="0"/>
        <w:shd w:val="clear" w:color="auto" w:fill="auto"/>
        <w:bidi w:val="0"/>
        <w:spacing w:before="0" w:after="280" w:line="331" w:lineRule="exact"/>
        <w:ind w:left="0" w:right="0" w:firstLine="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5</w:t>
      </w:r>
      <w:bookmarkEnd w:id="1560"/>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558"/>
      <w:bookmarkEnd w:id="1559"/>
      <w:bookmarkEnd w:id="1561"/>
    </w:p>
    <w:p>
      <w:pPr>
        <w:pStyle w:val="Style27"/>
        <w:keepNext/>
        <w:keepLines/>
        <w:widowControl w:val="0"/>
        <w:shd w:val="clear" w:color="auto" w:fill="auto"/>
        <w:bidi w:val="0"/>
        <w:spacing w:before="0" w:line="331" w:lineRule="exact"/>
        <w:ind w:left="0" w:right="0" w:firstLine="0"/>
        <w:jc w:val="left"/>
      </w:pPr>
      <w:bookmarkStart w:id="1558" w:name="bookmark1558"/>
      <w:bookmarkStart w:id="1559" w:name="bookmark1559"/>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58"/>
      <w:bookmarkEnd w:id="1559"/>
      <w:bookmarkEnd w:id="1562"/>
    </w:p>
    <w:p>
      <w:pPr>
        <w:pStyle w:val="Style1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718"/>
        <w:gridCol w:w="3067"/>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2,521,302.37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2,521,302.37</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23,593,449.00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西藏拉萨经济技术开发区管理委员会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年度第一批产业扶持专项资金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23,593,449.00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中小微企业以工代训补贴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4,726.56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拉萨市人力资源和社会保障局高校毕 业生社保补贴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4,726.56</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西藏拉萨经济技术开发区管理委员会 </w:t>
            </w:r>
            <w:r>
              <w:rPr>
                <w:rFonts w:ascii="Times New Roman" w:eastAsia="Times New Roman" w:hAnsi="Times New Roman" w:cs="Times New Roman"/>
                <w:color w:val="000000"/>
                <w:spacing w:val="0"/>
                <w:w w:val="100"/>
                <w:position w:val="0"/>
                <w:sz w:val="18"/>
                <w:szCs w:val="18"/>
              </w:rPr>
              <w:t>2017-2018</w:t>
            </w:r>
            <w:r>
              <w:rPr>
                <w:color w:val="000000"/>
                <w:spacing w:val="0"/>
                <w:w w:val="100"/>
                <w:position w:val="0"/>
              </w:rPr>
              <w:t>年创业板上市奖励资金</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bl>
    <w:p>
      <w:pPr>
        <w:widowControl w:val="0"/>
        <w:spacing w:line="1" w:lineRule="exact"/>
      </w:pPr>
      <w:r>
        <w:br w:type="page"/>
      </w:r>
    </w:p>
    <w:tbl>
      <w:tblPr>
        <w:tblOverlap w:val="never"/>
        <w:jc w:val="center"/>
        <w:tblLayout w:type="fixed"/>
      </w:tblPr>
      <w:tblGrid>
        <w:gridCol w:w="2400"/>
        <w:gridCol w:w="1718"/>
        <w:gridCol w:w="3067"/>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西藏拉萨经济技术开发区管理委员会 </w:t>
            </w:r>
            <w:r>
              <w:rPr>
                <w:rFonts w:ascii="Times New Roman" w:eastAsia="Times New Roman" w:hAnsi="Times New Roman" w:cs="Times New Roman"/>
                <w:color w:val="000000"/>
                <w:spacing w:val="0"/>
                <w:w w:val="100"/>
                <w:position w:val="0"/>
                <w:sz w:val="18"/>
                <w:szCs w:val="18"/>
              </w:rPr>
              <w:t>2017-2018</w:t>
            </w:r>
            <w:r>
              <w:rPr>
                <w:color w:val="000000"/>
                <w:spacing w:val="0"/>
                <w:w w:val="100"/>
                <w:position w:val="0"/>
              </w:rPr>
              <w:t>年高新技术企业奖励资金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65,494.51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天津京津电子商务产业园促进中介服 务企业扶持发展基金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65,494.51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50,429.68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50,429.68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科技型小微企业研发费用支持资金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中关村科技园区管理委员会支持资金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教育费附加减免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29,336,408.50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29,336,408.50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563" w:name="bookmark1563"/>
      <w:bookmarkStart w:id="1564" w:name="bookmark1564"/>
      <w:bookmarkStart w:id="1565" w:name="bookmark15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63"/>
      <w:bookmarkEnd w:id="1564"/>
      <w:bookmarkEnd w:id="1565"/>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1"/>
        <w:keepNext/>
        <w:keepLines/>
        <w:widowControl w:val="0"/>
        <w:shd w:val="clear" w:color="auto" w:fill="auto"/>
        <w:bidi w:val="0"/>
        <w:spacing w:before="0" w:after="38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八</w:t>
      </w:r>
      <w:bookmarkEnd w:id="1568"/>
      <w:r>
        <w:rPr>
          <w:color w:val="000000"/>
          <w:spacing w:val="0"/>
          <w:w w:val="100"/>
          <w:position w:val="0"/>
        </w:rPr>
        <w:t>、合并范围的变更</w:t>
      </w:r>
      <w:bookmarkEnd w:id="1566"/>
      <w:bookmarkEnd w:id="1567"/>
      <w:bookmarkEnd w:id="1569"/>
    </w:p>
    <w:p>
      <w:pPr>
        <w:pStyle w:val="Style27"/>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570"/>
      <w:bookmarkEnd w:id="1571"/>
      <w:bookmarkEnd w:id="1572"/>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624"/>
        <w:gridCol w:w="845"/>
        <w:gridCol w:w="576"/>
        <w:gridCol w:w="893"/>
        <w:gridCol w:w="734"/>
        <w:gridCol w:w="739"/>
        <w:gridCol w:w="734"/>
        <w:gridCol w:w="739"/>
        <w:gridCol w:w="734"/>
        <w:gridCol w:w="744"/>
      </w:tblGrid>
      <w:tr>
        <w:trPr>
          <w:trHeight w:val="290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股权处</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丧失控制</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权的时点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丧失 控制 权时 点的 确定 依据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处置价款 与处置投 资对应的 合并财务 报表层面 享有该子 公司净资 产份额的 差额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6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香港卡</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洛其咨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询有限</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-118,990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公司注 销，投资 款全部 无法收 回</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7"/>
        <w:keepNext/>
        <w:keepLines/>
        <w:widowControl w:val="0"/>
        <w:shd w:val="clear" w:color="auto" w:fill="auto"/>
        <w:bidi w:val="0"/>
        <w:spacing w:before="0" w:after="240" w:line="240" w:lineRule="auto"/>
        <w:ind w:left="0" w:right="0" w:firstLine="0"/>
        <w:jc w:val="left"/>
      </w:pPr>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573"/>
      <w:bookmarkEnd w:id="1574"/>
      <w:bookmarkEnd w:id="1575"/>
    </w:p>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说明其他原因导致的合并范围变动（如，新设子公司、清算子公司等）及其相关情况: 本报告期新设子公司纳入合并财务报表范围的主体变化如下：</w:t>
      </w:r>
    </w:p>
    <w:tbl>
      <w:tblPr>
        <w:tblOverlap w:val="never"/>
        <w:jc w:val="center"/>
        <w:tblLayout w:type="fixed"/>
      </w:tblPr>
      <w:tblGrid>
        <w:gridCol w:w="5323"/>
        <w:gridCol w:w="3226"/>
        <w:gridCol w:w="1128"/>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深圳昊天睿阳科技有限公司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长沙湘瓴睿阳科技有限公司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西藏天阳华瑞科技有限公司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天阳胜合科技（北京）有限公司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北京同创安胜咨询服务中心（有限合伙）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7"/>
        <w:keepNext/>
        <w:keepLines/>
        <w:widowControl w:val="0"/>
        <w:shd w:val="clear" w:color="auto" w:fill="auto"/>
        <w:bidi w:val="0"/>
        <w:spacing w:before="0" w:after="36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3</w:t>
      </w:r>
      <w:bookmarkEnd w:id="1578"/>
      <w:r>
        <w:rPr>
          <w:color w:val="000000"/>
          <w:spacing w:val="0"/>
          <w:w w:val="100"/>
          <w:position w:val="0"/>
        </w:rPr>
        <w:t>、其他</w:t>
      </w:r>
      <w:bookmarkEnd w:id="1576"/>
      <w:bookmarkEnd w:id="1577"/>
      <w:bookmarkEnd w:id="1579"/>
    </w:p>
    <w:p>
      <w:pPr>
        <w:pStyle w:val="Style21"/>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rPr>
        <w:t>九</w:t>
      </w:r>
      <w:bookmarkEnd w:id="1582"/>
      <w:r>
        <w:rPr>
          <w:color w:val="000000"/>
          <w:spacing w:val="0"/>
          <w:w w:val="100"/>
          <w:position w:val="0"/>
        </w:rPr>
        <w:t>、在其他主体中的权益</w:t>
      </w:r>
      <w:bookmarkEnd w:id="1580"/>
      <w:bookmarkEnd w:id="1581"/>
      <w:bookmarkEnd w:id="1583"/>
    </w:p>
    <w:p>
      <w:pPr>
        <w:pStyle w:val="Style27"/>
        <w:keepNext/>
        <w:keepLines/>
        <w:widowControl w:val="0"/>
        <w:shd w:val="clear" w:color="auto" w:fill="auto"/>
        <w:bidi w:val="0"/>
        <w:spacing w:before="0" w:after="360" w:line="240" w:lineRule="auto"/>
        <w:ind w:left="0" w:right="0" w:firstLine="0"/>
        <w:jc w:val="left"/>
      </w:pPr>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84"/>
      <w:bookmarkEnd w:id="1585"/>
      <w:bookmarkEnd w:id="1586"/>
    </w:p>
    <w:p>
      <w:pPr>
        <w:pStyle w:val="Style27"/>
        <w:keepNext/>
        <w:keepLines/>
        <w:widowControl w:val="0"/>
        <w:shd w:val="clear" w:color="auto" w:fill="auto"/>
        <w:bidi w:val="0"/>
        <w:spacing w:before="0" w:after="320" w:line="240" w:lineRule="auto"/>
        <w:ind w:left="0" w:right="0" w:firstLine="0"/>
        <w:jc w:val="left"/>
      </w:pPr>
      <w:bookmarkStart w:id="1584" w:name="bookmark1584"/>
      <w:bookmarkStart w:id="1585" w:name="bookmark1585"/>
      <w:bookmarkStart w:id="1587" w:name="bookmark15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84"/>
      <w:bookmarkEnd w:id="1585"/>
      <w:bookmarkEnd w:id="1587"/>
    </w:p>
    <w:tbl>
      <w:tblPr>
        <w:tblOverlap w:val="never"/>
        <w:jc w:val="center"/>
        <w:tblLayout w:type="fixed"/>
      </w:tblPr>
      <w:tblGrid>
        <w:gridCol w:w="2842"/>
        <w:gridCol w:w="994"/>
        <w:gridCol w:w="850"/>
        <w:gridCol w:w="1138"/>
        <w:gridCol w:w="850"/>
        <w:gridCol w:w="850"/>
        <w:gridCol w:w="2069"/>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厦门赞扬丰硕软件技术有限公司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厦门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厦门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同一控制下企业合并</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无锡天阳宏业软件技术有限公司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北京银恒通电子科技有限公司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北京鼎信天威科技有限公司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北京卡洛其咨询有限公司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信息贸易咨 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北京天阳融信科技有限公司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北京天阳融数科技有限公司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卡洛其（天津）企业管理咨询有限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天津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北京卡洛其咨询有限公司 投资设立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深圳昊天睿阳科技有限公司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深圳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长沙湘瓴睿阳科技有限公司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长沙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西藏天阳华瑞科技有限公司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拉萨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拉萨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天阳胜合科技（北京）有限公司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北京同创安胜咨询服务中心（有限</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16"/>
        <w:keepNext w:val="0"/>
        <w:keepLines w:val="0"/>
        <w:widowControl w:val="0"/>
        <w:shd w:val="clear" w:color="auto" w:fill="auto"/>
        <w:bidi w:val="0"/>
        <w:spacing w:before="0" w:after="0" w:line="312" w:lineRule="exact"/>
        <w:ind w:left="0" w:right="0"/>
        <w:jc w:val="both"/>
      </w:pPr>
      <w:bookmarkStart w:id="1588" w:name="bookmark1588"/>
      <w:r>
        <w:rPr>
          <w:color w:val="000000"/>
          <w:spacing w:val="0"/>
          <w:w w:val="100"/>
          <w:position w:val="0"/>
        </w:rPr>
        <w:t>（</w:t>
      </w:r>
      <w:bookmarkEnd w:id="15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）子公司的持股比例不同于表决权比例的原因：</w:t>
      </w:r>
    </w:p>
    <w:p>
      <w:pPr>
        <w:pStyle w:val="Style16"/>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）北京同创安胜咨询服务中心（有限合伙）</w:t>
      </w:r>
    </w:p>
    <w:p>
      <w:pPr>
        <w:pStyle w:val="Style16"/>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北京同创安胜咨询服务中心（有限合伙）（以下简称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同创安胜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）是本公司之全资子公司北京银恒通电子科技有限公 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银恒通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）同自然人金咏梅共同出资设立的有限合伙企业，其中银恒通出资</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万元为普通合伙人，金咏梅出 资</w:t>
      </w:r>
      <w:r>
        <w:rPr>
          <w:rFonts w:ascii="Times New Roman" w:eastAsia="Times New Roman" w:hAnsi="Times New Roman" w:cs="Times New Roman"/>
          <w:color w:val="000000"/>
          <w:spacing w:val="0"/>
          <w:w w:val="100"/>
          <w:position w:val="0"/>
          <w:sz w:val="18"/>
          <w:szCs w:val="18"/>
        </w:rPr>
        <w:t>149.90</w:t>
      </w:r>
      <w:r>
        <w:rPr>
          <w:color w:val="000000"/>
          <w:spacing w:val="0"/>
          <w:w w:val="100"/>
          <w:position w:val="0"/>
        </w:rPr>
        <w:t>万元为有限合伙人。全体合伙人委托银恒通为执行事务合伙人，负责企业日常运营，对外代表合伙企业。银恒通作 为普通合伙人，对外执行合伙企业事务，故本公司对同创安胜的持股比例不同于表决权比例。</w:t>
      </w:r>
    </w:p>
    <w:p>
      <w:pPr>
        <w:pStyle w:val="Style23"/>
        <w:keepNext w:val="0"/>
        <w:keepLines w:val="0"/>
        <w:widowControl w:val="0"/>
        <w:shd w:val="clear" w:color="auto" w:fill="auto"/>
        <w:bidi w:val="0"/>
        <w:spacing w:before="0" w:after="100" w:line="240" w:lineRule="auto"/>
        <w:ind w:left="403"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）天阳胜合科技（北京）有限公司</w:t>
      </w:r>
    </w:p>
    <w:p>
      <w:pPr>
        <w:pStyle w:val="Style23"/>
        <w:keepNext w:val="0"/>
        <w:keepLines w:val="0"/>
        <w:widowControl w:val="0"/>
        <w:shd w:val="clear" w:color="auto" w:fill="auto"/>
        <w:bidi w:val="0"/>
        <w:spacing w:before="0" w:after="0" w:line="240" w:lineRule="auto"/>
        <w:ind w:left="403" w:right="0" w:firstLine="0"/>
        <w:jc w:val="left"/>
      </w:pPr>
      <w:r>
        <w:rPr>
          <w:color w:val="000000"/>
          <w:spacing w:val="0"/>
          <w:w w:val="100"/>
          <w:position w:val="0"/>
        </w:rPr>
        <w:t>天阳胜合科技（北京）有限公司（以下简称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天阳胜合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）股东组成情况如下:</w:t>
      </w:r>
    </w:p>
    <w:tbl>
      <w:tblPr>
        <w:tblOverlap w:val="never"/>
        <w:jc w:val="center"/>
        <w:tblLayout w:type="fixed"/>
      </w:tblPr>
      <w:tblGrid>
        <w:gridCol w:w="4757"/>
        <w:gridCol w:w="2621"/>
        <w:gridCol w:w="2299"/>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认缴注册资本（万元）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宁波胜合企业管理合伙企业（有限合伙）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同创安胜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6"/>
        <w:keepNext w:val="0"/>
        <w:keepLines w:val="0"/>
        <w:widowControl w:val="0"/>
        <w:shd w:val="clear" w:color="auto" w:fill="auto"/>
        <w:bidi w:val="0"/>
        <w:spacing w:before="0" w:after="40" w:line="312" w:lineRule="exact"/>
        <w:ind w:left="0" w:right="0" w:firstLine="300"/>
        <w:jc w:val="both"/>
      </w:pPr>
      <w:r>
        <w:rPr>
          <w:color w:val="000000"/>
          <w:spacing w:val="0"/>
          <w:w w:val="100"/>
          <w:position w:val="0"/>
        </w:rPr>
        <w:t>本公司直接持有天阳胜合</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股权，并通过银恒通为普通合伙人的北京同创安胜咨询服务中心（有限合伙）间接持有 天阳胜合</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股权，合计持有天阳胜合</w:t>
      </w:r>
      <w:r>
        <w:rPr>
          <w:rFonts w:ascii="Times New Roman" w:eastAsia="Times New Roman" w:hAnsi="Times New Roman" w:cs="Times New Roman"/>
          <w:color w:val="000000"/>
          <w:spacing w:val="0"/>
          <w:w w:val="100"/>
          <w:position w:val="0"/>
          <w:sz w:val="18"/>
          <w:szCs w:val="18"/>
        </w:rPr>
        <w:t>45.01%</w:t>
      </w:r>
      <w:r>
        <w:rPr>
          <w:color w:val="000000"/>
          <w:spacing w:val="0"/>
          <w:w w:val="100"/>
          <w:position w:val="0"/>
        </w:rPr>
        <w:t>股权。由于银恒通作为普通合伙人，代表同创安胜执行合伙企业事务，故本 公司对天阳胜合表决权比例达到</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，与持股比例不同。</w:t>
      </w:r>
    </w:p>
    <w:p>
      <w:pPr>
        <w:pStyle w:val="Style16"/>
        <w:keepNext w:val="0"/>
        <w:keepLines w:val="0"/>
        <w:widowControl w:val="0"/>
        <w:shd w:val="clear" w:color="auto" w:fill="auto"/>
        <w:bidi w:val="0"/>
        <w:spacing w:before="0" w:after="40" w:line="312" w:lineRule="exact"/>
        <w:ind w:left="0" w:right="0" w:firstLine="0"/>
        <w:jc w:val="both"/>
      </w:pPr>
      <w:r>
        <w:rPr>
          <w:color w:val="000000"/>
          <w:spacing w:val="0"/>
          <w:w w:val="100"/>
          <w:position w:val="0"/>
        </w:rPr>
        <w:t>持有半数或以下表决权但仍控制被投资单位、以及持有半数以上表决权但不控制被投资单位的依据：</w:t>
      </w:r>
    </w:p>
    <w:p>
      <w:pPr>
        <w:pStyle w:val="Style16"/>
        <w:keepNext w:val="0"/>
        <w:keepLines w:val="0"/>
        <w:widowControl w:val="0"/>
        <w:shd w:val="clear" w:color="auto" w:fill="auto"/>
        <w:bidi w:val="0"/>
        <w:spacing w:before="0" w:after="40" w:line="312" w:lineRule="exact"/>
        <w:ind w:left="0" w:right="0" w:firstLine="0"/>
        <w:jc w:val="both"/>
      </w:pPr>
      <w:r>
        <w:rPr>
          <w:color w:val="000000"/>
          <w:spacing w:val="0"/>
          <w:w w:val="100"/>
          <w:position w:val="0"/>
        </w:rPr>
        <w:t>对于纳入合并范围的重要的结构化主体，控制的依据：</w:t>
      </w:r>
    </w:p>
    <w:p>
      <w:pPr>
        <w:pStyle w:val="Style16"/>
        <w:keepNext w:val="0"/>
        <w:keepLines w:val="0"/>
        <w:widowControl w:val="0"/>
        <w:shd w:val="clear" w:color="auto" w:fill="auto"/>
        <w:bidi w:val="0"/>
        <w:spacing w:before="0" w:after="40" w:line="312" w:lineRule="exact"/>
        <w:ind w:left="0" w:right="0" w:firstLine="0"/>
        <w:jc w:val="both"/>
      </w:pPr>
      <w:r>
        <w:rPr>
          <w:color w:val="000000"/>
          <w:spacing w:val="0"/>
          <w:w w:val="100"/>
          <w:position w:val="0"/>
        </w:rPr>
        <w:t>确定公司是代理人还是委托人的依据：</w:t>
      </w:r>
    </w:p>
    <w:p>
      <w:pPr>
        <w:pStyle w:val="Style1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589"/>
      <w:bookmarkEnd w:id="1590"/>
      <w:bookmarkEnd w:id="1591"/>
    </w:p>
    <w:p>
      <w:pPr>
        <w:pStyle w:val="Style27"/>
        <w:keepNext/>
        <w:keepLines/>
        <w:widowControl w:val="0"/>
        <w:shd w:val="clear" w:color="auto" w:fill="auto"/>
        <w:bidi w:val="0"/>
        <w:spacing w:before="0" w:after="320" w:line="240" w:lineRule="auto"/>
        <w:ind w:left="0" w:right="0" w:firstLine="0"/>
        <w:jc w:val="both"/>
      </w:pPr>
      <w:bookmarkStart w:id="1589" w:name="bookmark1589"/>
      <w:bookmarkStart w:id="1590" w:name="bookmark1590"/>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89"/>
      <w:bookmarkEnd w:id="1590"/>
      <w:bookmarkEnd w:id="1592"/>
    </w:p>
    <w:tbl>
      <w:tblPr>
        <w:tblOverlap w:val="never"/>
        <w:jc w:val="center"/>
        <w:tblLayout w:type="fixed"/>
      </w:tblPr>
      <w:tblGrid>
        <w:gridCol w:w="1378"/>
        <w:gridCol w:w="1368"/>
        <w:gridCol w:w="1368"/>
        <w:gridCol w:w="1368"/>
        <w:gridCol w:w="1368"/>
        <w:gridCol w:w="1238"/>
        <w:gridCol w:w="1502"/>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北京德惠众合信 息技术有限公司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北京和顺恒通科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北京金实宏成技 术有限公司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在合营企业或联营企业的持股比例不同于表决权比例的说明：</w:t>
      </w:r>
    </w:p>
    <w:p>
      <w:pPr>
        <w:pStyle w:val="Style16"/>
        <w:keepNext w:val="0"/>
        <w:keepLines w:val="0"/>
        <w:widowControl w:val="0"/>
        <w:shd w:val="clear" w:color="auto" w:fill="auto"/>
        <w:bidi w:val="0"/>
        <w:spacing w:before="0" w:after="80" w:line="240" w:lineRule="auto"/>
        <w:ind w:left="0" w:right="0" w:firstLine="0"/>
        <w:jc w:val="both"/>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r>
        <w:br w:type="page"/>
      </w:r>
    </w:p>
    <w:p>
      <w:pPr>
        <w:pStyle w:val="Style27"/>
        <w:keepNext/>
        <w:keepLines/>
        <w:widowControl w:val="0"/>
        <w:shd w:val="clear" w:color="auto" w:fill="auto"/>
        <w:bidi w:val="0"/>
        <w:spacing w:before="0" w:after="360" w:line="240" w:lineRule="auto"/>
        <w:ind w:left="0" w:right="0" w:firstLine="0"/>
        <w:jc w:val="left"/>
      </w:pPr>
      <w:bookmarkStart w:id="1593" w:name="bookmark1593"/>
      <w:bookmarkStart w:id="1594" w:name="bookmark1594"/>
      <w:bookmarkStart w:id="1595" w:name="bookmark15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93"/>
      <w:bookmarkEnd w:id="1594"/>
      <w:bookmarkEnd w:id="159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北京德惠众合信息技术 有限公司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北京和顺恒通科技有限 公司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北京金实宏成技术有限 公司</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北京德惠众合信息技术 有限公司</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17,083,068.02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24,594,540.45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4,819,383.44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21,900,348.78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17,474,455.36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35,555,427.58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14,125,000.00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15,462,249.17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34,557,523.38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60,149,968.03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18,944,383.44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37,362,597.95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5,730,577.95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17,629,479.13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1,238,640.21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9,030,842.62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6,900,551.50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5,905,577.95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24,530,030.63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1,238,640.21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9,205,842.62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28,651,945.43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35,619,937.40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17,705,743.23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28,156,755.33</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5,730,389.09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9,372,424.78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13,682,297.29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5,631,351.07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5,820,317.23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33,630,400.68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5,820,317.23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11,550,706.32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43,002,825.46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13,682,297.29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11,451,668.30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存在公开报价的联营企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29,775,746.79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34,755,545.45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2,667,380.18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22,919,004.74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495,190.10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-4,567,348.87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-3,294,256.77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-373,016.84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495,190.10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-4,567,348.87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-3,294,256.77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-373,016.84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keepLines/>
        <w:widowControl w:val="0"/>
        <w:shd w:val="clear" w:color="auto" w:fill="auto"/>
        <w:bidi w:val="0"/>
        <w:spacing w:before="0" w:after="260" w:line="240" w:lineRule="auto"/>
        <w:ind w:left="0" w:right="0" w:firstLine="0"/>
        <w:jc w:val="left"/>
      </w:pPr>
      <w:bookmarkStart w:id="1596" w:name="bookmark1596"/>
      <w:bookmarkStart w:id="1597" w:name="bookmark1597"/>
      <w:bookmarkStart w:id="1598" w:name="bookmark1598"/>
      <w:r>
        <w:rPr>
          <w:color w:val="000000"/>
          <w:spacing w:val="0"/>
          <w:w w:val="100"/>
          <w:position w:val="0"/>
        </w:rPr>
        <w:t>十、与金融工具相关的风险</w:t>
      </w:r>
      <w:bookmarkEnd w:id="1596"/>
      <w:bookmarkEnd w:id="1597"/>
      <w:bookmarkEnd w:id="1598"/>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本公司的主要金融工具包括货币资金、股权投资、借款、应收款项、应付款项等。在日常活动中面临各种金融工具的 风险，主要包括信用风险、流动性风险、市场风险。与这些金融工具相关的风险，以及本公司为降低这些风险所采取的风险 管理政策如下所述：</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核结果上报本公司的审计委员会。本公司通过适当的多样化投资及业务组合来分散金融工具风险，并通过制定相应的风险管 理政策减少集中于单一行业、特定地区或特定交易对手的风险。</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（一）信用风险</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信用风险是指交易对手未能履行合同义务而导致本公司产生财务损失的风险，管理层已制定适当的信用政策，并且不 断监察信用风险的敞口。</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本公司已采取政策只与信用良好的交易对手进行交易。另外，本公司基于对客户的财务状况、从第三方获取担保的可 能性、信用记录及其它因素诸如目前市场状况等评估客户的信用资质并设置相应信用期。本公司对应收票据、应收账款余额 及收回情况进行持续监控，对于信用记录不良的客户，本公司会采用书面催款、缩短信用期或取消信用期等方式，以确保本 公司不致面临重大信用损失。此外，本公司于每个资产负债表日审核金融资产的回收情况，以确保相关金融资产计提了充分 的预期信用损失准备。</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本公司其他金融资产包括货币资金、其他应收款等，这些金融资产的信用风险源自于交易对手违约，最大信用风险敞 口为资产负债表中每项金融资产的账面金额。本公司没有提供任何其他可能令本公司承受信用风险的担保。</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本公司持有的货币资金主要存放于国有控股银行和其他大中型商业银行等金融机构，管理层认为这些商业银行具备较 高信誉和资产状况，不存在重大的信用风险，不会产生因对方单位违约而导致的任何重大损失。本公司的政策是根据各知名 金融机构的市场信誉、经营规模及财务背景来控制存放当中的存款金额，以限制对任何单个金融机构的信用风险金额。</w:t>
      </w:r>
    </w:p>
    <w:p>
      <w:pPr>
        <w:pStyle w:val="Style16"/>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作为本公司信用风险资产管理的一部分，本公司利用账龄来评估应收账款和其他应收款的减值损失。本公司的应收账 款和其他应收款涉及大量客户，账龄信息可以反映这些客户对于应收账款和其他应收款的偿付能力和坏账风险。本公司根据 历史数据计算不同账龄期间的历史实际坏账率，并考虑了当前及未来经济状况的预测等前瞻性信息进行调整得出预期损失 率。对于长期应收款，本公司综合考虑结算期、合同约定付款期、债务人的财务状况和债务人所处行业的经济形势，并考虑 上述前瞻性信息进行调整后对于预期信用损失进行合理评估。</w:t>
      </w:r>
    </w:p>
    <w:p>
      <w:pPr>
        <w:pStyle w:val="Style23"/>
        <w:keepNext w:val="0"/>
        <w:keepLines w:val="0"/>
        <w:widowControl w:val="0"/>
        <w:shd w:val="clear" w:color="auto" w:fill="auto"/>
        <w:bidi w:val="0"/>
        <w:spacing w:before="0" w:after="0" w:line="240" w:lineRule="auto"/>
        <w:ind w:left="408"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日，相关资产的账面余额与预期信用减值损失情况如下:</w:t>
      </w:r>
    </w:p>
    <w:tbl>
      <w:tblPr>
        <w:tblOverlap w:val="never"/>
        <w:jc w:val="center"/>
        <w:tblLayout w:type="fixed"/>
      </w:tblPr>
      <w:tblGrid>
        <w:gridCol w:w="3667"/>
        <w:gridCol w:w="3048"/>
        <w:gridCol w:w="2962"/>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1,364,655,031.79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111,328,909.47</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137,023,500.27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7,342,614.67</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38,324,801.32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3,615,902.13</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1,540,003,333.38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122,287,426.27</w:t>
            </w:r>
          </w:p>
        </w:tc>
      </w:tr>
    </w:tbl>
    <w:p>
      <w:pPr>
        <w:pStyle w:val="Style23"/>
        <w:keepNext w:val="0"/>
        <w:keepLines w:val="0"/>
        <w:widowControl w:val="0"/>
        <w:shd w:val="clear" w:color="auto" w:fill="auto"/>
        <w:bidi w:val="0"/>
        <w:spacing w:before="0" w:after="0" w:line="240" w:lineRule="auto"/>
        <w:ind w:left="413" w:right="0" w:firstLine="0"/>
        <w:jc w:val="left"/>
      </w:pPr>
      <w:r>
        <w:rPr>
          <w:color w:val="000000"/>
          <w:spacing w:val="0"/>
          <w:w w:val="100"/>
          <w:position w:val="0"/>
        </w:rPr>
        <w:t>本公司的主要客户为银行客户，该等客户具有可靠及良好的信誉，因此，本公司认为该等客户并无重大信用风险。由</w:t>
      </w:r>
    </w:p>
    <w:p>
      <w:pPr>
        <w:pStyle w:val="Style16"/>
        <w:keepNext w:val="0"/>
        <w:keepLines w:val="0"/>
        <w:widowControl w:val="0"/>
        <w:shd w:val="clear" w:color="auto" w:fill="auto"/>
        <w:bidi w:val="0"/>
        <w:spacing w:before="0" w:after="0" w:line="314" w:lineRule="exact"/>
        <w:ind w:left="0" w:right="0" w:firstLine="0"/>
        <w:jc w:val="left"/>
      </w:pPr>
      <w:r>
        <w:rPr>
          <w:color w:val="000000"/>
          <w:spacing w:val="0"/>
          <w:w w:val="100"/>
          <w:position w:val="0"/>
        </w:rPr>
        <w:t>于本公司的客户广泛，因此没有重大的信用集中风险。</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日，本公司前五大客户的应收账款占本公司应收账款总额的</w:t>
      </w:r>
      <w:r>
        <w:rPr>
          <w:rFonts w:ascii="Times New Roman" w:eastAsia="Times New Roman" w:hAnsi="Times New Roman" w:cs="Times New Roman"/>
          <w:color w:val="000000"/>
          <w:spacing w:val="0"/>
          <w:w w:val="100"/>
          <w:position w:val="0"/>
          <w:sz w:val="18"/>
          <w:szCs w:val="18"/>
        </w:rPr>
        <w:t>50.81%</w:t>
      </w:r>
      <w:r>
        <w:rPr>
          <w:color w:val="000000"/>
          <w:spacing w:val="0"/>
          <w:w w:val="100"/>
          <w:position w:val="0"/>
        </w:rPr>
        <w:t>。</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本公司投资的银行理财产品，交易对方的信用评级须高于或与本公司相同。鉴于交易对方的信用评级良好，本公司管 理层并不预期交易对方会无法履行义务。</w:t>
      </w:r>
    </w:p>
    <w:p>
      <w:pPr>
        <w:pStyle w:val="Style1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本公司所承受的最大信用风险敞口为资产负债表中每项金融资产的账面金额。本公司没有提供任何其他可能令本公司 承受信用风险的担保。</w:t>
      </w:r>
    </w:p>
    <w:p>
      <w:pPr>
        <w:pStyle w:val="Style16"/>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（二）流动性风险</w:t>
      </w:r>
      <w:r>
        <w:br w:type="page"/>
      </w:r>
    </w:p>
    <w:p>
      <w:pPr>
        <w:pStyle w:val="Style16"/>
        <w:keepNext w:val="0"/>
        <w:keepLines w:val="0"/>
        <w:widowControl w:val="0"/>
        <w:shd w:val="clear" w:color="auto" w:fill="auto"/>
        <w:bidi w:val="0"/>
        <w:spacing w:before="0" w:after="100" w:line="309" w:lineRule="exact"/>
        <w:ind w:left="0" w:right="0" w:firstLine="440"/>
        <w:jc w:val="both"/>
      </w:pPr>
      <w:r>
        <w:rPr>
          <w:color w:val="000000"/>
          <w:spacing w:val="0"/>
          <w:w w:val="100"/>
          <w:position w:val="0"/>
        </w:rPr>
        <w:t>流动性风险是指本公司在履行以交付现金或其他金融资产的方式结算的义务时发生资金短缺的风险。本公司下属成员 企业各自负责其现金流量预测。公司下属财务部门基于各成员企业的现金流量预测结果，在公司层面持续监控公司短期和长 期的资金需求，以确保维持充裕的现金储备；同时持续监控是否符合借款协议的规定，从主要金融机构获得提供足够备用资 金的承诺，以满足短期和长期的资金需求。此外，本公司与主要业务往来银行订立融资额度授信协议，为本公司履行与商业 票据相关的义务提供支持。截止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日，本公司已拥有国内多家银行提供的银行授信额度，金额</w:t>
      </w:r>
      <w:r>
        <w:rPr>
          <w:rFonts w:ascii="Times New Roman" w:eastAsia="Times New Roman" w:hAnsi="Times New Roman" w:cs="Times New Roman"/>
          <w:color w:val="000000"/>
          <w:spacing w:val="0"/>
          <w:w w:val="100"/>
          <w:position w:val="0"/>
          <w:sz w:val="18"/>
          <w:szCs w:val="18"/>
        </w:rPr>
        <w:t>43,800.00</w:t>
      </w:r>
      <w:r>
        <w:rPr>
          <w:color w:val="000000"/>
          <w:spacing w:val="0"/>
          <w:w w:val="100"/>
          <w:position w:val="0"/>
        </w:rPr>
        <w:t>万元，其 中：已使用授信金额为</w:t>
      </w:r>
      <w:r>
        <w:rPr>
          <w:rFonts w:ascii="Times New Roman" w:eastAsia="Times New Roman" w:hAnsi="Times New Roman" w:cs="Times New Roman"/>
          <w:color w:val="000000"/>
          <w:spacing w:val="0"/>
          <w:w w:val="100"/>
          <w:position w:val="0"/>
          <w:sz w:val="18"/>
          <w:szCs w:val="18"/>
        </w:rPr>
        <w:t>33,800.00</w:t>
      </w:r>
      <w:r>
        <w:rPr>
          <w:color w:val="000000"/>
          <w:spacing w:val="0"/>
          <w:w w:val="100"/>
          <w:position w:val="0"/>
        </w:rPr>
        <w:t>万元。</w:t>
      </w:r>
    </w:p>
    <w:p>
      <w:pPr>
        <w:pStyle w:val="Style23"/>
        <w:keepNext w:val="0"/>
        <w:keepLines w:val="0"/>
        <w:widowControl w:val="0"/>
        <w:shd w:val="clear" w:color="auto" w:fill="auto"/>
        <w:bidi w:val="0"/>
        <w:spacing w:before="0" w:after="0" w:line="240" w:lineRule="auto"/>
        <w:ind w:left="408"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日，本公司金融负债和表外担保项目以未折现的合同现金流量按合同剩余期限列示如下:</w:t>
      </w:r>
    </w:p>
    <w:tbl>
      <w:tblPr>
        <w:tblOverlap w:val="never"/>
        <w:jc w:val="center"/>
        <w:tblLayout w:type="fixed"/>
      </w:tblPr>
      <w:tblGrid>
        <w:gridCol w:w="1565"/>
        <w:gridCol w:w="1464"/>
        <w:gridCol w:w="1430"/>
        <w:gridCol w:w="1435"/>
        <w:gridCol w:w="1363"/>
        <w:gridCol w:w="1272"/>
        <w:gridCol w:w="1147"/>
      </w:tblGrid>
      <w:tr>
        <w:trPr>
          <w:trHeight w:val="35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600"/>
              <w:jc w:val="left"/>
            </w:pPr>
            <w:r>
              <w:rPr>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账面原值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45,013,479.40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45,013,479.40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45,013,479.40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34,348,127.23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34,348,127.23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34,348,127.23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6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一年内到期的非流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动负债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4,417,884.32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4,417,884.32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4,417,884.32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6,943,282.09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6,943,282.09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2,145,875.20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4,797,406.89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433,582,773.04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433,582,773.04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426,639,490.95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2,145,875.20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4,797,406.89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100" w:line="240" w:lineRule="auto"/>
        <w:ind w:left="422" w:right="0" w:firstLine="0"/>
        <w:jc w:val="left"/>
      </w:pPr>
      <w:r>
        <w:rPr>
          <w:color w:val="000000"/>
          <w:spacing w:val="0"/>
          <w:w w:val="100"/>
          <w:position w:val="0"/>
        </w:rPr>
        <w:t>(三)市场风险</w:t>
      </w:r>
    </w:p>
    <w:p>
      <w:pPr>
        <w:pStyle w:val="Style23"/>
        <w:keepNext w:val="0"/>
        <w:keepLines w:val="0"/>
        <w:widowControl w:val="0"/>
        <w:shd w:val="clear" w:color="auto" w:fill="auto"/>
        <w:bidi w:val="0"/>
        <w:spacing w:before="0" w:after="0" w:line="240" w:lineRule="auto"/>
        <w:ind w:left="422"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.汇率风险</w:t>
      </w:r>
    </w:p>
    <w:p>
      <w:pPr>
        <w:pStyle w:val="Style16"/>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本公司的主要经营位于中国境内，主要业务以人民币结算。但本公司已确认的外币资产和负债及未来的外币交易(外 币资产和负债及外币交易的计价货币主要为港币)依然存在汇率风险。本公司财务部门负责监控公司外币交易和外币资产及 负债的规模，以最大程度降低面临的汇率风险；为此，本公司可能会以签署远期外汇合约或货币互换合约来达到规避汇率风 险的目的。</w:t>
      </w:r>
    </w:p>
    <w:p>
      <w:pPr>
        <w:pStyle w:val="Style23"/>
        <w:keepNext w:val="0"/>
        <w:keepLines w:val="0"/>
        <w:widowControl w:val="0"/>
        <w:numPr>
          <w:ilvl w:val="0"/>
          <w:numId w:val="115"/>
        </w:numPr>
        <w:shd w:val="clear" w:color="auto" w:fill="auto"/>
        <w:tabs>
          <w:tab w:pos="763" w:val="left"/>
        </w:tabs>
        <w:bidi w:val="0"/>
        <w:spacing w:before="0" w:after="80" w:line="240" w:lineRule="auto"/>
        <w:ind w:left="432" w:right="0" w:firstLine="0"/>
        <w:jc w:val="left"/>
      </w:pPr>
      <w:r>
        <w:rPr>
          <w:color w:val="000000"/>
          <w:spacing w:val="0"/>
          <w:w w:val="100"/>
          <w:position w:val="0"/>
        </w:rPr>
        <w:t>本年度公司未签署任何远期外汇合约或货币互换合约。</w:t>
      </w:r>
    </w:p>
    <w:p>
      <w:pPr>
        <w:pStyle w:val="Style23"/>
        <w:keepNext w:val="0"/>
        <w:keepLines w:val="0"/>
        <w:widowControl w:val="0"/>
        <w:numPr>
          <w:ilvl w:val="0"/>
          <w:numId w:val="115"/>
        </w:numPr>
        <w:shd w:val="clear" w:color="auto" w:fill="auto"/>
        <w:tabs>
          <w:tab w:pos="763" w:val="left"/>
        </w:tabs>
        <w:bidi w:val="0"/>
        <w:spacing w:before="0" w:after="0" w:line="240" w:lineRule="auto"/>
        <w:ind w:left="432"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日，本公司持有的外币金融资产和外币金融负债折算成人民币的金额列示如下:</w:t>
      </w:r>
    </w:p>
    <w:tbl>
      <w:tblPr>
        <w:tblOverlap w:val="never"/>
        <w:jc w:val="center"/>
        <w:tblLayout w:type="fixed"/>
      </w:tblPr>
      <w:tblGrid>
        <w:gridCol w:w="3552"/>
        <w:gridCol w:w="3058"/>
        <w:gridCol w:w="3067"/>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2,577,624.67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2,577,624.67</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1,173,592.03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1,173,592.03</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3,751,216.70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3,751,216.70</w:t>
            </w:r>
          </w:p>
        </w:tc>
      </w:tr>
    </w:tbl>
    <w:p>
      <w:pPr>
        <w:pStyle w:val="Style23"/>
        <w:keepNext w:val="0"/>
        <w:keepLines w:val="0"/>
        <w:widowControl w:val="0"/>
        <w:shd w:val="clear" w:color="auto" w:fill="auto"/>
        <w:bidi w:val="0"/>
        <w:spacing w:before="0" w:after="100" w:line="240" w:lineRule="auto"/>
        <w:ind w:left="408"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)敏感性分析：</w:t>
      </w:r>
    </w:p>
    <w:p>
      <w:pPr>
        <w:pStyle w:val="Style23"/>
        <w:keepNext w:val="0"/>
        <w:keepLines w:val="0"/>
        <w:widowControl w:val="0"/>
        <w:shd w:val="clear" w:color="auto" w:fill="auto"/>
        <w:bidi w:val="0"/>
        <w:spacing w:before="0" w:after="0" w:line="240" w:lineRule="auto"/>
        <w:ind w:left="408"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日，对于本公司港币金融资产和港币金融负债，如果人民币对港币升值或贬值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，其他因素保持</w:t>
      </w:r>
    </w:p>
    <w:p>
      <w:pPr>
        <w:pStyle w:val="Style1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不变，则本公司将减少或增加净利润约</w:t>
      </w:r>
      <w:r>
        <w:rPr>
          <w:rFonts w:ascii="Times New Roman" w:eastAsia="Times New Roman" w:hAnsi="Times New Roman" w:cs="Times New Roman"/>
          <w:color w:val="000000"/>
          <w:spacing w:val="0"/>
          <w:w w:val="100"/>
          <w:position w:val="0"/>
          <w:sz w:val="18"/>
          <w:szCs w:val="18"/>
        </w:rPr>
        <w:t>375,121.6</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年度约</w:t>
      </w:r>
      <w:r>
        <w:rPr>
          <w:rFonts w:ascii="Times New Roman" w:eastAsia="Times New Roman" w:hAnsi="Times New Roman" w:cs="Times New Roman"/>
          <w:color w:val="000000"/>
          <w:spacing w:val="0"/>
          <w:w w:val="100"/>
          <w:position w:val="0"/>
          <w:sz w:val="18"/>
          <w:szCs w:val="18"/>
        </w:rPr>
        <w:t>273,276.14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6"/>
        <w:keepNext w:val="0"/>
        <w:keepLines w:val="0"/>
        <w:widowControl w:val="0"/>
        <w:numPr>
          <w:ilvl w:val="0"/>
          <w:numId w:val="117"/>
        </w:numPr>
        <w:shd w:val="clear" w:color="auto" w:fill="auto"/>
        <w:bidi w:val="0"/>
        <w:spacing w:before="0" w:after="0" w:line="360" w:lineRule="auto"/>
        <w:ind w:left="0" w:right="0" w:firstLine="440"/>
        <w:jc w:val="both"/>
      </w:pPr>
      <w:bookmarkStart w:id="1599" w:name="bookmark1599"/>
      <w:bookmarkEnd w:id="1599"/>
      <w:r>
        <w:rPr>
          <w:color w:val="000000"/>
          <w:spacing w:val="0"/>
          <w:w w:val="100"/>
          <w:position w:val="0"/>
        </w:rPr>
        <w:t>利率风险</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本公司的利率风险主要产生于银行借款。浮动利率的金融负债使本公司面临现金流量利率风险，固定利率的金融负债 使本公司面临公允价值利率风险。本公司根据当时的市场环境来决定固定利率及浮动利率合同的相对比例。</w:t>
      </w:r>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本公司财务部门持续监控公司利率水平。利率上升会增加新增带息债务的成本以及本公司尚未付清的以浮动利率计息 的带息债务的利息支出，并对本公司的财务业绩产生重大的不利影响，管理层会依据最新的市场状况及时做出调整，这些调 整可能是进行利率互换的安排来降低利率风险。</w:t>
      </w:r>
    </w:p>
    <w:p>
      <w:pPr>
        <w:pStyle w:val="Style16"/>
        <w:keepNext w:val="0"/>
        <w:keepLines w:val="0"/>
        <w:widowControl w:val="0"/>
        <w:numPr>
          <w:ilvl w:val="0"/>
          <w:numId w:val="119"/>
        </w:numPr>
        <w:shd w:val="clear" w:color="auto" w:fill="auto"/>
        <w:tabs>
          <w:tab w:pos="827" w:val="left"/>
        </w:tabs>
        <w:bidi w:val="0"/>
        <w:spacing w:before="0" w:after="0" w:line="312" w:lineRule="exact"/>
        <w:ind w:left="0" w:right="0" w:firstLine="440"/>
        <w:jc w:val="both"/>
      </w:pPr>
      <w:bookmarkStart w:id="1600" w:name="bookmark1600"/>
      <w:bookmarkEnd w:id="1600"/>
      <w:r>
        <w:rPr>
          <w:color w:val="000000"/>
          <w:spacing w:val="0"/>
          <w:w w:val="100"/>
          <w:position w:val="0"/>
        </w:rPr>
        <w:t>本年度公司无利率互换安排。</w:t>
      </w:r>
    </w:p>
    <w:p>
      <w:pPr>
        <w:pStyle w:val="Style16"/>
        <w:keepNext w:val="0"/>
        <w:keepLines w:val="0"/>
        <w:widowControl w:val="0"/>
        <w:numPr>
          <w:ilvl w:val="0"/>
          <w:numId w:val="119"/>
        </w:numPr>
        <w:shd w:val="clear" w:color="auto" w:fill="auto"/>
        <w:bidi w:val="0"/>
        <w:spacing w:before="0" w:after="0" w:line="312" w:lineRule="exact"/>
        <w:ind w:left="0" w:right="0" w:firstLine="440"/>
        <w:jc w:val="both"/>
      </w:pPr>
      <w:bookmarkStart w:id="1601" w:name="bookmark1601"/>
      <w:bookmarkEnd w:id="1601"/>
      <w:r>
        <w:rPr>
          <w:color w:val="000000"/>
          <w:spacing w:val="0"/>
          <w:w w:val="100"/>
          <w:position w:val="0"/>
        </w:rPr>
        <w:t xml:space="preserve"> 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日，本公司无以浮动利率计算的长期带息债务。</w:t>
      </w:r>
    </w:p>
    <w:p>
      <w:pPr>
        <w:pStyle w:val="Style16"/>
        <w:keepNext w:val="0"/>
        <w:keepLines w:val="0"/>
        <w:widowControl w:val="0"/>
        <w:numPr>
          <w:ilvl w:val="0"/>
          <w:numId w:val="119"/>
        </w:numPr>
        <w:shd w:val="clear" w:color="auto" w:fill="auto"/>
        <w:bidi w:val="0"/>
        <w:spacing w:before="0" w:after="100" w:line="312" w:lineRule="exact"/>
        <w:ind w:left="0" w:right="0" w:firstLine="440"/>
        <w:jc w:val="both"/>
      </w:pPr>
      <w:bookmarkStart w:id="1602" w:name="bookmark1602"/>
      <w:bookmarkEnd w:id="1602"/>
      <w:r>
        <w:rPr>
          <w:color w:val="000000"/>
          <w:spacing w:val="0"/>
          <w:w w:val="100"/>
          <w:position w:val="0"/>
        </w:rPr>
        <w:t xml:space="preserve"> 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日，本公司无以浮动利率计算的短期带息债务。</w:t>
      </w:r>
    </w:p>
    <w:p>
      <w:pPr>
        <w:pStyle w:val="Style16"/>
        <w:keepNext w:val="0"/>
        <w:keepLines w:val="0"/>
        <w:widowControl w:val="0"/>
        <w:numPr>
          <w:ilvl w:val="0"/>
          <w:numId w:val="117"/>
        </w:numPr>
        <w:shd w:val="clear" w:color="auto" w:fill="auto"/>
        <w:bidi w:val="0"/>
        <w:spacing w:before="0" w:after="0" w:line="317" w:lineRule="exact"/>
        <w:ind w:left="0" w:right="0" w:firstLine="440"/>
        <w:jc w:val="both"/>
      </w:pPr>
      <w:bookmarkStart w:id="1603" w:name="bookmark1603"/>
      <w:bookmarkEnd w:id="1603"/>
      <w:r>
        <w:rPr>
          <w:color w:val="000000"/>
          <w:spacing w:val="0"/>
          <w:w w:val="100"/>
          <w:position w:val="0"/>
        </w:rPr>
        <w:t>价格风险</w:t>
      </w:r>
    </w:p>
    <w:p>
      <w:pPr>
        <w:pStyle w:val="Style16"/>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价格风险指汇率风险和利率风险以外的市场价格变动而发生波动的风险，主要源于商品价格、股票市场指数、权益工 具价格以及其他风险变量的变化。</w:t>
      </w:r>
    </w:p>
    <w:p>
      <w:pPr>
        <w:pStyle w:val="Style21"/>
        <w:keepNext/>
        <w:keepLines/>
        <w:widowControl w:val="0"/>
        <w:shd w:val="clear" w:color="auto" w:fill="auto"/>
        <w:bidi w:val="0"/>
        <w:spacing w:before="0" w:line="240" w:lineRule="auto"/>
        <w:ind w:left="0" w:right="0" w:firstLine="0"/>
        <w:jc w:val="both"/>
      </w:pPr>
      <w:bookmarkStart w:id="1604" w:name="bookmark1604"/>
      <w:bookmarkStart w:id="1605" w:name="bookmark1605"/>
      <w:bookmarkStart w:id="1606" w:name="bookmark1606"/>
      <w:r>
        <w:rPr>
          <w:color w:val="000000"/>
          <w:spacing w:val="0"/>
          <w:w w:val="100"/>
          <w:position w:val="0"/>
        </w:rPr>
        <w:t>十一、公允价值的披露</w:t>
      </w:r>
      <w:bookmarkEnd w:id="1604"/>
      <w:bookmarkEnd w:id="1605"/>
      <w:bookmarkEnd w:id="1606"/>
    </w:p>
    <w:p>
      <w:pPr>
        <w:pStyle w:val="Style27"/>
        <w:keepNext/>
        <w:keepLines/>
        <w:widowControl w:val="0"/>
        <w:shd w:val="clear" w:color="auto" w:fill="auto"/>
        <w:bidi w:val="0"/>
        <w:spacing w:before="0" w:after="360" w:line="240" w:lineRule="auto"/>
        <w:ind w:left="0" w:right="0" w:firstLine="0"/>
        <w:jc w:val="both"/>
      </w:pPr>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07"/>
      <w:bookmarkEnd w:id="1608"/>
      <w:bookmarkEnd w:id="160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25,685,032.00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25,685,032.00</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7"/>
        <w:keepNext/>
        <w:keepLines/>
        <w:widowControl w:val="0"/>
        <w:shd w:val="clear" w:color="auto" w:fill="auto"/>
        <w:tabs>
          <w:tab w:pos="378" w:val="left"/>
        </w:tabs>
        <w:bidi w:val="0"/>
        <w:spacing w:before="0" w:after="280" w:line="240" w:lineRule="auto"/>
        <w:ind w:left="0" w:right="0" w:firstLine="0"/>
        <w:jc w:val="both"/>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2</w:t>
      </w:r>
      <w:bookmarkEnd w:id="1612"/>
      <w:r>
        <w:rPr>
          <w:color w:val="000000"/>
          <w:spacing w:val="0"/>
          <w:w w:val="100"/>
          <w:position w:val="0"/>
        </w:rPr>
        <w:t>、</w:t>
        <w:tab/>
        <w:t>持续和非持续第一层次公允价值计量项目市价的确定依据</w:t>
      </w:r>
      <w:bookmarkEnd w:id="1610"/>
      <w:bookmarkEnd w:id="1611"/>
      <w:bookmarkEnd w:id="1613"/>
    </w:p>
    <w:p>
      <w:pPr>
        <w:pStyle w:val="Style16"/>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层次：是在计量日能够取得的相同资产或负债在活跃市场上未经调整的报价；</w:t>
      </w:r>
    </w:p>
    <w:p>
      <w:pPr>
        <w:pStyle w:val="Style27"/>
        <w:keepNext/>
        <w:keepLines/>
        <w:widowControl w:val="0"/>
        <w:shd w:val="clear" w:color="auto" w:fill="auto"/>
        <w:tabs>
          <w:tab w:pos="378" w:val="left"/>
        </w:tabs>
        <w:bidi w:val="0"/>
        <w:spacing w:before="0" w:after="280" w:line="240" w:lineRule="auto"/>
        <w:ind w:left="0" w:right="0" w:firstLine="0"/>
        <w:jc w:val="both"/>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3</w:t>
      </w:r>
      <w:bookmarkEnd w:id="1616"/>
      <w:r>
        <w:rPr>
          <w:color w:val="000000"/>
          <w:spacing w:val="0"/>
          <w:w w:val="100"/>
          <w:position w:val="0"/>
        </w:rPr>
        <w:t>、</w:t>
        <w:tab/>
        <w:t>持续和非持续第二层次公允价值计量项目，采用的估值技术和重要参数的定性及定量信息</w:t>
      </w:r>
      <w:bookmarkEnd w:id="1614"/>
      <w:bookmarkEnd w:id="1615"/>
      <w:bookmarkEnd w:id="1617"/>
    </w:p>
    <w:p>
      <w:pPr>
        <w:pStyle w:val="Style1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层次：是除第一层次输入值外相关资产或负债直接或间接可观察的输入值；</w:t>
      </w:r>
    </w:p>
    <w:p>
      <w:pPr>
        <w:pStyle w:val="Style16"/>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第二层次输入值包括：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）活跃市场中类似资产或负债的报价；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）非活跃市场中相同或类似资产或负债的报价；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）除 报价以外的其他可观察输入值，包括在正常报价间隔期间可观察的利率和收益率曲线、隐含波动率和信用利差等；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）市场 验证的输入值等。</w:t>
      </w:r>
    </w:p>
    <w:p>
      <w:pPr>
        <w:pStyle w:val="Style27"/>
        <w:keepNext/>
        <w:keepLines/>
        <w:widowControl w:val="0"/>
        <w:shd w:val="clear" w:color="auto" w:fill="auto"/>
        <w:tabs>
          <w:tab w:pos="378" w:val="left"/>
        </w:tabs>
        <w:bidi w:val="0"/>
        <w:spacing w:before="0" w:after="280" w:line="240" w:lineRule="auto"/>
        <w:ind w:left="0" w:right="0" w:firstLine="0"/>
        <w:jc w:val="both"/>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4</w:t>
      </w:r>
      <w:bookmarkEnd w:id="1620"/>
      <w:r>
        <w:rPr>
          <w:color w:val="000000"/>
          <w:spacing w:val="0"/>
          <w:w w:val="100"/>
          <w:position w:val="0"/>
        </w:rPr>
        <w:t>、</w:t>
        <w:tab/>
        <w:t>持续和非持续第三层次公允价值计量项目，采用的估值技术和重要参数的定性及定量信息</w:t>
      </w:r>
      <w:bookmarkEnd w:id="1618"/>
      <w:bookmarkEnd w:id="1619"/>
      <w:bookmarkEnd w:id="1621"/>
    </w:p>
    <w:p>
      <w:pPr>
        <w:pStyle w:val="Style1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层次：是相关资产或负债的不可观察输入值。</w:t>
      </w:r>
    </w:p>
    <w:p>
      <w:pPr>
        <w:pStyle w:val="Style1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公司持有的以成本计量的、在活跃市场中没有报价且其公允价值不能可靠计量的其他权益工具投资，无活跃市场上未 经调整的报价，也无直接或间接可观察的输入值，故采用第三层次输入值。以被投资单位期末净资产作为评估其公允价值 的重要参考依据。对被投资单位期末净资产基本能体现其公允价值的，以其净资产作为评估公允价值的基数；对被投资单位 期末净资产不能体现其公允价值的，在考虑市场参与者对相关资产或负债定价时所使用的假设的基础上进行调整。</w:t>
      </w:r>
    </w:p>
    <w:p>
      <w:pPr>
        <w:pStyle w:val="Style27"/>
        <w:keepNext/>
        <w:keepLines/>
        <w:widowControl w:val="0"/>
        <w:shd w:val="clear" w:color="auto" w:fill="auto"/>
        <w:tabs>
          <w:tab w:pos="378" w:val="left"/>
        </w:tabs>
        <w:bidi w:val="0"/>
        <w:spacing w:before="0" w:after="280" w:line="240" w:lineRule="auto"/>
        <w:ind w:left="0" w:right="0" w:firstLine="0"/>
        <w:jc w:val="both"/>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5</w:t>
      </w:r>
      <w:bookmarkEnd w:id="1624"/>
      <w:r>
        <w:rPr>
          <w:color w:val="000000"/>
          <w:spacing w:val="0"/>
          <w:w w:val="100"/>
          <w:position w:val="0"/>
        </w:rPr>
        <w:t>、</w:t>
        <w:tab/>
        <w:t>不以公允价值计量的金融资产和金融负债的公允价值情况</w:t>
      </w:r>
      <w:bookmarkEnd w:id="1622"/>
      <w:bookmarkEnd w:id="1623"/>
      <w:bookmarkEnd w:id="1625"/>
    </w:p>
    <w:p>
      <w:pPr>
        <w:pStyle w:val="Style16"/>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 xml:space="preserve">不以公允价值计量的金融资产和负债主要包括：应收款项、短期借款、应付款项、一年内到期的非流动负债、租赁负 </w:t>
      </w:r>
      <w:r>
        <w:rPr>
          <w:color w:val="000000"/>
          <w:spacing w:val="0"/>
          <w:w w:val="100"/>
          <w:position w:val="0"/>
        </w:rPr>
        <w:t>债和长期借款。</w:t>
      </w:r>
    </w:p>
    <w:p>
      <w:pPr>
        <w:pStyle w:val="Style16"/>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上述不以公允价值计量的金融资产和负债的账面价值与公允价值相差很小。</w:t>
      </w:r>
    </w:p>
    <w:p>
      <w:pPr>
        <w:pStyle w:val="Style21"/>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r>
        <w:rPr>
          <w:color w:val="000000"/>
          <w:spacing w:val="0"/>
          <w:w w:val="100"/>
          <w:position w:val="0"/>
        </w:rPr>
        <w:t>十二、关联方及关联交易</w:t>
      </w:r>
      <w:bookmarkEnd w:id="1626"/>
      <w:bookmarkEnd w:id="1627"/>
      <w:bookmarkEnd w:id="1628"/>
    </w:p>
    <w:p>
      <w:pPr>
        <w:pStyle w:val="Style27"/>
        <w:keepNext/>
        <w:keepLines/>
        <w:widowControl w:val="0"/>
        <w:shd w:val="clear" w:color="auto" w:fill="auto"/>
        <w:bidi w:val="0"/>
        <w:spacing w:before="0" w:after="320" w:line="240" w:lineRule="auto"/>
        <w:ind w:left="0" w:right="0" w:firstLine="0"/>
        <w:jc w:val="left"/>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29"/>
      <w:bookmarkEnd w:id="1630"/>
      <w:bookmarkEnd w:id="1631"/>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bl>
    <w:p>
      <w:pPr>
        <w:widowControl w:val="0"/>
        <w:spacing w:after="7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本企业最终控制方是欧阳建平。</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tbl>
      <w:tblPr>
        <w:tblOverlap w:val="never"/>
        <w:jc w:val="center"/>
        <w:tblLayout w:type="fixed"/>
      </w:tblPr>
      <w:tblGrid>
        <w:gridCol w:w="1286"/>
        <w:gridCol w:w="1277"/>
        <w:gridCol w:w="7114"/>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关联方关系</w:t>
            </w:r>
          </w:p>
        </w:tc>
      </w:tr>
      <w:tr>
        <w:trPr>
          <w:trHeight w:val="67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欧阳建平直接持有公司</w:t>
            </w:r>
            <w:r>
              <w:rPr>
                <w:rFonts w:ascii="Times New Roman" w:eastAsia="Times New Roman" w:hAnsi="Times New Roman" w:cs="Times New Roman"/>
                <w:color w:val="000000"/>
                <w:spacing w:val="0"/>
                <w:w w:val="100"/>
                <w:position w:val="0"/>
                <w:sz w:val="18"/>
                <w:szCs w:val="18"/>
              </w:rPr>
              <w:t>21.79%</w:t>
            </w:r>
            <w:r>
              <w:rPr>
                <w:color w:val="000000"/>
                <w:spacing w:val="0"/>
                <w:w w:val="100"/>
                <w:position w:val="0"/>
              </w:rPr>
              <w:t>的股份，通过北京天阳宏业投资管理合伙企业（有限合伙） 控制公司</w:t>
            </w:r>
            <w:r>
              <w:rPr>
                <w:rFonts w:ascii="Times New Roman" w:eastAsia="Times New Roman" w:hAnsi="Times New Roman" w:cs="Times New Roman"/>
                <w:color w:val="000000"/>
                <w:spacing w:val="0"/>
                <w:w w:val="100"/>
                <w:position w:val="0"/>
                <w:sz w:val="18"/>
                <w:szCs w:val="18"/>
              </w:rPr>
              <w:t>14.85%</w:t>
            </w:r>
            <w:r>
              <w:rPr>
                <w:color w:val="000000"/>
                <w:spacing w:val="0"/>
                <w:w w:val="100"/>
                <w:position w:val="0"/>
              </w:rPr>
              <w:t>的股份，合计控制公司股权比例为</w:t>
            </w:r>
            <w:r>
              <w:rPr>
                <w:rFonts w:ascii="Times New Roman" w:eastAsia="Times New Roman" w:hAnsi="Times New Roman" w:cs="Times New Roman"/>
                <w:color w:val="000000"/>
                <w:spacing w:val="0"/>
                <w:w w:val="100"/>
                <w:position w:val="0"/>
                <w:sz w:val="18"/>
                <w:szCs w:val="18"/>
              </w:rPr>
              <w:t>36.64%</w:t>
            </w:r>
            <w:r>
              <w:rPr>
                <w:color w:val="000000"/>
                <w:spacing w:val="0"/>
                <w:w w:val="100"/>
                <w:position w:val="0"/>
              </w:rPr>
              <w:t>，为公司实际控制人。</w:t>
            </w:r>
          </w:p>
        </w:tc>
      </w:tr>
    </w:tbl>
    <w:p>
      <w:pPr>
        <w:widowControl w:val="0"/>
        <w:spacing w:after="619" w:line="1" w:lineRule="exact"/>
      </w:pPr>
    </w:p>
    <w:p>
      <w:pPr>
        <w:pStyle w:val="Style27"/>
        <w:keepNext/>
        <w:keepLines/>
        <w:widowControl w:val="0"/>
        <w:shd w:val="clear" w:color="auto" w:fill="auto"/>
        <w:tabs>
          <w:tab w:pos="378" w:val="left"/>
        </w:tabs>
        <w:bidi w:val="0"/>
        <w:spacing w:before="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2</w:t>
      </w:r>
      <w:bookmarkEnd w:id="1634"/>
      <w:r>
        <w:rPr>
          <w:color w:val="000000"/>
          <w:spacing w:val="0"/>
          <w:w w:val="100"/>
          <w:position w:val="0"/>
        </w:rPr>
        <w:t>、</w:t>
        <w:tab/>
        <w:t>本企业的子公司情况</w:t>
      </w:r>
      <w:bookmarkEnd w:id="1632"/>
      <w:bookmarkEnd w:id="1633"/>
      <w:bookmarkEnd w:id="1635"/>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27"/>
        <w:keepNext/>
        <w:keepLines/>
        <w:widowControl w:val="0"/>
        <w:shd w:val="clear" w:color="auto" w:fill="auto"/>
        <w:tabs>
          <w:tab w:pos="378" w:val="left"/>
        </w:tabs>
        <w:bidi w:val="0"/>
        <w:spacing w:before="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3</w:t>
      </w:r>
      <w:bookmarkEnd w:id="1638"/>
      <w:r>
        <w:rPr>
          <w:color w:val="000000"/>
          <w:spacing w:val="0"/>
          <w:w w:val="100"/>
          <w:position w:val="0"/>
        </w:rPr>
        <w:t>、</w:t>
        <w:tab/>
        <w:t>本企业合营和联营企业情况</w:t>
      </w:r>
      <w:bookmarkEnd w:id="1636"/>
      <w:bookmarkEnd w:id="1637"/>
      <w:bookmarkEnd w:id="1639"/>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）在合营安排或联营企业中的权益。。</w:t>
      </w:r>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北京德惠众合信息技术有限公司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本公司的联营企业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北京和顺恒通科技有限公司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本公司的联营企业</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北京金实宏成技术有限公司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本公司的联营企业</w:t>
            </w:r>
          </w:p>
        </w:tc>
      </w:tr>
    </w:tbl>
    <w:p>
      <w:pPr>
        <w:widowControl w:val="0"/>
        <w:spacing w:after="7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2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4</w:t>
      </w:r>
      <w:bookmarkEnd w:id="1642"/>
      <w:r>
        <w:rPr>
          <w:color w:val="000000"/>
          <w:spacing w:val="0"/>
          <w:w w:val="100"/>
          <w:position w:val="0"/>
        </w:rPr>
        <w:t>、其他关联方情况</w:t>
      </w:r>
      <w:bookmarkEnd w:id="1640"/>
      <w:bookmarkEnd w:id="1641"/>
      <w:bookmarkEnd w:id="164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宋晓峰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师海峰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郑锡云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本公司副总经理（已于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月离任）</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天阳宏业投资管理合伙企业（有限合伙）</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w:t>
            </w:r>
            <w:r>
              <w:rPr>
                <w:rFonts w:ascii="Times New Roman" w:eastAsia="Times New Roman" w:hAnsi="Times New Roman" w:cs="Times New Roman"/>
                <w:color w:val="000000"/>
                <w:spacing w:val="0"/>
                <w:w w:val="100"/>
                <w:position w:val="0"/>
                <w:sz w:val="18"/>
                <w:szCs w:val="18"/>
              </w:rPr>
              <w:t>14.85%</w:t>
            </w:r>
            <w:r>
              <w:rPr>
                <w:color w:val="000000"/>
                <w:spacing w:val="0"/>
                <w:w w:val="100"/>
                <w:position w:val="0"/>
              </w:rPr>
              <w:t>股权</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color w:val="000000"/>
          <w:spacing w:val="0"/>
          <w:w w:val="100"/>
          <w:position w:val="0"/>
        </w:rPr>
        <w:t>、关联交易情况</w:t>
      </w:r>
      <w:bookmarkEnd w:id="1644"/>
      <w:bookmarkEnd w:id="1645"/>
      <w:bookmarkEnd w:id="1647"/>
    </w:p>
    <w:p>
      <w:pPr>
        <w:pStyle w:val="Style27"/>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8" w:name="bookmark16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44"/>
      <w:bookmarkEnd w:id="1645"/>
      <w:bookmarkEnd w:id="1648"/>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北京德惠众合信息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购买商品接受劳 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227,594.33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北京金实宏成技术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购买商品接受劳 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2,450,566.04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2,678,160.37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北京和顺恒通科技有限公司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377,358.49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27"/>
        <w:keepNext/>
        <w:keepLines/>
        <w:widowControl w:val="0"/>
        <w:shd w:val="clear" w:color="auto" w:fill="auto"/>
        <w:bidi w:val="0"/>
        <w:spacing w:before="0" w:line="240" w:lineRule="auto"/>
        <w:ind w:left="0" w:right="0" w:firstLine="0"/>
        <w:jc w:val="left"/>
      </w:pPr>
      <w:bookmarkStart w:id="1649" w:name="bookmark1649"/>
      <w:bookmarkStart w:id="1650" w:name="bookmark1650"/>
      <w:bookmarkStart w:id="1651" w:name="bookmark16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649"/>
      <w:bookmarkEnd w:id="1650"/>
      <w:bookmarkEnd w:id="1651"/>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北京金实宏成技术有限公司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69,065.37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widowControl w:val="0"/>
        <w:spacing w:after="99" w:line="1" w:lineRule="exact"/>
      </w:pPr>
    </w:p>
    <w:p>
      <w:pPr>
        <w:pStyle w:val="Style1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27"/>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w:t>
      </w:r>
      <w:bookmarkEnd w:id="1654"/>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652"/>
      <w:bookmarkEnd w:id="1653"/>
      <w:bookmarkEnd w:id="1655"/>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1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spacing w:lineRule="exact" w:line="1"/>
        <w:rPr>
          <w:sz w:val="2"/>
          <w:szCs w:val="2"/>
        </w:rPr>
      </w:pPr>
      <w:r>
        <w:br w:type="page"/>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277"/>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欧阳建平、郑锡云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欧阳建平、郑锡云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欧阳建平、宋晓峰、师海峰、北 京银恒通电子科技有限公司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欧阳建平、宋晓峰、师海峰、北 京银恒通电子科技有限公司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63,000,000.00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欧阳建平、宋晓峰、师海峰、北 京银恒通电子科技有限公司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欧阳建平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79" w:line="1" w:lineRule="exact"/>
      </w:pPr>
    </w:p>
    <w:p>
      <w:pPr>
        <w:pStyle w:val="Style27"/>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w:t>
      </w:r>
      <w:bookmarkEnd w:id="1658"/>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656"/>
      <w:bookmarkEnd w:id="1657"/>
      <w:bookmarkEnd w:id="1659"/>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12,685,388.55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11,248,874.56</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1660" w:name="bookmark1660"/>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6</w:t>
      </w:r>
      <w:bookmarkEnd w:id="1662"/>
      <w:r>
        <w:rPr>
          <w:color w:val="000000"/>
          <w:spacing w:val="0"/>
          <w:w w:val="100"/>
          <w:position w:val="0"/>
        </w:rPr>
        <w:t>、关联方应收应付款项</w:t>
      </w:r>
      <w:bookmarkEnd w:id="1660"/>
      <w:bookmarkEnd w:id="1661"/>
      <w:bookmarkEnd w:id="1663"/>
    </w:p>
    <w:p>
      <w:pPr>
        <w:pStyle w:val="Style27"/>
        <w:keepNext/>
        <w:keepLines/>
        <w:widowControl w:val="0"/>
        <w:shd w:val="clear" w:color="auto" w:fill="auto"/>
        <w:bidi w:val="0"/>
        <w:spacing w:before="0" w:after="360" w:line="240" w:lineRule="auto"/>
        <w:ind w:left="0" w:right="0" w:firstLine="0"/>
        <w:jc w:val="left"/>
      </w:pPr>
      <w:bookmarkStart w:id="1660" w:name="bookmark1660"/>
      <w:bookmarkStart w:id="1661" w:name="bookmark1661"/>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60"/>
      <w:bookmarkEnd w:id="1661"/>
      <w:bookmarkEnd w:id="1664"/>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北京金实宏成技术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75,281.25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北京和顺恒通科技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11,282,849.98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3,297,835.00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北京和顺恒通科技 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665" w:name="bookmark1665"/>
      <w:bookmarkStart w:id="1666" w:name="bookmark1666"/>
      <w:bookmarkStart w:id="1667" w:name="bookmark16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65"/>
      <w:bookmarkEnd w:id="1666"/>
      <w:bookmarkEnd w:id="1667"/>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北京德惠众合信息技术有限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125,443.39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128,860.00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北京金实宏成技术有限公司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2,450,566.04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7</w:t>
      </w:r>
      <w:bookmarkEnd w:id="1670"/>
      <w:r>
        <w:rPr>
          <w:color w:val="000000"/>
          <w:spacing w:val="0"/>
          <w:w w:val="100"/>
          <w:position w:val="0"/>
        </w:rPr>
        <w:t>、其他</w:t>
      </w:r>
      <w:bookmarkEnd w:id="1668"/>
      <w:bookmarkEnd w:id="1669"/>
      <w:bookmarkEnd w:id="1671"/>
    </w:p>
    <w:p>
      <w:pPr>
        <w:pStyle w:val="Style21"/>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r>
        <w:rPr>
          <w:color w:val="000000"/>
          <w:spacing w:val="0"/>
          <w:w w:val="100"/>
          <w:position w:val="0"/>
        </w:rPr>
        <w:t>十三、股份支付</w:t>
      </w:r>
      <w:bookmarkEnd w:id="1672"/>
      <w:bookmarkEnd w:id="1673"/>
      <w:bookmarkEnd w:id="1674"/>
    </w:p>
    <w:p>
      <w:pPr>
        <w:pStyle w:val="Style27"/>
        <w:keepNext/>
        <w:keepLines/>
        <w:widowControl w:val="0"/>
        <w:shd w:val="clear" w:color="auto" w:fill="auto"/>
        <w:bidi w:val="0"/>
        <w:spacing w:before="0" w:after="360" w:line="240" w:lineRule="auto"/>
        <w:ind w:left="0" w:right="0" w:firstLine="0"/>
        <w:jc w:val="left"/>
      </w:pPr>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75"/>
      <w:bookmarkEnd w:id="1676"/>
      <w:bookmarkEnd w:id="1677"/>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28,611,000.00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78"/>
      <w:bookmarkEnd w:id="1679"/>
      <w:bookmarkEnd w:id="1680"/>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模型确认</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实际授予数量</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40,369,326.25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40,369,326.25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1"/>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r>
        <w:rPr>
          <w:color w:val="000000"/>
          <w:spacing w:val="0"/>
          <w:w w:val="100"/>
          <w:position w:val="0"/>
        </w:rPr>
        <w:t>十四、承诺及或有事项</w:t>
      </w:r>
      <w:bookmarkEnd w:id="1681"/>
      <w:bookmarkEnd w:id="1682"/>
      <w:bookmarkEnd w:id="1683"/>
    </w:p>
    <w:p>
      <w:pPr>
        <w:pStyle w:val="Style27"/>
        <w:keepNext/>
        <w:keepLines/>
        <w:widowControl w:val="0"/>
        <w:shd w:val="clear" w:color="auto" w:fill="auto"/>
        <w:tabs>
          <w:tab w:pos="368" w:val="left"/>
        </w:tabs>
        <w:bidi w:val="0"/>
        <w:spacing w:before="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1</w:t>
      </w:r>
      <w:bookmarkEnd w:id="1686"/>
      <w:r>
        <w:rPr>
          <w:color w:val="000000"/>
          <w:spacing w:val="0"/>
          <w:w w:val="100"/>
          <w:position w:val="0"/>
        </w:rPr>
        <w:t>、</w:t>
        <w:tab/>
        <w:t>重要承诺事项</w:t>
      </w:r>
      <w:bookmarkEnd w:id="1684"/>
      <w:bookmarkEnd w:id="1685"/>
      <w:bookmarkEnd w:id="1687"/>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16"/>
        <w:keepNext w:val="0"/>
        <w:keepLines w:val="0"/>
        <w:widowControl w:val="0"/>
        <w:shd w:val="clear" w:color="auto" w:fill="auto"/>
        <w:bidi w:val="0"/>
        <w:spacing w:before="0" w:after="140" w:line="240" w:lineRule="auto"/>
        <w:ind w:left="0" w:right="0"/>
        <w:jc w:val="left"/>
      </w:pPr>
      <w:r>
        <w:rPr>
          <w:color w:val="000000"/>
          <w:spacing w:val="0"/>
          <w:w w:val="100"/>
          <w:position w:val="0"/>
        </w:rPr>
        <w:t>公司固定资产的抵押情况见附注七、注释</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以及注释</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所述。</w:t>
      </w:r>
    </w:p>
    <w:p>
      <w:pPr>
        <w:pStyle w:val="Style16"/>
        <w:keepNext w:val="0"/>
        <w:keepLines w:val="0"/>
        <w:widowControl w:val="0"/>
        <w:shd w:val="clear" w:color="auto" w:fill="auto"/>
        <w:bidi w:val="0"/>
        <w:spacing w:before="0" w:after="380" w:line="240" w:lineRule="auto"/>
        <w:ind w:left="0" w:right="0"/>
        <w:jc w:val="left"/>
      </w:pPr>
      <w:r>
        <w:rPr>
          <w:color w:val="000000"/>
          <w:spacing w:val="0"/>
          <w:w w:val="100"/>
          <w:position w:val="0"/>
        </w:rPr>
        <w:t>除存在上述承诺事项外，截止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日，本公司无其他应披露未披露的重大承诺事项。</w:t>
      </w:r>
    </w:p>
    <w:p>
      <w:pPr>
        <w:pStyle w:val="Style27"/>
        <w:keepNext/>
        <w:keepLines/>
        <w:widowControl w:val="0"/>
        <w:shd w:val="clear" w:color="auto" w:fill="auto"/>
        <w:tabs>
          <w:tab w:pos="378" w:val="left"/>
        </w:tabs>
        <w:bidi w:val="0"/>
        <w:spacing w:before="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2</w:t>
      </w:r>
      <w:bookmarkEnd w:id="1690"/>
      <w:r>
        <w:rPr>
          <w:color w:val="000000"/>
          <w:spacing w:val="0"/>
          <w:w w:val="100"/>
          <w:position w:val="0"/>
        </w:rPr>
        <w:t>、</w:t>
        <w:tab/>
        <w:t>或有事项</w:t>
      </w:r>
      <w:bookmarkEnd w:id="1688"/>
      <w:bookmarkEnd w:id="1689"/>
      <w:bookmarkEnd w:id="1691"/>
    </w:p>
    <w:p>
      <w:pPr>
        <w:pStyle w:val="Style27"/>
        <w:keepNext/>
        <w:keepLines/>
        <w:widowControl w:val="0"/>
        <w:shd w:val="clear" w:color="auto" w:fill="auto"/>
        <w:tabs>
          <w:tab w:pos="493" w:val="left"/>
        </w:tabs>
        <w:bidi w:val="0"/>
        <w:spacing w:before="0" w:line="240" w:lineRule="auto"/>
        <w:ind w:left="0" w:right="0" w:firstLine="0"/>
        <w:jc w:val="left"/>
      </w:pPr>
      <w:bookmarkStart w:id="1688" w:name="bookmark1688"/>
      <w:bookmarkStart w:id="1689" w:name="bookmark1689"/>
      <w:bookmarkStart w:id="1692" w:name="bookmark1692"/>
      <w:bookmarkStart w:id="1693" w:name="bookmark1693"/>
      <w:r>
        <w:rPr>
          <w:color w:val="000000"/>
          <w:spacing w:val="0"/>
          <w:w w:val="100"/>
          <w:position w:val="0"/>
        </w:rPr>
        <w:t>（</w:t>
      </w:r>
      <w:bookmarkEnd w:id="1692"/>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688"/>
      <w:bookmarkEnd w:id="1689"/>
      <w:bookmarkEnd w:id="1693"/>
    </w:p>
    <w:p>
      <w:pPr>
        <w:pStyle w:val="Style16"/>
        <w:keepNext w:val="0"/>
        <w:keepLines w:val="0"/>
        <w:widowControl w:val="0"/>
        <w:shd w:val="clear" w:color="auto" w:fill="auto"/>
        <w:bidi w:val="0"/>
        <w:spacing w:before="0" w:after="380" w:line="240" w:lineRule="auto"/>
        <w:ind w:left="0" w:right="0"/>
        <w:jc w:val="left"/>
      </w:pPr>
      <w:r>
        <w:rPr>
          <w:color w:val="000000"/>
          <w:spacing w:val="0"/>
          <w:w w:val="100"/>
          <w:position w:val="0"/>
        </w:rPr>
        <w:t>本公司不存在需要披露的重要或有事项。</w:t>
      </w:r>
    </w:p>
    <w:p>
      <w:pPr>
        <w:pStyle w:val="Style27"/>
        <w:keepNext/>
        <w:keepLines/>
        <w:widowControl w:val="0"/>
        <w:shd w:val="clear" w:color="auto" w:fill="auto"/>
        <w:tabs>
          <w:tab w:pos="493" w:val="left"/>
        </w:tabs>
        <w:bidi w:val="0"/>
        <w:spacing w:before="0" w:line="240" w:lineRule="auto"/>
        <w:ind w:left="0" w:right="0" w:firstLine="0"/>
        <w:jc w:val="both"/>
      </w:pPr>
      <w:bookmarkStart w:id="1694" w:name="bookmark1694"/>
      <w:bookmarkStart w:id="1695" w:name="bookmark1695"/>
      <w:bookmarkStart w:id="1696" w:name="bookmark1696"/>
      <w:bookmarkStart w:id="1697" w:name="bookmark1697"/>
      <w:r>
        <w:rPr>
          <w:color w:val="000000"/>
          <w:spacing w:val="0"/>
          <w:w w:val="100"/>
          <w:position w:val="0"/>
        </w:rPr>
        <w:t>（</w:t>
      </w:r>
      <w:bookmarkEnd w:id="1696"/>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694"/>
      <w:bookmarkEnd w:id="1695"/>
      <w:bookmarkEnd w:id="1697"/>
    </w:p>
    <w:p>
      <w:pPr>
        <w:pStyle w:val="Style1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公司不存在需要披露的重要或有事项。</w:t>
      </w:r>
    </w:p>
    <w:p>
      <w:pPr>
        <w:pStyle w:val="Style21"/>
        <w:keepNext/>
        <w:keepLines/>
        <w:widowControl w:val="0"/>
        <w:shd w:val="clear" w:color="auto" w:fill="auto"/>
        <w:bidi w:val="0"/>
        <w:spacing w:before="0" w:after="380" w:line="240" w:lineRule="auto"/>
        <w:ind w:left="0" w:right="0" w:firstLine="0"/>
        <w:jc w:val="both"/>
      </w:pPr>
      <w:bookmarkStart w:id="1698" w:name="bookmark1698"/>
      <w:bookmarkStart w:id="1699" w:name="bookmark1699"/>
      <w:bookmarkStart w:id="1700" w:name="bookmark1700"/>
      <w:r>
        <w:rPr>
          <w:color w:val="000000"/>
          <w:spacing w:val="0"/>
          <w:w w:val="100"/>
          <w:position w:val="0"/>
        </w:rPr>
        <w:t>十五、资产负债表日后事项</w:t>
      </w:r>
      <w:bookmarkEnd w:id="1698"/>
      <w:bookmarkEnd w:id="1699"/>
      <w:bookmarkEnd w:id="1700"/>
    </w:p>
    <w:p>
      <w:pPr>
        <w:pStyle w:val="Style27"/>
        <w:keepNext/>
        <w:keepLines/>
        <w:widowControl w:val="0"/>
        <w:shd w:val="clear" w:color="auto" w:fill="auto"/>
        <w:bidi w:val="0"/>
        <w:spacing w:before="0" w:line="240" w:lineRule="auto"/>
        <w:ind w:left="0" w:right="0" w:firstLine="0"/>
        <w:jc w:val="both"/>
      </w:pPr>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701"/>
      <w:bookmarkEnd w:id="1702"/>
      <w:bookmarkEnd w:id="1703"/>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22,468,203.00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22,468,203.00</w:t>
            </w:r>
          </w:p>
        </w:tc>
      </w:tr>
    </w:tbl>
    <w:p>
      <w:pPr>
        <w:widowControl w:val="0"/>
        <w:spacing w:after="279" w:line="1" w:lineRule="exact"/>
      </w:pPr>
    </w:p>
    <w:p>
      <w:pPr>
        <w:pStyle w:val="Style27"/>
        <w:keepNext/>
        <w:keepLines/>
        <w:widowControl w:val="0"/>
        <w:shd w:val="clear" w:color="auto" w:fill="auto"/>
        <w:bidi w:val="0"/>
        <w:spacing w:before="0" w:after="280" w:line="240" w:lineRule="auto"/>
        <w:ind w:left="0" w:right="0" w:firstLine="0"/>
        <w:jc w:val="left"/>
      </w:pPr>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704"/>
      <w:bookmarkEnd w:id="1705"/>
      <w:bookmarkEnd w:id="1706"/>
    </w:p>
    <w:p>
      <w:pPr>
        <w:pStyle w:val="Style16"/>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日，公司与北京首都在线科技股份有限（以下简称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首都在线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）公司签订《关于北京首都在线科技股份有 限公司向特定对象发行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股股票之股份认购协议》，公司以自有资金</w:t>
      </w:r>
      <w:r>
        <w:rPr>
          <w:rFonts w:ascii="Times New Roman" w:eastAsia="Times New Roman" w:hAnsi="Times New Roman" w:cs="Times New Roman"/>
          <w:color w:val="000000"/>
          <w:spacing w:val="0"/>
          <w:w w:val="100"/>
          <w:position w:val="0"/>
          <w:sz w:val="18"/>
          <w:szCs w:val="18"/>
        </w:rPr>
        <w:t>139,150,076.00</w:t>
      </w:r>
      <w:r>
        <w:rPr>
          <w:color w:val="000000"/>
          <w:spacing w:val="0"/>
          <w:w w:val="100"/>
          <w:position w:val="0"/>
        </w:rPr>
        <w:t>元，按照每股人民币</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 xml:space="preserve">元认购首都在 </w:t>
      </w:r>
      <w:r>
        <w:rPr>
          <w:color w:val="000000"/>
          <w:spacing w:val="0"/>
          <w:w w:val="100"/>
          <w:position w:val="0"/>
        </w:rPr>
        <w:t>线非公开发行的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股股份</w:t>
      </w:r>
      <w:r>
        <w:rPr>
          <w:rFonts w:ascii="Times New Roman" w:eastAsia="Times New Roman" w:hAnsi="Times New Roman" w:cs="Times New Roman"/>
          <w:color w:val="000000"/>
          <w:spacing w:val="0"/>
          <w:w w:val="100"/>
          <w:position w:val="0"/>
          <w:sz w:val="18"/>
          <w:szCs w:val="18"/>
        </w:rPr>
        <w:t>10,703,852</w:t>
      </w:r>
      <w:r>
        <w:rPr>
          <w:color w:val="000000"/>
          <w:spacing w:val="0"/>
          <w:w w:val="100"/>
          <w:position w:val="0"/>
        </w:rPr>
        <w:t>股。截至财务报告批准报出日止，公司认购的首都在线向特定对象发行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股股票已在中 国证券登记结算有限责任公司深圳分公司办理了新增股份登记及限售事宜。</w:t>
      </w:r>
    </w:p>
    <w:p>
      <w:pPr>
        <w:pStyle w:val="Style16"/>
        <w:keepNext w:val="0"/>
        <w:keepLines w:val="0"/>
        <w:widowControl w:val="0"/>
        <w:shd w:val="clear" w:color="auto" w:fill="auto"/>
        <w:bidi w:val="0"/>
        <w:spacing w:before="0" w:after="0" w:line="318"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日，公司设立了海南昊天睿阳科技有限公司，海南昊天睿阳科技有限公司注册资本</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万元，由公司以 货币资金投资</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，截至财务报表报出日止，公司尚未缴纳出资。</w:t>
      </w:r>
    </w:p>
    <w:p>
      <w:pPr>
        <w:pStyle w:val="Style16"/>
        <w:keepNext w:val="0"/>
        <w:keepLines w:val="0"/>
        <w:widowControl w:val="0"/>
        <w:shd w:val="clear" w:color="auto" w:fill="auto"/>
        <w:bidi w:val="0"/>
        <w:spacing w:before="0" w:after="0" w:line="318"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日，公司设立了武汉昊天睿阳科技有限公司，武汉昊天睿阳科技有限公司注册资本</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万元，由公司以 货币资金投资</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，截至财务报表报出日止，公司尚未缴纳出资。</w:t>
      </w:r>
    </w:p>
    <w:p>
      <w:pPr>
        <w:pStyle w:val="Style16"/>
        <w:keepNext w:val="0"/>
        <w:keepLines w:val="0"/>
        <w:widowControl w:val="0"/>
        <w:shd w:val="clear" w:color="auto" w:fill="auto"/>
        <w:bidi w:val="0"/>
        <w:spacing w:before="0" w:after="0" w:line="318"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日，公司设立了上海华融瑞科技有限公司，上海华融瑞科技有限公司注册资本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万元，由公司以货币 资金投资</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，截至财务报表报出日止，公司尚未缴纳出资。</w:t>
      </w:r>
    </w:p>
    <w:p>
      <w:pPr>
        <w:pStyle w:val="Style16"/>
        <w:keepNext w:val="0"/>
        <w:keepLines w:val="0"/>
        <w:widowControl w:val="0"/>
        <w:shd w:val="clear" w:color="auto" w:fill="auto"/>
        <w:bidi w:val="0"/>
        <w:spacing w:before="0" w:after="380" w:line="318" w:lineRule="exact"/>
        <w:ind w:left="0" w:right="0"/>
        <w:jc w:val="both"/>
      </w:pPr>
      <w:r>
        <w:rPr>
          <w:color w:val="000000"/>
          <w:spacing w:val="0"/>
          <w:w w:val="100"/>
          <w:position w:val="0"/>
        </w:rPr>
        <w:t>除存在上述资产负债表日后事项外，截至财务报告批准报出日止，本公司无其他应披露未披露的重大资产负债表日后事 项。</w:t>
      </w:r>
    </w:p>
    <w:p>
      <w:pPr>
        <w:pStyle w:val="Style21"/>
        <w:keepNext/>
        <w:keepLines/>
        <w:widowControl w:val="0"/>
        <w:shd w:val="clear" w:color="auto" w:fill="auto"/>
        <w:bidi w:val="0"/>
        <w:spacing w:before="0" w:after="380" w:line="240" w:lineRule="auto"/>
        <w:ind w:left="0" w:right="0" w:firstLine="0"/>
        <w:jc w:val="both"/>
      </w:pPr>
      <w:bookmarkStart w:id="1707" w:name="bookmark1707"/>
      <w:bookmarkStart w:id="1708" w:name="bookmark1708"/>
      <w:bookmarkStart w:id="1709" w:name="bookmark1709"/>
      <w:r>
        <w:rPr>
          <w:color w:val="000000"/>
          <w:spacing w:val="0"/>
          <w:w w:val="100"/>
          <w:position w:val="0"/>
        </w:rPr>
        <w:t>十六、其他重要事项</w:t>
      </w:r>
      <w:bookmarkEnd w:id="1707"/>
      <w:bookmarkEnd w:id="1708"/>
      <w:bookmarkEnd w:id="1709"/>
    </w:p>
    <w:p>
      <w:pPr>
        <w:pStyle w:val="Style27"/>
        <w:keepNext/>
        <w:keepLines/>
        <w:widowControl w:val="0"/>
        <w:shd w:val="clear" w:color="auto" w:fill="auto"/>
        <w:tabs>
          <w:tab w:pos="368" w:val="left"/>
        </w:tabs>
        <w:bidi w:val="0"/>
        <w:spacing w:before="0" w:line="240" w:lineRule="auto"/>
        <w:ind w:left="0" w:right="0" w:firstLine="0"/>
        <w:jc w:val="both"/>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1</w:t>
      </w:r>
      <w:bookmarkEnd w:id="1712"/>
      <w:r>
        <w:rPr>
          <w:color w:val="000000"/>
          <w:spacing w:val="0"/>
          <w:w w:val="100"/>
          <w:position w:val="0"/>
        </w:rPr>
        <w:t>、</w:t>
        <w:tab/>
        <w:t>分部信息</w:t>
      </w:r>
      <w:bookmarkEnd w:id="1710"/>
      <w:bookmarkEnd w:id="1711"/>
      <w:bookmarkEnd w:id="1713"/>
    </w:p>
    <w:p>
      <w:pPr>
        <w:pStyle w:val="Style27"/>
        <w:keepNext/>
        <w:keepLines/>
        <w:widowControl w:val="0"/>
        <w:shd w:val="clear" w:color="auto" w:fill="auto"/>
        <w:bidi w:val="0"/>
        <w:spacing w:before="0" w:after="260" w:line="240" w:lineRule="auto"/>
        <w:ind w:left="0" w:right="0" w:firstLine="0"/>
        <w:jc w:val="both"/>
      </w:pPr>
      <w:bookmarkStart w:id="1710" w:name="bookmark1710"/>
      <w:bookmarkStart w:id="1711" w:name="bookmark1711"/>
      <w:bookmarkStart w:id="1714" w:name="bookmark17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710"/>
      <w:bookmarkEnd w:id="1711"/>
      <w:bookmarkEnd w:id="1714"/>
    </w:p>
    <w:p>
      <w:pPr>
        <w:pStyle w:val="Style16"/>
        <w:keepNext w:val="0"/>
        <w:keepLines w:val="0"/>
        <w:widowControl w:val="0"/>
        <w:shd w:val="clear" w:color="auto" w:fill="auto"/>
        <w:bidi w:val="0"/>
        <w:spacing w:before="0" w:after="380" w:line="312" w:lineRule="exact"/>
        <w:ind w:left="0" w:right="0"/>
        <w:jc w:val="both"/>
      </w:pPr>
      <w:r>
        <w:rPr>
          <w:color w:val="000000"/>
          <w:spacing w:val="0"/>
          <w:w w:val="100"/>
          <w:position w:val="0"/>
        </w:rPr>
        <w:t>本公司不存在不同经济特征的多个经营分部，也没有依据内部组织结构、管理要求、内部报告制度等确定经营分部，因 此，本公司不存在需要披露的以经营分部为基础的报告分部信息。</w:t>
      </w:r>
    </w:p>
    <w:p>
      <w:pPr>
        <w:pStyle w:val="Style27"/>
        <w:keepNext/>
        <w:keepLines/>
        <w:widowControl w:val="0"/>
        <w:shd w:val="clear" w:color="auto" w:fill="auto"/>
        <w:tabs>
          <w:tab w:pos="378" w:val="left"/>
        </w:tabs>
        <w:bidi w:val="0"/>
        <w:spacing w:before="0" w:after="260" w:line="240" w:lineRule="auto"/>
        <w:ind w:left="0" w:right="0" w:firstLine="0"/>
        <w:jc w:val="both"/>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2</w:t>
      </w:r>
      <w:bookmarkEnd w:id="1717"/>
      <w:r>
        <w:rPr>
          <w:color w:val="000000"/>
          <w:spacing w:val="0"/>
          <w:w w:val="100"/>
          <w:position w:val="0"/>
        </w:rPr>
        <w:t>、</w:t>
        <w:tab/>
        <w:t>其他</w:t>
      </w:r>
      <w:bookmarkEnd w:id="1715"/>
      <w:bookmarkEnd w:id="1716"/>
      <w:bookmarkEnd w:id="1718"/>
    </w:p>
    <w:p>
      <w:pPr>
        <w:pStyle w:val="Style16"/>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日，本公司与永中软件股份有限公司、北京德惠众合信息技术有限公司签订股权转让协议，永中软件股份 有限公司受让本公司持有的北京德惠众合信息技术有限公司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股权，受让价格</w:t>
      </w:r>
      <w:r>
        <w:rPr>
          <w:rFonts w:ascii="Times New Roman" w:eastAsia="Times New Roman" w:hAnsi="Times New Roman" w:cs="Times New Roman"/>
          <w:color w:val="000000"/>
          <w:spacing w:val="0"/>
          <w:w w:val="100"/>
          <w:position w:val="0"/>
          <w:sz w:val="18"/>
          <w:szCs w:val="18"/>
        </w:rPr>
        <w:t>12,540,000.00</w:t>
      </w:r>
      <w:r>
        <w:rPr>
          <w:color w:val="000000"/>
          <w:spacing w:val="0"/>
          <w:w w:val="100"/>
          <w:position w:val="0"/>
        </w:rPr>
        <w:t>元。截止财务报告批注报出日 止，本公司已收到全部股权转让款，且相关工商已变更完毕。</w:t>
      </w:r>
    </w:p>
    <w:p>
      <w:pPr>
        <w:pStyle w:val="Style16"/>
        <w:keepNext w:val="0"/>
        <w:keepLines w:val="0"/>
        <w:widowControl w:val="0"/>
        <w:shd w:val="clear" w:color="auto" w:fill="auto"/>
        <w:bidi w:val="0"/>
        <w:spacing w:before="0" w:after="380" w:line="314" w:lineRule="exact"/>
        <w:ind w:left="0" w:right="0"/>
        <w:jc w:val="both"/>
      </w:pPr>
      <w:r>
        <w:rPr>
          <w:color w:val="000000"/>
          <w:spacing w:val="0"/>
          <w:w w:val="100"/>
          <w:position w:val="0"/>
        </w:rPr>
        <w:t>除上述事项外，截至财务报告批准报出日止，本公司无应披露未披露的其他重大事项。</w:t>
      </w:r>
      <w:r>
        <w:br w:type="page"/>
      </w:r>
    </w:p>
    <w:p>
      <w:pPr>
        <w:pStyle w:val="Style21"/>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r>
        <w:rPr>
          <w:color w:val="000000"/>
          <w:spacing w:val="0"/>
          <w:w w:val="100"/>
          <w:position w:val="0"/>
        </w:rPr>
        <w:t>十七、母公司财务报表主要项目注释</w:t>
      </w:r>
      <w:bookmarkEnd w:id="1719"/>
      <w:bookmarkEnd w:id="1720"/>
      <w:bookmarkEnd w:id="1721"/>
    </w:p>
    <w:p>
      <w:pPr>
        <w:pStyle w:val="Style27"/>
        <w:keepNext/>
        <w:keepLines/>
        <w:widowControl w:val="0"/>
        <w:shd w:val="clear" w:color="auto" w:fill="auto"/>
        <w:bidi w:val="0"/>
        <w:spacing w:before="0" w:after="360" w:line="240" w:lineRule="auto"/>
        <w:ind w:left="0" w:right="0" w:firstLine="0"/>
        <w:jc w:val="left"/>
      </w:pPr>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22"/>
      <w:bookmarkEnd w:id="1723"/>
      <w:bookmarkEnd w:id="1724"/>
    </w:p>
    <w:p>
      <w:pPr>
        <w:pStyle w:val="Style27"/>
        <w:keepNext/>
        <w:keepLines/>
        <w:widowControl w:val="0"/>
        <w:shd w:val="clear" w:color="auto" w:fill="auto"/>
        <w:bidi w:val="0"/>
        <w:spacing w:before="0" w:after="140" w:line="240" w:lineRule="auto"/>
        <w:ind w:left="0" w:right="0" w:firstLine="0"/>
        <w:jc w:val="left"/>
      </w:pPr>
      <w:bookmarkStart w:id="1722" w:name="bookmark1722"/>
      <w:bookmarkStart w:id="1723" w:name="bookmark1723"/>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22"/>
      <w:bookmarkEnd w:id="1723"/>
      <w:bookmarkEnd w:id="1725"/>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1,266,34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85,350,2</w:t>
            </w:r>
          </w:p>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66.51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1,180,991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914,151,6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68,366,34</w:t>
            </w:r>
          </w:p>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845,785,29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按账龄分析法计提 预期信用损失的应 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1,222,75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7,064.96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85,350,2</w:t>
            </w:r>
          </w:p>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66.51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1,137,406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870,957,6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68,366,34</w:t>
            </w:r>
          </w:p>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802,591,28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本公司合并范围内 关联单位的应收账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43,584,4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43,584,41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43,194,01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43,194,010.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1,266,34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85,350,2</w:t>
            </w:r>
          </w:p>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66.51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1,180,991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914,151,6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68,366,34</w:t>
            </w:r>
          </w:p>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845,785,29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85,350,266.51</w:t>
      </w:r>
    </w:p>
    <w:p>
      <w:pPr>
        <w:widowControl w:val="0"/>
        <w:spacing w:after="139" w:line="1" w:lineRule="exact"/>
      </w:pPr>
    </w:p>
    <w:p>
      <w:pPr>
        <w:pStyle w:val="Style1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969,088,953.67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29,072,668.61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166,819,009.08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16,681,900.91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46,615,663.67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13,984,699.10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24,475,709.95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12,237,854.98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11,922,928.39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9,538,342.71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3,834,800.20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3,834,800.20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1,222,757,064.96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85,350,266.51</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104" w:hRule="exact"/>
        </w:trPr>
        <w:tc>
          <w:tcPr>
            <w:gridSpan w:val="4"/>
            <w:tcBorders>
              <w:top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969,479,353.67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166,819,009.08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47,548,983.67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82,494,128.54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24,475,709.95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22,383,618.39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35,634,800.20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1,266,341,474.96</w:t>
            </w:r>
          </w:p>
        </w:tc>
      </w:tr>
    </w:tbl>
    <w:p>
      <w:pPr>
        <w:widowControl w:val="0"/>
        <w:spacing w:after="319" w:line="1" w:lineRule="exact"/>
      </w:pPr>
    </w:p>
    <w:p>
      <w:pPr>
        <w:pStyle w:val="Style27"/>
        <w:keepNext/>
        <w:keepLines/>
        <w:widowControl w:val="0"/>
        <w:shd w:val="clear" w:color="auto" w:fill="auto"/>
        <w:bidi w:val="0"/>
        <w:spacing w:before="0" w:after="400" w:line="240" w:lineRule="auto"/>
        <w:ind w:left="0" w:right="0" w:firstLine="0"/>
        <w:jc w:val="left"/>
      </w:pPr>
      <w:bookmarkStart w:id="1726" w:name="bookmark1726"/>
      <w:bookmarkStart w:id="1727" w:name="bookmark1727"/>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26"/>
      <w:bookmarkEnd w:id="1727"/>
      <w:bookmarkEnd w:id="1728"/>
    </w:p>
    <w:p>
      <w:pPr>
        <w:pStyle w:val="Style1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按账龄分析法计 提预期信用损失 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68,366,346.20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18,863,920.31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85,350,266.51</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68,366,346.20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18,863,920.31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85,350,266.51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1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1729" w:name="bookmark1729"/>
      <w:bookmarkStart w:id="1730" w:name="bookmark1730"/>
      <w:bookmarkStart w:id="1731" w:name="bookmark1731"/>
      <w:bookmarkStart w:id="1732" w:name="bookmark1732"/>
      <w:r>
        <w:rPr>
          <w:color w:val="000000"/>
          <w:spacing w:val="0"/>
          <w:w w:val="100"/>
          <w:position w:val="0"/>
        </w:rPr>
        <w:t>（</w:t>
      </w:r>
      <w:bookmarkEnd w:id="173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729"/>
      <w:bookmarkEnd w:id="1730"/>
      <w:bookmarkEnd w:id="1732"/>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按账龄分析法计提预期信用损失的应收账款</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1,880,000.00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江苏伊斯特威尔供应 链管理有限公司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应收合同款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经总经理办公会审 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1,880,000.00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27"/>
        <w:keepNext/>
        <w:keepLines/>
        <w:widowControl w:val="0"/>
        <w:shd w:val="clear" w:color="auto" w:fill="auto"/>
        <w:bidi w:val="0"/>
        <w:spacing w:before="0" w:after="360" w:line="240" w:lineRule="auto"/>
        <w:ind w:left="0" w:right="0" w:firstLine="0"/>
        <w:jc w:val="left"/>
      </w:pPr>
      <w:bookmarkStart w:id="1733" w:name="bookmark1733"/>
      <w:bookmarkStart w:id="1734" w:name="bookmark1734"/>
      <w:bookmarkStart w:id="1735" w:name="bookmark1735"/>
      <w:bookmarkStart w:id="1736" w:name="bookmark1736"/>
      <w:r>
        <w:rPr>
          <w:color w:val="000000"/>
          <w:spacing w:val="0"/>
          <w:w w:val="100"/>
          <w:position w:val="0"/>
        </w:rPr>
        <w:t>（</w:t>
      </w:r>
      <w:bookmarkEnd w:id="173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733"/>
      <w:bookmarkEnd w:id="1734"/>
      <w:bookmarkEnd w:id="1736"/>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期末余额前五名应收账款汇 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623,667,496.33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26,218,230.83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623,667,496.33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both"/>
      </w:pPr>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37"/>
      <w:bookmarkEnd w:id="1738"/>
      <w:bookmarkEnd w:id="1739"/>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137,191,793.31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79,107,640.69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137,191,793.31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79,107,640.69</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740" w:name="bookmark1740"/>
      <w:bookmarkStart w:id="1741" w:name="bookmark1741"/>
      <w:bookmarkStart w:id="1742" w:name="bookmark17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740"/>
      <w:bookmarkEnd w:id="1741"/>
      <w:bookmarkEnd w:id="1742"/>
    </w:p>
    <w:p>
      <w:pPr>
        <w:pStyle w:val="Style27"/>
        <w:keepNext/>
        <w:keepLines/>
        <w:widowControl w:val="0"/>
        <w:shd w:val="clear" w:color="auto" w:fill="auto"/>
        <w:bidi w:val="0"/>
        <w:spacing w:before="0" w:after="360" w:line="240" w:lineRule="auto"/>
        <w:ind w:left="0" w:right="0" w:firstLine="0"/>
        <w:jc w:val="left"/>
      </w:pPr>
      <w:bookmarkStart w:id="1740" w:name="bookmark1740"/>
      <w:bookmarkStart w:id="1741" w:name="bookmark1741"/>
      <w:bookmarkStart w:id="1743" w:name="bookmark174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40"/>
      <w:bookmarkEnd w:id="1741"/>
      <w:bookmarkEnd w:id="1743"/>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19,161,911.98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10,167,382.06</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6,781,100.17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4,434,600.59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1,867,924.48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净额法确认收入下的代收代付款项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9,150,943.30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105,039,029.15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64,267,405.68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414,860.21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368,397.30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140,547,844.81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81,105,710.11</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44"/>
      <w:bookmarkEnd w:id="1745"/>
      <w:bookmarkEnd w:id="1746"/>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704"/>
        <w:gridCol w:w="1982"/>
        <w:gridCol w:w="1810"/>
        <w:gridCol w:w="181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 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1,998,069.42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1,998,069.42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1,357,982.08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1,357,982.08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3,356,051.50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3,356,051.50</w:t>
            </w:r>
          </w:p>
        </w:tc>
      </w:tr>
    </w:tbl>
    <w:p>
      <w:pPr>
        <w:widowControl w:val="0"/>
        <w:spacing w:after="79" w:line="1" w:lineRule="exact"/>
      </w:pP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88,207,112.72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32,140,588.17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18,765,432.42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1,434,711.50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693,941.50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419,770.00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140,547,844.81</w:t>
            </w:r>
          </w:p>
        </w:tc>
      </w:tr>
    </w:tbl>
    <w:p>
      <w:pPr>
        <w:sectPr>
          <w:footnotePr>
            <w:pos w:val="pageBottom"/>
            <w:numFmt w:val="decimal"/>
            <w:numRestart w:val="continuous"/>
          </w:footnotePr>
          <w:pgSz w:w="11900" w:h="16840"/>
          <w:pgMar w:top="1374" w:right="1064" w:bottom="1432" w:left="1053" w:header="0" w:footer="3" w:gutter="0"/>
          <w:cols w:space="720"/>
          <w:noEndnote/>
          <w:rtlGutter w:val="0"/>
          <w:docGrid w:linePitch="360"/>
        </w:sectPr>
      </w:pPr>
    </w:p>
    <w:p>
      <w:pPr>
        <w:pStyle w:val="Style27"/>
        <w:keepNext/>
        <w:keepLines/>
        <w:widowControl w:val="0"/>
        <w:shd w:val="clear" w:color="auto" w:fill="auto"/>
        <w:bidi w:val="0"/>
        <w:spacing w:before="32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3</w:t>
      </w:r>
      <w:bookmarkEnd w:id="1749"/>
      <w:r>
        <w:rPr>
          <w:color w:val="000000"/>
          <w:spacing w:val="0"/>
          <w:w w:val="100"/>
          <w:position w:val="0"/>
        </w:rPr>
        <w:t>）本期计提、收回或转回的坏账准备情况</w:t>
      </w:r>
      <w:bookmarkEnd w:id="1747"/>
      <w:bookmarkEnd w:id="1748"/>
      <w:bookmarkEnd w:id="1750"/>
    </w:p>
    <w:p>
      <w:pPr>
        <w:pStyle w:val="Style1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按账龄分析法计提 预期信用损失的其 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1,998,069.42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1,357,982.08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3,356,051.50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1,998,069.42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1,357,982.08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3,356,051.50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4</w:t>
      </w:r>
      <w:bookmarkEnd w:id="1753"/>
      <w:r>
        <w:rPr>
          <w:color w:val="000000"/>
          <w:spacing w:val="0"/>
          <w:w w:val="100"/>
          <w:position w:val="0"/>
        </w:rPr>
        <w:t>）按欠款方归集的期末余额前五名的其他应收款情况</w:t>
      </w:r>
      <w:bookmarkEnd w:id="1751"/>
      <w:bookmarkEnd w:id="1752"/>
      <w:bookmarkEnd w:id="1754"/>
    </w:p>
    <w:p>
      <w:pPr>
        <w:pStyle w:val="Style1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8,693,396.13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457,547.17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1,803,100.00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1,031,381.19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54,283.22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1,013,650.00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13,681,527.32</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720,080.39</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both"/>
      </w:pPr>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1755"/>
      <w:bookmarkEnd w:id="1756"/>
      <w:bookmarkEnd w:id="175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378,857,859.00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378,857,859.00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374,357,859.00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374,357,859.00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68,235,829.07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68,235,829.07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11,451,668.30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11,451,668.30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447,093,688.07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447,093,688.07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385,809,527.30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385,809,527.30</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1758" w:name="bookmark1758"/>
      <w:bookmarkStart w:id="1759" w:name="bookmark1759"/>
      <w:bookmarkStart w:id="1760" w:name="bookmark17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58"/>
      <w:bookmarkEnd w:id="1759"/>
      <w:bookmarkEnd w:id="176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282"/>
        <w:gridCol w:w="1051"/>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厦门赞扬丰硕 软件技术有限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无锡天阳宏业</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北京银恒通电</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子科技有限公</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北京卡洛其咨 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北京天阳融信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北京鼎信天威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29,277,059.00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29,277,059.00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北京天阳融数</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1,040,800.00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天阳胜合科技</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374,357,859.00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378,857,859.00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761" w:name="bookmark1761"/>
      <w:bookmarkStart w:id="1762" w:name="bookmark1762"/>
      <w:bookmarkStart w:id="1763" w:name="bookmark17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61"/>
      <w:bookmarkEnd w:id="1762"/>
      <w:bookmarkEnd w:id="176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99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北京德惠</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众合信息</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技术有限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11,451,66</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99,038.02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期末余额</w:t>
            </w:r>
          </w:p>
          <w:p>
            <w:pPr>
              <w:pStyle w:val="Style18"/>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1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北京和顺</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恒通科技</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44,204,60</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-1,201,77</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43,002,82</w:t>
            </w:r>
          </w:p>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北京金实</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宏成技术</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-1,317,70</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13,682,29</w:t>
            </w:r>
          </w:p>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11,451,66</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59,204,00</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-2,420,43</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68,235,82</w:t>
            </w:r>
          </w:p>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11,451,66</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59,204,00</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-2,420,43</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68,235,82</w:t>
            </w:r>
          </w:p>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4</w:t>
      </w:r>
      <w:bookmarkEnd w:id="1766"/>
      <w:r>
        <w:rPr>
          <w:color w:val="000000"/>
          <w:spacing w:val="0"/>
          <w:w w:val="100"/>
          <w:position w:val="0"/>
        </w:rPr>
        <w:t>、营业收入和营业成本</w:t>
      </w:r>
      <w:bookmarkEnd w:id="1764"/>
      <w:bookmarkEnd w:id="1765"/>
      <w:bookmarkEnd w:id="176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1,700,854,320.40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1,283,723,522.08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1,246,994,707.30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858,777,223.59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2,474,932.01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3,312,766.03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622,826.42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622,826.42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1,703,329,252.41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1,287,036,288.11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1,247,617,533.72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859,400,050.01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主营业务收入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其他业务收入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1,700,854,320.40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2,474,932.01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1,703,329,252.41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1,128,050,218.85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1,128,050,218.85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446,388,139.13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446,388,139.13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4,966,037.74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4,966,037.74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121,449,924.68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121,449,924.68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2,474,932.01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2,474,932.01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1,700,854,320.40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2,474,932.01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1,703,329,252.41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677,348,371.11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677,348,371.11</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主营业务收入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其他业务收入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609,295,898.75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2,474,932.01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611,770,830.76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175,545,424.58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175,545,424.58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94,890,606.56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94,890,606.56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65,661,777.21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65,661,777.21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44,540,304.61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44,540,304.61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32,323,265.85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32,323,265.85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港澳台地区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1,248,671.73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1,248,671.73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1,700,854,320.40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2,474,932.01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1,703,329,252.41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1,526,188,412.82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1,526,188,412.82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非银行金融机构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49,979,475.86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49,979,475.86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非金融类客户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124,686,431.72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2,474,932.01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127,161,363.73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1,700,854,320.40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2,474,932.01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1,703,329,252.41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1,700,854,320.40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2,474,932.01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1,703,329,252.41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1,700,854,320.40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2,474,932.01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1,703,329,252.41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6"/>
        <w:keepNext w:val="0"/>
        <w:keepLines w:val="0"/>
        <w:widowControl w:val="0"/>
        <w:shd w:val="clear" w:color="auto" w:fill="auto"/>
        <w:bidi w:val="0"/>
        <w:spacing w:before="0" w:after="0" w:line="317" w:lineRule="exact"/>
        <w:ind w:left="0" w:right="0" w:firstLine="320"/>
        <w:jc w:val="left"/>
      </w:pPr>
      <w:r>
        <w:rPr>
          <w:color w:val="000000"/>
          <w:spacing w:val="0"/>
          <w:w w:val="100"/>
          <w:position w:val="0"/>
        </w:rPr>
        <w:t>无</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1,068,571,231.90</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18"/>
          <w:szCs w:val="18"/>
        </w:rPr>
        <w:t>1,024,388,381.90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37,577,850.00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6,605,000.00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年度确认收入。</w:t>
      </w:r>
    </w:p>
    <w:p>
      <w:pPr>
        <w:pStyle w:val="Style16"/>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400" w:line="240" w:lineRule="auto"/>
        <w:ind w:left="0" w:right="0" w:firstLine="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5</w:t>
      </w:r>
      <w:bookmarkEnd w:id="1770"/>
      <w:r>
        <w:rPr>
          <w:color w:val="000000"/>
          <w:spacing w:val="0"/>
          <w:w w:val="100"/>
          <w:position w:val="0"/>
        </w:rPr>
        <w:t>、投资收益</w:t>
      </w:r>
      <w:bookmarkEnd w:id="1768"/>
      <w:bookmarkEnd w:id="1769"/>
      <w:bookmarkEnd w:id="1771"/>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27,418,841.40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-2,420,439.23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-74,603.36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7,657,145.62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3,586,941.14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5,236,706.39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30,931,179.18</w:t>
            </w:r>
          </w:p>
        </w:tc>
      </w:tr>
    </w:tbl>
    <w:p>
      <w:pPr>
        <w:pStyle w:val="Style27"/>
        <w:keepNext/>
        <w:keepLines/>
        <w:widowControl w:val="0"/>
        <w:shd w:val="clear" w:color="auto" w:fill="auto"/>
        <w:bidi w:val="0"/>
        <w:spacing w:before="0" w:after="340" w:line="240" w:lineRule="auto"/>
        <w:ind w:left="0" w:right="0" w:firstLine="0"/>
        <w:jc w:val="both"/>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6</w:t>
      </w:r>
      <w:bookmarkEnd w:id="1774"/>
      <w:r>
        <w:rPr>
          <w:color w:val="000000"/>
          <w:spacing w:val="0"/>
          <w:w w:val="100"/>
          <w:position w:val="0"/>
        </w:rPr>
        <w:t>、其他</w:t>
      </w:r>
      <w:bookmarkEnd w:id="1772"/>
      <w:bookmarkEnd w:id="1773"/>
      <w:bookmarkEnd w:id="1775"/>
    </w:p>
    <w:p>
      <w:pPr>
        <w:pStyle w:val="Style21"/>
        <w:keepNext/>
        <w:keepLines/>
        <w:widowControl w:val="0"/>
        <w:shd w:val="clear" w:color="auto" w:fill="auto"/>
        <w:bidi w:val="0"/>
        <w:spacing w:before="0" w:after="340" w:line="240" w:lineRule="auto"/>
        <w:ind w:left="0" w:right="0" w:firstLine="0"/>
        <w:jc w:val="both"/>
      </w:pPr>
      <w:bookmarkStart w:id="1776" w:name="bookmark1776"/>
      <w:bookmarkStart w:id="1777" w:name="bookmark1777"/>
      <w:bookmarkStart w:id="1778" w:name="bookmark1778"/>
      <w:r>
        <w:rPr>
          <w:color w:val="000000"/>
          <w:spacing w:val="0"/>
          <w:w w:val="100"/>
          <w:position w:val="0"/>
        </w:rPr>
        <w:t>十八、补充资料</w:t>
      </w:r>
      <w:bookmarkEnd w:id="1776"/>
      <w:bookmarkEnd w:id="1777"/>
      <w:bookmarkEnd w:id="1778"/>
    </w:p>
    <w:p>
      <w:pPr>
        <w:pStyle w:val="Style27"/>
        <w:keepNext/>
        <w:keepLines/>
        <w:widowControl w:val="0"/>
        <w:shd w:val="clear" w:color="auto" w:fill="auto"/>
        <w:bidi w:val="0"/>
        <w:spacing w:before="0" w:after="340" w:line="240" w:lineRule="auto"/>
        <w:ind w:left="0" w:right="0" w:firstLine="0"/>
        <w:jc w:val="both"/>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79"/>
      <w:bookmarkEnd w:id="1780"/>
      <w:bookmarkEnd w:id="1781"/>
    </w:p>
    <w:p>
      <w:pPr>
        <w:pStyle w:val="Style1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539"/>
        <w:gridCol w:w="2126"/>
        <w:gridCol w:w="192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计入当期损益的政府补助（与公司正常经营业务密切相关，符合国家 政策规定、按照一定标准定额或定量持续享受的政府补助除外）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26,815,106.13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除同公司正常经营业务相关的有效套期保值业务外，持有交易性金融 资产、交易性金融负债产生的公允价值变动损益，以及处置交易性金 融资产交易性金融负债和可供出售金融资产取得的投资收益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7,657,340.65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-136,766.03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3,769,123.32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4,783,507.42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51,089.63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48,269,197.31</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1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16"/>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82"/>
      <w:bookmarkEnd w:id="1783"/>
      <w:bookmarkEnd w:id="1784"/>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785" w:name="bookmark1785"/>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3</w:t>
      </w:r>
      <w:bookmarkEnd w:id="1787"/>
      <w:r>
        <w:rPr>
          <w:color w:val="000000"/>
          <w:spacing w:val="0"/>
          <w:w w:val="100"/>
          <w:position w:val="0"/>
        </w:rPr>
        <w:t>、其他</w:t>
      </w:r>
      <w:bookmarkEnd w:id="1785"/>
      <w:bookmarkEnd w:id="1786"/>
      <w:bookmarkEnd w:id="1788"/>
    </w:p>
    <w:p>
      <w:pPr>
        <w:pStyle w:val="Style16"/>
        <w:keepNext w:val="0"/>
        <w:keepLines w:val="0"/>
        <w:widowControl w:val="0"/>
        <w:shd w:val="clear" w:color="auto" w:fill="auto"/>
        <w:bidi w:val="0"/>
        <w:spacing w:before="0" w:after="300" w:line="240" w:lineRule="auto"/>
        <w:ind w:left="0" w:right="0"/>
        <w:jc w:val="left"/>
      </w:pPr>
      <w:r>
        <w:rPr>
          <w:color w:val="000000"/>
          <w:spacing w:val="0"/>
          <w:w w:val="100"/>
          <w:position w:val="0"/>
        </w:rPr>
        <w:t>无</w:t>
      </w:r>
    </w:p>
    <w:sectPr>
      <w:footnotePr>
        <w:pos w:val="pageBottom"/>
        <w:numFmt w:val="decimal"/>
        <w:numRestart w:val="continuous"/>
      </w:footnotePr>
      <w:pgSz w:w="11900" w:h="16840"/>
      <w:pgMar w:top="1441" w:right="1107" w:bottom="1657" w:left="11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3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4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8">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Heading #2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3)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Body text (2)_"/>
    <w:basedOn w:val="DefaultParagraphFont"/>
    <w:link w:val="Style10"/>
    <w:rPr>
      <w:rFonts w:ascii="SimSun" w:eastAsia="SimSun" w:hAnsi="SimSun" w:cs="SimSun"/>
      <w:b/>
      <w:bCs/>
      <w:i w:val="0"/>
      <w:iCs w:val="0"/>
      <w:smallCaps w:val="0"/>
      <w:strike w:val="0"/>
      <w:sz w:val="28"/>
      <w:szCs w:val="28"/>
      <w:u w:val="none"/>
      <w:shd w:val="clear" w:color="auto" w:fill="auto"/>
    </w:rPr>
  </w:style>
  <w:style w:type="character" w:customStyle="1" w:styleId="CharStyle14">
    <w:name w:val="Table of contents_"/>
    <w:basedOn w:val="DefaultParagraphFont"/>
    <w:link w:val="Style13"/>
    <w:rPr>
      <w:rFonts w:ascii="SimSun" w:eastAsia="SimSun" w:hAnsi="SimSun" w:cs="SimSun"/>
      <w:b w:val="0"/>
      <w:bCs w:val="0"/>
      <w:i w:val="0"/>
      <w:iCs w:val="0"/>
      <w:smallCaps w:val="0"/>
      <w:strike w:val="0"/>
      <w:u w:val="none"/>
      <w:shd w:val="clear" w:color="auto" w:fill="auto"/>
    </w:rPr>
  </w:style>
  <w:style w:type="character" w:customStyle="1" w:styleId="CharStyle17">
    <w:name w:val="Body text_"/>
    <w:basedOn w:val="DefaultParagraphFont"/>
    <w:link w:val="Style16"/>
    <w:rPr>
      <w:rFonts w:ascii="SimSun" w:eastAsia="SimSun" w:hAnsi="SimSun" w:cs="SimSun"/>
      <w:b w:val="0"/>
      <w:bCs w:val="0"/>
      <w:i w:val="0"/>
      <w:iCs w:val="0"/>
      <w:smallCaps w:val="0"/>
      <w:strike w:val="0"/>
      <w:sz w:val="17"/>
      <w:szCs w:val="17"/>
      <w:u w:val="none"/>
      <w:shd w:val="clear" w:color="auto" w:fill="auto"/>
    </w:rPr>
  </w:style>
  <w:style w:type="character" w:customStyle="1" w:styleId="CharStyle19">
    <w:name w:val="Other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Heading #3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Heading #4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43">
    <w:name w:val="Body text (6)_"/>
    <w:basedOn w:val="DefaultParagraphFont"/>
    <w:link w:val="Style42"/>
    <w:rPr>
      <w:rFonts w:ascii="SimSun" w:eastAsia="SimSun" w:hAnsi="SimSun" w:cs="SimSun"/>
      <w:b w:val="0"/>
      <w:bCs w:val="0"/>
      <w:i w:val="0"/>
      <w:iCs w:val="0"/>
      <w:smallCaps w:val="0"/>
      <w:strike w:val="0"/>
      <w:sz w:val="20"/>
      <w:szCs w:val="20"/>
      <w:u w:val="none"/>
      <w:shd w:val="clear" w:color="auto" w:fill="auto"/>
    </w:rPr>
  </w:style>
  <w:style w:type="character" w:customStyle="1" w:styleId="CharStyle47">
    <w:name w:val="Body text (7)_"/>
    <w:basedOn w:val="DefaultParagraphFont"/>
    <w:link w:val="Style46"/>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Heading #1"/>
    <w:basedOn w:val="Normal"/>
    <w:link w:val="CharStyle3"/>
    <w:pPr>
      <w:widowControl w:val="0"/>
      <w:shd w:val="clear" w:color="auto" w:fill="auto"/>
      <w:spacing w:after="97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Heading #2"/>
    <w:basedOn w:val="Normal"/>
    <w:link w:val="CharStyle5"/>
    <w:pPr>
      <w:widowControl w:val="0"/>
      <w:shd w:val="clear" w:color="auto" w:fill="auto"/>
      <w:spacing w:after="69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3)"/>
    <w:basedOn w:val="Normal"/>
    <w:link w:val="CharStyle8"/>
    <w:pPr>
      <w:widowControl w:val="0"/>
      <w:shd w:val="clear" w:color="auto" w:fill="auto"/>
      <w:spacing w:after="44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Body text (2)"/>
    <w:basedOn w:val="Normal"/>
    <w:link w:val="CharStyle11"/>
    <w:pPr>
      <w:widowControl w:val="0"/>
      <w:shd w:val="clear" w:color="auto" w:fill="auto"/>
      <w:spacing w:after="8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3">
    <w:name w:val="Table of contents"/>
    <w:basedOn w:val="Normal"/>
    <w:link w:val="CharStyle14"/>
    <w:pPr>
      <w:widowControl w:val="0"/>
      <w:shd w:val="clear" w:color="auto" w:fill="auto"/>
      <w:spacing w:after="60"/>
    </w:pPr>
    <w:rPr>
      <w:rFonts w:ascii="SimSun" w:eastAsia="SimSun" w:hAnsi="SimSun" w:cs="SimSun"/>
      <w:b w:val="0"/>
      <w:bCs w:val="0"/>
      <w:i w:val="0"/>
      <w:iCs w:val="0"/>
      <w:smallCaps w:val="0"/>
      <w:strike w:val="0"/>
      <w:u w:val="none"/>
      <w:shd w:val="clear" w:color="auto" w:fill="auto"/>
    </w:rPr>
  </w:style>
  <w:style w:type="paragraph" w:styleId="Style16">
    <w:name w:val="Body text"/>
    <w:basedOn w:val="Normal"/>
    <w:link w:val="CharStyle17"/>
    <w:qFormat/>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18">
    <w:name w:val="Other"/>
    <w:basedOn w:val="Normal"/>
    <w:link w:val="CharStyle1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Heading #3"/>
    <w:basedOn w:val="Normal"/>
    <w:link w:val="CharStyle22"/>
    <w:pPr>
      <w:widowControl w:val="0"/>
      <w:shd w:val="clear" w:color="auto" w:fill="auto"/>
      <w:spacing w:after="36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Heading #4"/>
    <w:basedOn w:val="Normal"/>
    <w:link w:val="CharStyle2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2">
    <w:name w:val="Body text (6)"/>
    <w:basedOn w:val="Normal"/>
    <w:link w:val="CharStyle43"/>
    <w:pPr>
      <w:widowControl w:val="0"/>
      <w:shd w:val="clear" w:color="auto" w:fill="auto"/>
      <w:spacing w:after="360" w:line="326"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46">
    <w:name w:val="Body text (7)"/>
    <w:basedOn w:val="Normal"/>
    <w:link w:val="CharStyle47"/>
    <w:pPr>
      <w:widowControl w:val="0"/>
      <w:shd w:val="clear" w:color="auto" w:fill="auto"/>
      <w:spacing w:line="312" w:lineRule="exact"/>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天阳宏业科技股份有限公司2021年年度报告全文</dc:title>
  <dc:subject/>
  <dc:creator>天阳宏业科技股份有限公司</dc:creator>
  <cp:keywords/>
</cp:coreProperties>
</file>