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614930" cy="640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14930" cy="640080"/>
                    </a:xfrm>
                    <a:prstGeom prst="rect"/>
                  </pic:spPr>
                </pic:pic>
              </a:graphicData>
            </a:graphic>
          </wp:inline>
        </w:drawing>
      </w:r>
    </w:p>
    <w:p>
      <w:pPr>
        <w:widowControl w:val="0"/>
        <w:spacing w:after="1419" w:line="1" w:lineRule="exact"/>
      </w:pP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南凌科技股份有限公司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842" w:right="970" w:bottom="2842"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公司负责人陈树林、主管会计工作负责人陈金标及会计机构负责人（会计主 管人员）马锦培声明：保证本年度报告中财务报告的真实、准确、完整。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对任何投资者及相关人士的承诺，投资者及相关人士应对此保持足够的风险认 识，并且应当理解计划、预测与承诺的差异。公司在经营中可能存在的风险因 素内容已在本报告中第四节“经营情况讨论与分析”和“九、公司未来发展的 展望”部分予以描述。</w:t>
      </w:r>
    </w:p>
    <w:p>
      <w:pPr>
        <w:pStyle w:val="Style16"/>
        <w:keepNext w:val="0"/>
        <w:keepLines w:val="0"/>
        <w:widowControl w:val="0"/>
        <w:shd w:val="clear" w:color="auto" w:fill="auto"/>
        <w:bidi w:val="0"/>
        <w:spacing w:before="0" w:line="624" w:lineRule="exact"/>
        <w:ind w:left="0" w:right="0"/>
        <w:jc w:val="both"/>
        <w:sectPr>
          <w:headerReference w:type="default" r:id="rId9"/>
          <w:footerReference w:type="default" r:id="rId10"/>
          <w:footnotePr>
            <w:pos w:val="pageBottom"/>
            <w:numFmt w:val="decimal"/>
            <w:numRestart w:val="continuous"/>
          </w:footnotePr>
          <w:pgSz w:w="11900" w:h="16840"/>
          <w:pgMar w:top="1940" w:right="970"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72, 919, 650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8</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6"/>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92"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6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3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106</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49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00"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03"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115</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53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124</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0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131</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60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132</w:t>
        </w:r>
      </w:hyperlink>
    </w:p>
    <w:p>
      <w:pPr>
        <w:pStyle w:val="Style19"/>
        <w:keepNext w:val="0"/>
        <w:keepLines w:val="0"/>
        <w:widowControl w:val="0"/>
        <w:shd w:val="clear" w:color="auto" w:fill="auto"/>
        <w:tabs>
          <w:tab w:leader="dot" w:pos="9614" w:val="right"/>
        </w:tabs>
        <w:bidi w:val="0"/>
        <w:spacing w:before="0" w:line="240" w:lineRule="auto"/>
        <w:ind w:left="0" w:right="0" w:firstLine="0"/>
        <w:jc w:val="both"/>
      </w:pPr>
      <w:hyperlink w:anchor="bookmark2135"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253</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公司、本公司、南凌科技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南凌科技股份有限公司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《南凌科技股份有限公司章程》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基础电信业务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提供公共网络基础设施、公共数据传送和基本话音通信服务的业务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利用公共网络基础设施提供附加的电信与信息服务业务</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企业内网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，通常由企业局域网和连接不同企业局域网的企业广 域网组成。企业通过搭建专用网络，构成统一和便利的信息交换平台， 用来连接位于不同地区的机构，以实现企业内部的信息通信。企业内 部的使用者即可以通过接入企业局域网来访问企业内部资源，也可以 在完成防火墙、路由器等设备的认证与安全加密后，通过广域网远程 访问企业内部资源。因为只有满足了相关安全策略的客户才能访问企 业内部资源，所以因特网上的非指定用户并不能访问到企业专网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虚拟专用网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Virtual Private Network</w:t>
            </w:r>
            <w:r>
              <w:rPr>
                <w:color w:val="000000"/>
                <w:spacing w:val="0"/>
                <w:w w:val="100"/>
                <w:position w:val="0"/>
                <w:sz w:val="17"/>
                <w:szCs w:val="17"/>
              </w:rPr>
              <w:t>，又称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互联网虚拟专用网（</w:t>
            </w:r>
            <w:r>
              <w:rPr>
                <w:rFonts w:ascii="Times New Roman" w:eastAsia="Times New Roman" w:hAnsi="Times New Roman" w:cs="Times New Roman"/>
                <w:color w:val="000000"/>
                <w:spacing w:val="0"/>
                <w:w w:val="100"/>
                <w:position w:val="0"/>
                <w:sz w:val="18"/>
                <w:szCs w:val="18"/>
              </w:rPr>
              <w:t>IP-VPN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，是企 业内部网络的广域互联，利用专用网络服务商提供的骨干网，企业不 同分支机构的内部网络可以进行连接，形成统一的企业内部网络</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MPLS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Multi-Protocol Label Switching</w:t>
            </w:r>
            <w:r>
              <w:rPr>
                <w:color w:val="000000"/>
                <w:spacing w:val="0"/>
                <w:w w:val="100"/>
                <w:position w:val="0"/>
                <w:sz w:val="17"/>
                <w:szCs w:val="17"/>
              </w:rPr>
              <w:t>，即多协议标签交换技术，是一种在开 放的通信网上利用标签引导数据高速、高效传输的技术。</w:t>
            </w:r>
            <w:r>
              <w:rPr>
                <w:rFonts w:ascii="Times New Roman" w:eastAsia="Times New Roman" w:hAnsi="Times New Roman" w:cs="Times New Roman"/>
                <w:color w:val="000000"/>
                <w:spacing w:val="0"/>
                <w:w w:val="100"/>
                <w:position w:val="0"/>
                <w:sz w:val="18"/>
                <w:szCs w:val="18"/>
              </w:rPr>
              <w:t>MPLS</w:t>
            </w:r>
            <w:r>
              <w:rPr>
                <w:color w:val="000000"/>
                <w:spacing w:val="0"/>
                <w:w w:val="100"/>
                <w:position w:val="0"/>
                <w:sz w:val="17"/>
                <w:szCs w:val="17"/>
              </w:rPr>
              <w:t>不但 可以支持多种网络层上的协议，还可以兼容第二层的多种数据链路层 技术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IPSec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Internet Protocol Security</w:t>
            </w:r>
            <w:r>
              <w:rPr>
                <w:color w:val="000000"/>
                <w:spacing w:val="0"/>
                <w:w w:val="100"/>
                <w:position w:val="0"/>
                <w:sz w:val="17"/>
                <w:szCs w:val="17"/>
              </w:rPr>
              <w:t>，即互联网安全协议，是一个协议包，通过 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协议的分组进行加密和认证来保护</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协议的网络传输协议簇</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SD-WAN</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Software-Defined Wide Area Network</w:t>
            </w:r>
            <w:r>
              <w:rPr>
                <w:color w:val="000000"/>
                <w:spacing w:val="0"/>
                <w:w w:val="100"/>
                <w:position w:val="0"/>
                <w:sz w:val="17"/>
                <w:szCs w:val="17"/>
              </w:rPr>
              <w:t xml:space="preserve">，即软件定义广域网，是将 </w:t>
            </w:r>
            <w:r>
              <w:rPr>
                <w:rFonts w:ascii="Times New Roman" w:eastAsia="Times New Roman" w:hAnsi="Times New Roman" w:cs="Times New Roman"/>
                <w:color w:val="000000"/>
                <w:spacing w:val="0"/>
                <w:w w:val="100"/>
                <w:position w:val="0"/>
                <w:sz w:val="18"/>
                <w:szCs w:val="18"/>
              </w:rPr>
              <w:t xml:space="preserve">SDN </w:t>
            </w:r>
            <w:r>
              <w:rPr>
                <w:color w:val="000000"/>
                <w:spacing w:val="0"/>
                <w:w w:val="100"/>
                <w:position w:val="0"/>
                <w:sz w:val="17"/>
                <w:szCs w:val="17"/>
              </w:rPr>
              <w:t>技术（</w:t>
            </w:r>
            <w:r>
              <w:rPr>
                <w:rFonts w:ascii="Times New Roman" w:eastAsia="Times New Roman" w:hAnsi="Times New Roman" w:cs="Times New Roman"/>
                <w:color w:val="000000"/>
                <w:spacing w:val="0"/>
                <w:w w:val="100"/>
                <w:position w:val="0"/>
                <w:sz w:val="18"/>
                <w:szCs w:val="18"/>
              </w:rPr>
              <w:t>Software Defined Network</w:t>
            </w:r>
            <w:r>
              <w:rPr>
                <w:color w:val="000000"/>
                <w:spacing w:val="0"/>
                <w:w w:val="100"/>
                <w:position w:val="0"/>
                <w:sz w:val="17"/>
                <w:szCs w:val="17"/>
              </w:rPr>
              <w:t>）应用到广域网场景中所形成的一 种服务，用软件控制广阔地理范围的企业网络、数据中心、互联网应 用及云服务间的安全连接与管理</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骨干网、骨干网络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骨干网又被称为核心网络，它由所有客户共享，负责传输客户数据。 骨干网能够实现大范围（在城市之间）的数据传送，通常采用高速传 输网络传输数据，高速交换设备提供网络路由</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Software Defined Network</w:t>
            </w:r>
            <w:r>
              <w:rPr>
                <w:color w:val="000000"/>
                <w:spacing w:val="0"/>
                <w:w w:val="100"/>
                <w:position w:val="0"/>
                <w:sz w:val="17"/>
                <w:szCs w:val="17"/>
              </w:rPr>
              <w:t>，即软件定义网络。</w:t>
            </w:r>
            <w:r>
              <w:rPr>
                <w:rFonts w:ascii="Times New Roman" w:eastAsia="Times New Roman" w:hAnsi="Times New Roman" w:cs="Times New Roman"/>
                <w:color w:val="000000"/>
                <w:spacing w:val="0"/>
                <w:w w:val="100"/>
                <w:position w:val="0"/>
                <w:sz w:val="18"/>
                <w:szCs w:val="18"/>
              </w:rPr>
              <w:t>SDN</w:t>
            </w:r>
            <w:r>
              <w:rPr>
                <w:color w:val="000000"/>
                <w:spacing w:val="0"/>
                <w:w w:val="100"/>
                <w:position w:val="0"/>
                <w:sz w:val="17"/>
                <w:szCs w:val="17"/>
              </w:rPr>
              <w:t>采用控制面和数 据转发面解耦的网络架构，通过网络可编程接口编排业务</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sz w:val="17"/>
                <w:szCs w:val="17"/>
              </w:rPr>
              <w:t>，</w:t>
            </w:r>
            <w:r>
              <w:rPr>
                <w:color w:val="000000"/>
                <w:spacing w:val="0"/>
                <w:w w:val="100"/>
                <w:position w:val="0"/>
                <w:sz w:val="17"/>
                <w:szCs w:val="17"/>
              </w:rPr>
              <w:t>软件即服务</w:t>
            </w:r>
            <w:r>
              <w:rPr>
                <w:color w:val="000000"/>
                <w:spacing w:val="0"/>
                <w:w w:val="100"/>
                <w:position w:val="0"/>
                <w:sz w:val="18"/>
                <w:szCs w:val="18"/>
              </w:rPr>
              <w:t>，</w:t>
            </w:r>
            <w:r>
              <w:rPr>
                <w:color w:val="000000"/>
                <w:spacing w:val="0"/>
                <w:w w:val="100"/>
                <w:position w:val="0"/>
                <w:sz w:val="17"/>
                <w:szCs w:val="17"/>
              </w:rPr>
              <w:t>即通过网络提供软件服务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NaaS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Network as a Service</w:t>
            </w:r>
            <w:r>
              <w:rPr>
                <w:color w:val="000000"/>
                <w:spacing w:val="0"/>
                <w:w w:val="100"/>
                <w:position w:val="0"/>
                <w:sz w:val="17"/>
                <w:szCs w:val="17"/>
              </w:rPr>
              <w:t>，网络即服务，为客户提供按需付费的网络连接 服务，定制灵活可靠且易于维护的私有网络</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SDK</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Software Development Kit</w:t>
            </w:r>
            <w:r>
              <w:rPr>
                <w:color w:val="000000"/>
                <w:spacing w:val="0"/>
                <w:w w:val="100"/>
                <w:position w:val="0"/>
                <w:sz w:val="17"/>
                <w:szCs w:val="17"/>
              </w:rPr>
              <w:t>，</w:t>
            </w:r>
            <w:r>
              <w:rPr>
                <w:color w:val="000000"/>
                <w:spacing w:val="0"/>
                <w:w w:val="100"/>
                <w:position w:val="0"/>
                <w:sz w:val="17"/>
                <w:szCs w:val="17"/>
              </w:rPr>
              <w:t>软件开发工具包，为应用开发人员提供底 层资源（如网络能力）的编程接口</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节点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Point-of-Presence</w:t>
            </w:r>
            <w:r>
              <w:rPr>
                <w:color w:val="000000"/>
                <w:spacing w:val="0"/>
                <w:w w:val="100"/>
                <w:position w:val="0"/>
                <w:sz w:val="17"/>
                <w:szCs w:val="17"/>
              </w:rPr>
              <w:t>,</w:t>
            </w:r>
            <w:r>
              <w:rPr>
                <w:color w:val="000000"/>
                <w:spacing w:val="0"/>
                <w:w w:val="100"/>
                <w:position w:val="0"/>
                <w:sz w:val="17"/>
                <w:szCs w:val="17"/>
              </w:rPr>
              <w:t>即网络服务提供点，用于搭建骨干网及客户网络的 接入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SRv6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SRv6,</w:t>
            </w:r>
            <w:r>
              <w:rPr>
                <w:color w:val="000000"/>
                <w:spacing w:val="0"/>
                <w:w w:val="100"/>
                <w:position w:val="0"/>
                <w:sz w:val="17"/>
                <w:szCs w:val="17"/>
              </w:rPr>
              <w:t>使用</w:t>
            </w:r>
            <w:r>
              <w:rPr>
                <w:rFonts w:ascii="Times New Roman" w:eastAsia="Times New Roman" w:hAnsi="Times New Roman" w:cs="Times New Roman"/>
                <w:color w:val="000000"/>
                <w:spacing w:val="0"/>
                <w:w w:val="100"/>
                <w:position w:val="0"/>
                <w:sz w:val="18"/>
                <w:szCs w:val="18"/>
              </w:rPr>
              <w:t>IPv6</w:t>
            </w:r>
            <w:r>
              <w:rPr>
                <w:color w:val="000000"/>
                <w:spacing w:val="0"/>
                <w:w w:val="100"/>
                <w:position w:val="0"/>
                <w:sz w:val="17"/>
                <w:szCs w:val="17"/>
              </w:rPr>
              <w:t>作为转发平面的分段路由协议。相比于传统网络协 议，</w:t>
            </w:r>
            <w:r>
              <w:rPr>
                <w:rFonts w:ascii="Times New Roman" w:eastAsia="Times New Roman" w:hAnsi="Times New Roman" w:cs="Times New Roman"/>
                <w:color w:val="000000"/>
                <w:spacing w:val="0"/>
                <w:w w:val="100"/>
                <w:position w:val="0"/>
                <w:sz w:val="18"/>
                <w:szCs w:val="18"/>
              </w:rPr>
              <w:t>SRv6</w:t>
            </w:r>
            <w:r>
              <w:rPr>
                <w:color w:val="000000"/>
                <w:spacing w:val="0"/>
                <w:w w:val="100"/>
                <w:position w:val="0"/>
                <w:sz w:val="17"/>
                <w:szCs w:val="17"/>
              </w:rPr>
              <w:t>简化了控制平面，提供了更好的可扩展性和流量工程实现</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边缘计算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Edge Computing</w:t>
            </w:r>
            <w:r>
              <w:rPr>
                <w:color w:val="000000"/>
                <w:spacing w:val="0"/>
                <w:w w:val="100"/>
                <w:position w:val="0"/>
                <w:sz w:val="17"/>
                <w:szCs w:val="17"/>
              </w:rPr>
              <w:t>，将计算和存储，由网络中心节点移往网络逻辑上的 边缘节点来处理，是一种分布式架构，更接近数据源，能提供更好的 性能和实时体验</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SASE</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安全访问服务边缘。</w:t>
            </w:r>
            <w:r>
              <w:rPr>
                <w:rFonts w:ascii="Times New Roman" w:eastAsia="Times New Roman" w:hAnsi="Times New Roman" w:cs="Times New Roman"/>
                <w:color w:val="000000"/>
                <w:spacing w:val="0"/>
                <w:w w:val="100"/>
                <w:position w:val="0"/>
                <w:sz w:val="18"/>
                <w:szCs w:val="18"/>
              </w:rPr>
              <w:t>SASE</w:t>
            </w:r>
            <w:r>
              <w:rPr>
                <w:color w:val="000000"/>
                <w:spacing w:val="0"/>
                <w:w w:val="100"/>
                <w:position w:val="0"/>
                <w:sz w:val="17"/>
                <w:szCs w:val="17"/>
              </w:rPr>
              <w:t>是一种云原生平台架构，可直接向客户提 供连接到平台的联网功能和安全功能，结合了路由、</w:t>
            </w:r>
            <w:r>
              <w:rPr>
                <w:rFonts w:ascii="Times New Roman" w:eastAsia="Times New Roman" w:hAnsi="Times New Roman" w:cs="Times New Roman"/>
                <w:color w:val="000000"/>
                <w:spacing w:val="0"/>
                <w:w w:val="100"/>
                <w:position w:val="0"/>
                <w:sz w:val="18"/>
                <w:szCs w:val="18"/>
              </w:rPr>
              <w:t>SD-WAN</w:t>
            </w:r>
            <w:r>
              <w:rPr>
                <w:color w:val="000000"/>
                <w:spacing w:val="0"/>
                <w:w w:val="100"/>
                <w:position w:val="0"/>
                <w:sz w:val="17"/>
                <w:szCs w:val="17"/>
              </w:rPr>
              <w:t>、</w:t>
            </w:r>
            <w:r>
              <w:rPr>
                <w:color w:val="000000"/>
                <w:spacing w:val="0"/>
                <w:w w:val="100"/>
                <w:position w:val="0"/>
                <w:sz w:val="17"/>
                <w:szCs w:val="17"/>
              </w:rPr>
              <w:t>防火 墙和安全</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网关等服务</w:t>
            </w:r>
          </w:p>
        </w:tc>
      </w:tr>
    </w:tbl>
    <w:p>
      <w:pPr>
        <w:sectPr>
          <w:footnotePr>
            <w:pos w:val="pageBottom"/>
            <w:numFmt w:val="decimal"/>
            <w:numRestart w:val="continuous"/>
          </w:footnotePr>
          <w:pgSz w:w="11900" w:h="16840"/>
          <w:pgMar w:top="1441" w:right="1142" w:bottom="1494" w:left="1085" w:header="0" w:footer="3" w:gutter="0"/>
          <w:cols w:space="720"/>
          <w:noEndnote/>
          <w:rtlGutter w:val="0"/>
          <w:docGrid w:linePitch="360"/>
        </w:sectPr>
      </w:pPr>
    </w:p>
    <w:p>
      <w:pPr>
        <w:pStyle w:val="Style14"/>
        <w:keepNext/>
        <w:keepLines/>
        <w:widowControl w:val="0"/>
        <w:shd w:val="clear" w:color="auto" w:fill="auto"/>
        <w:bidi w:val="0"/>
        <w:spacing w:before="46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7"/>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300921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NOVA Technology Corporation Limited.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NOVA TECH</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sz w:val="17"/>
                <w:szCs w:val="17"/>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sz w:val="17"/>
                <w:szCs w:val="17"/>
              </w:rPr>
              <w:t>号深圳国际创新中心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"https://www.nova.net.cn/" </w:instrText>
            </w:r>
            <w:r>
              <w:fldChar w:fldCharType="separate"/>
            </w:r>
            <w:r>
              <w:rPr>
                <w:rFonts w:ascii="Times New Roman" w:eastAsia="Times New Roman" w:hAnsi="Times New Roman" w:cs="Times New Roman"/>
                <w:color w:val="000000"/>
                <w:spacing w:val="0"/>
                <w:w w:val="100"/>
                <w:position w:val="0"/>
                <w:sz w:val="18"/>
                <w:szCs w:val="18"/>
              </w:rPr>
              <w:t>https://www.nova.net.cn/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"mailto:ir@nova.net.cn" </w:instrText>
            </w:r>
            <w:r>
              <w:fldChar w:fldCharType="separate"/>
            </w:r>
            <w:r>
              <w:rPr>
                <w:rFonts w:ascii="Times New Roman" w:eastAsia="Times New Roman" w:hAnsi="Times New Roman" w:cs="Times New Roman"/>
                <w:color w:val="000000"/>
                <w:spacing w:val="0"/>
                <w:w w:val="100"/>
                <w:position w:val="0"/>
                <w:sz w:val="18"/>
                <w:szCs w:val="18"/>
              </w:rPr>
              <w:t>ir@nova.net.cn</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sz w:val="17"/>
                <w:szCs w:val="17"/>
              </w:rPr>
              <w:t>号深圳国际 创新中心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83433258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0755-82720718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"mailto:ir@nova.net.cn" </w:instrText>
            </w:r>
            <w:r>
              <w:fldChar w:fldCharType="separate"/>
            </w:r>
            <w:r>
              <w:rPr>
                <w:rFonts w:ascii="Times New Roman" w:eastAsia="Times New Roman" w:hAnsi="Times New Roman" w:cs="Times New Roman"/>
                <w:color w:val="000000"/>
                <w:spacing w:val="0"/>
                <w:w w:val="100"/>
                <w:position w:val="0"/>
                <w:sz w:val="18"/>
                <w:szCs w:val="18"/>
              </w:rPr>
              <w:t>ir@nova.net.cn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fldChar w:fldCharType="begin"/>
            </w:r>
            <w:r>
              <w:rPr/>
              <w:instrText> HYPERLINK "http://www.cninfb.cm.cn" </w:instrText>
            </w:r>
            <w:r>
              <w:fldChar w:fldCharType="separate"/>
            </w:r>
            <w:r>
              <w:rPr>
                <w:rFonts w:ascii="Times New Roman" w:eastAsia="Times New Roman" w:hAnsi="Times New Roman" w:cs="Times New Roman"/>
                <w:color w:val="000000"/>
                <w:spacing w:val="0"/>
                <w:w w:val="100"/>
                <w:position w:val="0"/>
                <w:sz w:val="18"/>
                <w:szCs w:val="18"/>
              </w:rPr>
              <w:t>http://www.cninfb.cm.cn</w:t>
            </w:r>
            <w:r>
              <w:fldChar w:fldCharType="end"/>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深圳证券交易所、公司证券与市场部</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号四楼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付忠伟、杨艳</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深圳市福田区福田街道福华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一路</w:t>
            </w:r>
            <w:r>
              <w:rPr>
                <w:rFonts w:ascii="Times New Roman" w:eastAsia="Times New Roman" w:hAnsi="Times New Roman" w:cs="Times New Roman"/>
                <w:color w:val="000000"/>
                <w:spacing w:val="0"/>
                <w:w w:val="100"/>
                <w:position w:val="0"/>
                <w:sz w:val="18"/>
                <w:szCs w:val="18"/>
              </w:rPr>
              <w:t>111</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王黎祥、张鹏</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44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495,037,518.78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502,177,650.65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420,861,636.38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76,068,385.68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71,901,205.60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55,082,804.69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73,534,365.75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68,338,366.10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53,097,195.05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103,349,708.96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71,777,418.16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65,061,637.59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880,622,031.65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282,515,563.03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258,329,156.99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805,146,955.54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201,337,594.77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154,468,397.55</w:t>
            </w:r>
          </w:p>
        </w:tc>
      </w:tr>
    </w:tbl>
    <w:p>
      <w:pPr>
        <w:widowControl w:val="0"/>
        <w:spacing w:after="259" w:line="1" w:lineRule="exact"/>
      </w:pPr>
    </w:p>
    <w:p>
      <w:pPr>
        <w:pStyle w:val="Style2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公司最近三个会计年度扣除非经常性损益前后净利润孰低者均为负值，且最近一年审计报告显示公司持续</w:t>
      </w:r>
    </w:p>
    <w:p>
      <w:pPr>
        <w:pStyle w:val="Style29"/>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经营能力存在不确定性</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i/>
          <w:iCs/>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116,663,943.67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125,296,703.12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119,857,993.61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133,218,878.38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21,100,596.56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19,961,926.89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13,709,279.32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21,296,582.91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21,052,721.90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18,463,137.56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13,370,962.18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20,647,544.11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9,758,253.27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34,103,367.05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30,394,191.54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29,093,897.10</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7"/>
        <w:keepNext/>
        <w:keepLines/>
        <w:widowControl w:val="0"/>
        <w:shd w:val="clear" w:color="auto" w:fill="auto"/>
        <w:tabs>
          <w:tab w:pos="522" w:val="left"/>
        </w:tabs>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8"/>
        <w:keepNext/>
        <w:keepLines/>
        <w:widowControl w:val="0"/>
        <w:shd w:val="clear" w:color="auto" w:fill="auto"/>
        <w:tabs>
          <w:tab w:pos="594" w:val="left"/>
        </w:tabs>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w:t>
      </w:r>
      <w:bookmarkEnd w:id="36"/>
      <w:r>
        <w:rPr>
          <w:color w:val="000000"/>
          <w:spacing w:val="0"/>
          <w:w w:val="100"/>
          <w:position w:val="0"/>
        </w:rPr>
        <w:t>一）</w:t>
        <w:tab/>
        <w:t>同时按照国际会计准则与按照中国会计准则披露的财务报告中净利润和净资产差异情况</w:t>
      </w:r>
      <w:bookmarkEnd w:id="34"/>
      <w:bookmarkEnd w:id="35"/>
      <w:bookmarkEnd w:id="3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594" w:val="left"/>
        </w:tabs>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rPr>
        <w:t>（</w:t>
      </w:r>
      <w:bookmarkEnd w:id="40"/>
      <w:r>
        <w:rPr>
          <w:color w:val="000000"/>
          <w:spacing w:val="0"/>
          <w:w w:val="100"/>
          <w:position w:val="0"/>
        </w:rPr>
        <w:t>二）</w:t>
        <w:tab/>
        <w:t>同时按照境外会计准则与按照中国会计准则披露的财务报告中净利润和净资产差异情况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44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9"/>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非流动资产处置损益（包括已计提资产减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-69,220.23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-1,034,911.08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1,897,927.26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4,371,942.80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560,276.50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892,772.03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259,720.86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447,179.99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628,736.38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350,401.70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3,562,839.50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1,985,609.64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29"/>
        <w:keepNext w:val="0"/>
        <w:keepLines w:val="0"/>
        <w:widowControl w:val="0"/>
        <w:shd w:val="clear" w:color="auto" w:fill="auto"/>
        <w:bidi w:val="0"/>
        <w:spacing w:before="0" w:line="470" w:lineRule="exact"/>
        <w:ind w:left="0" w:right="0" w:firstLine="0"/>
        <w:jc w:val="left"/>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号——非经常性损益》定义界定的非经常性损 益项目，以及把《公开发行证券的公司信息披露解释性公告第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号——非经常性损益》中列举的非经常性 损益项目界定为经常性损益的项目，应说明原因</w:t>
      </w:r>
    </w:p>
    <w:p>
      <w:pPr>
        <w:pStyle w:val="Style29"/>
        <w:keepNext w:val="0"/>
        <w:keepLines w:val="0"/>
        <w:widowControl w:val="0"/>
        <w:shd w:val="clear" w:color="auto" w:fill="auto"/>
        <w:bidi w:val="0"/>
        <w:spacing w:before="0" w:line="4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line="470" w:lineRule="exact"/>
        <w:ind w:left="0" w:right="0" w:firstLine="0"/>
        <w:jc w:val="left"/>
        <w:sectPr>
          <w:footnotePr>
            <w:pos w:val="pageBottom"/>
            <w:numFmt w:val="decimal"/>
            <w:numRestart w:val="continuous"/>
          </w:footnotePr>
          <w:pgSz w:w="11900" w:h="16840"/>
          <w:pgMar w:top="1441" w:right="1129" w:bottom="1585"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 举的非经常性损益项目界定为经常性损益的项目的情形。</w:t>
      </w:r>
    </w:p>
    <w:p>
      <w:pPr>
        <w:pStyle w:val="Style14"/>
        <w:keepNext/>
        <w:keepLines/>
        <w:widowControl w:val="0"/>
        <w:shd w:val="clear" w:color="auto" w:fill="auto"/>
        <w:bidi w:val="0"/>
        <w:spacing w:before="660" w:after="62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7"/>
        <w:keepNext/>
        <w:keepLines/>
        <w:widowControl w:val="0"/>
        <w:shd w:val="clear" w:color="auto" w:fill="auto"/>
        <w:bidi w:val="0"/>
        <w:spacing w:before="0" w:after="14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9"/>
        <w:keepNext w:val="0"/>
        <w:keepLines w:val="0"/>
        <w:widowControl w:val="0"/>
        <w:shd w:val="clear" w:color="auto" w:fill="auto"/>
        <w:bidi w:val="0"/>
        <w:spacing w:before="0" w:line="480" w:lineRule="exact"/>
        <w:ind w:left="0" w:right="0" w:firstLine="440"/>
        <w:jc w:val="both"/>
      </w:pPr>
      <w:r>
        <w:rPr>
          <w:b/>
          <w:bCs/>
          <w:color w:val="000000"/>
          <w:spacing w:val="0"/>
          <w:w w:val="100"/>
          <w:position w:val="0"/>
        </w:rPr>
        <w:t>公司需遵守《深圳证券交易所创业板行业信息披露指引第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号一一上市公司从事通信相关业务》的 披露要求</w:t>
      </w:r>
    </w:p>
    <w:p>
      <w:pPr>
        <w:pStyle w:val="Style29"/>
        <w:keepNext w:val="0"/>
        <w:keepLines w:val="0"/>
        <w:widowControl w:val="0"/>
        <w:shd w:val="clear" w:color="auto" w:fill="auto"/>
        <w:tabs>
          <w:tab w:pos="594" w:val="left"/>
        </w:tabs>
        <w:bidi w:val="0"/>
        <w:spacing w:before="0" w:line="469" w:lineRule="exact"/>
        <w:ind w:left="0" w:right="0" w:firstLine="0"/>
        <w:jc w:val="both"/>
      </w:pPr>
      <w:bookmarkStart w:id="53" w:name="bookmark53"/>
      <w:r>
        <w:rPr>
          <w:b/>
          <w:bCs/>
          <w:color w:val="000000"/>
          <w:spacing w:val="0"/>
          <w:w w:val="100"/>
          <w:position w:val="0"/>
        </w:rPr>
        <w:t>（</w:t>
      </w:r>
      <w:bookmarkEnd w:id="53"/>
      <w:r>
        <w:rPr>
          <w:b/>
          <w:bCs/>
          <w:color w:val="000000"/>
          <w:spacing w:val="0"/>
          <w:w w:val="100"/>
          <w:position w:val="0"/>
        </w:rPr>
        <w:t>一）</w:t>
        <w:tab/>
        <w:t>公司主营业务</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公司是国内领先的专用网络服务提供商，始终坚持“以安全的网络、安心的服务，释放企业的创新活 力”为使命，依托自主构建的“骨干网管控系统”和“智能安全接入系统”、覆盖全国的骨干网络平台及 技术服务体系，致力于为跨区域经营的大中型企业提供安全性更高、可控性更强的专用网络通信服务。</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公司自成立以来一直聚焦于专用网络服务主业，持续跟进信息技术与网络通信技术的发展动态，积极 响应客户对大数据、云计算、软件定义网络、移动应用的需求，公司已在</w:t>
      </w:r>
      <w:r>
        <w:rPr>
          <w:rFonts w:ascii="Times New Roman" w:eastAsia="Times New Roman" w:hAnsi="Times New Roman" w:cs="Times New Roman"/>
          <w:color w:val="000000"/>
          <w:spacing w:val="0"/>
          <w:w w:val="100"/>
          <w:position w:val="0"/>
        </w:rPr>
        <w:t xml:space="preserve">SDN </w:t>
      </w:r>
      <w:r>
        <w:rPr>
          <w:color w:val="000000"/>
          <w:spacing w:val="0"/>
          <w:w w:val="100"/>
          <w:position w:val="0"/>
        </w:rPr>
        <w:t>（软件定义网络）、</w:t>
      </w:r>
      <w:r>
        <w:rPr>
          <w:rFonts w:ascii="Times New Roman" w:eastAsia="Times New Roman" w:hAnsi="Times New Roman" w:cs="Times New Roman"/>
          <w:color w:val="000000"/>
          <w:spacing w:val="0"/>
          <w:w w:val="100"/>
          <w:position w:val="0"/>
        </w:rPr>
        <w:t xml:space="preserve">SD-WAN </w:t>
      </w:r>
      <w:r>
        <w:rPr>
          <w:color w:val="000000"/>
          <w:spacing w:val="0"/>
          <w:w w:val="100"/>
          <w:position w:val="0"/>
        </w:rPr>
        <w:t>（软件定义广域网）等技术领域进行了深入研发，能够</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高效、规范、及时、可控地满足跨区域企 事业单位的网络通信及信息化建设需求。</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公司目前的专用网络服务包括虚拟专用网</w:t>
      </w:r>
      <w:r>
        <w:rPr>
          <w:color w:val="000000"/>
          <w:spacing w:val="0"/>
          <w:w w:val="100"/>
          <w:position w:val="0"/>
        </w:rPr>
        <w:t>（</w:t>
      </w:r>
      <w:r>
        <w:rPr>
          <w:rFonts w:ascii="Times New Roman" w:eastAsia="Times New Roman" w:hAnsi="Times New Roman" w:cs="Times New Roman"/>
          <w:color w:val="000000"/>
          <w:spacing w:val="0"/>
          <w:w w:val="100"/>
          <w:position w:val="0"/>
        </w:rPr>
        <w:t>IP-VPN</w:t>
      </w:r>
      <w:r>
        <w:rPr>
          <w:color w:val="000000"/>
          <w:spacing w:val="0"/>
          <w:w w:val="100"/>
          <w:position w:val="0"/>
        </w:rPr>
        <w:t>）</w:t>
      </w:r>
      <w:r>
        <w:rPr>
          <w:color w:val="000000"/>
          <w:spacing w:val="0"/>
          <w:w w:val="100"/>
          <w:position w:val="0"/>
        </w:rPr>
        <w:t>服务与企业级互联网接入服务，其中虚拟专用网 服务主要满足客户的企业内网通信需求，按照应用的网络协议、接入</w:t>
      </w:r>
      <w:r>
        <w:rPr>
          <w:rFonts w:ascii="Times New Roman" w:eastAsia="Times New Roman" w:hAnsi="Times New Roman" w:cs="Times New Roman"/>
          <w:color w:val="000000"/>
          <w:spacing w:val="0"/>
          <w:w w:val="100"/>
          <w:position w:val="0"/>
        </w:rPr>
        <w:t>MPLS</w:t>
      </w:r>
      <w:r>
        <w:rPr>
          <w:color w:val="000000"/>
          <w:spacing w:val="0"/>
          <w:w w:val="100"/>
          <w:position w:val="0"/>
        </w:rPr>
        <w:t>骨干网的方式和使用场景的区 别，公司提供的</w:t>
      </w:r>
      <w:r>
        <w:rPr>
          <w:rFonts w:ascii="Times New Roman" w:eastAsia="Times New Roman" w:hAnsi="Times New Roman" w:cs="Times New Roman"/>
          <w:color w:val="000000"/>
          <w:spacing w:val="0"/>
          <w:w w:val="100"/>
          <w:position w:val="0"/>
        </w:rPr>
        <w:t>VPN</w:t>
      </w:r>
      <w:r>
        <w:rPr>
          <w:color w:val="000000"/>
          <w:spacing w:val="0"/>
          <w:w w:val="100"/>
          <w:position w:val="0"/>
        </w:rPr>
        <w:t>产品可分为</w:t>
      </w:r>
      <w:r>
        <w:rPr>
          <w:rFonts w:ascii="Times New Roman" w:eastAsia="Times New Roman" w:hAnsi="Times New Roman" w:cs="Times New Roman"/>
          <w:color w:val="000000"/>
          <w:spacing w:val="0"/>
          <w:w w:val="100"/>
          <w:position w:val="0"/>
        </w:rPr>
        <w:t>MPLS-VPN</w:t>
      </w:r>
      <w:r>
        <w:rPr>
          <w:color w:val="000000"/>
          <w:spacing w:val="0"/>
          <w:w w:val="100"/>
          <w:position w:val="0"/>
        </w:rPr>
        <w:t>方案、</w:t>
      </w:r>
      <w:r>
        <w:rPr>
          <w:rFonts w:ascii="Times New Roman" w:eastAsia="Times New Roman" w:hAnsi="Times New Roman" w:cs="Times New Roman"/>
          <w:color w:val="000000"/>
          <w:spacing w:val="0"/>
          <w:w w:val="100"/>
          <w:position w:val="0"/>
        </w:rPr>
        <w:t>IPSec-VPN</w:t>
      </w:r>
      <w:r>
        <w:rPr>
          <w:color w:val="000000"/>
          <w:spacing w:val="0"/>
          <w:w w:val="100"/>
          <w:position w:val="0"/>
        </w:rPr>
        <w:t>方案和</w:t>
      </w:r>
      <w:r>
        <w:rPr>
          <w:rFonts w:ascii="Times New Roman" w:eastAsia="Times New Roman" w:hAnsi="Times New Roman" w:cs="Times New Roman"/>
          <w:color w:val="000000"/>
          <w:spacing w:val="0"/>
          <w:w w:val="100"/>
          <w:position w:val="0"/>
        </w:rPr>
        <w:t>SD-WAN</w:t>
      </w:r>
      <w:r>
        <w:rPr>
          <w:color w:val="000000"/>
          <w:spacing w:val="0"/>
          <w:w w:val="100"/>
          <w:position w:val="0"/>
        </w:rPr>
        <w:t>方案等。公司可以根据客户 企业内部网络情况和应用场景，提供融合多种方案的组网产品。企业级互联网接入服务主要满足客户访问 外部公共互联网需求，基于公司的</w:t>
      </w:r>
      <w:r>
        <w:rPr>
          <w:rFonts w:ascii="Times New Roman" w:eastAsia="Times New Roman" w:hAnsi="Times New Roman" w:cs="Times New Roman"/>
          <w:color w:val="000000"/>
          <w:spacing w:val="0"/>
          <w:w w:val="100"/>
          <w:position w:val="0"/>
        </w:rPr>
        <w:t>ISP</w:t>
      </w:r>
      <w:r>
        <w:rPr>
          <w:color w:val="000000"/>
          <w:spacing w:val="0"/>
          <w:w w:val="100"/>
          <w:position w:val="0"/>
        </w:rPr>
        <w:t>骨干网，为企事业客户提供高速、稳定、可靠的外部网络解决方案。</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此外，基于一站式服务体系，公司还在围绕专用网络服务基础上不断研发其他增值电信服务产品，主 要包括数据中心托管服务</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云通信产品等。丰富的在研产品布局，为公司未来持续快速发展提供 了有力支撑。</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报告期内的公司主营业务未发生重大变化。</w:t>
      </w:r>
    </w:p>
    <w:p>
      <w:pPr>
        <w:pStyle w:val="Style29"/>
        <w:keepNext w:val="0"/>
        <w:keepLines w:val="0"/>
        <w:widowControl w:val="0"/>
        <w:shd w:val="clear" w:color="auto" w:fill="auto"/>
        <w:tabs>
          <w:tab w:pos="594" w:val="left"/>
        </w:tabs>
        <w:bidi w:val="0"/>
        <w:spacing w:before="0" w:after="400" w:line="469" w:lineRule="exact"/>
        <w:ind w:left="0" w:right="0" w:firstLine="0"/>
        <w:jc w:val="both"/>
      </w:pPr>
      <w:bookmarkStart w:id="54" w:name="bookmark54"/>
      <w:r>
        <w:rPr>
          <w:b/>
          <w:bCs/>
          <w:color w:val="000000"/>
          <w:spacing w:val="0"/>
          <w:w w:val="100"/>
          <w:position w:val="0"/>
        </w:rPr>
        <w:t>（</w:t>
      </w:r>
      <w:bookmarkEnd w:id="54"/>
      <w:r>
        <w:rPr>
          <w:b/>
          <w:bCs/>
          <w:color w:val="000000"/>
          <w:spacing w:val="0"/>
          <w:w w:val="100"/>
          <w:position w:val="0"/>
        </w:rPr>
        <w:t>二）</w:t>
        <w:tab/>
        <w:t>公司主要经营模式</w:t>
      </w:r>
    </w:p>
    <w:p>
      <w:pPr>
        <w:pStyle w:val="Style29"/>
        <w:keepNext w:val="0"/>
        <w:keepLines w:val="0"/>
        <w:widowControl w:val="0"/>
        <w:shd w:val="clear" w:color="auto" w:fill="auto"/>
        <w:bidi w:val="0"/>
        <w:spacing w:before="0" w:after="0"/>
        <w:ind w:left="0" w:right="0" w:firstLine="440"/>
        <w:jc w:val="both"/>
      </w:pPr>
      <w:bookmarkStart w:id="55" w:name="bookmark55"/>
      <w:r>
        <w:rPr>
          <w:rFonts w:ascii="Times New Roman" w:eastAsia="Times New Roman" w:hAnsi="Times New Roman" w:cs="Times New Roman"/>
          <w:b/>
          <w:bCs/>
          <w:color w:val="000000"/>
          <w:spacing w:val="0"/>
          <w:w w:val="100"/>
          <w:position w:val="0"/>
        </w:rPr>
        <w:t>1</w:t>
      </w:r>
      <w:bookmarkEnd w:id="55"/>
      <w:r>
        <w:rPr>
          <w:b/>
          <w:bCs/>
          <w:color w:val="000000"/>
          <w:spacing w:val="0"/>
          <w:w w:val="100"/>
          <w:position w:val="0"/>
        </w:rPr>
        <w:t>、盈利模式</w:t>
      </w:r>
    </w:p>
    <w:p>
      <w:pPr>
        <w:pStyle w:val="Style29"/>
        <w:keepNext w:val="0"/>
        <w:keepLines w:val="0"/>
        <w:widowControl w:val="0"/>
        <w:shd w:val="clear" w:color="auto" w:fill="auto"/>
        <w:bidi w:val="0"/>
        <w:spacing w:before="0" w:line="469" w:lineRule="exact"/>
        <w:ind w:left="0" w:right="0" w:firstLine="440"/>
        <w:jc w:val="both"/>
      </w:pPr>
      <w:bookmarkStart w:id="56" w:name="bookmark56"/>
      <w:r>
        <w:rPr>
          <w:b/>
          <w:bCs/>
          <w:color w:val="000000"/>
          <w:spacing w:val="0"/>
          <w:w w:val="100"/>
          <w:position w:val="0"/>
        </w:rPr>
        <w:t>（</w:t>
      </w:r>
      <w:bookmarkEnd w:id="56"/>
      <w:r>
        <w:rPr>
          <w:rFonts w:ascii="Times New Roman" w:eastAsia="Times New Roman" w:hAnsi="Times New Roman" w:cs="Times New Roman"/>
          <w:b/>
          <w:bCs/>
          <w:color w:val="000000"/>
          <w:spacing w:val="0"/>
          <w:w w:val="100"/>
          <w:position w:val="0"/>
        </w:rPr>
        <w:t>1</w:t>
      </w:r>
      <w:r>
        <w:rPr>
          <w:b/>
          <w:bCs/>
          <w:color w:val="000000"/>
          <w:spacing w:val="0"/>
          <w:w w:val="100"/>
          <w:position w:val="0"/>
        </w:rPr>
        <w:t>）增值电信服务的盈利模式</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报告期内，公司增值电信服务的盈利主要来自于虚拟专用网服务和企业级互联网接入服务的销售收入 与成本费用之间的差额。</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在销售收入方面，公司根据客户所购买的服务产品类型的不同、所选择的网络带宽和组网方式不同， 按照付费周期向客户收取服务费。</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在成本费用方面，公司租用第三方数据中心和自主采购路由器、交换机、服务器等硬件自建骨干网络 节点；利用虚拟专用网相关技术，在租用的基础运营商的数字链路资源上搭建骨干网及本地网络，为客户 搭建企业内网；租用基础运营商的互联网带宽资源，利用自有</w:t>
      </w:r>
      <w:r>
        <w:rPr>
          <w:rFonts w:ascii="Times New Roman" w:eastAsia="Times New Roman" w:hAnsi="Times New Roman" w:cs="Times New Roman"/>
          <w:color w:val="000000"/>
          <w:spacing w:val="0"/>
          <w:w w:val="100"/>
          <w:position w:val="0"/>
        </w:rPr>
        <w:t>IP</w:t>
      </w:r>
      <w:r>
        <w:rPr>
          <w:color w:val="000000"/>
          <w:spacing w:val="0"/>
          <w:w w:val="100"/>
          <w:position w:val="0"/>
        </w:rPr>
        <w:t>资源，为客户提供公共互联网服务。在上 述硬件设备及电信资源的基础上，公司采用虚拟路由转发技术实现多用户隔离，所有客户共享骨干网的基 础资源且每个客户的数据传输相互隔离，互不影响，从而实现骨干网资源的复用，提高网络利用率，降低 骨干网成本费用；公司不断优化客户本地线路的接入方式，调整供应商结构，在满足客户需求的前提下选 择性价比较高的线路，降低本地线路成本费用。</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报告期内，公司自身业务开展以直接销售为主，有效降低了相关的业务成本。</w:t>
      </w:r>
    </w:p>
    <w:p>
      <w:pPr>
        <w:pStyle w:val="Style29"/>
        <w:keepNext w:val="0"/>
        <w:keepLines w:val="0"/>
        <w:widowControl w:val="0"/>
        <w:shd w:val="clear" w:color="auto" w:fill="auto"/>
        <w:bidi w:val="0"/>
        <w:spacing w:before="0" w:line="468" w:lineRule="exact"/>
        <w:ind w:left="0" w:right="0" w:firstLine="440"/>
        <w:jc w:val="both"/>
      </w:pPr>
      <w:bookmarkStart w:id="57" w:name="bookmark57"/>
      <w:r>
        <w:rPr>
          <w:b/>
          <w:bCs/>
          <w:color w:val="000000"/>
          <w:spacing w:val="0"/>
          <w:w w:val="100"/>
          <w:position w:val="0"/>
        </w:rPr>
        <w:t>（</w:t>
      </w:r>
      <w:bookmarkEnd w:id="57"/>
      <w:r>
        <w:rPr>
          <w:rFonts w:ascii="Times New Roman" w:eastAsia="Times New Roman" w:hAnsi="Times New Roman" w:cs="Times New Roman"/>
          <w:b/>
          <w:bCs/>
          <w:color w:val="000000"/>
          <w:spacing w:val="0"/>
          <w:w w:val="100"/>
          <w:position w:val="0"/>
        </w:rPr>
        <w:t>2</w:t>
      </w:r>
      <w:r>
        <w:rPr>
          <w:b/>
          <w:bCs/>
          <w:color w:val="000000"/>
          <w:spacing w:val="0"/>
          <w:w w:val="100"/>
          <w:position w:val="0"/>
        </w:rPr>
        <w:t>）专用网络行业的长期盈利模式</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专用网络服务商在业务发展前期，一般均需要投入资本进行骨干网建设，尽可能利用先发优势，以建 设覆盖地域更广、电信资源更丰富的骨干网，在该阶段，企业一般处于低毛利或亏损阶段；经过前期大量 的投入后，在业务发展中期会形成规模效应，专用网络服务商开始逐步提高骨干网复用比、优化本地网成 本费用，在该阶段，企业毛利开始上升，企业盈利持续增加；在业务发展后期，专用网络服务商在不断进 行网络扩容的基础上，将发展增值服务、拓展获客渠道，不断获得新客户，新客户不断留存成为老客户， 新、老客户不断累积，随着客户群体不断扩大，企业的规模效应更加明显，形成良性循环，专用网络服务 商的盈利能力不断提升。</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公司目前处于扩大规模效应，不断吸引新客户、留存老客户的阶段，持续扩大业务规模是公司的核心 要务。公司将在目前市场占有率的基础上进一步加强网络资源与技术优势，提升网络运维服务能力，进一 步强化品牌效应，保持强有力的竞争地位，以有效扩大自身的规模效应。</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专用网络服务主要面向企业客户。专用网络服务商根据企业客户的业务特点、业务分布等进行定制化 搭建企业内网后，企业客户的内部业务系统、管理系统等将在该网络的基础上运行，业务迁移至其他网络 平台将导致业务中断，迁移成本较高。为保证业务运营的持续性与稳定性，企业客户不会轻易更换专用网 络服务商，因此，企业客户的粘性较强，可为公司提供稳定的销售收入。</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综上所述，公司不断的吸引新客户、留存老客户，客户群体不断扩大；通过骨干网复用、优化本地网 络以形成规模效应，并通过提供增值服务，不断提高行业竞争力，持续创造盈利空间。</w:t>
      </w:r>
    </w:p>
    <w:p>
      <w:pPr>
        <w:pStyle w:val="Style29"/>
        <w:keepNext w:val="0"/>
        <w:keepLines w:val="0"/>
        <w:widowControl w:val="0"/>
        <w:shd w:val="clear" w:color="auto" w:fill="auto"/>
        <w:bidi w:val="0"/>
        <w:spacing w:before="0" w:line="468" w:lineRule="exact"/>
        <w:ind w:left="0" w:right="0" w:firstLine="440"/>
        <w:jc w:val="both"/>
      </w:pPr>
      <w:bookmarkStart w:id="58" w:name="bookmark58"/>
      <w:r>
        <w:rPr>
          <w:b/>
          <w:bCs/>
          <w:color w:val="000000"/>
          <w:spacing w:val="0"/>
          <w:w w:val="100"/>
          <w:position w:val="0"/>
        </w:rPr>
        <w:t>（</w:t>
      </w:r>
      <w:bookmarkEnd w:id="58"/>
      <w:r>
        <w:rPr>
          <w:rFonts w:ascii="Times New Roman" w:eastAsia="Times New Roman" w:hAnsi="Times New Roman" w:cs="Times New Roman"/>
          <w:b/>
          <w:bCs/>
          <w:color w:val="000000"/>
          <w:spacing w:val="0"/>
          <w:w w:val="100"/>
          <w:position w:val="0"/>
        </w:rPr>
        <w:t>3</w:t>
      </w:r>
      <w:r>
        <w:rPr>
          <w:b/>
          <w:bCs/>
          <w:color w:val="000000"/>
          <w:spacing w:val="0"/>
          <w:w w:val="100"/>
          <w:position w:val="0"/>
        </w:rPr>
        <w:t>）信息系统集成服务的盈利模式</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报告期内，公司信息系统集成服务的盈利主要包括销售商品、提供技术服务所带来的利润。伴随着公 司的不断发展，公司利用自身的技术优势和相关的能力，为客户提供智能建筑系统集成、计算机网络系统 集成、智能安防系统集成、视频会议系统集成、数据中心系统集成解决方案以及民航行业信息化解决方案。 同时，通过对不同客户分门别类，针对客户的特定需求专门进行分析，形成了独特的软件产品和服务，从 而通过规模效应降低成本，进一步提升利润，并满足差异化的客户需求。</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公司信息系统集成服务主要包括：软硬件产品销售、安装实施服务、技术支持服务。其中，硬件产品 销售主要包括服务器设备、存储设备、网络设备、音视频设备等硬件设备的销售。软件产品销售主要包括 航班运行协同决策系统等软件产品销售。安装实施服务主要包括设备安装、网络布线、系统调测等服务。 技术支持服务主要包括技术方案设计、用户培训、系统运维、软件产品升级和定制化开发等服务。</w:t>
      </w:r>
    </w:p>
    <w:p>
      <w:pPr>
        <w:pStyle w:val="Style29"/>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2005</w:t>
      </w:r>
      <w:r>
        <w:rPr>
          <w:color w:val="000000"/>
          <w:spacing w:val="0"/>
          <w:w w:val="100"/>
          <w:position w:val="0"/>
        </w:rPr>
        <w:t>年取得计算机信息系统集成一级资质，在资质条件上位于市场前列，经过多年大型项目经 验积累，已储备大量专业技术型人才。在企业信息化应用领域，从服务入手，不断提高集成服务与</w:t>
      </w:r>
      <w:r>
        <w:rPr>
          <w:rFonts w:ascii="Times New Roman" w:eastAsia="Times New Roman" w:hAnsi="Times New Roman" w:cs="Times New Roman"/>
          <w:color w:val="000000"/>
          <w:spacing w:val="0"/>
          <w:w w:val="100"/>
          <w:position w:val="0"/>
        </w:rPr>
        <w:t>IT</w:t>
      </w:r>
      <w:r>
        <w:rPr>
          <w:color w:val="000000"/>
          <w:spacing w:val="0"/>
          <w:w w:val="100"/>
          <w:position w:val="0"/>
        </w:rPr>
        <w:t>运维 服务水平，导入增值服务，以服务能力与服务质量赢得客户的信赖，使得专网通信业务与信息系统集成业 务两相促进，提供一站式企业</w:t>
      </w:r>
      <w:r>
        <w:rPr>
          <w:rFonts w:ascii="Times New Roman" w:eastAsia="Times New Roman" w:hAnsi="Times New Roman" w:cs="Times New Roman"/>
          <w:color w:val="000000"/>
          <w:spacing w:val="0"/>
          <w:w w:val="100"/>
          <w:position w:val="0"/>
        </w:rPr>
        <w:t>ICT</w:t>
      </w:r>
      <w:r>
        <w:rPr>
          <w:color w:val="000000"/>
          <w:spacing w:val="0"/>
          <w:w w:val="100"/>
          <w:position w:val="0"/>
        </w:rPr>
        <w:t>服务，促进公司业务总量的提升。公司加大软件研发投入力度，研发多 款具有自主知识产权的民航协同决策管理类软件，以此为基础推出民航行业信息化解决方案，按产品授权 客户进行使用，提高项目盈利水平；同时，以软件为核心不断拓展项目合作范围，帮助民航单位实现数字 化转型，以老客户的新应用持续盈利。</w:t>
      </w:r>
    </w:p>
    <w:p>
      <w:pPr>
        <w:pStyle w:val="Style29"/>
        <w:keepNext w:val="0"/>
        <w:keepLines w:val="0"/>
        <w:widowControl w:val="0"/>
        <w:shd w:val="clear" w:color="auto" w:fill="auto"/>
        <w:bidi w:val="0"/>
        <w:spacing w:before="0" w:after="0"/>
        <w:ind w:left="0" w:right="0" w:firstLine="440"/>
        <w:jc w:val="both"/>
      </w:pPr>
      <w:bookmarkStart w:id="59" w:name="bookmark59"/>
      <w:r>
        <w:rPr>
          <w:rFonts w:ascii="Times New Roman" w:eastAsia="Times New Roman" w:hAnsi="Times New Roman" w:cs="Times New Roman"/>
          <w:b/>
          <w:bCs/>
          <w:color w:val="000000"/>
          <w:spacing w:val="0"/>
          <w:w w:val="100"/>
          <w:position w:val="0"/>
        </w:rPr>
        <w:t>2</w:t>
      </w:r>
      <w:bookmarkEnd w:id="59"/>
      <w:r>
        <w:rPr>
          <w:b/>
          <w:bCs/>
          <w:color w:val="000000"/>
          <w:spacing w:val="0"/>
          <w:w w:val="100"/>
          <w:position w:val="0"/>
        </w:rPr>
        <w:t>、采购模式</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公司的采购活动紧密结合服务客户的需求，主要采购项目为电信资源、各类软硬件和服务类采购。具 体采购情况如下：</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电信资源主要包括带宽资源和机柜等。带宽资源为向中国电信等基础电信运营商及其他供应商采购的 数字链路、互联网带宽等；公司向数据中心服务商租用机柜，用于架设网络节点或提供数据中心托管服务。</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在电信资源采购方面，基于骨干网容量管理和客户需求，技术运营中心和营运管理部向采购部门提出 采购需求。采购部门按照采购需求确认采购目标，遵循“长期发展、合作共赢”的行业原则，采取“多边 询价、综合比较”的方式实施采购，最终根据技术水平、服务承诺及价格等因素选定合作对象。目前国内 </w:t>
      </w:r>
      <w:r>
        <w:rPr>
          <w:color w:val="000000"/>
          <w:spacing w:val="0"/>
          <w:w w:val="100"/>
          <w:position w:val="0"/>
        </w:rPr>
        <w:t>多家基础电信运营商并存，每家技术同质化强，网络覆盖重合度高，使带宽资源市场竞争较为充分。数据 中心机柜也随着大数据和云计算的发展而供应量充足。</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各类软硬件主要是指用于公司骨干网络建设、客户端接入以及系统集成业务实施的设备和软件，诸如 交换机、路由器、服务器和各类软件等。服务类采购主要是针对第三方运维服务、系统集成安装服务等各 种服务的采购。</w:t>
      </w:r>
    </w:p>
    <w:p>
      <w:pPr>
        <w:pStyle w:val="Style29"/>
        <w:keepNext w:val="0"/>
        <w:keepLines w:val="0"/>
        <w:widowControl w:val="0"/>
        <w:shd w:val="clear" w:color="auto" w:fill="auto"/>
        <w:bidi w:val="0"/>
        <w:spacing w:before="0" w:after="400" w:line="461" w:lineRule="exact"/>
        <w:ind w:left="0" w:right="0" w:firstLine="440"/>
        <w:jc w:val="both"/>
      </w:pPr>
      <w:r>
        <w:rPr>
          <w:color w:val="000000"/>
          <w:spacing w:val="0"/>
          <w:w w:val="100"/>
          <w:position w:val="0"/>
        </w:rPr>
        <w:t>采购部门依照专用网络设备需求、运维服务需求以及系统集成项目设备需求、安装服务需求实施采购, 参照公司《采购管理制度》，依据采购标的额度大小，采取询价、竞争性谈判、招标等方式选定合作对象。</w:t>
      </w:r>
    </w:p>
    <w:p>
      <w:pPr>
        <w:pStyle w:val="Style29"/>
        <w:keepNext w:val="0"/>
        <w:keepLines w:val="0"/>
        <w:widowControl w:val="0"/>
        <w:shd w:val="clear" w:color="auto" w:fill="auto"/>
        <w:tabs>
          <w:tab w:pos="782" w:val="left"/>
        </w:tabs>
        <w:bidi w:val="0"/>
        <w:spacing w:before="0" w:after="0"/>
        <w:ind w:left="0" w:right="0" w:firstLine="440"/>
        <w:jc w:val="both"/>
      </w:pPr>
      <w:bookmarkStart w:id="60" w:name="bookmark60"/>
      <w:r>
        <w:rPr>
          <w:rFonts w:ascii="Times New Roman" w:eastAsia="Times New Roman" w:hAnsi="Times New Roman" w:cs="Times New Roman"/>
          <w:b/>
          <w:bCs/>
          <w:color w:val="000000"/>
          <w:spacing w:val="0"/>
          <w:w w:val="100"/>
          <w:position w:val="0"/>
        </w:rPr>
        <w:t>3</w:t>
      </w:r>
      <w:bookmarkEnd w:id="60"/>
      <w:r>
        <w:rPr>
          <w:b/>
          <w:bCs/>
          <w:color w:val="000000"/>
          <w:spacing w:val="0"/>
          <w:w w:val="100"/>
          <w:position w:val="0"/>
        </w:rPr>
        <w:t>、</w:t>
        <w:tab/>
        <w:t>销售模式</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公司提供的产品和服务技术含量高、定制化程度强，公司以直销的方式进行销售，销售工作按新客户 开拓和现有客户持续维护开发两方面开展。</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新客户开拓方面，公司通过客户拜访、客群介绍、参与招标、邮件/电话营销、参与论坛等方式获取 新的客户资源。销售人员了解客户的具体需求后，安排售前技术工程师进行客户技术咨询并制定相应的解 决方案，同时提交公司总部进行服务成本评估。根据评估成本，公司向客户报价，客户确认后双方签订合 同，按照约定的进度开展服务。</w:t>
      </w:r>
    </w:p>
    <w:p>
      <w:pPr>
        <w:pStyle w:val="Style29"/>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现有客户持续维护开发方面，公司持续跟踪客户的使用情况和服务需求，通过为客户及时解决故障和 问题、优化使用体验、降低成本费用，减少客户流失，保证和客户的持续合作关系。在此基础上，公司不 断加深对客户业务流程、网络应用场景的理解，加强客户的信任度和合作关系，进一步挖掘客户在网络通 信等应用方面的深度需求，在满足客户对专用网络的循环需求基础上，扩大对客户的服务范围。公司的客 户服务团队在明确客户的深度需求后，提交公司总部进行服务成本评估，之后向客户报价。客户确认后双 方签订新需求的服务合同，按照约定的进度开展服务。</w:t>
      </w:r>
    </w:p>
    <w:p>
      <w:pPr>
        <w:pStyle w:val="Style29"/>
        <w:keepNext w:val="0"/>
        <w:keepLines w:val="0"/>
        <w:widowControl w:val="0"/>
        <w:shd w:val="clear" w:color="auto" w:fill="auto"/>
        <w:tabs>
          <w:tab w:pos="782" w:val="left"/>
        </w:tabs>
        <w:bidi w:val="0"/>
        <w:spacing w:before="0" w:after="0"/>
        <w:ind w:left="0" w:right="0" w:firstLine="440"/>
        <w:jc w:val="both"/>
      </w:pPr>
      <w:bookmarkStart w:id="61" w:name="bookmark61"/>
      <w:r>
        <w:rPr>
          <w:rFonts w:ascii="Times New Roman" w:eastAsia="Times New Roman" w:hAnsi="Times New Roman" w:cs="Times New Roman"/>
          <w:b/>
          <w:bCs/>
          <w:color w:val="000000"/>
          <w:spacing w:val="0"/>
          <w:w w:val="100"/>
          <w:position w:val="0"/>
        </w:rPr>
        <w:t>4</w:t>
      </w:r>
      <w:bookmarkEnd w:id="61"/>
      <w:r>
        <w:rPr>
          <w:b/>
          <w:bCs/>
          <w:color w:val="000000"/>
          <w:spacing w:val="0"/>
          <w:w w:val="100"/>
          <w:position w:val="0"/>
        </w:rPr>
        <w:t>、</w:t>
        <w:tab/>
        <w:t>项目实施模式</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公司始终坚持以差异化服务体现对客户的最大价值，根据企事业客户个性化需求，提供定制化解决方 案和“一站式”端到端项目交付服务，交付服务组织到位、透明度高。</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资源及交付中心承担项目实施工作，内部建立了分工明确的组织，职责界定清晰。主要特点有三个方 面：</w:t>
      </w:r>
    </w:p>
    <w:p>
      <w:pPr>
        <w:pStyle w:val="Style29"/>
        <w:keepNext w:val="0"/>
        <w:keepLines w:val="0"/>
        <w:widowControl w:val="0"/>
        <w:shd w:val="clear" w:color="auto" w:fill="auto"/>
        <w:bidi w:val="0"/>
        <w:spacing w:before="0" w:line="467" w:lineRule="exact"/>
        <w:ind w:left="0" w:right="0" w:firstLine="440"/>
        <w:jc w:val="both"/>
      </w:pPr>
      <w:bookmarkStart w:id="62" w:name="bookmark62"/>
      <w:r>
        <w:rPr>
          <w:color w:val="000000"/>
          <w:spacing w:val="0"/>
          <w:w w:val="100"/>
          <w:position w:val="0"/>
          <w:sz w:val="20"/>
          <w:szCs w:val="20"/>
        </w:rPr>
        <w:t>（</w:t>
      </w:r>
      <w:bookmarkEnd w:id="62"/>
      <w:r>
        <w:rPr>
          <w:color w:val="000000"/>
          <w:spacing w:val="0"/>
          <w:w w:val="100"/>
          <w:position w:val="0"/>
          <w:sz w:val="20"/>
          <w:szCs w:val="20"/>
        </w:rPr>
        <w:t>1）</w:t>
      </w:r>
      <w:r>
        <w:rPr>
          <w:color w:val="000000"/>
          <w:spacing w:val="0"/>
          <w:w w:val="100"/>
          <w:position w:val="0"/>
        </w:rPr>
        <w:t xml:space="preserve">以项目经理为核心，内外部协同配合，按照“全局管控、逐点落实、责任明确、互动及时”的 </w:t>
      </w:r>
      <w:r>
        <w:rPr>
          <w:color w:val="000000"/>
          <w:spacing w:val="0"/>
          <w:w w:val="100"/>
          <w:position w:val="0"/>
        </w:rPr>
        <w:t>原则，为每一个项目组建虚拟团队；</w:t>
      </w:r>
    </w:p>
    <w:p>
      <w:pPr>
        <w:pStyle w:val="Style29"/>
        <w:keepNext w:val="0"/>
        <w:keepLines w:val="0"/>
        <w:widowControl w:val="0"/>
        <w:shd w:val="clear" w:color="auto" w:fill="auto"/>
        <w:tabs>
          <w:tab w:pos="979" w:val="left"/>
        </w:tabs>
        <w:bidi w:val="0"/>
        <w:spacing w:before="0" w:line="480" w:lineRule="exact"/>
        <w:ind w:left="0" w:right="0" w:firstLine="440"/>
        <w:jc w:val="both"/>
      </w:pPr>
      <w:bookmarkStart w:id="63" w:name="bookmark63"/>
      <w:r>
        <w:rPr>
          <w:color w:val="000000"/>
          <w:spacing w:val="0"/>
          <w:w w:val="100"/>
          <w:position w:val="0"/>
          <w:sz w:val="20"/>
          <w:szCs w:val="20"/>
        </w:rPr>
        <w:t>（</w:t>
      </w:r>
      <w:bookmarkEnd w:id="63"/>
      <w:r>
        <w:rPr>
          <w:color w:val="000000"/>
          <w:spacing w:val="0"/>
          <w:w w:val="100"/>
          <w:position w:val="0"/>
          <w:sz w:val="20"/>
          <w:szCs w:val="20"/>
        </w:rPr>
        <w:t>2）</w:t>
        <w:tab/>
      </w:r>
      <w:r>
        <w:rPr>
          <w:color w:val="000000"/>
          <w:spacing w:val="0"/>
          <w:w w:val="100"/>
          <w:position w:val="0"/>
        </w:rPr>
        <w:t>对每个项目进行分段式管控，按照行业标准化工作流程拆分项目阶段，为各阶段设立明确目标， 实现精细化过程管理；</w:t>
      </w:r>
    </w:p>
    <w:p>
      <w:pPr>
        <w:pStyle w:val="Style29"/>
        <w:keepNext w:val="0"/>
        <w:keepLines w:val="0"/>
        <w:widowControl w:val="0"/>
        <w:shd w:val="clear" w:color="auto" w:fill="auto"/>
        <w:tabs>
          <w:tab w:pos="984" w:val="left"/>
        </w:tabs>
        <w:bidi w:val="0"/>
        <w:spacing w:before="0" w:line="480" w:lineRule="exact"/>
        <w:ind w:left="0" w:right="0" w:firstLine="440"/>
        <w:jc w:val="both"/>
      </w:pPr>
      <w:bookmarkStart w:id="64" w:name="bookmark64"/>
      <w:r>
        <w:rPr>
          <w:color w:val="000000"/>
          <w:spacing w:val="0"/>
          <w:w w:val="100"/>
          <w:position w:val="0"/>
          <w:sz w:val="20"/>
          <w:szCs w:val="20"/>
        </w:rPr>
        <w:t>（</w:t>
      </w:r>
      <w:bookmarkEnd w:id="64"/>
      <w:r>
        <w:rPr>
          <w:color w:val="000000"/>
          <w:spacing w:val="0"/>
          <w:w w:val="100"/>
          <w:position w:val="0"/>
          <w:sz w:val="20"/>
          <w:szCs w:val="20"/>
        </w:rPr>
        <w:t>3）</w:t>
        <w:tab/>
      </w:r>
      <w:r>
        <w:rPr>
          <w:color w:val="000000"/>
          <w:spacing w:val="0"/>
          <w:w w:val="100"/>
          <w:position w:val="0"/>
        </w:rPr>
        <w:t>对每个岗位要求明确，如截止时间、测试质量、工作步骤等，对公司和外部提供服务的供应商 进行统筹管理。</w:t>
      </w:r>
    </w:p>
    <w:p>
      <w:pPr>
        <w:pStyle w:val="Style29"/>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通过一系列措施，公司对项目实现了从启动到交付的全周期管理和对需求、成本、质量、人力、风险 等的全要素管理，从而保证了客户的满意度。</w:t>
      </w:r>
    </w:p>
    <w:p>
      <w:pPr>
        <w:pStyle w:val="Style29"/>
        <w:keepNext w:val="0"/>
        <w:keepLines w:val="0"/>
        <w:widowControl w:val="0"/>
        <w:shd w:val="clear" w:color="auto" w:fill="auto"/>
        <w:bidi w:val="0"/>
        <w:spacing w:before="0" w:after="0"/>
        <w:ind w:left="0" w:right="0" w:firstLine="440"/>
        <w:jc w:val="both"/>
      </w:pPr>
      <w:bookmarkStart w:id="65" w:name="bookmark65"/>
      <w:r>
        <w:rPr>
          <w:rFonts w:ascii="Times New Roman" w:eastAsia="Times New Roman" w:hAnsi="Times New Roman" w:cs="Times New Roman"/>
          <w:b/>
          <w:bCs/>
          <w:color w:val="000000"/>
          <w:spacing w:val="0"/>
          <w:w w:val="100"/>
          <w:position w:val="0"/>
        </w:rPr>
        <w:t>5</w:t>
      </w:r>
      <w:bookmarkEnd w:id="65"/>
      <w:r>
        <w:rPr>
          <w:b/>
          <w:bCs/>
          <w:color w:val="000000"/>
          <w:spacing w:val="0"/>
          <w:w w:val="100"/>
          <w:position w:val="0"/>
        </w:rPr>
        <w:t>、运营维护模式</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公司依据</w:t>
      </w:r>
      <w:r>
        <w:rPr>
          <w:color w:val="000000"/>
          <w:spacing w:val="0"/>
          <w:w w:val="100"/>
          <w:position w:val="0"/>
          <w:sz w:val="20"/>
          <w:szCs w:val="20"/>
        </w:rPr>
        <w:t>ISO/IEC 20000-1:2011</w:t>
      </w:r>
      <w:r>
        <w:rPr>
          <w:color w:val="000000"/>
          <w:spacing w:val="0"/>
          <w:w w:val="100"/>
          <w:position w:val="0"/>
        </w:rPr>
        <w:t>标准，建立了以客户为中心、以流程为导向的服务管理体系，构建了 监控中心、运维中心、客户自服务中心以支撑客户服务运营；公司自主构建了业务运营支撑系统、告警系 统、网络管理系统等工具，实时监控客户服务运行状态，及时、高效地处理客户各类问题。</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公司在服务运营过程中，客服热线作为统一服务窗口，依托于实时告警系统、服务热线电话、邮件等 多种途径为客户提供</w:t>
      </w:r>
      <w:r>
        <w:rPr>
          <w:color w:val="000000"/>
          <w:spacing w:val="0"/>
          <w:w w:val="100"/>
          <w:position w:val="0"/>
          <w:sz w:val="20"/>
          <w:szCs w:val="20"/>
        </w:rPr>
        <w:t>7X24</w:t>
      </w:r>
      <w:r>
        <w:rPr>
          <w:color w:val="000000"/>
          <w:spacing w:val="0"/>
          <w:w w:val="100"/>
          <w:position w:val="0"/>
        </w:rPr>
        <w:t>小时的售后及业务咨询服务，按照服务时效标准响应、跟踪及反馈客户各类服 务请求。运维工程师为客户远程解决各种技术难题，若远程无法解决，需要技术人员到用户现场进行故障 处理或维护时，运维中心会在约定时间内安排工程师进行上门服务，目前公司已签约多家现场服务合作伙 伴，满足</w:t>
      </w:r>
      <w:r>
        <w:rPr>
          <w:color w:val="000000"/>
          <w:spacing w:val="0"/>
          <w:w w:val="100"/>
          <w:position w:val="0"/>
          <w:sz w:val="20"/>
          <w:szCs w:val="20"/>
        </w:rPr>
        <w:t>7X24</w:t>
      </w:r>
      <w:r>
        <w:rPr>
          <w:color w:val="000000"/>
          <w:spacing w:val="0"/>
          <w:w w:val="100"/>
          <w:position w:val="0"/>
        </w:rPr>
        <w:t>小时全国派工需求，当客户端设备由于硬件问题需要更换时，公司可提供</w:t>
      </w:r>
      <w:r>
        <w:rPr>
          <w:color w:val="000000"/>
          <w:spacing w:val="0"/>
          <w:w w:val="100"/>
          <w:position w:val="0"/>
          <w:sz w:val="20"/>
          <w:szCs w:val="20"/>
        </w:rPr>
        <w:t>7X24</w:t>
      </w:r>
      <w:r>
        <w:rPr>
          <w:color w:val="000000"/>
          <w:spacing w:val="0"/>
          <w:w w:val="100"/>
          <w:position w:val="0"/>
        </w:rPr>
        <w:t>小时的备件 更换服务。</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为保障客户服务体验，公司定期安排客服经理、现场服务合作伙伴进行客户服务巡检，排除隐患，持 续提供高品质、可控的服务。在客户业务高峰期、业绩冲刺等关键时间节点，公司可提供丰富的各类现场 重保服务，保障客户服务的稳定运行。公司除在客户网络设计时提供高可靠的解决方案外，同时提前计划 了多种临时应急预案提高服务可用率，保障客户业务的连续性。</w:t>
      </w:r>
    </w:p>
    <w:p>
      <w:pPr>
        <w:pStyle w:val="Style29"/>
        <w:keepNext w:val="0"/>
        <w:keepLines w:val="0"/>
        <w:widowControl w:val="0"/>
        <w:shd w:val="clear" w:color="auto" w:fill="auto"/>
        <w:bidi w:val="0"/>
        <w:spacing w:before="0" w:line="468" w:lineRule="exact"/>
        <w:ind w:left="0" w:right="0" w:firstLine="0"/>
        <w:jc w:val="left"/>
      </w:pPr>
      <w:bookmarkStart w:id="66" w:name="bookmark66"/>
      <w:r>
        <w:rPr>
          <w:b/>
          <w:bCs/>
          <w:color w:val="000000"/>
          <w:spacing w:val="0"/>
          <w:w w:val="100"/>
          <w:position w:val="0"/>
        </w:rPr>
        <w:t>（</w:t>
      </w:r>
      <w:bookmarkEnd w:id="66"/>
      <w:r>
        <w:rPr>
          <w:b/>
          <w:bCs/>
          <w:color w:val="000000"/>
          <w:spacing w:val="0"/>
          <w:w w:val="100"/>
          <w:position w:val="0"/>
        </w:rPr>
        <w:t>三）报告期内主要的业绩驱动因素</w:t>
      </w:r>
    </w:p>
    <w:p>
      <w:pPr>
        <w:pStyle w:val="Style29"/>
        <w:keepNext w:val="0"/>
        <w:keepLines w:val="0"/>
        <w:widowControl w:val="0"/>
        <w:shd w:val="clear" w:color="auto" w:fill="auto"/>
        <w:bidi w:val="0"/>
        <w:spacing w:before="0" w:line="468" w:lineRule="exact"/>
        <w:ind w:left="0" w:right="0" w:firstLine="440"/>
        <w:jc w:val="both"/>
      </w:pPr>
      <w:bookmarkStart w:id="67" w:name="bookmark67"/>
      <w:r>
        <w:rPr>
          <w:b/>
          <w:bCs/>
          <w:color w:val="000000"/>
          <w:spacing w:val="0"/>
          <w:w w:val="100"/>
          <w:position w:val="0"/>
        </w:rPr>
        <w:t>1</w:t>
      </w:r>
      <w:bookmarkEnd w:id="67"/>
      <w:r>
        <w:rPr>
          <w:b/>
          <w:bCs/>
          <w:color w:val="000000"/>
          <w:spacing w:val="0"/>
          <w:w w:val="100"/>
          <w:position w:val="0"/>
        </w:rPr>
        <w:t>、专用网络服务行业市场规模的扩大</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随着国内云计算业务的快速发展，企业的私有云、公有云连接更为广泛，数据传输的需求进一步提高， 作为高效、安全和可管控的网络服务，虚拟专用网在解决内部通信、外部访问的网络需求方面，专用网络 服务越来越被企业用户认可。</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由于产业综合管理和服务价值的吸引，各产业中大规模资源聚集的总部经济模式不断发展。该经济模 式下，企事业需要建立高效稳定的数据中心管理、运营众多网点。跨区域企事业单位，内部数据和信息传 输较为频繁，云服务的使用频率增加，对传输数据的可靠性、安全性、保密性等要求较高，对于网络的可 管理性要求也越来越高。与此同时，随着企业用户业务的发展，信息化需求不断提高，除了满足不同用户 网络私密性、经济性的个性化需求外，服务商在资源网络基础上开发了多种虚拟专用网服务，不断深化服 务内容和服务品质，提高了用户使用粘性和网络资源利用率。因此，专用网络服务的下游应用领域不断延 伸。</w:t>
      </w:r>
    </w:p>
    <w:p>
      <w:pPr>
        <w:pStyle w:val="Style29"/>
        <w:keepNext w:val="0"/>
        <w:keepLines w:val="0"/>
        <w:widowControl w:val="0"/>
        <w:shd w:val="clear" w:color="auto" w:fill="auto"/>
        <w:bidi w:val="0"/>
        <w:spacing w:before="0" w:line="470" w:lineRule="exact"/>
        <w:ind w:left="0" w:right="0" w:firstLine="440"/>
        <w:jc w:val="both"/>
      </w:pPr>
      <w:bookmarkStart w:id="68" w:name="bookmark68"/>
      <w:r>
        <w:rPr>
          <w:b/>
          <w:bCs/>
          <w:color w:val="000000"/>
          <w:spacing w:val="0"/>
          <w:w w:val="100"/>
          <w:position w:val="0"/>
        </w:rPr>
        <w:t>2</w:t>
      </w:r>
      <w:bookmarkEnd w:id="68"/>
      <w:r>
        <w:rPr>
          <w:b/>
          <w:bCs/>
          <w:color w:val="000000"/>
          <w:spacing w:val="0"/>
          <w:w w:val="100"/>
          <w:position w:val="0"/>
        </w:rPr>
        <w:t>、公司</w:t>
      </w:r>
      <w:r>
        <w:rPr>
          <w:rFonts w:ascii="Times New Roman" w:eastAsia="Times New Roman" w:hAnsi="Times New Roman" w:cs="Times New Roman"/>
          <w:b/>
          <w:bCs/>
          <w:color w:val="000000"/>
          <w:spacing w:val="0"/>
          <w:w w:val="100"/>
          <w:position w:val="0"/>
        </w:rPr>
        <w:t>SD-WAN</w:t>
      </w:r>
      <w:r>
        <w:rPr>
          <w:b/>
          <w:bCs/>
          <w:color w:val="000000"/>
          <w:spacing w:val="0"/>
          <w:w w:val="100"/>
          <w:position w:val="0"/>
        </w:rPr>
        <w:t>产品业务拓展快速增长</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作为国内较早推出</w:t>
      </w:r>
      <w:r>
        <w:rPr>
          <w:rFonts w:ascii="Times New Roman" w:eastAsia="Times New Roman" w:hAnsi="Times New Roman" w:cs="Times New Roman"/>
          <w:color w:val="000000"/>
          <w:spacing w:val="0"/>
          <w:w w:val="100"/>
          <w:position w:val="0"/>
        </w:rPr>
        <w:t>SD-WAN</w:t>
      </w:r>
      <w:r>
        <w:rPr>
          <w:color w:val="000000"/>
          <w:spacing w:val="0"/>
          <w:w w:val="100"/>
          <w:position w:val="0"/>
        </w:rPr>
        <w:t>网络服务的增值电信服务提供商，公司积极参与并推动制定行业基准测试 规范和服务标准，于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月获得由</w:t>
      </w:r>
      <w:r>
        <w:rPr>
          <w:rFonts w:ascii="Times New Roman" w:eastAsia="Times New Roman" w:hAnsi="Times New Roman" w:cs="Times New Roman"/>
          <w:color w:val="000000"/>
          <w:spacing w:val="0"/>
          <w:w w:val="100"/>
          <w:position w:val="0"/>
        </w:rPr>
        <w:t>S DN/NFV/A</w:t>
      </w:r>
      <w:r>
        <w:rPr>
          <w:rFonts w:ascii="Times New Roman" w:eastAsia="Times New Roman" w:hAnsi="Times New Roman" w:cs="Times New Roman"/>
          <w:color w:val="000000"/>
          <w:spacing w:val="0"/>
          <w:w w:val="100"/>
          <w:position w:val="0"/>
        </w:rPr>
        <w:t>I</w:t>
      </w:r>
      <w:r>
        <w:rPr>
          <w:color w:val="000000"/>
          <w:spacing w:val="0"/>
          <w:w w:val="100"/>
          <w:position w:val="0"/>
        </w:rPr>
        <w:t>标准与产业推进委员会颁发的全国首批</w:t>
      </w:r>
      <w:r>
        <w:rPr>
          <w:rFonts w:ascii="Times New Roman" w:eastAsia="Times New Roman" w:hAnsi="Times New Roman" w:cs="Times New Roman"/>
          <w:color w:val="000000"/>
          <w:spacing w:val="0"/>
          <w:w w:val="100"/>
          <w:position w:val="0"/>
        </w:rPr>
        <w:t xml:space="preserve">S D-WAN Ready </w:t>
      </w:r>
      <w:r>
        <w:rPr>
          <w:color w:val="000000"/>
          <w:spacing w:val="0"/>
          <w:w w:val="100"/>
          <w:position w:val="0"/>
        </w:rPr>
        <w:t>证书。</w:t>
      </w:r>
      <w:r>
        <w:rPr>
          <w:rFonts w:ascii="Times New Roman" w:eastAsia="Times New Roman" w:hAnsi="Times New Roman" w:cs="Times New Roman"/>
          <w:color w:val="000000"/>
          <w:spacing w:val="0"/>
          <w:w w:val="100"/>
          <w:position w:val="0"/>
        </w:rPr>
        <w:t>2020</w:t>
      </w:r>
      <w:r>
        <w:rPr>
          <w:color w:val="000000"/>
          <w:spacing w:val="0"/>
          <w:w w:val="100"/>
          <w:position w:val="0"/>
        </w:rPr>
        <w:t>年，公司受邀参与中国通信标准化协会</w:t>
      </w:r>
      <w:r>
        <w:rPr>
          <w:rFonts w:ascii="Times New Roman" w:eastAsia="Times New Roman" w:hAnsi="Times New Roman" w:cs="Times New Roman"/>
          <w:color w:val="000000"/>
          <w:spacing w:val="0"/>
          <w:w w:val="100"/>
          <w:position w:val="0"/>
        </w:rPr>
        <w:t>TC610WG4</w:t>
      </w:r>
      <w:r>
        <w:rPr>
          <w:color w:val="000000"/>
          <w:spacing w:val="0"/>
          <w:w w:val="100"/>
          <w:position w:val="0"/>
        </w:rPr>
        <w:t>工作组关于国内首部</w:t>
      </w:r>
      <w:r>
        <w:rPr>
          <w:color w:val="000000"/>
          <w:spacing w:val="0"/>
          <w:w w:val="100"/>
          <w:position w:val="0"/>
        </w:rPr>
        <w:t>《</w:t>
      </w:r>
      <w:r>
        <w:rPr>
          <w:rFonts w:ascii="Times New Roman" w:eastAsia="Times New Roman" w:hAnsi="Times New Roman" w:cs="Times New Roman"/>
          <w:color w:val="000000"/>
          <w:spacing w:val="0"/>
          <w:w w:val="100"/>
          <w:position w:val="0"/>
        </w:rPr>
        <w:t>SD-WAN</w:t>
      </w:r>
      <w:r>
        <w:rPr>
          <w:color w:val="000000"/>
          <w:spacing w:val="0"/>
          <w:w w:val="100"/>
          <w:position w:val="0"/>
        </w:rPr>
        <w:t>全球技术与 产业发展》白皮书的编写工作，为白皮书的撰写提供理论、技术及具体项目落地经验。在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月首届 算网融合产业发展论坛上，该白皮书正式发布，同时，公司获得由</w:t>
      </w:r>
      <w:r>
        <w:rPr>
          <w:rFonts w:ascii="Times New Roman" w:eastAsia="Times New Roman" w:hAnsi="Times New Roman" w:cs="Times New Roman"/>
          <w:color w:val="000000"/>
          <w:spacing w:val="0"/>
          <w:w w:val="100"/>
          <w:position w:val="0"/>
        </w:rPr>
        <w:t xml:space="preserve">S DN/NFV/A </w:t>
      </w:r>
      <w:r>
        <w:rPr>
          <w:rFonts w:ascii="Times New Roman" w:eastAsia="Times New Roman" w:hAnsi="Times New Roman" w:cs="Times New Roman"/>
          <w:color w:val="000000"/>
          <w:spacing w:val="0"/>
          <w:w w:val="100"/>
          <w:position w:val="0"/>
        </w:rPr>
        <w:t>I</w:t>
      </w:r>
      <w:r>
        <w:rPr>
          <w:color w:val="000000"/>
          <w:spacing w:val="0"/>
          <w:w w:val="100"/>
          <w:position w:val="0"/>
        </w:rPr>
        <w:t>标准与产业推进委员会颁 发的</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SD-WAN</w:t>
      </w:r>
      <w:r>
        <w:rPr>
          <w:color w:val="000000"/>
          <w:spacing w:val="0"/>
          <w:w w:val="100"/>
          <w:position w:val="0"/>
        </w:rPr>
        <w:t>项目优秀服务奖报告期内，南凌科技</w:t>
      </w:r>
      <w:r>
        <w:rPr>
          <w:rFonts w:ascii="Times New Roman" w:eastAsia="Times New Roman" w:hAnsi="Times New Roman" w:cs="Times New Roman"/>
          <w:color w:val="000000"/>
          <w:spacing w:val="0"/>
          <w:w w:val="100"/>
          <w:position w:val="0"/>
        </w:rPr>
        <w:t>SD-WAN</w:t>
      </w:r>
      <w:r>
        <w:rPr>
          <w:color w:val="000000"/>
          <w:spacing w:val="0"/>
          <w:w w:val="100"/>
          <w:position w:val="0"/>
        </w:rPr>
        <w:t>收入较上年同期增长</w:t>
      </w:r>
      <w:r>
        <w:rPr>
          <w:rFonts w:ascii="Times New Roman" w:eastAsia="Times New Roman" w:hAnsi="Times New Roman" w:cs="Times New Roman"/>
          <w:color w:val="000000"/>
          <w:spacing w:val="0"/>
          <w:w w:val="100"/>
          <w:position w:val="0"/>
        </w:rPr>
        <w:t>152.66%</w:t>
      </w:r>
      <w:r>
        <w:rPr>
          <w:color w:val="000000"/>
          <w:spacing w:val="0"/>
          <w:w w:val="100"/>
          <w:position w:val="0"/>
        </w:rPr>
        <w:t>, 自</w:t>
      </w:r>
      <w:r>
        <w:rPr>
          <w:rFonts w:ascii="Times New Roman" w:eastAsia="Times New Roman" w:hAnsi="Times New Roman" w:cs="Times New Roman"/>
          <w:color w:val="000000"/>
          <w:spacing w:val="0"/>
          <w:w w:val="100"/>
          <w:position w:val="0"/>
        </w:rPr>
        <w:t>SD-WAN</w:t>
      </w:r>
      <w:r>
        <w:rPr>
          <w:color w:val="000000"/>
          <w:spacing w:val="0"/>
          <w:w w:val="100"/>
          <w:position w:val="0"/>
        </w:rPr>
        <w:t>服务推出后持续保持快速增长，目前已成为国内市场上表现最为突出的</w:t>
      </w:r>
      <w:r>
        <w:rPr>
          <w:rFonts w:ascii="Times New Roman" w:eastAsia="Times New Roman" w:hAnsi="Times New Roman" w:cs="Times New Roman"/>
          <w:color w:val="000000"/>
          <w:spacing w:val="0"/>
          <w:w w:val="100"/>
          <w:position w:val="0"/>
        </w:rPr>
        <w:t>SD-WAN</w:t>
      </w:r>
      <w:r>
        <w:rPr>
          <w:color w:val="000000"/>
          <w:spacing w:val="0"/>
          <w:w w:val="100"/>
          <w:position w:val="0"/>
        </w:rPr>
        <w:t>应用解决方案 之一。</w:t>
      </w:r>
    </w:p>
    <w:p>
      <w:pPr>
        <w:pStyle w:val="Style29"/>
        <w:keepNext w:val="0"/>
        <w:keepLines w:val="0"/>
        <w:widowControl w:val="0"/>
        <w:shd w:val="clear" w:color="auto" w:fill="auto"/>
        <w:bidi w:val="0"/>
        <w:spacing w:before="0" w:after="380" w:line="470" w:lineRule="exact"/>
        <w:ind w:left="0" w:right="0" w:firstLine="0"/>
        <w:jc w:val="left"/>
      </w:pPr>
      <w:bookmarkStart w:id="69" w:name="bookmark69"/>
      <w:r>
        <w:rPr>
          <w:b/>
          <w:bCs/>
          <w:color w:val="000000"/>
          <w:spacing w:val="0"/>
          <w:w w:val="100"/>
          <w:position w:val="0"/>
        </w:rPr>
        <w:t>（</w:t>
      </w:r>
      <w:bookmarkEnd w:id="69"/>
      <w:r>
        <w:rPr>
          <w:b/>
          <w:bCs/>
          <w:color w:val="000000"/>
          <w:spacing w:val="0"/>
          <w:w w:val="100"/>
          <w:position w:val="0"/>
        </w:rPr>
        <w:t>四）所属行业的发展情况及公司所处行业地位</w:t>
      </w:r>
    </w:p>
    <w:p>
      <w:pPr>
        <w:pStyle w:val="Style29"/>
        <w:keepNext w:val="0"/>
        <w:keepLines w:val="0"/>
        <w:widowControl w:val="0"/>
        <w:shd w:val="clear" w:color="auto" w:fill="auto"/>
        <w:bidi w:val="0"/>
        <w:spacing w:before="0" w:after="0"/>
        <w:ind w:left="0" w:right="0" w:firstLine="44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、行业市场现状</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随着互联网和物联网的蓬勃发展，我国数据量爆发式增长，数字经济时代加速到来，作为数字经济发 展基础的数字基础设施呈现出迅猛发展态势。数字基础设施包括以大数据中心、物联网、云计算等为代表 的数字网络基础设施。</w:t>
      </w:r>
    </w:p>
    <w:p>
      <w:pPr>
        <w:pStyle w:val="Style29"/>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日，国家发展改革委等七部门印发《关于促进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社会服务</w:t>
      </w:r>
      <w:r>
        <w:rPr>
          <w:color w:val="000000"/>
          <w:spacing w:val="0"/>
          <w:w w:val="100"/>
          <w:position w:val="0"/>
        </w:rPr>
        <w:t>''</w:t>
      </w:r>
      <w:r>
        <w:rPr>
          <w:color w:val="000000"/>
          <w:spacing w:val="0"/>
          <w:w w:val="100"/>
          <w:position w:val="0"/>
        </w:rPr>
        <w:t>发展的意见》，明确 要求加快布局新型数字基础设施，为智能化社会服务应用赋能。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日，中共中央政治局常务委员 会召开会议，研究新型冠状病毒肺炎疫情防控和稳定经济社会运行重点工作，会议强调，要加大公共卫生 服务、应急物资保障领域投入，加快</w:t>
      </w:r>
      <w:r>
        <w:rPr>
          <w:rFonts w:ascii="Times New Roman" w:eastAsia="Times New Roman" w:hAnsi="Times New Roman" w:cs="Times New Roman"/>
          <w:color w:val="000000"/>
          <w:spacing w:val="0"/>
          <w:w w:val="100"/>
          <w:position w:val="0"/>
        </w:rPr>
        <w:t>5G</w:t>
      </w:r>
      <w:r>
        <w:rPr>
          <w:color w:val="000000"/>
          <w:spacing w:val="0"/>
          <w:w w:val="100"/>
          <w:position w:val="0"/>
        </w:rPr>
        <w:t>网络、数据中心等新型基础设施建设进度。自新型冠状病毒肺炎疫 情爆发以来，我国监管部门多次强调加强线上业务服务，引导企业和居民通过互联网、手机</w:t>
      </w:r>
      <w:r>
        <w:rPr>
          <w:rFonts w:ascii="Times New Roman" w:eastAsia="Times New Roman" w:hAnsi="Times New Roman" w:cs="Times New Roman"/>
          <w:color w:val="000000"/>
          <w:spacing w:val="0"/>
          <w:w w:val="100"/>
          <w:position w:val="0"/>
        </w:rPr>
        <w:t>APP</w:t>
      </w:r>
      <w:r>
        <w:rPr>
          <w:color w:val="000000"/>
          <w:spacing w:val="0"/>
          <w:w w:val="100"/>
          <w:position w:val="0"/>
        </w:rPr>
        <w:t>等线上方 式开展在线教育、远程办公、在线问诊等行为。以通信服务、在线服务、云服务、智慧服务平台等为代表 的科技行业在这一轮疫情中得到了快速发展的机会。</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当云的业务发展到一定规模时，具有</w:t>
      </w:r>
      <w:r>
        <w:rPr>
          <w:rFonts w:ascii="Times New Roman" w:eastAsia="Times New Roman" w:hAnsi="Times New Roman" w:cs="Times New Roman"/>
          <w:color w:val="000000"/>
          <w:spacing w:val="0"/>
          <w:w w:val="100"/>
          <w:position w:val="0"/>
        </w:rPr>
        <w:t>“</w:t>
      </w:r>
      <w:r>
        <w:rPr>
          <w:color w:val="000000"/>
          <w:spacing w:val="0"/>
          <w:w w:val="100"/>
          <w:position w:val="0"/>
        </w:rPr>
        <w:t>信息传输通道</w:t>
      </w:r>
      <w:r>
        <w:rPr>
          <w:rFonts w:ascii="Times New Roman" w:eastAsia="Times New Roman" w:hAnsi="Times New Roman" w:cs="Times New Roman"/>
          <w:color w:val="000000"/>
          <w:spacing w:val="0"/>
          <w:w w:val="100"/>
          <w:position w:val="0"/>
        </w:rPr>
        <w:t>''</w:t>
      </w:r>
      <w:r>
        <w:rPr>
          <w:color w:val="000000"/>
          <w:spacing w:val="0"/>
          <w:w w:val="100"/>
          <w:position w:val="0"/>
        </w:rPr>
        <w:t>作用的</w:t>
      </w:r>
      <w:r>
        <w:rPr>
          <w:rFonts w:ascii="Times New Roman" w:eastAsia="Times New Roman" w:hAnsi="Times New Roman" w:cs="Times New Roman"/>
          <w:color w:val="000000"/>
          <w:spacing w:val="0"/>
          <w:w w:val="100"/>
          <w:position w:val="0"/>
        </w:rPr>
        <w:t>“</w:t>
      </w:r>
      <w:r>
        <w:rPr>
          <w:color w:val="000000"/>
          <w:spacing w:val="0"/>
          <w:w w:val="100"/>
          <w:position w:val="0"/>
        </w:rPr>
        <w:t>管</w:t>
      </w:r>
      <w:r>
        <w:rPr>
          <w:rFonts w:ascii="Times New Roman" w:eastAsia="Times New Roman" w:hAnsi="Times New Roman" w:cs="Times New Roman"/>
          <w:color w:val="000000"/>
          <w:spacing w:val="0"/>
          <w:w w:val="100"/>
          <w:position w:val="0"/>
        </w:rPr>
        <w:t>''</w:t>
      </w:r>
      <w:r>
        <w:rPr>
          <w:color w:val="000000"/>
          <w:spacing w:val="0"/>
          <w:w w:val="100"/>
          <w:position w:val="0"/>
        </w:rPr>
        <w:t>的业务需求逐渐显现出来。传统的信 息传输通道一</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稳定性、安全性较弱，因此帮助企业稳定传输效果、提高传输质量的虚拟专用网 逐渐发展起来。未来，随着各行业分支机构的增多，私有云、公有云连接更为广泛，数据传输的需求逐渐 提高，作为高效、安全和可管控的网络服务，虚拟专用网的优势将越来越明显，市场需求将逐步扩大。</w:t>
      </w:r>
    </w:p>
    <w:p>
      <w:pPr>
        <w:pStyle w:val="Style29"/>
        <w:keepNext w:val="0"/>
        <w:keepLines w:val="0"/>
        <w:widowControl w:val="0"/>
        <w:shd w:val="clear" w:color="auto" w:fill="auto"/>
        <w:tabs>
          <w:tab w:pos="757" w:val="left"/>
        </w:tabs>
        <w:bidi w:val="0"/>
        <w:spacing w:before="0" w:line="467" w:lineRule="exact"/>
        <w:ind w:left="0" w:right="0" w:firstLine="440"/>
        <w:jc w:val="both"/>
      </w:pPr>
      <w:bookmarkStart w:id="71" w:name="bookmark71"/>
      <w:r>
        <w:rPr>
          <w:b/>
          <w:bCs/>
          <w:color w:val="000000"/>
          <w:spacing w:val="0"/>
          <w:w w:val="100"/>
          <w:position w:val="0"/>
        </w:rPr>
        <w:t>2</w:t>
      </w:r>
      <w:bookmarkEnd w:id="71"/>
      <w:r>
        <w:rPr>
          <w:b/>
          <w:bCs/>
          <w:color w:val="000000"/>
          <w:spacing w:val="0"/>
          <w:w w:val="100"/>
          <w:position w:val="0"/>
        </w:rPr>
        <w:t>、</w:t>
        <w:tab/>
        <w:t>行业竞争格局</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在专用网络市场上，基础电信运营商和专用网络服务商的服务各具特色且各有优势，在长期发展过程 中形成了竞争与合作并存的行业竞争格局。基础电信运营商提供的专用网络以物理专用网为主，提供标准 化产品，主要面向政府、大型国企提供服务。专用网络服务商提供的专用网络以虚拟专用网为主，提供定 制化产品，主要面向企事业单位提供服务，可以提供跨运营商的网络接入，服务具有灵活度高、技术方案 个性化等特点。专用网络服务商之间的差异化竞争明显，部分服务商侧重于区域化的虚拟专用网和互联网 接入服务，能够提供跨运营商连接、覆盖全国的专用网络服务商较少，综合实力强的专业服务商能在满足 客户基本需求的基础上提供更多的增值服务。</w:t>
      </w:r>
    </w:p>
    <w:p>
      <w:pPr>
        <w:pStyle w:val="Style29"/>
        <w:keepNext w:val="0"/>
        <w:keepLines w:val="0"/>
        <w:widowControl w:val="0"/>
        <w:shd w:val="clear" w:color="auto" w:fill="auto"/>
        <w:tabs>
          <w:tab w:pos="757" w:val="left"/>
        </w:tabs>
        <w:bidi w:val="0"/>
        <w:spacing w:before="0" w:line="467" w:lineRule="exact"/>
        <w:ind w:left="0" w:right="0" w:firstLine="440"/>
        <w:jc w:val="left"/>
      </w:pPr>
      <w:bookmarkStart w:id="72" w:name="bookmark72"/>
      <w:r>
        <w:rPr>
          <w:b/>
          <w:bCs/>
          <w:color w:val="000000"/>
          <w:spacing w:val="0"/>
          <w:w w:val="100"/>
          <w:position w:val="0"/>
        </w:rPr>
        <w:t>3</w:t>
      </w:r>
      <w:bookmarkEnd w:id="72"/>
      <w:r>
        <w:rPr>
          <w:b/>
          <w:bCs/>
          <w:color w:val="000000"/>
          <w:spacing w:val="0"/>
          <w:w w:val="100"/>
          <w:position w:val="0"/>
        </w:rPr>
        <w:t>、</w:t>
        <w:tab/>
        <w:t>公司所处的行业地位</w:t>
      </w:r>
    </w:p>
    <w:p>
      <w:pPr>
        <w:pStyle w:val="Style29"/>
        <w:keepNext w:val="0"/>
        <w:keepLines w:val="0"/>
        <w:widowControl w:val="0"/>
        <w:shd w:val="clear" w:color="auto" w:fill="auto"/>
        <w:bidi w:val="0"/>
        <w:spacing w:before="0" w:after="500" w:line="494" w:lineRule="exact"/>
        <w:ind w:left="0" w:right="0" w:firstLine="440"/>
        <w:jc w:val="both"/>
      </w:pPr>
      <w:r>
        <w:rPr>
          <w:color w:val="000000"/>
          <w:spacing w:val="0"/>
          <w:w w:val="100"/>
          <w:position w:val="0"/>
        </w:rPr>
        <w:t>作为首批获得虚拟专用网服务资质的两家公司之一，公司已取得了经营国内虚拟专用网、互联网接入 等增值业务许可，持续向国内企事业客户提供专用网络服务。公司是国内少数搭建了覆盖全国主要省市的 骨干网络平台、自主研发了提供骨干网管控、接入网管控服务的核心智能系统的公司之一，公司在专用网 络服务领域位于行业前列</w:t>
      </w:r>
      <w:r>
        <w:rPr>
          <w:color w:val="000000"/>
          <w:spacing w:val="0"/>
          <w:w w:val="100"/>
          <w:position w:val="0"/>
          <w:sz w:val="20"/>
          <w:szCs w:val="20"/>
        </w:rPr>
        <w:t>。</w:t>
      </w:r>
    </w:p>
    <w:p>
      <w:pPr>
        <w:pStyle w:val="Style27"/>
        <w:keepNext/>
        <w:keepLines/>
        <w:widowControl w:val="0"/>
        <w:shd w:val="clear" w:color="auto" w:fill="auto"/>
        <w:bidi w:val="0"/>
        <w:spacing w:before="0" w:after="34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、主要资产重大变化情况</w:t>
      </w:r>
      <w:bookmarkEnd w:id="73"/>
      <w:bookmarkEnd w:id="74"/>
      <w:bookmarkEnd w:id="76"/>
    </w:p>
    <w:p>
      <w:pPr>
        <w:pStyle w:val="Style44"/>
        <w:keepNext w:val="0"/>
        <w:keepLines w:val="0"/>
        <w:widowControl w:val="0"/>
        <w:shd w:val="clear" w:color="auto" w:fill="auto"/>
        <w:bidi w:val="0"/>
        <w:spacing w:before="0" w:after="0" w:line="240" w:lineRule="auto"/>
        <w:ind w:left="101" w:right="0" w:firstLine="0"/>
        <w:jc w:val="left"/>
        <w:rPr>
          <w:sz w:val="20"/>
          <w:szCs w:val="20"/>
        </w:rPr>
      </w:pPr>
      <w:bookmarkStart w:id="77" w:name="bookmark77"/>
      <w:r>
        <w:rPr>
          <w:b/>
          <w:bCs/>
          <w:color w:val="000000"/>
          <w:spacing w:val="0"/>
          <w:w w:val="100"/>
          <w:position w:val="0"/>
          <w:sz w:val="20"/>
          <w:szCs w:val="20"/>
        </w:rPr>
        <w:t>（一）主要资产重大变化情况</w:t>
      </w:r>
      <w:bookmarkEnd w:id="7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本期末较年初增加</w:t>
            </w:r>
            <w:r>
              <w:rPr>
                <w:rFonts w:ascii="Times New Roman" w:eastAsia="Times New Roman" w:hAnsi="Times New Roman" w:cs="Times New Roman"/>
                <w:color w:val="000000"/>
                <w:spacing w:val="0"/>
                <w:w w:val="100"/>
                <w:position w:val="0"/>
                <w:sz w:val="18"/>
                <w:szCs w:val="18"/>
              </w:rPr>
              <w:t>14.56%</w:t>
            </w:r>
            <w:r>
              <w:rPr>
                <w:color w:val="000000"/>
                <w:spacing w:val="0"/>
                <w:w w:val="100"/>
                <w:position w:val="0"/>
                <w:sz w:val="17"/>
                <w:szCs w:val="17"/>
              </w:rPr>
              <w:t>，主要原因为扩大经营所需购买新固定资产。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本期末较年初增加</w:t>
            </w:r>
            <w:r>
              <w:rPr>
                <w:rFonts w:ascii="Times New Roman" w:eastAsia="Times New Roman" w:hAnsi="Times New Roman" w:cs="Times New Roman"/>
                <w:color w:val="000000"/>
                <w:spacing w:val="0"/>
                <w:w w:val="100"/>
                <w:position w:val="0"/>
                <w:sz w:val="18"/>
                <w:szCs w:val="18"/>
              </w:rPr>
              <w:t>66.35%</w:t>
            </w:r>
            <w:r>
              <w:rPr>
                <w:color w:val="000000"/>
                <w:spacing w:val="0"/>
                <w:w w:val="100"/>
                <w:position w:val="0"/>
                <w:sz w:val="17"/>
                <w:szCs w:val="17"/>
              </w:rPr>
              <w:t>，主要原因为报告期内公司新增采购系统软件所致。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未发生重大变化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本期末较年初增加</w:t>
            </w:r>
            <w:r>
              <w:rPr>
                <w:rFonts w:ascii="Times New Roman" w:eastAsia="Times New Roman" w:hAnsi="Times New Roman" w:cs="Times New Roman"/>
                <w:color w:val="000000"/>
                <w:spacing w:val="0"/>
                <w:w w:val="100"/>
                <w:position w:val="0"/>
                <w:sz w:val="18"/>
                <w:szCs w:val="18"/>
              </w:rPr>
              <w:t>635.77%</w:t>
            </w:r>
            <w:r>
              <w:rPr>
                <w:color w:val="000000"/>
                <w:spacing w:val="0"/>
                <w:w w:val="100"/>
                <w:position w:val="0"/>
                <w:sz w:val="17"/>
                <w:szCs w:val="17"/>
              </w:rPr>
              <w:t>，主要原因为公开发行股票产生的募集资金。</w:t>
            </w:r>
          </w:p>
        </w:tc>
      </w:tr>
    </w:tbl>
    <w:p>
      <w:pPr>
        <w:pStyle w:val="Style38"/>
        <w:keepNext/>
        <w:keepLines/>
        <w:widowControl w:val="0"/>
        <w:shd w:val="clear" w:color="auto" w:fill="auto"/>
        <w:bidi w:val="0"/>
        <w:spacing w:before="0" w:after="380" w:line="468" w:lineRule="exact"/>
        <w:ind w:left="0" w:right="0" w:firstLine="0"/>
        <w:jc w:val="left"/>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二）主要境外资产情况</w:t>
      </w:r>
      <w:bookmarkEnd w:id="78"/>
      <w:bookmarkEnd w:id="79"/>
      <w:bookmarkEnd w:id="81"/>
    </w:p>
    <w:p>
      <w:pPr>
        <w:pStyle w:val="Style29"/>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29"/>
        <w:keepNext w:val="0"/>
        <w:keepLines w:val="0"/>
        <w:widowControl w:val="0"/>
        <w:shd w:val="clear" w:color="auto" w:fill="auto"/>
        <w:tabs>
          <w:tab w:pos="593" w:val="left"/>
        </w:tabs>
        <w:bidi w:val="0"/>
        <w:spacing w:before="0" w:line="468" w:lineRule="exact"/>
        <w:ind w:left="0" w:right="0" w:firstLine="0"/>
        <w:jc w:val="left"/>
      </w:pPr>
      <w:bookmarkStart w:id="86" w:name="bookmark86"/>
      <w:r>
        <w:rPr>
          <w:b/>
          <w:bCs/>
          <w:color w:val="000000"/>
          <w:spacing w:val="0"/>
          <w:w w:val="100"/>
          <w:position w:val="0"/>
        </w:rPr>
        <w:t>（</w:t>
      </w:r>
      <w:bookmarkEnd w:id="86"/>
      <w:r>
        <w:rPr>
          <w:b/>
          <w:bCs/>
          <w:color w:val="000000"/>
          <w:spacing w:val="0"/>
          <w:w w:val="100"/>
          <w:position w:val="0"/>
        </w:rPr>
        <w:t>一）</w:t>
        <w:tab/>
        <w:t>骨干网络平台优势</w:t>
      </w:r>
    </w:p>
    <w:p>
      <w:pPr>
        <w:pStyle w:val="Style29"/>
        <w:keepNext w:val="0"/>
        <w:keepLines w:val="0"/>
        <w:widowControl w:val="0"/>
        <w:shd w:val="clear" w:color="auto" w:fill="auto"/>
        <w:bidi w:val="0"/>
        <w:spacing w:before="0" w:line="456" w:lineRule="exact"/>
        <w:ind w:left="0" w:right="0" w:firstLine="440"/>
        <w:jc w:val="both"/>
      </w:pPr>
      <w:r>
        <w:rPr>
          <w:color w:val="000000"/>
          <w:spacing w:val="0"/>
          <w:w w:val="100"/>
          <w:position w:val="0"/>
        </w:rPr>
        <w:t>公司依托分布在全国重要区域的接入节点，整合各项先进通信技术，构建了覆盖全国的骨干网络平台。 截至报告期末，公司在全国建成业务节点</w:t>
      </w:r>
      <w:r>
        <w:rPr>
          <w:rFonts w:ascii="Times New Roman" w:eastAsia="Times New Roman" w:hAnsi="Times New Roman" w:cs="Times New Roman"/>
          <w:color w:val="000000"/>
          <w:spacing w:val="0"/>
          <w:w w:val="100"/>
          <w:position w:val="0"/>
        </w:rPr>
        <w:t>60</w:t>
      </w:r>
      <w:r>
        <w:rPr>
          <w:color w:val="000000"/>
          <w:spacing w:val="0"/>
          <w:w w:val="100"/>
          <w:position w:val="0"/>
        </w:rPr>
        <w:t>个，涉及全国</w:t>
      </w:r>
      <w:r>
        <w:rPr>
          <w:rFonts w:ascii="Times New Roman" w:eastAsia="Times New Roman" w:hAnsi="Times New Roman" w:cs="Times New Roman"/>
          <w:color w:val="000000"/>
          <w:spacing w:val="0"/>
          <w:w w:val="100"/>
          <w:position w:val="0"/>
        </w:rPr>
        <w:t>22</w:t>
      </w:r>
      <w:r>
        <w:rPr>
          <w:color w:val="000000"/>
          <w:spacing w:val="0"/>
          <w:w w:val="100"/>
          <w:position w:val="0"/>
        </w:rPr>
        <w:t>个省、直辖市、自治区的</w:t>
      </w:r>
      <w:r>
        <w:rPr>
          <w:rFonts w:ascii="Times New Roman" w:eastAsia="Times New Roman" w:hAnsi="Times New Roman" w:cs="Times New Roman"/>
          <w:color w:val="000000"/>
          <w:spacing w:val="0"/>
          <w:w w:val="100"/>
          <w:position w:val="0"/>
        </w:rPr>
        <w:t>35</w:t>
      </w:r>
      <w:r>
        <w:rPr>
          <w:color w:val="000000"/>
          <w:spacing w:val="0"/>
          <w:w w:val="100"/>
          <w:position w:val="0"/>
        </w:rPr>
        <w:t>个城市。</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公司的骨干网络可同时支持数据、语音、视频等多业务专网连接。通过优化网络架构、使用网络运营 设备、运用动态算法，公司在网络时延、网络丢包、网络抖动、传输速率等方面保证骨干网络平台的工作 性能。</w:t>
      </w:r>
    </w:p>
    <w:p>
      <w:pPr>
        <w:pStyle w:val="Style29"/>
        <w:keepNext w:val="0"/>
        <w:keepLines w:val="0"/>
        <w:widowControl w:val="0"/>
        <w:shd w:val="clear" w:color="auto" w:fill="auto"/>
        <w:tabs>
          <w:tab w:pos="593" w:val="left"/>
        </w:tabs>
        <w:bidi w:val="0"/>
        <w:spacing w:before="0" w:line="468" w:lineRule="exact"/>
        <w:ind w:left="0" w:right="0" w:firstLine="0"/>
        <w:jc w:val="both"/>
      </w:pPr>
      <w:bookmarkStart w:id="87" w:name="bookmark87"/>
      <w:r>
        <w:rPr>
          <w:b/>
          <w:bCs/>
          <w:color w:val="000000"/>
          <w:spacing w:val="0"/>
          <w:w w:val="100"/>
          <w:position w:val="0"/>
        </w:rPr>
        <w:t>（</w:t>
      </w:r>
      <w:bookmarkEnd w:id="87"/>
      <w:r>
        <w:rPr>
          <w:b/>
          <w:bCs/>
          <w:color w:val="000000"/>
          <w:spacing w:val="0"/>
          <w:w w:val="100"/>
          <w:position w:val="0"/>
        </w:rPr>
        <w:t>二）</w:t>
        <w:tab/>
        <w:t>服务优势</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针对客户在行业、规模、组织结构上多样化的特点，公司在营销阶段就开展定制式、咨询式的售前服 务，确保能够为客户提供符合其实际需求的产品和服务。尤其在专用网络服务上，由于具体的技术方案与 客户的分支机构分布情况、各机构用网负荷情况、现有网络的逻辑架构和物理架构、具体承载业务系统的 网络要求高度相关，公司通过不断以咨询的方式为客户提供定制化、个性化的服务，力争以不断超过客户 预期的服务来提升客户满意度，提高客户粘性，从而维持较高的客户保有率。</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公司的业务团队具备较强的服务意识，能够提供较高的服务质量，保障高质量的项目实施和运营。结 合行业趋势和客户需求的变化，公司持续进行新型服务的开发，能够为客户提供更为全面的专用网络服务, 业务结构不断延伸。</w:t>
      </w:r>
    </w:p>
    <w:p>
      <w:pPr>
        <w:pStyle w:val="Style29"/>
        <w:keepNext w:val="0"/>
        <w:keepLines w:val="0"/>
        <w:widowControl w:val="0"/>
        <w:shd w:val="clear" w:color="auto" w:fill="auto"/>
        <w:tabs>
          <w:tab w:pos="593" w:val="left"/>
        </w:tabs>
        <w:bidi w:val="0"/>
        <w:spacing w:before="0" w:line="468" w:lineRule="exact"/>
        <w:ind w:left="0" w:right="0" w:firstLine="0"/>
        <w:jc w:val="left"/>
      </w:pPr>
      <w:bookmarkStart w:id="88" w:name="bookmark88"/>
      <w:r>
        <w:rPr>
          <w:b/>
          <w:bCs/>
          <w:color w:val="000000"/>
          <w:spacing w:val="0"/>
          <w:w w:val="100"/>
          <w:position w:val="0"/>
        </w:rPr>
        <w:t>（</w:t>
      </w:r>
      <w:bookmarkEnd w:id="88"/>
      <w:r>
        <w:rPr>
          <w:b/>
          <w:bCs/>
          <w:color w:val="000000"/>
          <w:spacing w:val="0"/>
          <w:w w:val="100"/>
          <w:position w:val="0"/>
        </w:rPr>
        <w:t>三）</w:t>
        <w:tab/>
        <w:t>管理运营优势</w:t>
      </w:r>
    </w:p>
    <w:p>
      <w:pPr>
        <w:pStyle w:val="Style29"/>
        <w:keepNext w:val="0"/>
        <w:keepLines w:val="0"/>
        <w:widowControl w:val="0"/>
        <w:shd w:val="clear" w:color="auto" w:fill="auto"/>
        <w:bidi w:val="0"/>
        <w:spacing w:before="0" w:line="466" w:lineRule="exact"/>
        <w:ind w:left="0" w:right="0" w:firstLine="440"/>
        <w:jc w:val="left"/>
      </w:pPr>
      <w:r>
        <w:rPr>
          <w:color w:val="000000"/>
          <w:spacing w:val="0"/>
          <w:w w:val="100"/>
          <w:position w:val="0"/>
        </w:rPr>
        <w:t>运营水平是决定专用网络服务运行质量、响应客户报障速度、控制公司整体成本费用的核心要素之一, 专用网络服务商的运营能力需要在长期的运营实践中逐渐积累，无法通过短期的学习和简单的复制而快速 获得。公司在多年的业务经营过程中，积累了丰富的运营经验，形成了成熟的运营体系和运营文化，运营 意识已经渗透于整个组织结构和管理过程。</w:t>
      </w:r>
    </w:p>
    <w:p>
      <w:pPr>
        <w:pStyle w:val="Style29"/>
        <w:keepNext w:val="0"/>
        <w:keepLines w:val="0"/>
        <w:widowControl w:val="0"/>
        <w:shd w:val="clear" w:color="auto" w:fill="auto"/>
        <w:bidi w:val="0"/>
        <w:spacing w:before="0" w:after="380" w:line="475" w:lineRule="exact"/>
        <w:ind w:left="0" w:right="0" w:firstLine="440"/>
        <w:jc w:val="left"/>
      </w:pPr>
      <w:r>
        <w:rPr>
          <w:color w:val="000000"/>
          <w:spacing w:val="0"/>
          <w:w w:val="100"/>
          <w:position w:val="0"/>
        </w:rPr>
        <w:t>公司通过了</w:t>
      </w:r>
      <w:r>
        <w:rPr>
          <w:rFonts w:ascii="Times New Roman" w:eastAsia="Times New Roman" w:hAnsi="Times New Roman" w:cs="Times New Roman"/>
          <w:color w:val="000000"/>
          <w:spacing w:val="0"/>
          <w:w w:val="100"/>
          <w:position w:val="0"/>
        </w:rPr>
        <w:t>ISO/IEC 20000-1:2011</w:t>
      </w:r>
      <w:r>
        <w:rPr>
          <w:color w:val="000000"/>
          <w:spacing w:val="0"/>
          <w:w w:val="100"/>
          <w:position w:val="0"/>
        </w:rPr>
        <w:t>标准体系认证，建立了标准化、全方位的服务管理体系，自主构建了 骨干网管控系统、智能安全接入系统，能够高效、规范、及时、可控地为客户提供相关服务。</w:t>
      </w:r>
    </w:p>
    <w:p>
      <w:pPr>
        <w:pStyle w:val="Style29"/>
        <w:keepNext w:val="0"/>
        <w:keepLines w:val="0"/>
        <w:widowControl w:val="0"/>
        <w:shd w:val="clear" w:color="auto" w:fill="auto"/>
        <w:bidi w:val="0"/>
        <w:spacing w:before="0" w:line="240" w:lineRule="auto"/>
        <w:ind w:left="0" w:right="0" w:firstLine="140"/>
        <w:jc w:val="both"/>
      </w:pPr>
      <w:bookmarkStart w:id="89" w:name="bookmark89"/>
      <w:r>
        <w:rPr>
          <w:b/>
          <w:bCs/>
          <w:color w:val="000000"/>
          <w:spacing w:val="0"/>
          <w:w w:val="100"/>
          <w:position w:val="0"/>
        </w:rPr>
        <w:t>（</w:t>
      </w:r>
      <w:bookmarkEnd w:id="89"/>
      <w:r>
        <w:rPr>
          <w:b/>
          <w:bCs/>
          <w:color w:val="000000"/>
          <w:spacing w:val="0"/>
          <w:w w:val="100"/>
          <w:position w:val="0"/>
        </w:rPr>
        <w:t>四）品牌优势</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公司通过长期优质服务积累了一大批优质企事业客户，广受其认可。首先，公司为客户提供的良好服 务使得客户保有率一直保持在较高水平，为公司业绩增长奠定了坚实基础。通过为优质客户的持续服务， 公司可以及时掌握到各个行业应用专用网络的最新趋势，促进公司掌握更多市场信息，开展对应的研发和 销售。业务规模不断扩大的优质客户，其对专用网络服务的需求也不断提升，带动公司销售额不断增长。 通过与行业代表客户的持续合作，公司树立了良好的品牌与市场影响力，形成很强的示范效应，能够为公 司带来更多的优质客户。</w:t>
      </w:r>
    </w:p>
    <w:p>
      <w:pPr>
        <w:pStyle w:val="Style29"/>
        <w:keepNext w:val="0"/>
        <w:keepLines w:val="0"/>
        <w:widowControl w:val="0"/>
        <w:shd w:val="clear" w:color="auto" w:fill="auto"/>
        <w:bidi w:val="0"/>
        <w:spacing w:before="0" w:line="468" w:lineRule="exact"/>
        <w:ind w:left="0" w:right="0" w:firstLine="0"/>
        <w:jc w:val="both"/>
      </w:pPr>
      <w:bookmarkStart w:id="90" w:name="bookmark90"/>
      <w:r>
        <w:rPr>
          <w:b/>
          <w:bCs/>
          <w:color w:val="000000"/>
          <w:spacing w:val="0"/>
          <w:w w:val="100"/>
          <w:position w:val="0"/>
        </w:rPr>
        <w:t>（</w:t>
      </w:r>
      <w:bookmarkEnd w:id="90"/>
      <w:r>
        <w:rPr>
          <w:b/>
          <w:bCs/>
          <w:color w:val="000000"/>
          <w:spacing w:val="0"/>
          <w:w w:val="100"/>
          <w:position w:val="0"/>
        </w:rPr>
        <w:t>五）研发优势</w:t>
      </w:r>
    </w:p>
    <w:p>
      <w:pPr>
        <w:pStyle w:val="Style29"/>
        <w:keepNext w:val="0"/>
        <w:keepLines w:val="0"/>
        <w:widowControl w:val="0"/>
        <w:shd w:val="clear" w:color="auto" w:fill="auto"/>
        <w:bidi w:val="0"/>
        <w:spacing w:before="0" w:line="463" w:lineRule="exact"/>
        <w:ind w:left="0" w:right="0" w:firstLine="440"/>
        <w:jc w:val="both"/>
      </w:pPr>
      <w:r>
        <w:rPr>
          <w:color w:val="000000"/>
          <w:spacing w:val="0"/>
          <w:w w:val="100"/>
          <w:position w:val="0"/>
        </w:rPr>
        <w:t>公司一直将提升研发能力作为提升公司竞争力的关键环节，并已形成完善的研发体系与研发制度。公 司以骨干网络平台的优化和维护为核心，持续关注行业技术进步和新技术的应用和发展，参照</w:t>
      </w:r>
      <w:r>
        <w:rPr>
          <w:rFonts w:ascii="Times New Roman" w:eastAsia="Times New Roman" w:hAnsi="Times New Roman" w:cs="Times New Roman"/>
          <w:color w:val="000000"/>
          <w:spacing w:val="0"/>
          <w:w w:val="100"/>
          <w:position w:val="0"/>
        </w:rPr>
        <w:t>MEF</w:t>
      </w:r>
      <w:r>
        <w:rPr>
          <w:color w:val="000000"/>
          <w:spacing w:val="0"/>
          <w:w w:val="100"/>
          <w:position w:val="0"/>
        </w:rPr>
        <w:t>等组织 的标准，在新型运营管理解决方案、网络优化和加速、安全性提升等方面进行软件与技术创新。</w:t>
      </w:r>
    </w:p>
    <w:p>
      <w:pPr>
        <w:pStyle w:val="Style29"/>
        <w:keepNext w:val="0"/>
        <w:keepLines w:val="0"/>
        <w:widowControl w:val="0"/>
        <w:shd w:val="clear" w:color="auto" w:fill="auto"/>
        <w:bidi w:val="0"/>
        <w:spacing w:before="0" w:line="466" w:lineRule="exact"/>
        <w:ind w:left="0" w:right="0" w:firstLine="440"/>
        <w:jc w:val="both"/>
        <w:sectPr>
          <w:footnotePr>
            <w:pos w:val="pageBottom"/>
            <w:numFmt w:val="decimal"/>
            <w:numRestart w:val="continuous"/>
          </w:footnotePr>
          <w:pgSz w:w="11900" w:h="16840"/>
          <w:pgMar w:top="1249" w:right="1025" w:bottom="1451" w:left="1083" w:header="0" w:footer="3" w:gutter="0"/>
          <w:cols w:space="720"/>
          <w:noEndnote/>
          <w:rtlGutter w:val="0"/>
          <w:docGrid w:linePitch="360"/>
        </w:sectPr>
      </w:pPr>
      <w:r>
        <w:rPr>
          <w:color w:val="000000"/>
          <w:spacing w:val="0"/>
          <w:w w:val="100"/>
          <w:position w:val="0"/>
        </w:rPr>
        <w:t>公司已成功应用链路负载均衡技术、自动化运维技术、自动路由选择技术、虚拟化技术、分布式存储 技术等核心技术，开发出一系列系统软件和功能应用。截至报告期末，公司拥有软件著作权共</w:t>
      </w:r>
      <w:r>
        <w:rPr>
          <w:rFonts w:ascii="Times New Roman" w:eastAsia="Times New Roman" w:hAnsi="Times New Roman" w:cs="Times New Roman"/>
          <w:color w:val="000000"/>
          <w:spacing w:val="0"/>
          <w:w w:val="100"/>
          <w:position w:val="0"/>
        </w:rPr>
        <w:t>26</w:t>
      </w:r>
      <w:r>
        <w:rPr>
          <w:color w:val="000000"/>
          <w:spacing w:val="0"/>
          <w:w w:val="100"/>
          <w:position w:val="0"/>
        </w:rPr>
        <w:t>项。</w:t>
      </w:r>
    </w:p>
    <w:p>
      <w:pPr>
        <w:pStyle w:val="Style14"/>
        <w:keepNext/>
        <w:keepLines/>
        <w:widowControl w:val="0"/>
        <w:shd w:val="clear" w:color="auto" w:fill="auto"/>
        <w:bidi w:val="0"/>
        <w:spacing w:before="680" w:after="62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7"/>
        <w:keepNext/>
        <w:keepLines/>
        <w:widowControl w:val="0"/>
        <w:shd w:val="clear" w:color="auto" w:fill="auto"/>
        <w:bidi w:val="0"/>
        <w:spacing w:before="0" w:after="14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sz w:val="24"/>
          <w:szCs w:val="24"/>
        </w:rPr>
        <w:t>一</w:t>
      </w:r>
      <w:bookmarkEnd w:id="96"/>
      <w:r>
        <w:rPr>
          <w:color w:val="000000"/>
          <w:spacing w:val="0"/>
          <w:w w:val="100"/>
          <w:position w:val="0"/>
          <w:sz w:val="24"/>
          <w:szCs w:val="24"/>
        </w:rPr>
        <w:t>、概述</w:t>
      </w:r>
      <w:bookmarkEnd w:id="94"/>
      <w:bookmarkEnd w:id="95"/>
      <w:bookmarkEnd w:id="97"/>
    </w:p>
    <w:p>
      <w:pPr>
        <w:pStyle w:val="Style29"/>
        <w:keepNext w:val="0"/>
        <w:keepLines w:val="0"/>
        <w:widowControl w:val="0"/>
        <w:shd w:val="clear" w:color="auto" w:fill="auto"/>
        <w:bidi w:val="0"/>
        <w:spacing w:before="0" w:line="46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年，新型冠状病毒肺炎疫情在全球蔓延，公司董事会和管理层面对疫情积极采取应对措施：公司 快速高效响应存量客户在信息通信方面的突发需求，进一步加强</w:t>
      </w:r>
      <w:r>
        <w:rPr>
          <w:rFonts w:ascii="Times New Roman" w:eastAsia="Times New Roman" w:hAnsi="Times New Roman" w:cs="Times New Roman"/>
          <w:color w:val="000000"/>
          <w:spacing w:val="0"/>
          <w:w w:val="100"/>
          <w:position w:val="0"/>
        </w:rPr>
        <w:t>SDN</w:t>
      </w:r>
      <w:r>
        <w:rPr>
          <w:color w:val="000000"/>
          <w:spacing w:val="0"/>
          <w:w w:val="100"/>
          <w:position w:val="0"/>
        </w:rPr>
        <w:t>技术研发、骨干网节点建设、拓展新 客户，持续扩大公司的业务规模效应，不断提高行业竞争力，持续创造盈利空间。报告期内，公司在</w:t>
      </w:r>
      <w:r>
        <w:rPr>
          <w:rFonts w:ascii="Times New Roman" w:eastAsia="Times New Roman" w:hAnsi="Times New Roman" w:cs="Times New Roman"/>
          <w:color w:val="000000"/>
          <w:spacing w:val="0"/>
          <w:w w:val="100"/>
          <w:position w:val="0"/>
        </w:rPr>
        <w:t>A</w:t>
      </w:r>
      <w:r>
        <w:rPr>
          <w:color w:val="000000"/>
          <w:spacing w:val="0"/>
          <w:w w:val="100"/>
          <w:position w:val="0"/>
        </w:rPr>
        <w:t>股 首次公开发行股票并于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日在创业板成功上市，公司正式进入新的发展阶段。</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49,503.75</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1.42%</w:t>
      </w:r>
      <w:r>
        <w:rPr>
          <w:color w:val="000000"/>
          <w:spacing w:val="0"/>
          <w:w w:val="100"/>
          <w:position w:val="0"/>
        </w:rPr>
        <w:t xml:space="preserve">，其中，增值电信业务实现收入 </w:t>
      </w:r>
      <w:r>
        <w:rPr>
          <w:rFonts w:ascii="Times New Roman" w:eastAsia="Times New Roman" w:hAnsi="Times New Roman" w:cs="Times New Roman"/>
          <w:color w:val="000000"/>
          <w:spacing w:val="0"/>
          <w:w w:val="100"/>
          <w:position w:val="0"/>
        </w:rPr>
        <w:t>43,031.78</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8.52%</w:t>
      </w:r>
      <w:r>
        <w:rPr>
          <w:color w:val="000000"/>
          <w:spacing w:val="0"/>
          <w:w w:val="100"/>
          <w:position w:val="0"/>
        </w:rPr>
        <w:t>，系统集成业务实现收入</w:t>
      </w:r>
      <w:r>
        <w:rPr>
          <w:rFonts w:ascii="Times New Roman" w:eastAsia="Times New Roman" w:hAnsi="Times New Roman" w:cs="Times New Roman"/>
          <w:color w:val="000000"/>
          <w:spacing w:val="0"/>
          <w:w w:val="100"/>
          <w:position w:val="0"/>
        </w:rPr>
        <w:t>6,189.06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39.59%</w:t>
      </w:r>
      <w:r>
        <w:rPr>
          <w:color w:val="000000"/>
          <w:spacing w:val="0"/>
          <w:w w:val="100"/>
          <w:position w:val="0"/>
        </w:rPr>
        <w:t>，其 他业务实现收入</w:t>
      </w:r>
      <w:r>
        <w:rPr>
          <w:rFonts w:ascii="Times New Roman" w:eastAsia="Times New Roman" w:hAnsi="Times New Roman" w:cs="Times New Roman"/>
          <w:color w:val="000000"/>
          <w:spacing w:val="0"/>
          <w:w w:val="100"/>
          <w:position w:val="0"/>
        </w:rPr>
        <w:t>282.92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11.86%</w:t>
      </w:r>
      <w:r>
        <w:rPr>
          <w:color w:val="000000"/>
          <w:spacing w:val="0"/>
          <w:w w:val="100"/>
          <w:position w:val="0"/>
        </w:rPr>
        <w:t>；报告期内，由于公司提供的增值电信业务属于企业 开展日常生产经营活动的基础资源，客户对公司产品及服务存在刚性需求，新冠肺炎疫情对公司专用网络 服务的影响相对较小；但报告期内，公司系统集成业务下游客户复工复产受到新冠疫情不同程度的影响， 由于系统集成业务特点决定相关业务的开展涉及大量的现场实施、安装、布线、调试等服务，公司系统集 成项目实施进度较慢，验收进度也相应有所推迟，系统集成业务收入有所下降；截至报告期末，公司研发、 市场业务开拓、合同履行等经营活动已基本恢复正常。报告期内，公司实现营业利润</w:t>
      </w:r>
      <w:r>
        <w:rPr>
          <w:rFonts w:ascii="Times New Roman" w:eastAsia="Times New Roman" w:hAnsi="Times New Roman" w:cs="Times New Roman"/>
          <w:color w:val="000000"/>
          <w:spacing w:val="0"/>
          <w:w w:val="100"/>
          <w:position w:val="0"/>
        </w:rPr>
        <w:t>8,511.58</w:t>
      </w:r>
      <w:r>
        <w:rPr>
          <w:color w:val="000000"/>
          <w:spacing w:val="0"/>
          <w:w w:val="100"/>
          <w:position w:val="0"/>
        </w:rPr>
        <w:t>万元，较上 年同期增加</w:t>
      </w:r>
      <w:r>
        <w:rPr>
          <w:rFonts w:ascii="Times New Roman" w:eastAsia="Times New Roman" w:hAnsi="Times New Roman" w:cs="Times New Roman"/>
          <w:color w:val="000000"/>
          <w:spacing w:val="0"/>
          <w:w w:val="100"/>
          <w:position w:val="0"/>
        </w:rPr>
        <w:t>5.93%</w:t>
      </w:r>
      <w:r>
        <w:rPr>
          <w:color w:val="000000"/>
          <w:spacing w:val="0"/>
          <w:w w:val="100"/>
          <w:position w:val="0"/>
        </w:rPr>
        <w:t>；实现利润总额</w:t>
      </w:r>
      <w:r>
        <w:rPr>
          <w:rFonts w:ascii="Times New Roman" w:eastAsia="Times New Roman" w:hAnsi="Times New Roman" w:cs="Times New Roman"/>
          <w:color w:val="000000"/>
          <w:spacing w:val="0"/>
          <w:w w:val="100"/>
          <w:position w:val="0"/>
        </w:rPr>
        <w:t>8,593.93</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5.34%</w:t>
      </w:r>
      <w:r>
        <w:rPr>
          <w:color w:val="000000"/>
          <w:spacing w:val="0"/>
          <w:w w:val="100"/>
          <w:position w:val="0"/>
        </w:rPr>
        <w:t>；实现归属于上市公司股东的净利 润</w:t>
      </w:r>
      <w:r>
        <w:rPr>
          <w:rFonts w:ascii="Times New Roman" w:eastAsia="Times New Roman" w:hAnsi="Times New Roman" w:cs="Times New Roman"/>
          <w:color w:val="000000"/>
          <w:spacing w:val="0"/>
          <w:w w:val="100"/>
          <w:position w:val="0"/>
        </w:rPr>
        <w:t>7,606.84</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5.80%</w:t>
      </w:r>
      <w:r>
        <w:rPr>
          <w:color w:val="000000"/>
          <w:spacing w:val="0"/>
          <w:w w:val="100"/>
          <w:position w:val="0"/>
        </w:rPr>
        <w:t>。报告期内，公司基本每股收益为</w:t>
      </w:r>
      <w:r>
        <w:rPr>
          <w:rFonts w:ascii="Times New Roman" w:eastAsia="Times New Roman" w:hAnsi="Times New Roman" w:cs="Times New Roman"/>
          <w:color w:val="000000"/>
          <w:spacing w:val="0"/>
          <w:w w:val="100"/>
          <w:position w:val="0"/>
        </w:rPr>
        <w:t>1.39</w:t>
      </w:r>
      <w:r>
        <w:rPr>
          <w:color w:val="000000"/>
          <w:spacing w:val="0"/>
          <w:w w:val="100"/>
          <w:position w:val="0"/>
        </w:rPr>
        <w:t>元，较上年同期增加</w:t>
      </w:r>
      <w:r>
        <w:rPr>
          <w:rFonts w:ascii="Times New Roman" w:eastAsia="Times New Roman" w:hAnsi="Times New Roman" w:cs="Times New Roman"/>
          <w:color w:val="000000"/>
          <w:spacing w:val="0"/>
          <w:w w:val="100"/>
          <w:position w:val="0"/>
        </w:rPr>
        <w:t>6.11%</w:t>
      </w:r>
      <w:r>
        <w:rPr>
          <w:color w:val="000000"/>
          <w:spacing w:val="0"/>
          <w:w w:val="100"/>
          <w:position w:val="0"/>
        </w:rPr>
        <w:t>。</w:t>
      </w:r>
    </w:p>
    <w:p>
      <w:pPr>
        <w:pStyle w:val="Style29"/>
        <w:keepNext w:val="0"/>
        <w:keepLines w:val="0"/>
        <w:widowControl w:val="0"/>
        <w:shd w:val="clear" w:color="auto" w:fill="auto"/>
        <w:bidi w:val="0"/>
        <w:spacing w:before="0" w:line="467" w:lineRule="exact"/>
        <w:ind w:left="0" w:right="0" w:firstLine="0"/>
        <w:jc w:val="left"/>
      </w:pPr>
      <w:r>
        <w:rPr>
          <w:color w:val="000000"/>
          <w:spacing w:val="0"/>
          <w:w w:val="100"/>
          <w:position w:val="0"/>
        </w:rPr>
        <w:t>报告期内，公司主要工作如下：</w:t>
      </w:r>
    </w:p>
    <w:p>
      <w:pPr>
        <w:pStyle w:val="Style29"/>
        <w:keepNext w:val="0"/>
        <w:keepLines w:val="0"/>
        <w:widowControl w:val="0"/>
        <w:shd w:val="clear" w:color="auto" w:fill="auto"/>
        <w:bidi w:val="0"/>
        <w:spacing w:before="0" w:line="467" w:lineRule="exact"/>
        <w:ind w:left="0" w:right="0" w:firstLine="0"/>
        <w:jc w:val="left"/>
      </w:pPr>
      <w:bookmarkStart w:id="98" w:name="bookmark98"/>
      <w:r>
        <w:rPr>
          <w:b/>
          <w:bCs/>
          <w:color w:val="000000"/>
          <w:spacing w:val="0"/>
          <w:w w:val="100"/>
          <w:position w:val="0"/>
        </w:rPr>
        <w:t>（</w:t>
      </w:r>
      <w:bookmarkEnd w:id="98"/>
      <w:r>
        <w:rPr>
          <w:b/>
          <w:bCs/>
          <w:color w:val="000000"/>
          <w:spacing w:val="0"/>
          <w:w w:val="100"/>
          <w:position w:val="0"/>
        </w:rPr>
        <w:t>一）加大</w:t>
      </w:r>
      <w:r>
        <w:rPr>
          <w:rFonts w:ascii="Times New Roman" w:eastAsia="Times New Roman" w:hAnsi="Times New Roman" w:cs="Times New Roman"/>
          <w:b/>
          <w:bCs/>
          <w:color w:val="000000"/>
          <w:spacing w:val="0"/>
          <w:w w:val="100"/>
          <w:position w:val="0"/>
        </w:rPr>
        <w:t>SDN</w:t>
      </w:r>
      <w:r>
        <w:rPr>
          <w:b/>
          <w:bCs/>
          <w:color w:val="000000"/>
          <w:spacing w:val="0"/>
          <w:w w:val="100"/>
          <w:position w:val="0"/>
        </w:rPr>
        <w:t>、</w:t>
      </w:r>
      <w:r>
        <w:rPr>
          <w:rFonts w:ascii="Times New Roman" w:eastAsia="Times New Roman" w:hAnsi="Times New Roman" w:cs="Times New Roman"/>
          <w:b/>
          <w:bCs/>
          <w:color w:val="000000"/>
          <w:spacing w:val="0"/>
          <w:w w:val="100"/>
          <w:position w:val="0"/>
        </w:rPr>
        <w:t>SD-WAN</w:t>
      </w:r>
      <w:r>
        <w:rPr>
          <w:b/>
          <w:bCs/>
          <w:color w:val="000000"/>
          <w:spacing w:val="0"/>
          <w:w w:val="100"/>
          <w:position w:val="0"/>
        </w:rPr>
        <w:t>等重点研发方向的投入，提升公司技术服务能力</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公司紧跟网络通信技术发展，已将</w:t>
      </w:r>
      <w:r>
        <w:rPr>
          <w:rFonts w:ascii="Times New Roman" w:eastAsia="Times New Roman" w:hAnsi="Times New Roman" w:cs="Times New Roman"/>
          <w:color w:val="000000"/>
          <w:spacing w:val="0"/>
          <w:w w:val="100"/>
          <w:position w:val="0"/>
        </w:rPr>
        <w:t>SDN</w:t>
      </w:r>
      <w:r>
        <w:rPr>
          <w:color w:val="000000"/>
          <w:spacing w:val="0"/>
          <w:w w:val="100"/>
          <w:position w:val="0"/>
        </w:rPr>
        <w:t>（软件定义网络）技术作为公司专用网络技术的重点研发方向， 于</w:t>
      </w:r>
      <w:r>
        <w:rPr>
          <w:rFonts w:ascii="Times New Roman" w:eastAsia="Times New Roman" w:hAnsi="Times New Roman" w:cs="Times New Roman"/>
          <w:color w:val="000000"/>
          <w:spacing w:val="0"/>
          <w:w w:val="100"/>
          <w:position w:val="0"/>
        </w:rPr>
        <w:t>2018</w:t>
      </w:r>
      <w:r>
        <w:rPr>
          <w:color w:val="000000"/>
          <w:spacing w:val="0"/>
          <w:w w:val="100"/>
          <w:position w:val="0"/>
        </w:rPr>
        <w:t>年成功推出</w:t>
      </w:r>
      <w:r>
        <w:rPr>
          <w:rFonts w:ascii="Times New Roman" w:eastAsia="Times New Roman" w:hAnsi="Times New Roman" w:cs="Times New Roman"/>
          <w:color w:val="000000"/>
          <w:spacing w:val="0"/>
          <w:w w:val="100"/>
          <w:position w:val="0"/>
        </w:rPr>
        <w:t>S D-WAN</w:t>
      </w:r>
      <w:r>
        <w:rPr>
          <w:color w:val="000000"/>
          <w:spacing w:val="0"/>
          <w:w w:val="100"/>
          <w:position w:val="0"/>
        </w:rPr>
        <w:t>产品，于</w:t>
      </w:r>
      <w:r>
        <w:rPr>
          <w:rFonts w:ascii="Times New Roman" w:eastAsia="Times New Roman" w:hAnsi="Times New Roman" w:cs="Times New Roman"/>
          <w:color w:val="000000"/>
          <w:spacing w:val="0"/>
          <w:w w:val="100"/>
          <w:position w:val="0"/>
        </w:rPr>
        <w:t>2019</w:t>
      </w:r>
      <w:r>
        <w:rPr>
          <w:color w:val="000000"/>
          <w:spacing w:val="0"/>
          <w:w w:val="100"/>
          <w:position w:val="0"/>
        </w:rPr>
        <w:t>年成为国内首批获得由</w:t>
      </w:r>
      <w:r>
        <w:rPr>
          <w:rFonts w:ascii="Times New Roman" w:eastAsia="Times New Roman" w:hAnsi="Times New Roman" w:cs="Times New Roman"/>
          <w:color w:val="000000"/>
          <w:spacing w:val="0"/>
          <w:w w:val="100"/>
          <w:position w:val="0"/>
        </w:rPr>
        <w:t>S DN/NFV/A</w:t>
      </w:r>
      <w:r>
        <w:rPr>
          <w:rFonts w:ascii="Times New Roman" w:eastAsia="Times New Roman" w:hAnsi="Times New Roman" w:cs="Times New Roman"/>
          <w:color w:val="000000"/>
          <w:spacing w:val="0"/>
          <w:w w:val="100"/>
          <w:position w:val="0"/>
        </w:rPr>
        <w:t>I</w:t>
      </w:r>
      <w:r>
        <w:rPr>
          <w:color w:val="000000"/>
          <w:spacing w:val="0"/>
          <w:w w:val="100"/>
          <w:position w:val="0"/>
        </w:rPr>
        <w:t>标准与产业推进委员会颁发 的</w:t>
      </w:r>
      <w:r>
        <w:rPr>
          <w:rFonts w:ascii="Times New Roman" w:eastAsia="Times New Roman" w:hAnsi="Times New Roman" w:cs="Times New Roman"/>
          <w:color w:val="000000"/>
          <w:spacing w:val="0"/>
          <w:w w:val="100"/>
          <w:position w:val="0"/>
        </w:rPr>
        <w:t>S D-WAN Ready</w:t>
      </w:r>
      <w:r>
        <w:rPr>
          <w:color w:val="000000"/>
          <w:spacing w:val="0"/>
          <w:w w:val="100"/>
          <w:position w:val="0"/>
        </w:rPr>
        <w:t>证书的专网服务商；报告期内，公司在保持较高的研发投入力度的基础上，着重加大</w:t>
      </w:r>
      <w:r>
        <w:rPr>
          <w:rFonts w:ascii="Times New Roman" w:eastAsia="Times New Roman" w:hAnsi="Times New Roman" w:cs="Times New Roman"/>
          <w:color w:val="000000"/>
          <w:spacing w:val="0"/>
          <w:w w:val="100"/>
          <w:position w:val="0"/>
        </w:rPr>
        <w:t xml:space="preserve">SDN </w:t>
      </w:r>
      <w:r>
        <w:rPr>
          <w:color w:val="000000"/>
          <w:spacing w:val="0"/>
          <w:w w:val="100"/>
          <w:position w:val="0"/>
        </w:rPr>
        <w:t>技术在应用层面的投入，围绕客户典型应用场景，加强虚拟技术与客户应用场景的衔接，通过</w:t>
      </w:r>
      <w:r>
        <w:rPr>
          <w:rFonts w:ascii="Times New Roman" w:eastAsia="Times New Roman" w:hAnsi="Times New Roman" w:cs="Times New Roman"/>
          <w:color w:val="000000"/>
          <w:spacing w:val="0"/>
          <w:w w:val="100"/>
          <w:position w:val="0"/>
        </w:rPr>
        <w:t>SD-WAN</w:t>
      </w:r>
      <w:r>
        <w:rPr>
          <w:color w:val="000000"/>
          <w:spacing w:val="0"/>
          <w:w w:val="100"/>
          <w:position w:val="0"/>
        </w:rPr>
        <w:t>服 务产品的迭代升级，推动客户在云计算和传输网络技术架构的变革，实现客户网络流量的可视化、便捷调 度，切实提升客户云业务效率；通过</w:t>
      </w:r>
      <w:r>
        <w:rPr>
          <w:rFonts w:ascii="Times New Roman" w:eastAsia="Times New Roman" w:hAnsi="Times New Roman" w:cs="Times New Roman"/>
          <w:color w:val="000000"/>
          <w:spacing w:val="0"/>
          <w:w w:val="100"/>
          <w:position w:val="0"/>
        </w:rPr>
        <w:t>SDN</w:t>
      </w:r>
      <w:r>
        <w:rPr>
          <w:color w:val="000000"/>
          <w:spacing w:val="0"/>
          <w:w w:val="100"/>
          <w:position w:val="0"/>
        </w:rPr>
        <w:t>技术在应用层面上投入，公司有效提升了技术服务能力，并于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月获得由</w:t>
      </w:r>
      <w:r>
        <w:rPr>
          <w:rFonts w:ascii="Times New Roman" w:eastAsia="Times New Roman" w:hAnsi="Times New Roman" w:cs="Times New Roman"/>
          <w:color w:val="000000"/>
          <w:spacing w:val="0"/>
          <w:w w:val="100"/>
          <w:position w:val="0"/>
        </w:rPr>
        <w:t>SDN/NFV/AI</w:t>
      </w:r>
      <w:r>
        <w:rPr>
          <w:color w:val="000000"/>
          <w:spacing w:val="0"/>
          <w:w w:val="100"/>
          <w:position w:val="0"/>
        </w:rPr>
        <w:t>标准与产业推进委员会颁发的</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SD-WAN</w:t>
      </w:r>
      <w:r>
        <w:rPr>
          <w:color w:val="000000"/>
          <w:spacing w:val="0"/>
          <w:w w:val="100"/>
          <w:position w:val="0"/>
        </w:rPr>
        <w:t>项目优秀服务奖</w:t>
      </w:r>
      <w:r>
        <w:rPr>
          <w:rFonts w:ascii="Times New Roman" w:eastAsia="Times New Roman" w:hAnsi="Times New Roman" w:cs="Times New Roman"/>
          <w:color w:val="000000"/>
          <w:spacing w:val="0"/>
          <w:w w:val="100"/>
          <w:position w:val="0"/>
        </w:rPr>
        <w:t>”</w:t>
      </w:r>
      <w:r>
        <w:rPr>
          <w:color w:val="000000"/>
          <w:spacing w:val="0"/>
          <w:w w:val="100"/>
          <w:position w:val="0"/>
        </w:rPr>
        <w:t>。同时，在 报告期内，公司受邀参与国内首部</w:t>
      </w:r>
      <w:r>
        <w:rPr>
          <w:color w:val="000000"/>
          <w:spacing w:val="0"/>
          <w:w w:val="100"/>
          <w:position w:val="0"/>
        </w:rPr>
        <w:t>《</w:t>
      </w:r>
      <w:r>
        <w:rPr>
          <w:rFonts w:ascii="Times New Roman" w:eastAsia="Times New Roman" w:hAnsi="Times New Roman" w:cs="Times New Roman"/>
          <w:color w:val="000000"/>
          <w:spacing w:val="0"/>
          <w:w w:val="100"/>
          <w:position w:val="0"/>
        </w:rPr>
        <w:t>SD-WAN</w:t>
      </w:r>
      <w:r>
        <w:rPr>
          <w:color w:val="000000"/>
          <w:spacing w:val="0"/>
          <w:w w:val="100"/>
          <w:position w:val="0"/>
        </w:rPr>
        <w:t xml:space="preserve">全球技术与产业发展》白皮书的编写工作，该白皮书由中国 </w:t>
      </w:r>
      <w:r>
        <w:rPr>
          <w:color w:val="000000"/>
          <w:spacing w:val="0"/>
          <w:w w:val="100"/>
          <w:position w:val="0"/>
        </w:rPr>
        <w:t>通信标准化协会的</w:t>
      </w:r>
      <w:r>
        <w:rPr>
          <w:rFonts w:ascii="Times New Roman" w:eastAsia="Times New Roman" w:hAnsi="Times New Roman" w:cs="Times New Roman"/>
          <w:color w:val="000000"/>
          <w:spacing w:val="0"/>
          <w:w w:val="100"/>
          <w:position w:val="0"/>
        </w:rPr>
        <w:t>TC610WG4</w:t>
      </w:r>
      <w:r>
        <w:rPr>
          <w:color w:val="000000"/>
          <w:spacing w:val="0"/>
          <w:w w:val="100"/>
          <w:position w:val="0"/>
        </w:rPr>
        <w:t>工作组组织编写，并于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月正式发布。</w:t>
      </w:r>
    </w:p>
    <w:p>
      <w:pPr>
        <w:pStyle w:val="Style29"/>
        <w:keepNext w:val="0"/>
        <w:keepLines w:val="0"/>
        <w:widowControl w:val="0"/>
        <w:shd w:val="clear" w:color="auto" w:fill="auto"/>
        <w:bidi w:val="0"/>
        <w:spacing w:before="0" w:line="469" w:lineRule="exact"/>
        <w:ind w:left="0" w:right="0" w:firstLine="460"/>
        <w:jc w:val="both"/>
      </w:pPr>
      <w:r>
        <w:rPr>
          <w:color w:val="000000"/>
          <w:spacing w:val="0"/>
          <w:w w:val="100"/>
          <w:position w:val="0"/>
        </w:rPr>
        <w:t>报告期内，公司积极推出新产品与解决方案，扩大业务覆盖范围。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月，公司发布南凌云灾备 服务型产品；同年，公司南凌云灾备系统、南凌云计算平台获得由公安部批准的信息系统等级保护备案证 明。南凌云灾备服务是公司向云网融合业务拓展的一项重要产品，使得公司业务向云计算领域延伸，增加 客户的粘性，为公司实现更大的经济效益。</w:t>
      </w:r>
    </w:p>
    <w:p>
      <w:pPr>
        <w:pStyle w:val="Style29"/>
        <w:keepNext w:val="0"/>
        <w:keepLines w:val="0"/>
        <w:widowControl w:val="0"/>
        <w:shd w:val="clear" w:color="auto" w:fill="auto"/>
        <w:tabs>
          <w:tab w:pos="556" w:val="left"/>
        </w:tabs>
        <w:bidi w:val="0"/>
        <w:spacing w:before="0" w:line="469" w:lineRule="exact"/>
        <w:ind w:left="0" w:right="0" w:firstLine="0"/>
        <w:jc w:val="left"/>
      </w:pPr>
      <w:bookmarkStart w:id="99" w:name="bookmark99"/>
      <w:r>
        <w:rPr>
          <w:b/>
          <w:bCs/>
          <w:color w:val="000000"/>
          <w:spacing w:val="0"/>
          <w:w w:val="100"/>
          <w:position w:val="0"/>
        </w:rPr>
        <w:t>（</w:t>
      </w:r>
      <w:bookmarkEnd w:id="99"/>
      <w:r>
        <w:rPr>
          <w:b/>
          <w:bCs/>
          <w:color w:val="000000"/>
          <w:spacing w:val="0"/>
          <w:w w:val="100"/>
          <w:position w:val="0"/>
        </w:rPr>
        <w:t>二）</w:t>
        <w:tab/>
        <w:t>持续优化骨干网架构和网络服务能力，积极拓展新客户</w:t>
      </w:r>
    </w:p>
    <w:p>
      <w:pPr>
        <w:pStyle w:val="Style29"/>
        <w:keepNext w:val="0"/>
        <w:keepLines w:val="0"/>
        <w:widowControl w:val="0"/>
        <w:shd w:val="clear" w:color="auto" w:fill="auto"/>
        <w:bidi w:val="0"/>
        <w:spacing w:before="0" w:line="461" w:lineRule="exact"/>
        <w:ind w:left="0" w:right="0" w:firstLine="460"/>
        <w:jc w:val="both"/>
      </w:pPr>
      <w:r>
        <w:rPr>
          <w:color w:val="000000"/>
          <w:spacing w:val="0"/>
          <w:w w:val="100"/>
          <w:position w:val="0"/>
        </w:rPr>
        <w:t>报告期内，公司从自动开通、智能容量感知、智能流量调度等方面持续优化骨干网架构和网络服务能 力，规划和部署了强大的网络管理平台，不仅可以为客户平滑扩展网络容量，满足节点扩容的需求，还可 以实现端到端的客户服务管理，满足客户对网络服务多样化的需求，实现具备</w:t>
      </w:r>
      <w:r>
        <w:rPr>
          <w:rFonts w:ascii="Times New Roman" w:eastAsia="Times New Roman" w:hAnsi="Times New Roman" w:cs="Times New Roman"/>
          <w:color w:val="000000"/>
          <w:spacing w:val="0"/>
          <w:w w:val="100"/>
          <w:position w:val="0"/>
        </w:rPr>
        <w:t>SLA</w:t>
      </w:r>
      <w:r>
        <w:rPr>
          <w:color w:val="000000"/>
          <w:spacing w:val="0"/>
          <w:w w:val="100"/>
          <w:position w:val="0"/>
        </w:rPr>
        <w:t>保障的服务体系。</w:t>
      </w:r>
    </w:p>
    <w:p>
      <w:pPr>
        <w:pStyle w:val="Style29"/>
        <w:keepNext w:val="0"/>
        <w:keepLines w:val="0"/>
        <w:widowControl w:val="0"/>
        <w:shd w:val="clear" w:color="auto" w:fill="auto"/>
        <w:bidi w:val="0"/>
        <w:spacing w:before="0" w:line="467" w:lineRule="exact"/>
        <w:ind w:left="0" w:right="0" w:firstLine="460"/>
        <w:jc w:val="both"/>
      </w:pPr>
      <w:r>
        <w:rPr>
          <w:color w:val="000000"/>
          <w:spacing w:val="0"/>
          <w:w w:val="100"/>
          <w:position w:val="0"/>
        </w:rPr>
        <w:t>报告期内，南凌科技凭借技术、服务、市场等方面的领先优势，继续在金融、房地产、制造、零售餐 饮、能源等行业开拓知名企业客户，为公司业绩增长奠定了坚实基础。此外，通过为不同行业的优质客户 的持续服务，公司及时掌握到各个行业应用专用网络的最新趋势，促进公司在</w:t>
      </w:r>
      <w:r>
        <w:rPr>
          <w:rFonts w:ascii="Times New Roman" w:eastAsia="Times New Roman" w:hAnsi="Times New Roman" w:cs="Times New Roman"/>
          <w:color w:val="000000"/>
          <w:spacing w:val="0"/>
          <w:w w:val="100"/>
          <w:position w:val="0"/>
        </w:rPr>
        <w:t>“</w:t>
      </w:r>
      <w:r>
        <w:rPr>
          <w:color w:val="000000"/>
          <w:spacing w:val="0"/>
          <w:w w:val="100"/>
          <w:position w:val="0"/>
        </w:rPr>
        <w:t>网络</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方面的投入， 开展具有针对性的研发和销售，为公司的持续快速发展提供动力。</w:t>
      </w:r>
    </w:p>
    <w:p>
      <w:pPr>
        <w:pStyle w:val="Style29"/>
        <w:keepNext w:val="0"/>
        <w:keepLines w:val="0"/>
        <w:widowControl w:val="0"/>
        <w:shd w:val="clear" w:color="auto" w:fill="auto"/>
        <w:tabs>
          <w:tab w:pos="556" w:val="left"/>
        </w:tabs>
        <w:bidi w:val="0"/>
        <w:spacing w:before="0" w:line="469" w:lineRule="exact"/>
        <w:ind w:left="0" w:right="0" w:firstLine="0"/>
        <w:jc w:val="left"/>
      </w:pPr>
      <w:bookmarkStart w:id="100" w:name="bookmark100"/>
      <w:r>
        <w:rPr>
          <w:b/>
          <w:bCs/>
          <w:color w:val="000000"/>
          <w:spacing w:val="0"/>
          <w:w w:val="100"/>
          <w:position w:val="0"/>
        </w:rPr>
        <w:t>（</w:t>
      </w:r>
      <w:bookmarkEnd w:id="100"/>
      <w:r>
        <w:rPr>
          <w:b/>
          <w:bCs/>
          <w:color w:val="000000"/>
          <w:spacing w:val="0"/>
          <w:w w:val="100"/>
          <w:position w:val="0"/>
        </w:rPr>
        <w:t>三）</w:t>
        <w:tab/>
        <w:t>积极应对疫情，勇担公司的社会责任，进一步提升客户满意度</w:t>
      </w:r>
    </w:p>
    <w:p>
      <w:pPr>
        <w:pStyle w:val="Style29"/>
        <w:keepNext w:val="0"/>
        <w:keepLines w:val="0"/>
        <w:widowControl w:val="0"/>
        <w:shd w:val="clear" w:color="auto" w:fill="auto"/>
        <w:bidi w:val="0"/>
        <w:spacing w:before="0" w:after="440" w:line="482" w:lineRule="exact"/>
        <w:ind w:left="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年上半年，新冠疫情相继在国内和海外爆发，面对疫情带来的挑战，为了保障公司自身业务的顺 利进展和公司服务的各行业客户的业务不受影响，公司董事会与管理层迅速决策，勇担社会责任，迅速响 应特殊时期客户的业务和应用变化的需求，为客户远程复工提供安全的保障与助力。自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月起，公 司相继推出免费的凌网</w:t>
      </w:r>
      <w:r>
        <w:rPr>
          <w:rFonts w:ascii="Times New Roman" w:eastAsia="Times New Roman" w:hAnsi="Times New Roman" w:cs="Times New Roman"/>
          <w:color w:val="000000"/>
          <w:spacing w:val="0"/>
          <w:w w:val="100"/>
          <w:position w:val="0"/>
        </w:rPr>
        <w:t>SSL VPN</w:t>
      </w:r>
      <w:r>
        <w:rPr>
          <w:color w:val="000000"/>
          <w:spacing w:val="0"/>
          <w:w w:val="100"/>
          <w:position w:val="0"/>
        </w:rPr>
        <w:t>连接服务、凌聚云视频服务、凌网</w:t>
      </w:r>
      <w:r>
        <w:rPr>
          <w:rFonts w:ascii="Times New Roman" w:eastAsia="Times New Roman" w:hAnsi="Times New Roman" w:cs="Times New Roman"/>
          <w:color w:val="000000"/>
          <w:spacing w:val="0"/>
          <w:w w:val="100"/>
          <w:position w:val="0"/>
        </w:rPr>
        <w:t>SD-WAN</w:t>
      </w:r>
      <w:r>
        <w:rPr>
          <w:color w:val="000000"/>
          <w:spacing w:val="0"/>
          <w:w w:val="100"/>
          <w:position w:val="0"/>
        </w:rPr>
        <w:t>软件连接服务。在全国上下一 心抗击疫情的战役里，借助公司的云网资源的优势，全力助力企业在线复工复产，为企业内部沟通协作， 业务快速稳定开展保驾护航。同时，针对老客户提供弹性扩容、费用减免、免费技术服务等优惠措施，与 老客户携手共度疫情难关</w:t>
      </w:r>
      <w:r>
        <w:rPr>
          <w:color w:val="000000"/>
          <w:spacing w:val="0"/>
          <w:w w:val="100"/>
          <w:position w:val="0"/>
          <w:sz w:val="20"/>
          <w:szCs w:val="20"/>
        </w:rPr>
        <w:t>。</w:t>
      </w:r>
    </w:p>
    <w:p>
      <w:pPr>
        <w:pStyle w:val="Style27"/>
        <w:keepNext/>
        <w:keepLines/>
        <w:widowControl w:val="0"/>
        <w:shd w:val="clear" w:color="auto" w:fill="auto"/>
        <w:bidi w:val="0"/>
        <w:spacing w:before="0" w:after="14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二</w:t>
      </w:r>
      <w:bookmarkEnd w:id="103"/>
      <w:r>
        <w:rPr>
          <w:color w:val="000000"/>
          <w:spacing w:val="0"/>
          <w:w w:val="100"/>
          <w:position w:val="0"/>
          <w:sz w:val="24"/>
          <w:szCs w:val="24"/>
        </w:rPr>
        <w:t>、主营业务分析</w:t>
      </w:r>
      <w:bookmarkEnd w:id="101"/>
      <w:bookmarkEnd w:id="102"/>
      <w:bookmarkEnd w:id="104"/>
    </w:p>
    <w:p>
      <w:pPr>
        <w:pStyle w:val="Style38"/>
        <w:keepNext/>
        <w:keepLines/>
        <w:widowControl w:val="0"/>
        <w:shd w:val="clear" w:color="auto" w:fill="auto"/>
        <w:bidi w:val="0"/>
        <w:spacing w:before="0" w:after="140" w:line="469"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一）概述</w:t>
      </w:r>
      <w:bookmarkEnd w:id="105"/>
      <w:bookmarkEnd w:id="106"/>
      <w:bookmarkEnd w:id="108"/>
    </w:p>
    <w:p>
      <w:pPr>
        <w:pStyle w:val="Style29"/>
        <w:keepNext w:val="0"/>
        <w:keepLines w:val="0"/>
        <w:widowControl w:val="0"/>
        <w:shd w:val="clear" w:color="auto" w:fill="auto"/>
        <w:bidi w:val="0"/>
        <w:spacing w:before="0" w:line="469"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r>
        <w:br w:type="page"/>
      </w:r>
    </w:p>
    <w:p>
      <w:pPr>
        <w:pStyle w:val="Style38"/>
        <w:keepNext/>
        <w:keepLines/>
        <w:widowControl w:val="0"/>
        <w:shd w:val="clear" w:color="auto" w:fill="auto"/>
        <w:bidi w:val="0"/>
        <w:spacing w:before="0" w:after="40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二）收入与成本</w:t>
      </w:r>
      <w:bookmarkEnd w:id="109"/>
      <w:bookmarkEnd w:id="110"/>
      <w:bookmarkEnd w:id="112"/>
    </w:p>
    <w:p>
      <w:pPr>
        <w:pStyle w:val="Style47"/>
        <w:keepNext/>
        <w:keepLines/>
        <w:widowControl w:val="0"/>
        <w:shd w:val="clear" w:color="auto" w:fill="auto"/>
        <w:bidi w:val="0"/>
        <w:spacing w:before="0" w:after="36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、营业收入构成</w:t>
      </w:r>
      <w:bookmarkEnd w:id="113"/>
      <w:bookmarkEnd w:id="114"/>
      <w:bookmarkEnd w:id="116"/>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营业收入整体情况</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495,037,518.78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502,177,650.65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互联网及信息服务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492,208,322.65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498,967,754.72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2,829,196.13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3,209,895.93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430,317,764.55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396,522,465.91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61,890,558.10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102,445,288.81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2,829,196.13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3,209,895.93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183,446,776.72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198,513,911.39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180,843,927.35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161,743,285.89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95,972,300.02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105,489,743.48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8,098,798.27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11,170,235.51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26,675,716.42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25,260,474.38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bl>
    <w:p>
      <w:pPr>
        <w:pStyle w:val="Style29"/>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 披露要求</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33"/>
        <w:gridCol w:w="1027"/>
        <w:gridCol w:w="1032"/>
        <w:gridCol w:w="1027"/>
        <w:gridCol w:w="1027"/>
        <w:gridCol w:w="1099"/>
        <w:gridCol w:w="1099"/>
        <w:gridCol w:w="1094"/>
        <w:gridCol w:w="1109"/>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第四季度</w:t>
            </w:r>
          </w:p>
        </w:tc>
      </w:tr>
      <w:tr>
        <w:trPr>
          <w:trHeight w:val="33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116,663,94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125,296,70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119,857,99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133,218,87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132,646,64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148,534,71</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9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归属于上市 公司股东的 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21,100,596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19,961,926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13,709,279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21,296,582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15,319,899.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15,946,851.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22,982,878.</w:t>
            </w:r>
          </w:p>
        </w:tc>
      </w:tr>
      <w:tr>
        <w:trPr>
          <w:trHeight w:val="46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widowControl w:val="0"/>
        <w:spacing w:after="49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说明经营季节性（或周期性）发生的原因及波动风险</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47"/>
        <w:keepNext/>
        <w:keepLines/>
        <w:widowControl w:val="0"/>
        <w:shd w:val="clear" w:color="auto" w:fill="auto"/>
        <w:bidi w:val="0"/>
        <w:spacing w:before="0" w:after="36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7"/>
      <w:bookmarkEnd w:id="118"/>
      <w:bookmarkEnd w:id="12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78"/>
        <w:gridCol w:w="1373"/>
        <w:gridCol w:w="1378"/>
        <w:gridCol w:w="1378"/>
        <w:gridCol w:w="1373"/>
        <w:gridCol w:w="1387"/>
      </w:tblGrid>
      <w:tr>
        <w:trPr>
          <w:trHeight w:val="7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322"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116,955,876.52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76,715,248.89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批发和零售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85,481,005.93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47,709,758.91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7"/>
                <w:szCs w:val="17"/>
              </w:rPr>
              <w:t>金融业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84,357,970.77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59,552,960.14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9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7"/>
                <w:szCs w:val="17"/>
              </w:rPr>
              <w:t>信息传输、软 件和信息技术 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53,487,333.37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33,408,855.32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K</w:t>
            </w:r>
            <w:r>
              <w:rPr>
                <w:color w:val="000000"/>
                <w:spacing w:val="0"/>
                <w:w w:val="100"/>
                <w:position w:val="0"/>
                <w:sz w:val="17"/>
                <w:szCs w:val="17"/>
              </w:rPr>
              <w:t>房地产业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45,384,694.27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29,729,829.91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106,541,441.79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60,014,936.01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22"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430,317,764.55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255,763,276.50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61,890,558.10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51,368,312.68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r>
      <w:tr>
        <w:trPr>
          <w:trHeight w:val="326"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183,446,776.72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118,497,707.03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178,014,731.22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100,463,433.93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95,972,300.02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68,198,411.55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8,098,798.27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4,534,568.52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26,675,716.42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15,437,468.15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-2.28%</w:t>
            </w:r>
          </w:p>
        </w:tc>
      </w:tr>
    </w:tbl>
    <w:p>
      <w:pPr>
        <w:widowControl w:val="0"/>
        <w:spacing w:after="259" w:line="1" w:lineRule="exact"/>
      </w:pPr>
    </w:p>
    <w:p>
      <w:pPr>
        <w:pStyle w:val="Style2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公司主营业务数据统计口径在报告期发生调整的情况下，公司最近</w:t>
      </w:r>
      <w:r>
        <w:rPr>
          <w:rFonts w:ascii="Times New Roman" w:eastAsia="Times New Roman" w:hAnsi="Times New Roman" w:cs="Times New Roman"/>
          <w:b/>
          <w:bCs/>
          <w:color w:val="000000"/>
          <w:spacing w:val="0"/>
          <w:w w:val="100"/>
          <w:position w:val="0"/>
        </w:rPr>
        <w:t>1</w:t>
      </w:r>
      <w:r>
        <w:rPr>
          <w:b/>
          <w:bCs/>
          <w:color w:val="000000"/>
          <w:spacing w:val="0"/>
          <w:w w:val="100"/>
          <w:position w:val="0"/>
        </w:rPr>
        <w:t>年按报告期末口径调整后的主营业务</w:t>
      </w: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数据</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keepLines/>
        <w:widowControl w:val="0"/>
        <w:shd w:val="clear" w:color="auto" w:fill="auto"/>
        <w:tabs>
          <w:tab w:pos="378" w:val="left"/>
        </w:tabs>
        <w:bidi w:val="0"/>
        <w:spacing w:before="0" w:after="36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3</w:t>
      </w:r>
      <w:bookmarkEnd w:id="123"/>
      <w:r>
        <w:rPr>
          <w:color w:val="000000"/>
          <w:spacing w:val="0"/>
          <w:w w:val="100"/>
          <w:position w:val="0"/>
        </w:rPr>
        <w:t>、</w:t>
        <w:tab/>
        <w:t>公司实物销售收入是否大于劳务收入</w:t>
      </w:r>
      <w:bookmarkEnd w:id="121"/>
      <w:bookmarkEnd w:id="122"/>
      <w:bookmarkEnd w:id="12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7"/>
        <w:keepNext/>
        <w:keepLines/>
        <w:widowControl w:val="0"/>
        <w:shd w:val="clear" w:color="auto" w:fill="auto"/>
        <w:tabs>
          <w:tab w:pos="378" w:val="left"/>
        </w:tabs>
        <w:bidi w:val="0"/>
        <w:spacing w:before="0" w:after="36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4</w:t>
      </w:r>
      <w:bookmarkEnd w:id="127"/>
      <w:r>
        <w:rPr>
          <w:color w:val="000000"/>
          <w:spacing w:val="0"/>
          <w:w w:val="100"/>
          <w:position w:val="0"/>
        </w:rPr>
        <w:t>、</w:t>
        <w:tab/>
        <w:t>公司已签订的重大销售合同截至本报告期的履行情况</w:t>
      </w:r>
      <w:bookmarkEnd w:id="125"/>
      <w:bookmarkEnd w:id="126"/>
      <w:bookmarkEnd w:id="12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7"/>
        <w:keepNext/>
        <w:keepLines/>
        <w:widowControl w:val="0"/>
        <w:shd w:val="clear" w:color="auto" w:fill="auto"/>
        <w:bidi w:val="0"/>
        <w:spacing w:before="0" w:after="46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5</w:t>
      </w:r>
      <w:bookmarkEnd w:id="131"/>
      <w:r>
        <w:rPr>
          <w:color w:val="000000"/>
          <w:spacing w:val="0"/>
          <w:w w:val="100"/>
          <w:position w:val="0"/>
        </w:rPr>
        <w:t>、营业成本构成</w:t>
      </w:r>
      <w:bookmarkEnd w:id="129"/>
      <w:bookmarkEnd w:id="130"/>
      <w:bookmarkEnd w:id="13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本地网络成本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128,878,760.44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127,636,648.91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骨干网络成本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81,742,872.99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65,313,295.39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运维费用、设备 折旧及其他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45,141,643.07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36,390,634.21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设备及软件采购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45,731,090.13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74,690,866.09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服务采购及其他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5,637,222.56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10,951,420.37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1,356,831.12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2,111,714.30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308,488,420.30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317,094,579.27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主营业务成本构成</w:t>
      </w:r>
    </w:p>
    <w:tbl>
      <w:tblPr>
        <w:tblOverlap w:val="never"/>
        <w:jc w:val="center"/>
        <w:tblLayout w:type="fixed"/>
      </w:tblPr>
      <w:tblGrid>
        <w:gridCol w:w="2083"/>
        <w:gridCol w:w="1474"/>
        <w:gridCol w:w="1459"/>
        <w:gridCol w:w="1474"/>
        <w:gridCol w:w="1454"/>
        <w:gridCol w:w="1704"/>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占营业成本比</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占营业成本比</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本地网络成本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128, 878, </w:t>
            </w:r>
            <w:r>
              <w:rPr>
                <w:color w:val="000000"/>
                <w:spacing w:val="0"/>
                <w:w w:val="100"/>
                <w:position w:val="0"/>
                <w:sz w:val="15"/>
                <w:szCs w:val="15"/>
              </w:rPr>
              <w:t xml:space="preserve">760. </w:t>
            </w:r>
            <w:r>
              <w:rPr>
                <w:color w:val="000000"/>
                <w:spacing w:val="0"/>
                <w:w w:val="100"/>
                <w:position w:val="0"/>
                <w:sz w:val="15"/>
                <w:szCs w:val="15"/>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41. </w:t>
            </w:r>
            <w:r>
              <w:rPr>
                <w:color w:val="000000"/>
                <w:spacing w:val="0"/>
                <w:w w:val="100"/>
                <w:position w:val="0"/>
                <w:sz w:val="15"/>
                <w:szCs w:val="15"/>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127, 636, </w:t>
            </w:r>
            <w:r>
              <w:rPr>
                <w:color w:val="000000"/>
                <w:spacing w:val="0"/>
                <w:w w:val="100"/>
                <w:position w:val="0"/>
                <w:sz w:val="15"/>
                <w:szCs w:val="15"/>
              </w:rPr>
              <w:t xml:space="preserve">648. </w:t>
            </w:r>
            <w:r>
              <w:rPr>
                <w:color w:val="000000"/>
                <w:spacing w:val="0"/>
                <w:w w:val="100"/>
                <w:position w:val="0"/>
                <w:sz w:val="15"/>
                <w:szCs w:val="15"/>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40. </w:t>
            </w:r>
            <w:r>
              <w:rPr>
                <w:color w:val="000000"/>
                <w:spacing w:val="0"/>
                <w:w w:val="100"/>
                <w:position w:val="0"/>
                <w:sz w:val="15"/>
                <w:szCs w:val="15"/>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 </w:t>
            </w:r>
            <w:r>
              <w:rPr>
                <w:color w:val="000000"/>
                <w:spacing w:val="0"/>
                <w:w w:val="100"/>
                <w:position w:val="0"/>
                <w:sz w:val="15"/>
                <w:szCs w:val="15"/>
              </w:rPr>
              <w:t>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骨干网络成本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81,742,872.99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26. </w:t>
            </w:r>
            <w:r>
              <w:rPr>
                <w:color w:val="000000"/>
                <w:spacing w:val="0"/>
                <w:w w:val="100"/>
                <w:position w:val="0"/>
                <w:sz w:val="15"/>
                <w:szCs w:val="15"/>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65,313,295.39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20. </w:t>
            </w:r>
            <w:r>
              <w:rPr>
                <w:color w:val="000000"/>
                <w:spacing w:val="0"/>
                <w:w w:val="100"/>
                <w:position w:val="0"/>
                <w:sz w:val="15"/>
                <w:szCs w:val="15"/>
              </w:rPr>
              <w:t>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w:t>
            </w:r>
            <w:r>
              <w:rPr>
                <w:color w:val="000000"/>
                <w:spacing w:val="0"/>
                <w:w w:val="100"/>
                <w:position w:val="0"/>
                <w:sz w:val="15"/>
                <w:szCs w:val="15"/>
              </w:rPr>
              <w:t>16%</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运维费用、设备折旧及 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45, </w:t>
            </w:r>
            <w:r>
              <w:rPr>
                <w:color w:val="000000"/>
                <w:spacing w:val="0"/>
                <w:w w:val="100"/>
                <w:position w:val="0"/>
                <w:sz w:val="15"/>
                <w:szCs w:val="15"/>
              </w:rPr>
              <w:t>141,643.07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14. </w:t>
            </w:r>
            <w:r>
              <w:rPr>
                <w:color w:val="000000"/>
                <w:spacing w:val="0"/>
                <w:w w:val="100"/>
                <w:position w:val="0"/>
                <w:sz w:val="15"/>
                <w:szCs w:val="15"/>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36, 390, </w:t>
            </w:r>
            <w:r>
              <w:rPr>
                <w:color w:val="000000"/>
                <w:spacing w:val="0"/>
                <w:w w:val="100"/>
                <w:position w:val="0"/>
                <w:sz w:val="15"/>
                <w:szCs w:val="15"/>
              </w:rPr>
              <w:t>634.21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11. </w:t>
            </w:r>
            <w:r>
              <w:rPr>
                <w:color w:val="000000"/>
                <w:spacing w:val="0"/>
                <w:w w:val="100"/>
                <w:position w:val="0"/>
                <w:sz w:val="15"/>
                <w:szCs w:val="15"/>
              </w:rPr>
              <w:t>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24. </w:t>
            </w:r>
            <w:r>
              <w:rPr>
                <w:color w:val="000000"/>
                <w:spacing w:val="0"/>
                <w:w w:val="100"/>
                <w:position w:val="0"/>
                <w:sz w:val="15"/>
                <w:szCs w:val="15"/>
              </w:rPr>
              <w:t>05%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设备及软件采购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45,731,090. </w:t>
            </w:r>
            <w:r>
              <w:rPr>
                <w:color w:val="000000"/>
                <w:spacing w:val="0"/>
                <w:w w:val="100"/>
                <w:position w:val="0"/>
                <w:sz w:val="15"/>
                <w:szCs w:val="15"/>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14. </w:t>
            </w:r>
            <w:r>
              <w:rPr>
                <w:color w:val="000000"/>
                <w:spacing w:val="0"/>
                <w:w w:val="100"/>
                <w:position w:val="0"/>
                <w:sz w:val="15"/>
                <w:szCs w:val="15"/>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74, 690, </w:t>
            </w:r>
            <w:r>
              <w:rPr>
                <w:color w:val="000000"/>
                <w:spacing w:val="0"/>
                <w:w w:val="100"/>
                <w:position w:val="0"/>
                <w:sz w:val="15"/>
                <w:szCs w:val="15"/>
              </w:rPr>
              <w:t xml:space="preserve">866. </w:t>
            </w:r>
            <w:r>
              <w:rPr>
                <w:color w:val="000000"/>
                <w:spacing w:val="0"/>
                <w:w w:val="100"/>
                <w:position w:val="0"/>
                <w:sz w:val="15"/>
                <w:szCs w:val="15"/>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 xml:space="preserve">23. </w:t>
            </w:r>
            <w:r>
              <w:rPr>
                <w:color w:val="000000"/>
                <w:spacing w:val="0"/>
                <w:w w:val="100"/>
                <w:position w:val="0"/>
                <w:sz w:val="15"/>
                <w:szCs w:val="15"/>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-38. </w:t>
            </w:r>
            <w:r>
              <w:rPr>
                <w:color w:val="000000"/>
                <w:spacing w:val="0"/>
                <w:w w:val="100"/>
                <w:position w:val="0"/>
                <w:sz w:val="15"/>
                <w:szCs w:val="15"/>
              </w:rPr>
              <w:t>77%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服务采购及其他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5,637,222.56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 xml:space="preserve">1. </w:t>
            </w:r>
            <w:r>
              <w:rPr>
                <w:color w:val="000000"/>
                <w:spacing w:val="0"/>
                <w:w w:val="100"/>
                <w:position w:val="0"/>
                <w:sz w:val="15"/>
                <w:szCs w:val="15"/>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10, </w:t>
            </w:r>
            <w:r>
              <w:rPr>
                <w:color w:val="000000"/>
                <w:spacing w:val="0"/>
                <w:w w:val="100"/>
                <w:position w:val="0"/>
                <w:sz w:val="15"/>
                <w:szCs w:val="15"/>
              </w:rPr>
              <w:t>951,420.37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-48. </w:t>
            </w:r>
            <w:r>
              <w:rPr>
                <w:color w:val="000000"/>
                <w:spacing w:val="0"/>
                <w:w w:val="100"/>
                <w:position w:val="0"/>
                <w:sz w:val="15"/>
                <w:szCs w:val="15"/>
              </w:rPr>
              <w:t>53%</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307, </w:t>
            </w:r>
            <w:r>
              <w:rPr>
                <w:color w:val="000000"/>
                <w:spacing w:val="0"/>
                <w:w w:val="100"/>
                <w:position w:val="0"/>
                <w:sz w:val="15"/>
                <w:szCs w:val="15"/>
              </w:rPr>
              <w:t xml:space="preserve">131,589. </w:t>
            </w:r>
            <w:r>
              <w:rPr>
                <w:color w:val="000000"/>
                <w:spacing w:val="0"/>
                <w:w w:val="100"/>
                <w:position w:val="0"/>
                <w:sz w:val="15"/>
                <w:szCs w:val="15"/>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100.</w:t>
            </w:r>
            <w:r>
              <w:rPr>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314, 982, </w:t>
            </w:r>
            <w:r>
              <w:rPr>
                <w:color w:val="000000"/>
                <w:spacing w:val="0"/>
                <w:w w:val="100"/>
                <w:position w:val="0"/>
                <w:sz w:val="15"/>
                <w:szCs w:val="15"/>
              </w:rPr>
              <w:t xml:space="preserve">864. </w:t>
            </w:r>
            <w:r>
              <w:rPr>
                <w:color w:val="000000"/>
                <w:spacing w:val="0"/>
                <w:w w:val="100"/>
                <w:position w:val="0"/>
                <w:sz w:val="15"/>
                <w:szCs w:val="15"/>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r>
              <w:rPr>
                <w:color w:val="000000"/>
                <w:spacing w:val="0"/>
                <w:w w:val="100"/>
                <w:position w:val="0"/>
                <w:sz w:val="15"/>
                <w:szCs w:val="15"/>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59" w:line="1" w:lineRule="exact"/>
      </w:pPr>
    </w:p>
    <w:p>
      <w:pPr>
        <w:pStyle w:val="Style47"/>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6</w:t>
      </w:r>
      <w:bookmarkEnd w:id="135"/>
      <w:r>
        <w:rPr>
          <w:color w:val="000000"/>
          <w:spacing w:val="0"/>
          <w:w w:val="100"/>
          <w:position w:val="0"/>
        </w:rPr>
        <w:t>、报告期内合并范围是否发生变动</w:t>
      </w:r>
      <w:bookmarkEnd w:id="133"/>
      <w:bookmarkEnd w:id="134"/>
      <w:bookmarkEnd w:id="136"/>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w:t>
      </w:r>
      <w:r>
        <w:rPr>
          <w:i/>
          <w:iCs/>
          <w:color w:val="000000"/>
          <w:spacing w:val="0"/>
          <w:w w:val="100"/>
          <w:position w:val="0"/>
        </w:rPr>
        <w:t>否</w:t>
      </w:r>
      <w:r>
        <w:br w:type="page"/>
      </w:r>
    </w:p>
    <w:p>
      <w:pPr>
        <w:pStyle w:val="Style47"/>
        <w:keepNext/>
        <w:keepLines/>
        <w:widowControl w:val="0"/>
        <w:shd w:val="clear" w:color="auto" w:fill="auto"/>
        <w:tabs>
          <w:tab w:pos="37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7</w:t>
      </w:r>
      <w:bookmarkEnd w:id="139"/>
      <w:r>
        <w:rPr>
          <w:color w:val="000000"/>
          <w:spacing w:val="0"/>
          <w:w w:val="100"/>
          <w:position w:val="0"/>
        </w:rPr>
        <w:t>、</w:t>
        <w:tab/>
        <w:t>公司报告期内业务、产品或服务发生重大变化或调整有关情况</w:t>
      </w:r>
      <w:bookmarkEnd w:id="137"/>
      <w:bookmarkEnd w:id="138"/>
      <w:bookmarkEnd w:id="14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tabs>
          <w:tab w:pos="378"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8</w:t>
      </w:r>
      <w:bookmarkEnd w:id="143"/>
      <w:r>
        <w:rPr>
          <w:color w:val="000000"/>
          <w:spacing w:val="0"/>
          <w:w w:val="100"/>
          <w:position w:val="0"/>
        </w:rPr>
        <w:t>、</w:t>
        <w:tab/>
        <w:t>主要销售客户和主要供应商情况</w:t>
      </w:r>
      <w:bookmarkEnd w:id="141"/>
      <w:bookmarkEnd w:id="142"/>
      <w:bookmarkEnd w:id="144"/>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102,900,216.17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31,981,000.83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20,361,548.52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19,571,364.24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17,473,178.34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13,513,124.24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102,900,216.17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20.92%</w:t>
            </w:r>
          </w:p>
        </w:tc>
      </w:tr>
    </w:tbl>
    <w:p>
      <w:pPr>
        <w:widowControl w:val="0"/>
        <w:spacing w:after="259" w:line="1" w:lineRule="exact"/>
      </w:pP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主要客户其他情况说明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181,584,979.92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72,251,752.54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54,526,476.37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26,372,893.62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14,876,984.39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tc>
      </w:tr>
    </w:tbl>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13,556,873.00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181,584,979.92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w:t>
            </w:r>
          </w:p>
        </w:tc>
      </w:tr>
    </w:tbl>
    <w:p>
      <w:pPr>
        <w:widowControl w:val="0"/>
        <w:spacing w:after="259" w:line="1" w:lineRule="exact"/>
      </w:pPr>
    </w:p>
    <w:p>
      <w:pPr>
        <w:pStyle w:val="Style29"/>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主要供应商其他情况说明</w:t>
      </w:r>
    </w:p>
    <w:p>
      <w:pPr>
        <w:pStyle w:val="Style29"/>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三）费用</w:t>
      </w:r>
      <w:bookmarkEnd w:id="145"/>
      <w:bookmarkEnd w:id="146"/>
      <w:bookmarkEnd w:id="14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44,220,464.78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47,390,833.21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主要为疫情期间办公场所房租减免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年上半年差旅费减少所致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31,105,802.77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30,193,036.90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-1,650,554.73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-927,347.85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主要为报告期内利息收入增加所致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33,303,220.25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31,942,775.75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四）研发投入</w:t>
      </w:r>
      <w:bookmarkEnd w:id="149"/>
      <w:bookmarkEnd w:id="150"/>
      <w:bookmarkEnd w:id="152"/>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公司紧跟网络通信技术发展，已将</w:t>
      </w:r>
      <w:r>
        <w:rPr>
          <w:color w:val="000000"/>
          <w:spacing w:val="0"/>
          <w:w w:val="100"/>
          <w:position w:val="0"/>
          <w:sz w:val="20"/>
          <w:szCs w:val="20"/>
        </w:rPr>
        <w:t xml:space="preserve">SDN </w:t>
      </w:r>
      <w:r>
        <w:rPr>
          <w:color w:val="000000"/>
          <w:spacing w:val="0"/>
          <w:w w:val="100"/>
          <w:position w:val="0"/>
        </w:rPr>
        <w:t>（软件定义网络）技术作为公司专用网络技术的重点研发方向， 于</w:t>
      </w:r>
      <w:r>
        <w:rPr>
          <w:color w:val="000000"/>
          <w:spacing w:val="0"/>
          <w:w w:val="100"/>
          <w:position w:val="0"/>
          <w:sz w:val="20"/>
          <w:szCs w:val="20"/>
        </w:rPr>
        <w:t>2018</w:t>
      </w:r>
      <w:r>
        <w:rPr>
          <w:color w:val="000000"/>
          <w:spacing w:val="0"/>
          <w:w w:val="100"/>
          <w:position w:val="0"/>
        </w:rPr>
        <w:t>年成功推出</w:t>
      </w:r>
      <w:r>
        <w:rPr>
          <w:color w:val="000000"/>
          <w:spacing w:val="0"/>
          <w:w w:val="100"/>
          <w:position w:val="0"/>
          <w:sz w:val="20"/>
          <w:szCs w:val="20"/>
        </w:rPr>
        <w:t>SD-WAN</w:t>
      </w:r>
      <w:r>
        <w:rPr>
          <w:color w:val="000000"/>
          <w:spacing w:val="0"/>
          <w:w w:val="100"/>
          <w:position w:val="0"/>
        </w:rPr>
        <w:t>产品，于</w:t>
      </w:r>
      <w:r>
        <w:rPr>
          <w:color w:val="000000"/>
          <w:spacing w:val="0"/>
          <w:w w:val="100"/>
          <w:position w:val="0"/>
          <w:sz w:val="20"/>
          <w:szCs w:val="20"/>
        </w:rPr>
        <w:t>2019</w:t>
      </w:r>
      <w:r>
        <w:rPr>
          <w:color w:val="000000"/>
          <w:spacing w:val="0"/>
          <w:w w:val="100"/>
          <w:position w:val="0"/>
        </w:rPr>
        <w:t>年成为国内首批获得由</w:t>
      </w:r>
      <w:r>
        <w:rPr>
          <w:color w:val="000000"/>
          <w:spacing w:val="0"/>
          <w:w w:val="100"/>
          <w:position w:val="0"/>
          <w:sz w:val="20"/>
          <w:szCs w:val="20"/>
        </w:rPr>
        <w:t>SDN/NFV/AI</w:t>
      </w:r>
      <w:r>
        <w:rPr>
          <w:color w:val="000000"/>
          <w:spacing w:val="0"/>
          <w:w w:val="100"/>
          <w:position w:val="0"/>
        </w:rPr>
        <w:t>标准与产业推进委员会颁发 的</w:t>
      </w:r>
      <w:r>
        <w:rPr>
          <w:color w:val="000000"/>
          <w:spacing w:val="0"/>
          <w:w w:val="100"/>
          <w:position w:val="0"/>
          <w:sz w:val="20"/>
          <w:szCs w:val="20"/>
        </w:rPr>
        <w:t>SD-WAN Ready</w:t>
      </w:r>
      <w:r>
        <w:rPr>
          <w:color w:val="000000"/>
          <w:spacing w:val="0"/>
          <w:w w:val="100"/>
          <w:position w:val="0"/>
        </w:rPr>
        <w:t>证书的专网服务商；报告期内，公司在保持较高的研发投入力度的基础上，着重加大</w:t>
      </w:r>
      <w:r>
        <w:rPr>
          <w:color w:val="000000"/>
          <w:spacing w:val="0"/>
          <w:w w:val="100"/>
          <w:position w:val="0"/>
          <w:sz w:val="20"/>
          <w:szCs w:val="20"/>
        </w:rPr>
        <w:t xml:space="preserve">SDN </w:t>
      </w:r>
      <w:r>
        <w:rPr>
          <w:color w:val="000000"/>
          <w:spacing w:val="0"/>
          <w:w w:val="100"/>
          <w:position w:val="0"/>
        </w:rPr>
        <w:t>技术在应用层面的投入，围绕客户典型应用场景，加强虚拟技术与客户应用场景的衔接，通过</w:t>
      </w:r>
      <w:r>
        <w:rPr>
          <w:color w:val="000000"/>
          <w:spacing w:val="0"/>
          <w:w w:val="100"/>
          <w:position w:val="0"/>
          <w:sz w:val="20"/>
          <w:szCs w:val="20"/>
        </w:rPr>
        <w:t>SD-WAN</w:t>
      </w:r>
      <w:r>
        <w:rPr>
          <w:color w:val="000000"/>
          <w:spacing w:val="0"/>
          <w:w w:val="100"/>
          <w:position w:val="0"/>
        </w:rPr>
        <w:t>服 务产品的迭代升级，推动客户在云计算和传输网络技术架构的变革，实现客户网络流量的可视化、便捷调 度，切实提升客户云业务效率；通过</w:t>
      </w:r>
      <w:r>
        <w:rPr>
          <w:color w:val="000000"/>
          <w:spacing w:val="0"/>
          <w:w w:val="100"/>
          <w:position w:val="0"/>
          <w:sz w:val="20"/>
          <w:szCs w:val="20"/>
        </w:rPr>
        <w:t>SDN</w:t>
      </w:r>
      <w:r>
        <w:rPr>
          <w:color w:val="000000"/>
          <w:spacing w:val="0"/>
          <w:w w:val="100"/>
          <w:position w:val="0"/>
        </w:rPr>
        <w:t>技术在应用层面上投入，公司有效提升了技术服务能力，并于</w:t>
      </w:r>
      <w:r>
        <w:rPr>
          <w:color w:val="000000"/>
          <w:spacing w:val="0"/>
          <w:w w:val="100"/>
          <w:position w:val="0"/>
          <w:sz w:val="20"/>
          <w:szCs w:val="20"/>
        </w:rPr>
        <w:t xml:space="preserve">2021 </w:t>
      </w:r>
      <w:r>
        <w:rPr>
          <w:color w:val="000000"/>
          <w:spacing w:val="0"/>
          <w:w w:val="100"/>
          <w:position w:val="0"/>
        </w:rPr>
        <w:t>年</w:t>
      </w:r>
      <w:r>
        <w:rPr>
          <w:color w:val="000000"/>
          <w:spacing w:val="0"/>
          <w:w w:val="100"/>
          <w:position w:val="0"/>
          <w:sz w:val="20"/>
          <w:szCs w:val="20"/>
        </w:rPr>
        <w:t>3</w:t>
      </w:r>
      <w:r>
        <w:rPr>
          <w:color w:val="000000"/>
          <w:spacing w:val="0"/>
          <w:w w:val="100"/>
          <w:position w:val="0"/>
        </w:rPr>
        <w:t>月获得由</w:t>
      </w:r>
      <w:r>
        <w:rPr>
          <w:color w:val="000000"/>
          <w:spacing w:val="0"/>
          <w:w w:val="100"/>
          <w:position w:val="0"/>
          <w:sz w:val="20"/>
          <w:szCs w:val="20"/>
        </w:rPr>
        <w:t>SDN/NFV/AI</w:t>
      </w:r>
      <w:r>
        <w:rPr>
          <w:color w:val="000000"/>
          <w:spacing w:val="0"/>
          <w:w w:val="100"/>
          <w:position w:val="0"/>
        </w:rPr>
        <w:t>标准与产业推进委员会颁发的“</w:t>
      </w:r>
      <w:r>
        <w:rPr>
          <w:color w:val="000000"/>
          <w:spacing w:val="0"/>
          <w:w w:val="100"/>
          <w:position w:val="0"/>
          <w:sz w:val="20"/>
          <w:szCs w:val="20"/>
        </w:rPr>
        <w:t>2020</w:t>
      </w:r>
      <w:r>
        <w:rPr>
          <w:color w:val="000000"/>
          <w:spacing w:val="0"/>
          <w:w w:val="100"/>
          <w:position w:val="0"/>
        </w:rPr>
        <w:t>年度</w:t>
      </w:r>
      <w:r>
        <w:rPr>
          <w:color w:val="000000"/>
          <w:spacing w:val="0"/>
          <w:w w:val="100"/>
          <w:position w:val="0"/>
          <w:sz w:val="20"/>
          <w:szCs w:val="20"/>
        </w:rPr>
        <w:t>SD-WAN</w:t>
      </w:r>
      <w:r>
        <w:rPr>
          <w:color w:val="000000"/>
          <w:spacing w:val="0"/>
          <w:w w:val="100"/>
          <w:position w:val="0"/>
        </w:rPr>
        <w:t>项目优秀服务奖”。同时， 在报告期内，公司受邀参与国内首部</w:t>
      </w:r>
      <w:r>
        <w:rPr>
          <w:color w:val="000000"/>
          <w:spacing w:val="0"/>
          <w:w w:val="100"/>
          <w:position w:val="0"/>
        </w:rPr>
        <w:t>《</w:t>
      </w:r>
      <w:r>
        <w:rPr>
          <w:color w:val="000000"/>
          <w:spacing w:val="0"/>
          <w:w w:val="100"/>
          <w:position w:val="0"/>
          <w:sz w:val="20"/>
          <w:szCs w:val="20"/>
        </w:rPr>
        <w:t>SD-WAN</w:t>
      </w:r>
      <w:r>
        <w:rPr>
          <w:color w:val="000000"/>
          <w:spacing w:val="0"/>
          <w:w w:val="100"/>
          <w:position w:val="0"/>
        </w:rPr>
        <w:t>全球技术与产业发展》白皮书的编写工作，该白皮书由中国 通信标准化协会的</w:t>
      </w:r>
      <w:r>
        <w:rPr>
          <w:color w:val="000000"/>
          <w:spacing w:val="0"/>
          <w:w w:val="100"/>
          <w:position w:val="0"/>
          <w:sz w:val="20"/>
          <w:szCs w:val="20"/>
        </w:rPr>
        <w:t>TC610WG4</w:t>
      </w:r>
      <w:r>
        <w:rPr>
          <w:color w:val="000000"/>
          <w:spacing w:val="0"/>
          <w:w w:val="100"/>
          <w:position w:val="0"/>
        </w:rPr>
        <w:t>工作组组织编写，并于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月正式发布。</w:t>
      </w:r>
    </w:p>
    <w:p>
      <w:pPr>
        <w:pStyle w:val="Style29"/>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报告期内，公司积极推出新产品与解决方案，扩大业务覆盖范围。</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月，公司发布南凌云灾备 服务型产品；同年，公司南凌云灾备系统、南凌云计算平台获得由公安部批准的信息系统等级保护备案证 明。南凌云灾备服务是公司向云网融合业务拓展的一项重要产品，使得公司业务向云计算领域延伸，增加 客户的粘性，为公司实现更大的经济效益。</w:t>
      </w:r>
      <w:r>
        <w:br w:type="page"/>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33,303,220.25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31,942,775.75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28,142,578.43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w:t>
      </w:r>
    </w:p>
    <w:p>
      <w:pPr>
        <w:pStyle w:val="Style29"/>
        <w:keepNext w:val="0"/>
        <w:keepLines w:val="0"/>
        <w:widowControl w:val="0"/>
        <w:shd w:val="clear" w:color="auto" w:fill="auto"/>
        <w:bidi w:val="0"/>
        <w:spacing w:before="0" w:after="440" w:line="240" w:lineRule="auto"/>
        <w:ind w:left="0" w:right="0" w:firstLine="0"/>
        <w:jc w:val="both"/>
      </w:pPr>
      <w:r>
        <w:rPr>
          <w:color w:val="000000"/>
          <w:spacing w:val="0"/>
          <w:w w:val="100"/>
          <w:position w:val="0"/>
        </w:rPr>
        <w:t>披露要求</w:t>
      </w:r>
    </w:p>
    <w:p>
      <w:pPr>
        <w:pStyle w:val="Style38"/>
        <w:keepNext/>
        <w:keepLines/>
        <w:widowControl w:val="0"/>
        <w:shd w:val="clear" w:color="auto" w:fill="auto"/>
        <w:bidi w:val="0"/>
        <w:spacing w:before="0" w:after="38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五）现金流</w:t>
      </w:r>
      <w:bookmarkEnd w:id="153"/>
      <w:bookmarkEnd w:id="154"/>
      <w:bookmarkEnd w:id="156"/>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549,637,805.68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519,834,575.44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446,288,096.72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448,057,157.28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103,349,708.96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71,777,418.16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31,597,248.03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31,705,786.81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-31,597,248.03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-31,705,786.81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550,713,885.00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54,444,229.40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528,374,905.90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-54,444,229.40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-1,070.49%</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599,821,939.15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-14,252,998.71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-4,308.39%</w:t>
            </w:r>
          </w:p>
        </w:tc>
      </w:tr>
    </w:tbl>
    <w:p>
      <w:pPr>
        <w:widowControl w:val="0"/>
        <w:spacing w:after="259" w:line="1" w:lineRule="exact"/>
      </w:pP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629" w:lineRule="exact"/>
        <w:ind w:left="0" w:right="0" w:firstLine="0"/>
        <w:jc w:val="left"/>
      </w:pPr>
      <w:r>
        <w:rPr>
          <w:color w:val="000000"/>
          <w:spacing w:val="0"/>
          <w:w w:val="100"/>
          <w:position w:val="0"/>
        </w:rPr>
        <w:t>公开发行股份吸收募集资金所致。</w:t>
      </w:r>
    </w:p>
    <w:p>
      <w:pPr>
        <w:pStyle w:val="Style29"/>
        <w:keepNext w:val="0"/>
        <w:keepLines w:val="0"/>
        <w:widowControl w:val="0"/>
        <w:shd w:val="clear" w:color="auto" w:fill="auto"/>
        <w:bidi w:val="0"/>
        <w:spacing w:before="0" w:after="0" w:line="629" w:lineRule="exact"/>
        <w:ind w:left="0" w:right="0" w:firstLine="0"/>
        <w:jc w:val="left"/>
      </w:pPr>
      <w:r>
        <w:rPr>
          <w:b/>
          <w:bCs/>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629" w:lineRule="exact"/>
        <w:ind w:left="0" w:right="0" w:firstLine="0"/>
        <w:jc w:val="left"/>
      </w:pPr>
      <w:r>
        <w:rPr>
          <w:color w:val="000000"/>
          <w:spacing w:val="0"/>
          <w:w w:val="100"/>
          <w:position w:val="0"/>
        </w:rPr>
        <w:t>主营业务回款增加所致。</w:t>
      </w:r>
    </w:p>
    <w:p>
      <w:pPr>
        <w:pStyle w:val="Style27"/>
        <w:keepNext/>
        <w:keepLines/>
        <w:widowControl w:val="0"/>
        <w:shd w:val="clear" w:color="auto" w:fill="auto"/>
        <w:bidi w:val="0"/>
        <w:spacing w:before="0" w:after="520" w:line="629" w:lineRule="exact"/>
        <w:ind w:left="0" w:right="0" w:firstLine="0"/>
        <w:jc w:val="left"/>
        <w:rPr>
          <w:sz w:val="20"/>
          <w:szCs w:val="20"/>
        </w:rPr>
      </w:pPr>
      <w:bookmarkStart w:id="157" w:name="bookmark157"/>
      <w:bookmarkStart w:id="158" w:name="bookmark158"/>
      <w:bookmarkStart w:id="159" w:name="bookmark159"/>
      <w:bookmarkStart w:id="160" w:name="bookmark160"/>
      <w:r>
        <w:rPr>
          <w:color w:val="000000"/>
          <w:spacing w:val="0"/>
          <w:w w:val="100"/>
          <w:position w:val="0"/>
          <w:sz w:val="20"/>
          <w:szCs w:val="20"/>
        </w:rPr>
        <w:t>三</w:t>
      </w:r>
      <w:bookmarkEnd w:id="159"/>
      <w:r>
        <w:rPr>
          <w:color w:val="000000"/>
          <w:spacing w:val="0"/>
          <w:w w:val="100"/>
          <w:position w:val="0"/>
          <w:sz w:val="20"/>
          <w:szCs w:val="20"/>
        </w:rPr>
        <w:t>、非主营业务情况</w:t>
      </w:r>
      <w:bookmarkEnd w:id="157"/>
      <w:bookmarkEnd w:id="158"/>
      <w:bookmarkEnd w:id="160"/>
    </w:p>
    <w:p>
      <w:pPr>
        <w:pStyle w:val="Style29"/>
        <w:keepNext w:val="0"/>
        <w:keepLines w:val="0"/>
        <w:widowControl w:val="0"/>
        <w:shd w:val="clear" w:color="auto" w:fill="auto"/>
        <w:bidi w:val="0"/>
        <w:spacing w:before="0" w:after="0" w:line="658"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1,043,311.85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无需支付的应付账款核销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19" w:line="1" w:lineRule="exact"/>
      </w:pPr>
    </w:p>
    <w:p>
      <w:pPr>
        <w:pStyle w:val="Style27"/>
        <w:keepNext/>
        <w:keepLines/>
        <w:widowControl w:val="0"/>
        <w:shd w:val="clear" w:color="auto" w:fill="auto"/>
        <w:bidi w:val="0"/>
        <w:spacing w:before="0" w:after="44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、资产及负债状况分析</w:t>
      </w:r>
      <w:bookmarkEnd w:id="161"/>
      <w:bookmarkEnd w:id="162"/>
      <w:bookmarkEnd w:id="164"/>
    </w:p>
    <w:p>
      <w:pPr>
        <w:pStyle w:val="Style38"/>
        <w:keepNext/>
        <w:keepLines/>
        <w:widowControl w:val="0"/>
        <w:shd w:val="clear" w:color="auto" w:fill="auto"/>
        <w:bidi w:val="0"/>
        <w:spacing w:before="0" w:after="52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一）资产构成重大变动情况</w:t>
      </w:r>
      <w:bookmarkEnd w:id="165"/>
      <w:bookmarkEnd w:id="166"/>
      <w:bookmarkEnd w:id="168"/>
    </w:p>
    <w:p>
      <w:pPr>
        <w:pStyle w:val="Style38"/>
        <w:keepNext/>
        <w:keepLines/>
        <w:widowControl w:val="0"/>
        <w:shd w:val="clear" w:color="auto" w:fill="auto"/>
        <w:bidi w:val="0"/>
        <w:spacing w:before="0" w:after="360" w:line="240" w:lineRule="auto"/>
        <w:ind w:left="0" w:right="0" w:firstLine="0"/>
        <w:jc w:val="left"/>
      </w:pPr>
      <w:bookmarkStart w:id="165" w:name="bookmark165"/>
      <w:bookmarkStart w:id="166" w:name="bookmark166"/>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bookmarkEnd w:id="165"/>
      <w:bookmarkEnd w:id="166"/>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694,820,408.4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94,434,391.36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股票发行募集资金到位，导致总资产 增加</w:t>
            </w:r>
          </w:p>
        </w:tc>
      </w:tr>
    </w:tbl>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84,789,335.44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95,795,522.00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因总资产增加，导致应收账款比重下 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8,939,977.20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7,539,315.87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66,975,815.29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58,462,529.01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业务规模扩大增加了对骨干网络的 升级扩容，导致固定资产总额增加。 但由于总资产增加幅度更大，导致比 重下降</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tabs>
          <w:tab w:pos="594" w:val="left"/>
        </w:tabs>
        <w:bidi w:val="0"/>
        <w:spacing w:before="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二）</w:t>
        <w:tab/>
        <w:t>以公允价值计量的资产和负债</w:t>
      </w:r>
      <w:bookmarkEnd w:id="169"/>
      <w:bookmarkEnd w:id="170"/>
      <w:bookmarkEnd w:id="17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594" w:val="left"/>
        </w:tabs>
        <w:bidi w:val="0"/>
        <w:spacing w:before="0" w:after="52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三）</w:t>
        <w:tab/>
        <w:t>截至报告期末的资产权利受限情况</w:t>
      </w:r>
      <w:bookmarkEnd w:id="173"/>
      <w:bookmarkEnd w:id="174"/>
      <w:bookmarkEnd w:id="176"/>
    </w:p>
    <w:p>
      <w:pPr>
        <w:pStyle w:val="Style29"/>
        <w:keepNext w:val="0"/>
        <w:keepLines w:val="0"/>
        <w:widowControl w:val="0"/>
        <w:shd w:val="clear" w:color="auto" w:fill="auto"/>
        <w:bidi w:val="0"/>
        <w:spacing w:before="0" w:after="44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、投资状况分析</w:t>
      </w:r>
      <w:bookmarkEnd w:id="177"/>
      <w:bookmarkEnd w:id="178"/>
      <w:bookmarkEnd w:id="180"/>
    </w:p>
    <w:p>
      <w:pPr>
        <w:pStyle w:val="Style38"/>
        <w:keepNext/>
        <w:keepLines/>
        <w:widowControl w:val="0"/>
        <w:shd w:val="clear" w:color="auto" w:fill="auto"/>
        <w:tabs>
          <w:tab w:pos="594" w:val="left"/>
        </w:tabs>
        <w:bidi w:val="0"/>
        <w:spacing w:before="0" w:after="36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一）</w:t>
        <w:tab/>
        <w:t>总体情况</w:t>
      </w:r>
      <w:bookmarkEnd w:id="181"/>
      <w:bookmarkEnd w:id="182"/>
      <w:bookmarkEnd w:id="184"/>
    </w:p>
    <w:p>
      <w:pPr>
        <w:pStyle w:val="Style2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594" w:val="left"/>
        </w:tabs>
        <w:bidi w:val="0"/>
        <w:spacing w:before="0" w:after="360" w:line="240" w:lineRule="auto"/>
        <w:ind w:left="0" w:right="0" w:firstLine="0"/>
        <w:jc w:val="both"/>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二）</w:t>
        <w:tab/>
        <w:t>报告期内获取的重大的股权投资情况</w:t>
      </w:r>
      <w:bookmarkEnd w:id="185"/>
      <w:bookmarkEnd w:id="186"/>
      <w:bookmarkEnd w:id="188"/>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594" w:val="left"/>
        </w:tabs>
        <w:bidi w:val="0"/>
        <w:spacing w:before="0" w:after="52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rPr>
        <w:t>（</w:t>
      </w:r>
      <w:bookmarkEnd w:id="191"/>
      <w:r>
        <w:rPr>
          <w:color w:val="000000"/>
          <w:spacing w:val="0"/>
          <w:w w:val="100"/>
          <w:position w:val="0"/>
        </w:rPr>
        <w:t>三）</w:t>
        <w:tab/>
        <w:t>报告期内正在进行的重大的非股权投资情况</w:t>
      </w:r>
      <w:bookmarkEnd w:id="189"/>
      <w:bookmarkEnd w:id="190"/>
      <w:bookmarkEnd w:id="19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594" w:val="left"/>
        </w:tabs>
        <w:bidi w:val="0"/>
        <w:spacing w:before="0" w:after="52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四）</w:t>
        <w:tab/>
        <w:t>以公允价值计量的金融资产</w:t>
      </w:r>
      <w:bookmarkEnd w:id="193"/>
      <w:bookmarkEnd w:id="194"/>
      <w:bookmarkEnd w:id="19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594" w:val="left"/>
        </w:tabs>
        <w:bidi w:val="0"/>
        <w:spacing w:before="0" w:after="52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五）</w:t>
        <w:tab/>
        <w:t>募集资金使用情况</w:t>
      </w:r>
      <w:bookmarkEnd w:id="197"/>
      <w:bookmarkEnd w:id="198"/>
      <w:bookmarkEnd w:id="20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47"/>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、募集资金总体使用情况</w:t>
      </w:r>
      <w:bookmarkEnd w:id="201"/>
      <w:bookmarkEnd w:id="202"/>
      <w:bookmarkEnd w:id="204"/>
    </w:p>
    <w:p>
      <w:pPr>
        <w:pStyle w:val="Style2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公开发行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存放于募 集资金专 户实行专 款专用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52,792.82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日，公司尚余</w:t>
            </w:r>
            <w:r>
              <w:rPr>
                <w:rFonts w:ascii="Times New Roman" w:eastAsia="Times New Roman" w:hAnsi="Times New Roman" w:cs="Times New Roman"/>
                <w:color w:val="000000"/>
                <w:spacing w:val="0"/>
                <w:w w:val="100"/>
                <w:position w:val="0"/>
                <w:sz w:val="18"/>
                <w:szCs w:val="18"/>
              </w:rPr>
              <w:t>533,778,479.18</w:t>
            </w:r>
            <w:r>
              <w:rPr>
                <w:color w:val="000000"/>
                <w:spacing w:val="0"/>
                <w:w w:val="100"/>
                <w:position w:val="0"/>
                <w:sz w:val="17"/>
                <w:szCs w:val="17"/>
              </w:rPr>
              <w:t>元存放于募集资金专户，该余额包括公司自筹资金已支付尚未置换的发 行费用</w:t>
            </w:r>
            <w:r>
              <w:rPr>
                <w:rFonts w:ascii="Times New Roman" w:eastAsia="Times New Roman" w:hAnsi="Times New Roman" w:cs="Times New Roman"/>
                <w:color w:val="000000"/>
                <w:spacing w:val="0"/>
                <w:w w:val="100"/>
                <w:position w:val="0"/>
                <w:sz w:val="18"/>
                <w:szCs w:val="18"/>
              </w:rPr>
              <w:t>5,823,029.92</w:t>
            </w:r>
            <w:r>
              <w:rPr>
                <w:color w:val="000000"/>
                <w:spacing w:val="0"/>
                <w:w w:val="100"/>
                <w:position w:val="0"/>
                <w:sz w:val="17"/>
                <w:szCs w:val="17"/>
              </w:rPr>
              <w:t>元及累计收到的银行存款利息扣除银行手续费的净额</w:t>
            </w:r>
            <w:r>
              <w:rPr>
                <w:rFonts w:ascii="Times New Roman" w:eastAsia="Times New Roman" w:hAnsi="Times New Roman" w:cs="Times New Roman"/>
                <w:color w:val="000000"/>
                <w:spacing w:val="0"/>
                <w:w w:val="100"/>
                <w:position w:val="0"/>
                <w:sz w:val="18"/>
                <w:szCs w:val="18"/>
              </w:rPr>
              <w:t>27,235.69</w:t>
            </w:r>
            <w:r>
              <w:rPr>
                <w:color w:val="000000"/>
                <w:spacing w:val="0"/>
                <w:w w:val="100"/>
                <w:position w:val="0"/>
                <w:sz w:val="17"/>
                <w:szCs w:val="17"/>
              </w:rPr>
              <w:t>元,实际募集资金净额为</w:t>
            </w:r>
            <w:r>
              <w:rPr>
                <w:rFonts w:ascii="Times New Roman" w:eastAsia="Times New Roman" w:hAnsi="Times New Roman" w:cs="Times New Roman"/>
                <w:color w:val="000000"/>
                <w:spacing w:val="0"/>
                <w:w w:val="100"/>
                <w:position w:val="0"/>
                <w:sz w:val="18"/>
                <w:szCs w:val="18"/>
              </w:rPr>
              <w:t xml:space="preserve">527,928,213.57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color w:val="000000"/>
                <w:spacing w:val="0"/>
                <w:w w:val="100"/>
                <w:position w:val="0"/>
                <w:sz w:val="17"/>
                <w:szCs w:val="17"/>
                <w:vertAlign w:val="superscript"/>
              </w:rPr>
              <w:t>0</w:t>
            </w:r>
          </w:p>
        </w:tc>
      </w:tr>
    </w:tbl>
    <w:p>
      <w:pPr>
        <w:widowControl w:val="0"/>
        <w:spacing w:after="259" w:line="1" w:lineRule="exact"/>
      </w:pPr>
    </w:p>
    <w:p>
      <w:pPr>
        <w:pStyle w:val="Style47"/>
        <w:keepNext/>
        <w:keepLines/>
        <w:widowControl w:val="0"/>
        <w:shd w:val="clear" w:color="auto" w:fill="auto"/>
        <w:bidi w:val="0"/>
        <w:spacing w:before="0" w:after="1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、募集资金承诺项目情况</w:t>
      </w:r>
      <w:bookmarkEnd w:id="205"/>
      <w:bookmarkEnd w:id="206"/>
      <w:bookmarkEnd w:id="208"/>
      <w:r>
        <w:rPr>
          <w:color w:val="000000"/>
          <w:spacing w:val="0"/>
          <w:w w:val="100"/>
          <w:position w:val="0"/>
        </w:rPr>
        <w:t xml:space="preserve"> </w:t>
      </w:r>
      <w:r>
        <w:rPr>
          <w:rStyle w:val="CharStyle30"/>
          <w:rFonts w:ascii="Times New Roman" w:eastAsia="Times New Roman" w:hAnsi="Times New Roman" w:cs="Times New Roman"/>
          <w:b w:val="0"/>
          <w:bCs w:val="0"/>
        </w:rPr>
        <w:t>q</w:t>
      </w:r>
      <w:r>
        <w:rPr>
          <w:rStyle w:val="CharStyle30"/>
          <w:b w:val="0"/>
          <w:bCs w:val="0"/>
        </w:rPr>
        <w:t>适用</w:t>
      </w:r>
      <w:r>
        <w:rPr>
          <w:rStyle w:val="CharStyle30"/>
          <w:b w:val="0"/>
          <w:bCs w:val="0"/>
        </w:rPr>
        <w:t>口</w:t>
      </w:r>
      <w:r>
        <w:rPr>
          <w:rStyle w:val="CharStyle30"/>
          <w:b w:val="0"/>
          <w:bCs w:val="0"/>
        </w:rPr>
        <w:t>不适用</w:t>
      </w:r>
    </w:p>
    <w:p>
      <w:pPr>
        <w:pStyle w:val="Style4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承诺投 资项目 和超募 资金投</w:t>
            </w:r>
          </w:p>
          <w:p>
            <w:pPr>
              <w:pStyle w:val="Style22"/>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截至期末 投资进度</w:t>
            </w:r>
          </w:p>
          <w:p>
            <w:pPr>
              <w:pStyle w:val="Style22"/>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截止报告 期末累计 实现的效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 行性是 否发生 重大变</w:t>
            </w:r>
          </w:p>
          <w:p>
            <w:pPr>
              <w:pStyle w:val="Style22"/>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网络服 务平台 建设项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研发中 心建设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补充流</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承诺投 资项目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未达到 计划进 度或预 计收益 的情况 和原因</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（分具 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项目可 行性发 生重大 变化的 情况说 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超募资 金的金 额、用途 及使用 进展情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公司超募资金</w:t>
            </w:r>
            <w:r>
              <w:rPr>
                <w:rFonts w:ascii="Times New Roman" w:eastAsia="Times New Roman" w:hAnsi="Times New Roman" w:cs="Times New Roman"/>
                <w:color w:val="000000"/>
                <w:spacing w:val="0"/>
                <w:w w:val="100"/>
                <w:position w:val="0"/>
                <w:sz w:val="18"/>
                <w:szCs w:val="18"/>
              </w:rPr>
              <w:t>10,674.82</w:t>
            </w:r>
            <w:r>
              <w:rPr>
                <w:color w:val="000000"/>
                <w:spacing w:val="0"/>
                <w:w w:val="100"/>
                <w:position w:val="0"/>
                <w:sz w:val="17"/>
                <w:szCs w:val="17"/>
              </w:rPr>
              <w:t>万元尚未使用，存放于募集资金专户。</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 金投资 项目实 施地点 变更情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 金投资 项目实 施方式 调整情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金投资 项目先 期投入 及置换</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219"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尚未使用的募集资金存放于募集资金专户，实行专款专用。</w:t>
            </w: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59" w:line="1" w:lineRule="exact"/>
      </w:pPr>
    </w:p>
    <w:p>
      <w:pPr>
        <w:pStyle w:val="Style47"/>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、募集资金变更项目情况</w:t>
      </w:r>
      <w:bookmarkEnd w:id="209"/>
      <w:bookmarkEnd w:id="210"/>
      <w:bookmarkEnd w:id="212"/>
      <w:r>
        <w:rPr>
          <w:color w:val="000000"/>
          <w:spacing w:val="0"/>
          <w:w w:val="100"/>
          <w:position w:val="0"/>
        </w:rPr>
        <w:t xml:space="preserve"> </w:t>
      </w:r>
      <w:r>
        <w:rPr>
          <w:rStyle w:val="CharStyle30"/>
          <w:rFonts w:ascii="Times New Roman" w:eastAsia="Times New Roman" w:hAnsi="Times New Roman" w:cs="Times New Roman"/>
          <w:b w:val="0"/>
          <w:bCs w:val="0"/>
        </w:rPr>
        <w:t>□</w:t>
      </w:r>
      <w:r>
        <w:rPr>
          <w:rStyle w:val="CharStyle30"/>
          <w:b w:val="0"/>
          <w:bCs w:val="0"/>
        </w:rPr>
        <w:t>适用</w:t>
      </w:r>
      <w:r>
        <w:rPr>
          <w:rStyle w:val="CharStyle30"/>
          <w:rFonts w:ascii="Times New Roman" w:eastAsia="Times New Roman" w:hAnsi="Times New Roman" w:cs="Times New Roman"/>
          <w:b w:val="0"/>
          <w:bCs w:val="0"/>
        </w:rPr>
        <w:t>q</w:t>
      </w:r>
      <w:r>
        <w:rPr>
          <w:rStyle w:val="CharStyle30"/>
          <w:b w:val="0"/>
          <w:bCs w:val="0"/>
        </w:rPr>
        <w:t>不适用</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bidi w:val="0"/>
        <w:spacing w:before="0" w:after="42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、重大资产和股权出售</w:t>
      </w:r>
      <w:bookmarkEnd w:id="213"/>
      <w:bookmarkEnd w:id="214"/>
      <w:bookmarkEnd w:id="216"/>
    </w:p>
    <w:p>
      <w:pPr>
        <w:pStyle w:val="Style38"/>
        <w:keepNext/>
        <w:keepLines/>
        <w:widowControl w:val="0"/>
        <w:shd w:val="clear" w:color="auto" w:fill="auto"/>
        <w:bidi w:val="0"/>
        <w:spacing w:before="0" w:after="52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一）出售重大资产情况</w:t>
      </w:r>
      <w:bookmarkEnd w:id="217"/>
      <w:bookmarkEnd w:id="218"/>
      <w:bookmarkEnd w:id="22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bidi w:val="0"/>
        <w:spacing w:before="0" w:after="520" w:line="470" w:lineRule="exact"/>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二）出售重大股权情况</w:t>
      </w:r>
      <w:bookmarkEnd w:id="221"/>
      <w:bookmarkEnd w:id="222"/>
      <w:bookmarkEnd w:id="224"/>
    </w:p>
    <w:p>
      <w:pPr>
        <w:pStyle w:val="Style29"/>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tabs>
          <w:tab w:pos="522" w:val="left"/>
        </w:tabs>
        <w:bidi w:val="0"/>
        <w:spacing w:before="0" w:after="52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w:t>
        <w:tab/>
        <w:t>主要控股参股公司分析</w:t>
      </w:r>
      <w:bookmarkEnd w:id="225"/>
      <w:bookmarkEnd w:id="226"/>
      <w:bookmarkEnd w:id="228"/>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40" w:line="470" w:lineRule="exact"/>
        <w:ind w:left="0" w:right="0" w:firstLine="0"/>
        <w:jc w:val="left"/>
      </w:pPr>
      <w:r>
        <w:rPr>
          <w:color w:val="000000"/>
          <w:spacing w:val="0"/>
          <w:w w:val="100"/>
          <w:position w:val="0"/>
        </w:rPr>
        <w:t>公司报告期内无应当披露的重要控股参股公司信息。</w:t>
      </w:r>
    </w:p>
    <w:p>
      <w:pPr>
        <w:pStyle w:val="Style27"/>
        <w:keepNext/>
        <w:keepLines/>
        <w:widowControl w:val="0"/>
        <w:shd w:val="clear" w:color="auto" w:fill="auto"/>
        <w:tabs>
          <w:tab w:pos="522" w:val="left"/>
        </w:tabs>
        <w:bidi w:val="0"/>
        <w:spacing w:before="0" w:after="52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29"/>
        <w:keepNext w:val="0"/>
        <w:keepLines w:val="0"/>
        <w:widowControl w:val="0"/>
        <w:shd w:val="clear" w:color="auto" w:fill="auto"/>
        <w:bidi w:val="0"/>
        <w:spacing w:before="0" w:after="1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tabs>
          <w:tab w:pos="522" w:val="left"/>
        </w:tabs>
        <w:bidi w:val="0"/>
        <w:spacing w:before="0" w:after="20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29"/>
        <w:keepNext w:val="0"/>
        <w:keepLines w:val="0"/>
        <w:widowControl w:val="0"/>
        <w:shd w:val="clear" w:color="auto" w:fill="auto"/>
        <w:bidi w:val="0"/>
        <w:spacing w:before="0" w:after="160" w:line="470" w:lineRule="exact"/>
        <w:ind w:left="0" w:right="0" w:firstLine="0"/>
        <w:jc w:val="left"/>
      </w:pPr>
      <w:bookmarkStart w:id="237" w:name="bookmark237"/>
      <w:r>
        <w:rPr>
          <w:b/>
          <w:bCs/>
          <w:color w:val="000000"/>
          <w:spacing w:val="0"/>
          <w:w w:val="100"/>
          <w:position w:val="0"/>
        </w:rPr>
        <w:t>（</w:t>
      </w:r>
      <w:bookmarkEnd w:id="237"/>
      <w:r>
        <w:rPr>
          <w:b/>
          <w:bCs/>
          <w:color w:val="000000"/>
          <w:spacing w:val="0"/>
          <w:w w:val="100"/>
          <w:position w:val="0"/>
        </w:rPr>
        <w:t>一）行业格局与趋势</w:t>
      </w:r>
    </w:p>
    <w:p>
      <w:pPr>
        <w:pStyle w:val="Style29"/>
        <w:keepNext w:val="0"/>
        <w:keepLines w:val="0"/>
        <w:widowControl w:val="0"/>
        <w:shd w:val="clear" w:color="auto" w:fill="auto"/>
        <w:bidi w:val="0"/>
        <w:spacing w:before="0" w:after="160" w:line="470" w:lineRule="exact"/>
        <w:ind w:left="0" w:right="0" w:firstLine="440"/>
        <w:jc w:val="left"/>
      </w:pPr>
      <w:bookmarkStart w:id="238" w:name="bookmark238"/>
      <w:r>
        <w:rPr>
          <w:b/>
          <w:bCs/>
          <w:color w:val="000000"/>
          <w:spacing w:val="0"/>
          <w:w w:val="100"/>
          <w:position w:val="0"/>
        </w:rPr>
        <w:t>1</w:t>
      </w:r>
      <w:bookmarkEnd w:id="238"/>
      <w:r>
        <w:rPr>
          <w:b/>
          <w:bCs/>
          <w:color w:val="000000"/>
          <w:spacing w:val="0"/>
          <w:w w:val="100"/>
          <w:position w:val="0"/>
        </w:rPr>
        <w:t>、国家产业政策大力支持</w:t>
      </w:r>
    </w:p>
    <w:p>
      <w:pPr>
        <w:pStyle w:val="Style29"/>
        <w:keepNext w:val="0"/>
        <w:keepLines w:val="0"/>
        <w:widowControl w:val="0"/>
        <w:shd w:val="clear" w:color="auto" w:fill="auto"/>
        <w:bidi w:val="0"/>
        <w:spacing w:before="0" w:after="160" w:line="468" w:lineRule="exact"/>
        <w:ind w:left="0" w:right="0" w:firstLine="480"/>
        <w:jc w:val="both"/>
      </w:pPr>
      <w:r>
        <w:rPr>
          <w:color w:val="000000"/>
          <w:spacing w:val="0"/>
          <w:w w:val="100"/>
          <w:position w:val="0"/>
        </w:rPr>
        <w:t>随着互联网和物联网的蓬勃发展，我国数据量爆发式增长，数字经济时代加速到来，作为数字经济发 展基础的数字基础设施呈现出迅猛发展态势。数字基础设施包括以大数据中心、物联网、云计算等为代表 的数字网络基础设施。</w:t>
      </w:r>
    </w:p>
    <w:p>
      <w:pPr>
        <w:pStyle w:val="Style29"/>
        <w:keepNext w:val="0"/>
        <w:keepLines w:val="0"/>
        <w:widowControl w:val="0"/>
        <w:shd w:val="clear" w:color="auto" w:fill="auto"/>
        <w:bidi w:val="0"/>
        <w:spacing w:before="0" w:after="160" w:line="470"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日，国家发展改革委等七部门印发《关于促进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社会服务</w:t>
      </w:r>
      <w:r>
        <w:rPr>
          <w:color w:val="000000"/>
          <w:spacing w:val="0"/>
          <w:w w:val="100"/>
          <w:position w:val="0"/>
        </w:rPr>
        <w:t>''</w:t>
      </w:r>
      <w:r>
        <w:rPr>
          <w:color w:val="000000"/>
          <w:spacing w:val="0"/>
          <w:w w:val="100"/>
          <w:position w:val="0"/>
        </w:rPr>
        <w:t>发展的意见》，明确 要求加快布局新型数字基础设施，为智能化社会服务应用赋能。面向远程医疗、在线教育、智慧养老等领 域，加快第五代移动通信技术</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行业应用试点，加速构建支持大数据应用和云端海量信息处理的云计 算基础设施，提升社会服务基础设施智能化水平。</w:t>
      </w:r>
    </w:p>
    <w:p>
      <w:pPr>
        <w:pStyle w:val="Style29"/>
        <w:keepNext w:val="0"/>
        <w:keepLines w:val="0"/>
        <w:widowControl w:val="0"/>
        <w:shd w:val="clear" w:color="auto" w:fill="auto"/>
        <w:bidi w:val="0"/>
        <w:spacing w:before="0" w:after="180" w:line="47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日，中共中央政治局常务委员会召开会议，研究新型冠状病毒肺炎疫情防控和稳定经济社 会运行重点工作，会议强调，要加大公共卫生服务、应急物资保障领域投入，加快</w:t>
      </w:r>
      <w:r>
        <w:rPr>
          <w:rFonts w:ascii="Times New Roman" w:eastAsia="Times New Roman" w:hAnsi="Times New Roman" w:cs="Times New Roman"/>
          <w:color w:val="000000"/>
          <w:spacing w:val="0"/>
          <w:w w:val="100"/>
          <w:position w:val="0"/>
        </w:rPr>
        <w:t>5G</w:t>
      </w:r>
      <w:r>
        <w:rPr>
          <w:color w:val="000000"/>
          <w:spacing w:val="0"/>
          <w:w w:val="100"/>
          <w:position w:val="0"/>
        </w:rPr>
        <w:t>网络、数据中心等新 型基础设施建设进度。自新型冠状病毒肺炎疫情爆发以来，我国监管部门多次强调加强线上业务服务，引 导企业和居民通过互联网、手机</w:t>
      </w:r>
      <w:r>
        <w:rPr>
          <w:rFonts w:ascii="Times New Roman" w:eastAsia="Times New Roman" w:hAnsi="Times New Roman" w:cs="Times New Roman"/>
          <w:color w:val="000000"/>
          <w:spacing w:val="0"/>
          <w:w w:val="100"/>
          <w:position w:val="0"/>
        </w:rPr>
        <w:t>APP</w:t>
      </w:r>
      <w:r>
        <w:rPr>
          <w:color w:val="000000"/>
          <w:spacing w:val="0"/>
          <w:w w:val="100"/>
          <w:position w:val="0"/>
        </w:rPr>
        <w:t>等线上方式开展在线教育、远程办公、在线问诊等行为。以通信服务、 在线服务、云服务、智慧服务平台等为代表的科技行业在这一轮疫情中得到了快速发展的机会。这种非现 场化开展业务服务的趋势，提升了</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Al</w:t>
      </w:r>
      <w:r>
        <w:rPr>
          <w:color w:val="000000"/>
          <w:spacing w:val="0"/>
          <w:w w:val="100"/>
          <w:position w:val="0"/>
        </w:rPr>
        <w:t>、</w:t>
      </w:r>
      <w:r>
        <w:rPr>
          <w:rFonts w:ascii="Times New Roman" w:eastAsia="Times New Roman" w:hAnsi="Times New Roman" w:cs="Times New Roman"/>
          <w:color w:val="000000"/>
          <w:spacing w:val="0"/>
          <w:w w:val="100"/>
          <w:position w:val="0"/>
        </w:rPr>
        <w:t>BI</w:t>
      </w:r>
      <w:r>
        <w:rPr>
          <w:color w:val="000000"/>
          <w:spacing w:val="0"/>
          <w:w w:val="100"/>
          <w:position w:val="0"/>
        </w:rPr>
        <w:t>、</w:t>
      </w:r>
      <w:r>
        <w:rPr>
          <w:color w:val="000000"/>
          <w:spacing w:val="0"/>
          <w:w w:val="100"/>
          <w:position w:val="0"/>
        </w:rPr>
        <w:t>大数据分析等技术的重要性，有利于提高企业及社会运营 效率，加快我国产业技术变革的脚步。</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 xml:space="preserve">在国家新型基础设施建设的倡导下，国家在大力兴建信息化基础设施的同时，千行百业将全面呈现出 </w:t>
      </w:r>
      <w:r>
        <w:rPr>
          <w:rFonts w:ascii="Times New Roman" w:eastAsia="Times New Roman" w:hAnsi="Times New Roman" w:cs="Times New Roman"/>
          <w:color w:val="000000"/>
          <w:spacing w:val="0"/>
          <w:w w:val="100"/>
          <w:position w:val="0"/>
        </w:rPr>
        <w:t>“</w:t>
      </w:r>
      <w:r>
        <w:rPr>
          <w:color w:val="000000"/>
          <w:spacing w:val="0"/>
          <w:w w:val="100"/>
          <w:position w:val="0"/>
        </w:rPr>
        <w:t>产业数字化、数字产业化</w:t>
      </w:r>
      <w:r>
        <w:rPr>
          <w:rFonts w:ascii="Times New Roman" w:eastAsia="Times New Roman" w:hAnsi="Times New Roman" w:cs="Times New Roman"/>
          <w:color w:val="000000"/>
          <w:spacing w:val="0"/>
          <w:w w:val="100"/>
          <w:position w:val="0"/>
        </w:rPr>
        <w:t>''</w:t>
      </w:r>
      <w:r>
        <w:rPr>
          <w:color w:val="000000"/>
          <w:spacing w:val="0"/>
          <w:w w:val="100"/>
          <w:position w:val="0"/>
        </w:rPr>
        <w:t>的趋势，以云计算为核心、全连接为载体的互联网化，对信息传输的要求越来 越高。在中央及各级地方政府的扶持政策推动下，专用网络行业创新发展，对公司的业务经营具有显著的 积极影响。公司作为位于行业前列的专用网络服务提供商，将继续依法规范运营，把握新基建的时代机遇， 通过提供高带宽、可视化、可运维、低成本的信息传输通道，为更多的客户实现云服务到智能终端提供解 决方案。</w:t>
      </w:r>
    </w:p>
    <w:p>
      <w:pPr>
        <w:pStyle w:val="Style29"/>
        <w:keepNext w:val="0"/>
        <w:keepLines w:val="0"/>
        <w:widowControl w:val="0"/>
        <w:shd w:val="clear" w:color="auto" w:fill="auto"/>
        <w:bidi w:val="0"/>
        <w:spacing w:before="0" w:line="466" w:lineRule="exact"/>
        <w:ind w:left="0" w:right="0" w:firstLine="480"/>
        <w:jc w:val="both"/>
      </w:pPr>
      <w:r>
        <w:rPr>
          <w:color w:val="000000"/>
          <w:spacing w:val="0"/>
          <w:w w:val="100"/>
          <w:position w:val="0"/>
        </w:rPr>
        <w:t>为加快建设网络强国，近年来，增值电信业务主管部门通过一系列制度，打击违规经营和无证竞争, 促进信息通信企业守法诚信经营，更加注重用户服务，引领全行业自觉维护良好市场环境，有利于净化市 场，为公司经营发展创造更好的环境。</w:t>
      </w:r>
    </w:p>
    <w:p>
      <w:pPr>
        <w:pStyle w:val="Style29"/>
        <w:keepNext w:val="0"/>
        <w:keepLines w:val="0"/>
        <w:widowControl w:val="0"/>
        <w:shd w:val="clear" w:color="auto" w:fill="auto"/>
        <w:bidi w:val="0"/>
        <w:spacing w:before="0" w:line="468" w:lineRule="exact"/>
        <w:ind w:left="0" w:right="0" w:firstLine="440"/>
        <w:jc w:val="both"/>
      </w:pPr>
      <w:bookmarkStart w:id="239" w:name="bookmark239"/>
      <w:r>
        <w:rPr>
          <w:b/>
          <w:bCs/>
          <w:color w:val="000000"/>
          <w:spacing w:val="0"/>
          <w:w w:val="100"/>
          <w:position w:val="0"/>
        </w:rPr>
        <w:t>2</w:t>
      </w:r>
      <w:bookmarkEnd w:id="239"/>
      <w:r>
        <w:rPr>
          <w:b/>
          <w:bCs/>
          <w:color w:val="000000"/>
          <w:spacing w:val="0"/>
          <w:w w:val="100"/>
          <w:position w:val="0"/>
        </w:rPr>
        <w:t>、中国企业级信息传输网络市场前景广阔</w:t>
      </w:r>
    </w:p>
    <w:p>
      <w:pPr>
        <w:pStyle w:val="Style29"/>
        <w:keepNext w:val="0"/>
        <w:keepLines w:val="0"/>
        <w:widowControl w:val="0"/>
        <w:shd w:val="clear" w:color="auto" w:fill="auto"/>
        <w:bidi w:val="0"/>
        <w:spacing w:before="0" w:line="469" w:lineRule="exact"/>
        <w:ind w:left="0" w:right="0" w:firstLine="480"/>
        <w:jc w:val="both"/>
      </w:pPr>
      <w:r>
        <w:rPr>
          <w:color w:val="000000"/>
          <w:spacing w:val="0"/>
          <w:w w:val="100"/>
          <w:position w:val="0"/>
        </w:rPr>
        <w:t>受业务上云、终端应用多样化等因素的影响，现有电信网络呈现</w:t>
      </w:r>
      <w:r>
        <w:rPr>
          <w:rFonts w:ascii="Times New Roman" w:eastAsia="Times New Roman" w:hAnsi="Times New Roman" w:cs="Times New Roman"/>
          <w:color w:val="000000"/>
          <w:spacing w:val="0"/>
          <w:w w:val="100"/>
          <w:position w:val="0"/>
        </w:rPr>
        <w:t>“</w:t>
      </w:r>
      <w:r>
        <w:rPr>
          <w:color w:val="000000"/>
          <w:spacing w:val="0"/>
          <w:w w:val="100"/>
          <w:position w:val="0"/>
        </w:rPr>
        <w:t>云（云服务）、网（信息传输网络）、 端（智能终端）的信息服务架构：集中于</w:t>
      </w:r>
      <w:r>
        <w:rPr>
          <w:rFonts w:ascii="Times New Roman" w:eastAsia="Times New Roman" w:hAnsi="Times New Roman" w:cs="Times New Roman"/>
          <w:color w:val="000000"/>
          <w:spacing w:val="0"/>
          <w:w w:val="100"/>
          <w:position w:val="0"/>
        </w:rPr>
        <w:t>“</w:t>
      </w:r>
      <w:r>
        <w:rPr>
          <w:color w:val="000000"/>
          <w:spacing w:val="0"/>
          <w:w w:val="100"/>
          <w:position w:val="0"/>
        </w:rPr>
        <w:t>云''的</w:t>
      </w:r>
      <w:r>
        <w:rPr>
          <w:rFonts w:ascii="Times New Roman" w:eastAsia="Times New Roman" w:hAnsi="Times New Roman" w:cs="Times New Roman"/>
          <w:color w:val="000000"/>
          <w:spacing w:val="0"/>
          <w:w w:val="100"/>
          <w:position w:val="0"/>
        </w:rPr>
        <w:t>IT</w:t>
      </w:r>
      <w:r>
        <w:rPr>
          <w:color w:val="000000"/>
          <w:spacing w:val="0"/>
          <w:w w:val="100"/>
          <w:position w:val="0"/>
        </w:rPr>
        <w:t>信息、应用等资源通过</w:t>
      </w:r>
      <w:r>
        <w:rPr>
          <w:rFonts w:ascii="Times New Roman" w:eastAsia="Times New Roman" w:hAnsi="Times New Roman" w:cs="Times New Roman"/>
          <w:color w:val="000000"/>
          <w:spacing w:val="0"/>
          <w:w w:val="100"/>
          <w:position w:val="0"/>
        </w:rPr>
        <w:t>“</w:t>
      </w:r>
      <w:r>
        <w:rPr>
          <w:color w:val="000000"/>
          <w:spacing w:val="0"/>
          <w:w w:val="100"/>
          <w:position w:val="0"/>
        </w:rPr>
        <w:t>信息传输网络''向终端用户提供 服务。其中，</w:t>
      </w:r>
      <w:r>
        <w:rPr>
          <w:rFonts w:ascii="Times New Roman" w:eastAsia="Times New Roman" w:hAnsi="Times New Roman" w:cs="Times New Roman"/>
          <w:color w:val="000000"/>
          <w:spacing w:val="0"/>
          <w:w w:val="100"/>
          <w:position w:val="0"/>
        </w:rPr>
        <w:t>“</w:t>
      </w:r>
      <w:r>
        <w:rPr>
          <w:color w:val="000000"/>
          <w:spacing w:val="0"/>
          <w:w w:val="100"/>
          <w:position w:val="0"/>
        </w:rPr>
        <w:t>信息传输网络</w:t>
      </w:r>
      <w:r>
        <w:rPr>
          <w:rFonts w:ascii="Times New Roman" w:eastAsia="Times New Roman" w:hAnsi="Times New Roman" w:cs="Times New Roman"/>
          <w:color w:val="000000"/>
          <w:spacing w:val="0"/>
          <w:w w:val="100"/>
          <w:position w:val="0"/>
        </w:rPr>
        <w:t>''</w:t>
      </w:r>
      <w:r>
        <w:rPr>
          <w:color w:val="000000"/>
          <w:spacing w:val="0"/>
          <w:w w:val="100"/>
          <w:position w:val="0"/>
        </w:rPr>
        <w:t>即虚拟专用网服务和互联网，是</w:t>
      </w:r>
      <w:r>
        <w:rPr>
          <w:rFonts w:ascii="Times New Roman" w:eastAsia="Times New Roman" w:hAnsi="Times New Roman" w:cs="Times New Roman"/>
          <w:color w:val="000000"/>
          <w:spacing w:val="0"/>
          <w:w w:val="100"/>
          <w:position w:val="0"/>
        </w:rPr>
        <w:t>“</w:t>
      </w:r>
      <w:r>
        <w:rPr>
          <w:color w:val="000000"/>
          <w:spacing w:val="0"/>
          <w:w w:val="100"/>
          <w:position w:val="0"/>
        </w:rPr>
        <w:t>云、网、端</w:t>
      </w:r>
      <w:r>
        <w:rPr>
          <w:rFonts w:ascii="Times New Roman" w:eastAsia="Times New Roman" w:hAnsi="Times New Roman" w:cs="Times New Roman"/>
          <w:color w:val="000000"/>
          <w:spacing w:val="0"/>
          <w:w w:val="100"/>
          <w:position w:val="0"/>
        </w:rPr>
        <w:t>''</w:t>
      </w:r>
      <w:r>
        <w:rPr>
          <w:color w:val="000000"/>
          <w:spacing w:val="0"/>
          <w:w w:val="100"/>
          <w:position w:val="0"/>
        </w:rPr>
        <w:t>信息服务产业链中的生命线； 信息传输网络在保证安全性的基础上，通过高带宽、可视化、可运维、低成本的传输通道，为用户实现云 服务到智能终端的解决方案。</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随着信息化业务的蓬勃发展，市场客户群体的服务诉求变化，在解决内部通信、外部访问的网络需求 方面，专用网络服务越来越被企业用户认可。以虚拟专用网服务为例，由于产业综合管理和服务价值的吸 引，各产业中大规模资源聚集的总部经济模式不断发展。该经济模式下，企事业需要建立高效稳定的数据 中心管理、运营众多网点。跨区域企事业单位，内部数据和信息传输较为频繁，云服务的使用频率增加， 对传输数据的可靠性、安全性、保密性等要求较高，对于网络的可管理性要求也越来越高。与此同时，随 着企业用户业务的发展，信息化需求不断提高，除了满足不同用户网络私密性、经济性的个性化需求外， 服务商在资源网络基础上开发了多种虚拟专用网服务，不断深化服务内容和服务品质，提高了用户使用粘 性和网络资源利用率。</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随着物联网应用的深入，在物联网场景下，单一云计算模型的局限性，不能满足大量设备场景下的应 用。将计算扩展到边缘，在靠近客户端、设备端的地方去建立计算能力，降低网络延时，让万物在连接过 程当中享受计算的能力，这就是边缘计算。边缘计算允许物联网设备生成的数据更接近于创建它的位置进 行处理，而不是通过长路径将数据发送到数据中心或云。通过使计算更接近网络边缘，企业可以近乎实时 地分析重要数据，这满足</w:t>
      </w:r>
      <w:r>
        <w:fldChar w:fldCharType="begin"/>
      </w:r>
      <w:r>
        <w:rPr/>
        <w:instrText> HYPERLINK "http://www.elecfans.com/xianshi/20171205594009.html" </w:instrText>
      </w:r>
      <w:r>
        <w:fldChar w:fldCharType="separate"/>
      </w:r>
      <w:r>
        <w:rPr>
          <w:color w:val="000000"/>
          <w:spacing w:val="0"/>
          <w:w w:val="100"/>
          <w:position w:val="0"/>
        </w:rPr>
        <w:t>了制造业</w:t>
      </w:r>
      <w:r>
        <w:fldChar w:fldCharType="end"/>
      </w:r>
      <w:r>
        <w:rPr>
          <w:color w:val="000000"/>
          <w:spacing w:val="0"/>
          <w:w w:val="100"/>
          <w:position w:val="0"/>
        </w:rPr>
        <w:t xml:space="preserve">、医疗保健、电信和金融等多个行业企业的需求。云计算、边缘计算等 </w:t>
      </w:r>
      <w:r>
        <w:rPr>
          <w:color w:val="000000"/>
          <w:spacing w:val="0"/>
          <w:w w:val="100"/>
          <w:position w:val="0"/>
        </w:rPr>
        <w:t>新型算力模式的创新对网络带来了极大的挑战。如何在传统网络基础上，结合应用的需求，构造安全可靠 信息通道，灵活部署算力于端</w:t>
      </w:r>
      <w:r>
        <w:rPr>
          <w:rFonts w:ascii="Times New Roman" w:eastAsia="Times New Roman" w:hAnsi="Times New Roman" w:cs="Times New Roman"/>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云，打造计算存储资源一体化，是未来企业级网络必须面对的问题。而 在边缘计算设计部署时，安全性是最重要的。数据加密，访问控制和虚拟专用网络通道的使用是保护边缘 计算系统的重要元素。</w:t>
      </w:r>
    </w:p>
    <w:p>
      <w:pPr>
        <w:pStyle w:val="Style29"/>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综上，专用网络服务的与边缘云计算的应用领域不断延伸。</w:t>
      </w:r>
    </w:p>
    <w:p>
      <w:pPr>
        <w:pStyle w:val="Style29"/>
        <w:keepNext w:val="0"/>
        <w:keepLines w:val="0"/>
        <w:widowControl w:val="0"/>
        <w:shd w:val="clear" w:color="auto" w:fill="auto"/>
        <w:bidi w:val="0"/>
        <w:spacing w:before="0" w:after="0"/>
        <w:ind w:left="0" w:right="0" w:firstLine="440"/>
        <w:jc w:val="both"/>
      </w:pPr>
      <w:bookmarkStart w:id="240" w:name="bookmark240"/>
      <w:r>
        <w:rPr>
          <w:rFonts w:ascii="Times New Roman" w:eastAsia="Times New Roman" w:hAnsi="Times New Roman" w:cs="Times New Roman"/>
          <w:b/>
          <w:bCs/>
          <w:color w:val="000000"/>
          <w:spacing w:val="0"/>
          <w:w w:val="100"/>
          <w:position w:val="0"/>
        </w:rPr>
        <w:t>3</w:t>
      </w:r>
      <w:bookmarkEnd w:id="240"/>
      <w:r>
        <w:rPr>
          <w:b/>
          <w:bCs/>
          <w:color w:val="000000"/>
          <w:spacing w:val="0"/>
          <w:w w:val="100"/>
          <w:position w:val="0"/>
        </w:rPr>
        <w:t>、行业竞争格局</w:t>
      </w:r>
    </w:p>
    <w:p>
      <w:pPr>
        <w:pStyle w:val="Style29"/>
        <w:keepNext w:val="0"/>
        <w:keepLines w:val="0"/>
        <w:widowControl w:val="0"/>
        <w:shd w:val="clear" w:color="auto" w:fill="auto"/>
        <w:bidi w:val="0"/>
        <w:spacing w:before="0" w:line="475" w:lineRule="exact"/>
        <w:ind w:left="0" w:right="0" w:firstLine="480"/>
        <w:jc w:val="both"/>
      </w:pPr>
      <w:r>
        <w:rPr>
          <w:color w:val="000000"/>
          <w:spacing w:val="0"/>
          <w:w w:val="100"/>
          <w:position w:val="0"/>
        </w:rPr>
        <w:t>在专用网络市场上，基础电信运营商和专用网络服务商的服务各具特色且各有优势，在长期发展过程 中形成了竞争与合作并存的行业竞争格局。</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基础电信运营商提供的专用网络以物理专用网为主，提供标准化产品，主要面向政府、大型国企提供 服务。专用网络服务商提供的专用网络以虚拟专用网为主，提供定制化产品，主要面向企事业单位提供服 务，可以提供跨运营商的网络接入，服务具有灵活度高、技术方案个性化等特点。</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专用网络服务商之间的差异化竞争明显，部分服务商侧重于区域化的虚拟专用网和互联网接入服务, 能够提供跨运营商连接、覆盖全国的专用网络服务商较少，综合实力强的专业服务商能在满足客户基本需 求的基础上提供更多的增值服务。</w:t>
      </w:r>
      <w:r>
        <w:rPr>
          <w:rFonts w:ascii="Times New Roman" w:eastAsia="Times New Roman" w:hAnsi="Times New Roman" w:cs="Times New Roman"/>
          <w:color w:val="000000"/>
          <w:spacing w:val="0"/>
          <w:w w:val="100"/>
          <w:position w:val="0"/>
        </w:rPr>
        <w:t>“</w:t>
      </w:r>
      <w:r>
        <w:rPr>
          <w:color w:val="000000"/>
          <w:spacing w:val="0"/>
          <w:w w:val="100"/>
          <w:position w:val="0"/>
        </w:rPr>
        <w:t>跨运营商连接、覆盖全国''的专用网络服务商主要服务于跨地区经营的 企业客户，这类客户对于专用网络服务商的跨地区服务能力要求较高，一般会通过招投标的形式选择服务 商。根据报告期内公司参与的招投标的跨地区的专用网络服务项目，相关客户的总部与分支机构分布在全 国主要省市，对于参与投标的专用网络服务商在资质能力、网络覆盖、节点数量、网络运维方面均有较高 的要求，因此参与投标的企业主要为公司、公司主要竞争对手及基础电信运营商等少数能够提供跨运营商 连接、覆盖全国的专用网络服务商。</w:t>
      </w:r>
    </w:p>
    <w:p>
      <w:pPr>
        <w:pStyle w:val="Style29"/>
        <w:keepNext w:val="0"/>
        <w:keepLines w:val="0"/>
        <w:widowControl w:val="0"/>
        <w:shd w:val="clear" w:color="auto" w:fill="auto"/>
        <w:bidi w:val="0"/>
        <w:spacing w:before="0" w:line="468" w:lineRule="exact"/>
        <w:ind w:left="0" w:right="0" w:firstLine="0"/>
        <w:jc w:val="both"/>
      </w:pPr>
      <w:bookmarkStart w:id="241" w:name="bookmark241"/>
      <w:r>
        <w:rPr>
          <w:b/>
          <w:bCs/>
          <w:color w:val="000000"/>
          <w:spacing w:val="0"/>
          <w:w w:val="100"/>
          <w:position w:val="0"/>
        </w:rPr>
        <w:t>（</w:t>
      </w:r>
      <w:bookmarkEnd w:id="241"/>
      <w:r>
        <w:rPr>
          <w:b/>
          <w:bCs/>
          <w:color w:val="000000"/>
          <w:spacing w:val="0"/>
          <w:w w:val="100"/>
          <w:position w:val="0"/>
        </w:rPr>
        <w:t>二）未来发展战略</w:t>
      </w:r>
    </w:p>
    <w:p>
      <w:pPr>
        <w:pStyle w:val="Style29"/>
        <w:keepNext w:val="0"/>
        <w:keepLines w:val="0"/>
        <w:widowControl w:val="0"/>
        <w:shd w:val="clear" w:color="auto" w:fill="auto"/>
        <w:bidi w:val="0"/>
        <w:spacing w:before="0" w:line="463" w:lineRule="exact"/>
        <w:ind w:left="0" w:right="0" w:firstLine="480"/>
        <w:jc w:val="both"/>
      </w:pPr>
      <w:r>
        <w:rPr>
          <w:color w:val="000000"/>
          <w:spacing w:val="0"/>
          <w:w w:val="100"/>
          <w:position w:val="0"/>
        </w:rPr>
        <w:t>公司将持续关注现代企业信息通信需求，以</w:t>
      </w:r>
      <w:r>
        <w:rPr>
          <w:rFonts w:ascii="Times New Roman" w:eastAsia="Times New Roman" w:hAnsi="Times New Roman" w:cs="Times New Roman"/>
          <w:color w:val="000000"/>
          <w:spacing w:val="0"/>
          <w:w w:val="100"/>
          <w:position w:val="0"/>
        </w:rPr>
        <w:t>MPLS VPN</w:t>
      </w:r>
      <w:r>
        <w:rPr>
          <w:color w:val="000000"/>
          <w:spacing w:val="0"/>
          <w:w w:val="100"/>
          <w:position w:val="0"/>
        </w:rPr>
        <w:t>骨干网与</w:t>
      </w:r>
      <w:r>
        <w:rPr>
          <w:rFonts w:ascii="Times New Roman" w:eastAsia="Times New Roman" w:hAnsi="Times New Roman" w:cs="Times New Roman"/>
          <w:color w:val="000000"/>
          <w:spacing w:val="0"/>
          <w:w w:val="100"/>
          <w:position w:val="0"/>
        </w:rPr>
        <w:t>ISP</w:t>
      </w:r>
      <w:r>
        <w:rPr>
          <w:color w:val="000000"/>
          <w:spacing w:val="0"/>
          <w:w w:val="100"/>
          <w:position w:val="0"/>
        </w:rPr>
        <w:t xml:space="preserve">骨干网为核心，扩充国内和海外 边缘计算存储节点，推出自有知识产权操作系统的智能终端以提供安全灵活的专线或互联网接入，利用 </w:t>
      </w:r>
      <w:r>
        <w:rPr>
          <w:rFonts w:ascii="Times New Roman" w:eastAsia="Times New Roman" w:hAnsi="Times New Roman" w:cs="Times New Roman"/>
          <w:color w:val="000000"/>
          <w:spacing w:val="0"/>
          <w:w w:val="100"/>
          <w:position w:val="0"/>
        </w:rPr>
        <w:t>SDN</w:t>
      </w:r>
      <w:r>
        <w:rPr>
          <w:color w:val="000000"/>
          <w:spacing w:val="0"/>
          <w:w w:val="100"/>
          <w:position w:val="0"/>
        </w:rPr>
        <w:t>及相关创新技术优化网络资源，满足客户组网，移动办公，边缘计算以及上云需求。</w:t>
      </w:r>
    </w:p>
    <w:p>
      <w:pPr>
        <w:pStyle w:val="Style29"/>
        <w:keepNext w:val="0"/>
        <w:keepLines w:val="0"/>
        <w:widowControl w:val="0"/>
        <w:shd w:val="clear" w:color="auto" w:fill="auto"/>
        <w:bidi w:val="0"/>
        <w:spacing w:before="0" w:line="469" w:lineRule="exact"/>
        <w:ind w:left="0" w:right="0" w:firstLine="480"/>
        <w:jc w:val="both"/>
      </w:pPr>
      <w:r>
        <w:rPr>
          <w:color w:val="000000"/>
          <w:spacing w:val="0"/>
          <w:w w:val="100"/>
          <w:position w:val="0"/>
        </w:rPr>
        <w:t>同时，随着</w:t>
      </w:r>
      <w:r>
        <w:rPr>
          <w:rFonts w:ascii="Times New Roman" w:eastAsia="Times New Roman" w:hAnsi="Times New Roman" w:cs="Times New Roman"/>
          <w:color w:val="000000"/>
          <w:spacing w:val="0"/>
          <w:w w:val="100"/>
          <w:position w:val="0"/>
        </w:rPr>
        <w:t xml:space="preserve">NaaS </w:t>
      </w:r>
      <w:r>
        <w:rPr>
          <w:color w:val="000000"/>
          <w:spacing w:val="0"/>
          <w:w w:val="100"/>
          <w:position w:val="0"/>
        </w:rPr>
        <w:t>（网络即服务）理念的兴起，企业客户对于连接</w:t>
      </w:r>
      <w:r>
        <w:rPr>
          <w:rFonts w:ascii="Times New Roman" w:eastAsia="Times New Roman" w:hAnsi="Times New Roman" w:cs="Times New Roman"/>
          <w:color w:val="000000"/>
          <w:spacing w:val="0"/>
          <w:w w:val="100"/>
          <w:position w:val="0"/>
        </w:rPr>
        <w:t>“</w:t>
      </w:r>
      <w:r>
        <w:rPr>
          <w:color w:val="000000"/>
          <w:spacing w:val="0"/>
          <w:w w:val="100"/>
          <w:position w:val="0"/>
        </w:rPr>
        <w:t>云服务</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智能终端</w:t>
      </w:r>
      <w:r>
        <w:rPr>
          <w:rFonts w:ascii="Times New Roman" w:eastAsia="Times New Roman" w:hAnsi="Times New Roman" w:cs="Times New Roman"/>
          <w:color w:val="000000"/>
          <w:spacing w:val="0"/>
          <w:w w:val="100"/>
          <w:position w:val="0"/>
        </w:rPr>
        <w:t>''</w:t>
      </w:r>
      <w:r>
        <w:rPr>
          <w:color w:val="000000"/>
          <w:spacing w:val="0"/>
          <w:w w:val="100"/>
          <w:position w:val="0"/>
        </w:rPr>
        <w:t>的信息传输网 络在智能、安全、可靠、虚拟、弹性等方面需求越来越迫切。未来，公司将继续致力于打造</w:t>
      </w:r>
      <w:r>
        <w:rPr>
          <w:rFonts w:ascii="Times New Roman" w:eastAsia="Times New Roman" w:hAnsi="Times New Roman" w:cs="Times New Roman"/>
          <w:color w:val="000000"/>
          <w:spacing w:val="0"/>
          <w:w w:val="100"/>
          <w:position w:val="0"/>
        </w:rPr>
        <w:t>SDN</w:t>
      </w:r>
      <w:r>
        <w:rPr>
          <w:color w:val="000000"/>
          <w:spacing w:val="0"/>
          <w:w w:val="100"/>
          <w:position w:val="0"/>
        </w:rPr>
        <w:t>技术、</w:t>
      </w:r>
      <w:r>
        <w:rPr>
          <w:rFonts w:ascii="Times New Roman" w:eastAsia="Times New Roman" w:hAnsi="Times New Roman" w:cs="Times New Roman"/>
          <w:color w:val="000000"/>
          <w:spacing w:val="0"/>
          <w:w w:val="100"/>
          <w:position w:val="0"/>
        </w:rPr>
        <w:t xml:space="preserve">SD-WAN </w:t>
      </w:r>
      <w:r>
        <w:rPr>
          <w:color w:val="000000"/>
          <w:spacing w:val="0"/>
          <w:w w:val="100"/>
          <w:position w:val="0"/>
        </w:rPr>
        <w:t>技术为核心的网络即服务</w:t>
      </w:r>
      <w:r>
        <w:rPr>
          <w:color w:val="000000"/>
          <w:spacing w:val="0"/>
          <w:w w:val="100"/>
          <w:position w:val="0"/>
        </w:rPr>
        <w:t>（</w:t>
      </w:r>
      <w:r>
        <w:rPr>
          <w:rFonts w:ascii="Times New Roman" w:eastAsia="Times New Roman" w:hAnsi="Times New Roman" w:cs="Times New Roman"/>
          <w:color w:val="000000"/>
          <w:spacing w:val="0"/>
          <w:w w:val="100"/>
          <w:position w:val="0"/>
        </w:rPr>
        <w:t>NaaS</w:t>
      </w:r>
      <w:r>
        <w:rPr>
          <w:color w:val="000000"/>
          <w:spacing w:val="0"/>
          <w:w w:val="100"/>
          <w:position w:val="0"/>
        </w:rPr>
        <w:t>）</w:t>
      </w:r>
      <w:r>
        <w:rPr>
          <w:color w:val="000000"/>
          <w:spacing w:val="0"/>
          <w:w w:val="100"/>
          <w:position w:val="0"/>
        </w:rPr>
        <w:t>平台，并加强</w:t>
      </w:r>
      <w:r>
        <w:rPr>
          <w:rFonts w:ascii="Times New Roman" w:eastAsia="Times New Roman" w:hAnsi="Times New Roman" w:cs="Times New Roman"/>
          <w:color w:val="000000"/>
          <w:spacing w:val="0"/>
          <w:w w:val="100"/>
          <w:position w:val="0"/>
        </w:rPr>
        <w:t>“</w:t>
      </w:r>
      <w:r>
        <w:rPr>
          <w:color w:val="000000"/>
          <w:spacing w:val="0"/>
          <w:w w:val="100"/>
          <w:position w:val="0"/>
        </w:rPr>
        <w:t>匹配专网特性的</w:t>
      </w:r>
      <w:r>
        <w:rPr>
          <w:rFonts w:ascii="Times New Roman" w:eastAsia="Times New Roman" w:hAnsi="Times New Roman" w:cs="Times New Roman"/>
          <w:color w:val="000000"/>
          <w:spacing w:val="0"/>
          <w:w w:val="100"/>
          <w:position w:val="0"/>
        </w:rPr>
        <w:t>SaaS</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等方面的研发和投入，秉承</w:t>
      </w:r>
      <w:r>
        <w:rPr>
          <w:rFonts w:ascii="Times New Roman" w:eastAsia="Times New Roman" w:hAnsi="Times New Roman" w:cs="Times New Roman"/>
          <w:color w:val="000000"/>
          <w:spacing w:val="0"/>
          <w:w w:val="100"/>
          <w:position w:val="0"/>
        </w:rPr>
        <w:t xml:space="preserve">NaaS </w:t>
      </w:r>
      <w:r>
        <w:rPr>
          <w:color w:val="000000"/>
          <w:spacing w:val="0"/>
          <w:w w:val="100"/>
          <w:position w:val="0"/>
        </w:rPr>
        <w:t>（网络即服务）的理念，逐步向第三方开放网络资源，提供</w:t>
      </w:r>
      <w:r>
        <w:rPr>
          <w:rFonts w:ascii="Times New Roman" w:eastAsia="Times New Roman" w:hAnsi="Times New Roman" w:cs="Times New Roman"/>
          <w:color w:val="000000"/>
          <w:spacing w:val="0"/>
          <w:w w:val="100"/>
          <w:position w:val="0"/>
        </w:rPr>
        <w:t>SDK</w:t>
      </w:r>
      <w:r>
        <w:rPr>
          <w:color w:val="000000"/>
          <w:spacing w:val="0"/>
          <w:w w:val="100"/>
          <w:position w:val="0"/>
        </w:rPr>
        <w:t xml:space="preserve">控制接口，创建生态系统，与应用开发者 </w:t>
      </w:r>
      <w:r>
        <w:rPr>
          <w:color w:val="000000"/>
          <w:spacing w:val="0"/>
          <w:w w:val="100"/>
          <w:position w:val="0"/>
        </w:rPr>
        <w:t>深度融合，在现有网络上切片，为行业客户或工业互联网打造</w:t>
      </w:r>
      <w:r>
        <w:rPr>
          <w:rFonts w:ascii="Times New Roman" w:eastAsia="Times New Roman" w:hAnsi="Times New Roman" w:cs="Times New Roman"/>
          <w:color w:val="000000"/>
          <w:spacing w:val="0"/>
          <w:w w:val="100"/>
          <w:position w:val="0"/>
        </w:rPr>
        <w:t>“</w:t>
      </w:r>
      <w:r>
        <w:rPr>
          <w:color w:val="000000"/>
          <w:spacing w:val="0"/>
          <w:w w:val="100"/>
          <w:position w:val="0"/>
        </w:rPr>
        <w:t>专网</w:t>
      </w:r>
      <w:r>
        <w:rPr>
          <w:rFonts w:ascii="Times New Roman" w:eastAsia="Times New Roman" w:hAnsi="Times New Roman" w:cs="Times New Roman"/>
          <w:color w:val="000000"/>
          <w:spacing w:val="0"/>
          <w:w w:val="100"/>
          <w:position w:val="0"/>
        </w:rPr>
        <w:t>“</w:t>
      </w:r>
      <w:r>
        <w:rPr>
          <w:color w:val="000000"/>
          <w:spacing w:val="0"/>
          <w:w w:val="100"/>
          <w:position w:val="0"/>
        </w:rPr>
        <w:t>以安全的网络、安心的服务，释放 企业的创新活力</w:t>
      </w:r>
      <w:r>
        <w:rPr>
          <w:rFonts w:ascii="Times New Roman" w:eastAsia="Times New Roman" w:hAnsi="Times New Roman" w:cs="Times New Roman"/>
          <w:color w:val="000000"/>
          <w:spacing w:val="0"/>
          <w:w w:val="100"/>
          <w:position w:val="0"/>
        </w:rPr>
        <w:t>''</w:t>
      </w:r>
      <w:r>
        <w:rPr>
          <w:color w:val="000000"/>
          <w:spacing w:val="0"/>
          <w:w w:val="100"/>
          <w:position w:val="0"/>
        </w:rPr>
        <w:t>为使命，为客户提供基于云计算的智能、便捷、多元的专用网络服务，发展成为国内领 先的创新型专用网络服务提供商。</w:t>
      </w:r>
    </w:p>
    <w:p>
      <w:pPr>
        <w:pStyle w:val="Style29"/>
        <w:keepNext w:val="0"/>
        <w:keepLines w:val="0"/>
        <w:widowControl w:val="0"/>
        <w:shd w:val="clear" w:color="auto" w:fill="auto"/>
        <w:tabs>
          <w:tab w:pos="557" w:val="left"/>
        </w:tabs>
        <w:bidi w:val="0"/>
        <w:spacing w:before="0" w:after="400" w:line="472" w:lineRule="exact"/>
        <w:ind w:left="0" w:right="0" w:firstLine="0"/>
        <w:jc w:val="both"/>
      </w:pPr>
      <w:bookmarkStart w:id="242" w:name="bookmark242"/>
      <w:r>
        <w:rPr>
          <w:b/>
          <w:bCs/>
          <w:color w:val="000000"/>
          <w:spacing w:val="0"/>
          <w:w w:val="100"/>
          <w:position w:val="0"/>
        </w:rPr>
        <w:t>（</w:t>
      </w:r>
      <w:bookmarkEnd w:id="242"/>
      <w:r>
        <w:rPr>
          <w:b/>
          <w:bCs/>
          <w:color w:val="000000"/>
          <w:spacing w:val="0"/>
          <w:w w:val="100"/>
          <w:position w:val="0"/>
        </w:rPr>
        <w:t>三）</w:t>
        <w:tab/>
        <w:t>公司</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年经营计划</w:t>
      </w:r>
    </w:p>
    <w:p>
      <w:pPr>
        <w:pStyle w:val="Style29"/>
        <w:keepNext w:val="0"/>
        <w:keepLines w:val="0"/>
        <w:widowControl w:val="0"/>
        <w:shd w:val="clear" w:color="auto" w:fill="auto"/>
        <w:bidi w:val="0"/>
        <w:spacing w:before="0" w:after="0" w:line="492" w:lineRule="auto"/>
        <w:ind w:left="0" w:right="0" w:firstLine="440"/>
        <w:jc w:val="both"/>
      </w:pPr>
      <w:bookmarkStart w:id="243" w:name="bookmark243"/>
      <w:r>
        <w:rPr>
          <w:rFonts w:ascii="Times New Roman" w:eastAsia="Times New Roman" w:hAnsi="Times New Roman" w:cs="Times New Roman"/>
          <w:b/>
          <w:bCs/>
          <w:color w:val="000000"/>
          <w:spacing w:val="0"/>
          <w:w w:val="100"/>
          <w:position w:val="0"/>
        </w:rPr>
        <w:t>1</w:t>
      </w:r>
      <w:bookmarkEnd w:id="243"/>
      <w:r>
        <w:rPr>
          <w:b/>
          <w:bCs/>
          <w:color w:val="000000"/>
          <w:spacing w:val="0"/>
          <w:w w:val="100"/>
          <w:position w:val="0"/>
        </w:rPr>
        <w:t>、 加强研发投入，巩固应用技术引领优势</w:t>
      </w:r>
    </w:p>
    <w:p>
      <w:pPr>
        <w:pStyle w:val="Style29"/>
        <w:keepNext w:val="0"/>
        <w:keepLines w:val="0"/>
        <w:widowControl w:val="0"/>
        <w:shd w:val="clear" w:color="auto" w:fill="auto"/>
        <w:bidi w:val="0"/>
        <w:spacing w:before="0" w:line="472" w:lineRule="exact"/>
        <w:ind w:left="0" w:right="0" w:firstLine="440"/>
        <w:jc w:val="both"/>
      </w:pPr>
      <w:r>
        <w:rPr>
          <w:color w:val="000000"/>
          <w:spacing w:val="0"/>
          <w:w w:val="100"/>
          <w:position w:val="0"/>
        </w:rPr>
        <w:t>进一步加大以</w:t>
      </w:r>
      <w:r>
        <w:rPr>
          <w:rFonts w:ascii="Times New Roman" w:eastAsia="Times New Roman" w:hAnsi="Times New Roman" w:cs="Times New Roman"/>
          <w:color w:val="000000"/>
          <w:spacing w:val="0"/>
          <w:w w:val="100"/>
          <w:position w:val="0"/>
        </w:rPr>
        <w:t>SD-WAN</w:t>
      </w:r>
      <w:r>
        <w:rPr>
          <w:color w:val="000000"/>
          <w:spacing w:val="0"/>
          <w:w w:val="100"/>
          <w:position w:val="0"/>
        </w:rPr>
        <w:t>技术为核心的</w:t>
      </w:r>
      <w:r>
        <w:rPr>
          <w:rFonts w:ascii="Times New Roman" w:eastAsia="Times New Roman" w:hAnsi="Times New Roman" w:cs="Times New Roman"/>
          <w:color w:val="000000"/>
          <w:spacing w:val="0"/>
          <w:w w:val="100"/>
          <w:position w:val="0"/>
        </w:rPr>
        <w:t>SDN</w:t>
      </w:r>
      <w:r>
        <w:rPr>
          <w:color w:val="000000"/>
          <w:spacing w:val="0"/>
          <w:w w:val="100"/>
          <w:position w:val="0"/>
        </w:rPr>
        <w:t>技术研发投入，结合</w:t>
      </w:r>
      <w:r>
        <w:rPr>
          <w:rFonts w:ascii="Times New Roman" w:eastAsia="Times New Roman" w:hAnsi="Times New Roman" w:cs="Times New Roman"/>
          <w:color w:val="000000"/>
          <w:spacing w:val="0"/>
          <w:w w:val="100"/>
          <w:position w:val="0"/>
        </w:rPr>
        <w:t>SDN</w:t>
      </w:r>
      <w:r>
        <w:rPr>
          <w:color w:val="000000"/>
          <w:spacing w:val="0"/>
          <w:w w:val="100"/>
          <w:position w:val="0"/>
        </w:rPr>
        <w:t>、</w:t>
      </w:r>
      <w:r>
        <w:rPr>
          <w:rFonts w:ascii="Times New Roman" w:eastAsia="Times New Roman" w:hAnsi="Times New Roman" w:cs="Times New Roman"/>
          <w:color w:val="000000"/>
          <w:spacing w:val="0"/>
          <w:w w:val="100"/>
          <w:position w:val="0"/>
        </w:rPr>
        <w:t>SRv6</w:t>
      </w:r>
      <w:r>
        <w:rPr>
          <w:color w:val="000000"/>
          <w:spacing w:val="0"/>
          <w:w w:val="100"/>
          <w:position w:val="0"/>
        </w:rPr>
        <w:t>、</w:t>
      </w:r>
      <w:r>
        <w:rPr>
          <w:color w:val="000000"/>
          <w:spacing w:val="0"/>
          <w:w w:val="100"/>
          <w:position w:val="0"/>
        </w:rPr>
        <w:t>大数据技术等，感知骨干 网、边缘节点与接入点网络实时状态，优化全网流量，打造一张安全、可靠、智能的骨干网。针对</w:t>
      </w:r>
      <w:r>
        <w:rPr>
          <w:rFonts w:ascii="Times New Roman" w:eastAsia="Times New Roman" w:hAnsi="Times New Roman" w:cs="Times New Roman"/>
          <w:color w:val="000000"/>
          <w:spacing w:val="0"/>
          <w:w w:val="100"/>
          <w:position w:val="0"/>
        </w:rPr>
        <w:t>S D-WAN</w:t>
      </w:r>
      <w:r>
        <w:rPr>
          <w:color w:val="000000"/>
          <w:spacing w:val="0"/>
          <w:w w:val="100"/>
          <w:position w:val="0"/>
        </w:rPr>
        <w:t xml:space="preserve">、 </w:t>
      </w:r>
      <w:r>
        <w:rPr>
          <w:rFonts w:ascii="Times New Roman" w:eastAsia="Times New Roman" w:hAnsi="Times New Roman" w:cs="Times New Roman"/>
          <w:color w:val="000000"/>
          <w:spacing w:val="0"/>
          <w:w w:val="100"/>
          <w:position w:val="0"/>
        </w:rPr>
        <w:t>SASE</w:t>
      </w:r>
      <w:r>
        <w:rPr>
          <w:color w:val="000000"/>
          <w:spacing w:val="0"/>
          <w:w w:val="100"/>
          <w:position w:val="0"/>
        </w:rPr>
        <w:t>等相关技术展开研发，力争年内在</w:t>
      </w:r>
      <w:r>
        <w:rPr>
          <w:rFonts w:ascii="Times New Roman" w:eastAsia="Times New Roman" w:hAnsi="Times New Roman" w:cs="Times New Roman"/>
          <w:color w:val="000000"/>
          <w:spacing w:val="0"/>
          <w:w w:val="100"/>
          <w:position w:val="0"/>
        </w:rPr>
        <w:t>SD-WAN</w:t>
      </w:r>
      <w:r>
        <w:rPr>
          <w:color w:val="000000"/>
          <w:spacing w:val="0"/>
          <w:w w:val="100"/>
          <w:position w:val="0"/>
        </w:rPr>
        <w:t>技术和产品领域形成具有自主知识产权的软件著作权和 终端硬件产品，实施进口替代战略，打造公司业绩增长新动能。</w:t>
      </w:r>
    </w:p>
    <w:p>
      <w:pPr>
        <w:pStyle w:val="Style29"/>
        <w:keepNext w:val="0"/>
        <w:keepLines w:val="0"/>
        <w:widowControl w:val="0"/>
        <w:shd w:val="clear" w:color="auto" w:fill="auto"/>
        <w:bidi w:val="0"/>
        <w:spacing w:before="0" w:after="0" w:line="501" w:lineRule="exact"/>
        <w:ind w:left="0" w:right="0" w:firstLine="440"/>
        <w:jc w:val="both"/>
      </w:pPr>
      <w:r>
        <w:rPr>
          <w:color w:val="000000"/>
          <w:spacing w:val="0"/>
          <w:w w:val="100"/>
          <w:position w:val="0"/>
        </w:rPr>
        <w:t>打造满足客户的信息传输网络在智能、安全、可靠、虚拟、弹性等方面需求的</w:t>
      </w:r>
      <w:r>
        <w:rPr>
          <w:rFonts w:ascii="Times New Roman" w:eastAsia="Times New Roman" w:hAnsi="Times New Roman" w:cs="Times New Roman"/>
          <w:color w:val="000000"/>
          <w:spacing w:val="0"/>
          <w:w w:val="100"/>
          <w:position w:val="0"/>
        </w:rPr>
        <w:t xml:space="preserve">NaaS </w:t>
      </w:r>
      <w:r>
        <w:rPr>
          <w:color w:val="000000"/>
          <w:spacing w:val="0"/>
          <w:w w:val="100"/>
          <w:position w:val="0"/>
        </w:rPr>
        <w:t>（网络即服务）平 台，引进相关技术领域的研究型领军人才，巩固公司在信息通信传输应用技术引领优势。经过长期的专用 网络技术研发和产品服务，公司与众多行业的大中型企业客户形成了较为稳固的合作关系，较为深刻的理 解了各个行业对于信息传输和应用需求的最新趋势，公司将进一步以</w:t>
      </w:r>
      <w:r>
        <w:rPr>
          <w:rFonts w:ascii="Times New Roman" w:eastAsia="Times New Roman" w:hAnsi="Times New Roman" w:cs="Times New Roman"/>
          <w:color w:val="000000"/>
          <w:spacing w:val="0"/>
          <w:w w:val="100"/>
          <w:position w:val="0"/>
        </w:rPr>
        <w:t>“</w:t>
      </w:r>
      <w:r>
        <w:rPr>
          <w:color w:val="000000"/>
          <w:spacing w:val="0"/>
          <w:w w:val="100"/>
          <w:position w:val="0"/>
        </w:rPr>
        <w:t>匹配专网特性的</w:t>
      </w:r>
      <w:r>
        <w:rPr>
          <w:rFonts w:ascii="Times New Roman" w:eastAsia="Times New Roman" w:hAnsi="Times New Roman" w:cs="Times New Roman"/>
          <w:color w:val="000000"/>
          <w:spacing w:val="0"/>
          <w:w w:val="100"/>
          <w:position w:val="0"/>
        </w:rPr>
        <w:t>SaaS</w:t>
      </w:r>
      <w:r>
        <w:rPr>
          <w:color w:val="000000"/>
          <w:spacing w:val="0"/>
          <w:w w:val="100"/>
          <w:position w:val="0"/>
        </w:rPr>
        <w:t>应用场景''为突 破口，为企业客户提供“网络+应用+安全+运维+</w:t>
      </w:r>
      <w:r>
        <w:rPr>
          <w:color w:val="000000"/>
          <w:spacing w:val="0"/>
          <w:w w:val="100"/>
          <w:position w:val="0"/>
        </w:rPr>
        <w:t>......''</w:t>
      </w:r>
      <w:r>
        <w:rPr>
          <w:color w:val="000000"/>
          <w:spacing w:val="0"/>
          <w:w w:val="100"/>
          <w:position w:val="0"/>
        </w:rPr>
        <w:t>的一体化服务，实现从网络价值向数据、按期、生态 等价值层面拓展。</w:t>
      </w:r>
    </w:p>
    <w:p>
      <w:pPr>
        <w:pStyle w:val="Style29"/>
        <w:keepNext w:val="0"/>
        <w:keepLines w:val="0"/>
        <w:widowControl w:val="0"/>
        <w:shd w:val="clear" w:color="auto" w:fill="auto"/>
        <w:tabs>
          <w:tab w:pos="776" w:val="left"/>
        </w:tabs>
        <w:bidi w:val="0"/>
        <w:spacing w:before="0" w:line="501" w:lineRule="exact"/>
        <w:ind w:left="0" w:right="0" w:firstLine="440"/>
        <w:jc w:val="both"/>
      </w:pPr>
      <w:bookmarkStart w:id="244" w:name="bookmark244"/>
      <w:r>
        <w:rPr>
          <w:b/>
          <w:bCs/>
          <w:color w:val="000000"/>
          <w:spacing w:val="0"/>
          <w:w w:val="100"/>
          <w:position w:val="0"/>
        </w:rPr>
        <w:t>2</w:t>
      </w:r>
      <w:bookmarkEnd w:id="244"/>
      <w:r>
        <w:rPr>
          <w:b/>
          <w:bCs/>
          <w:color w:val="000000"/>
          <w:spacing w:val="0"/>
          <w:w w:val="100"/>
          <w:position w:val="0"/>
        </w:rPr>
        <w:t>、</w:t>
        <w:tab/>
        <w:t>以行业头部企业为目标，多行业齐头并进，进一步提高公司专网产品的市场占有率</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继续在金融、地产、制造、零售、餐饮、能源等行业开拓知名头部企业客户，在推动客户进行网络技 术架构变革的同时，围绕</w:t>
      </w:r>
      <w:r>
        <w:rPr>
          <w:rFonts w:ascii="Times New Roman" w:eastAsia="Times New Roman" w:hAnsi="Times New Roman" w:cs="Times New Roman"/>
          <w:color w:val="000000"/>
          <w:spacing w:val="0"/>
          <w:w w:val="100"/>
          <w:position w:val="0"/>
        </w:rPr>
        <w:t>NaaS</w:t>
      </w:r>
      <w:r>
        <w:rPr>
          <w:color w:val="000000"/>
          <w:spacing w:val="0"/>
          <w:w w:val="100"/>
          <w:position w:val="0"/>
        </w:rPr>
        <w:t>服务理念，寻找客户在网络垂直应用领域的</w:t>
      </w:r>
      <w:r>
        <w:rPr>
          <w:rFonts w:ascii="Times New Roman" w:eastAsia="Times New Roman" w:hAnsi="Times New Roman" w:cs="Times New Roman"/>
          <w:color w:val="000000"/>
          <w:spacing w:val="0"/>
          <w:w w:val="100"/>
          <w:position w:val="0"/>
        </w:rPr>
        <w:t>“</w:t>
      </w:r>
      <w:r>
        <w:rPr>
          <w:color w:val="000000"/>
          <w:spacing w:val="0"/>
          <w:w w:val="100"/>
          <w:position w:val="0"/>
        </w:rPr>
        <w:t>超级入口</w:t>
      </w:r>
      <w:r>
        <w:rPr>
          <w:color w:val="000000"/>
          <w:spacing w:val="0"/>
          <w:w w:val="100"/>
          <w:position w:val="0"/>
        </w:rPr>
        <w:t>''，</w:t>
      </w:r>
      <w:r>
        <w:rPr>
          <w:color w:val="000000"/>
          <w:spacing w:val="0"/>
          <w:w w:val="100"/>
          <w:position w:val="0"/>
        </w:rPr>
        <w:t>形成典型案例的示 范效应，进一步提高公司专网产品的市场占有率。</w:t>
      </w:r>
    </w:p>
    <w:p>
      <w:pPr>
        <w:pStyle w:val="Style29"/>
        <w:keepNext w:val="0"/>
        <w:keepLines w:val="0"/>
        <w:widowControl w:val="0"/>
        <w:shd w:val="clear" w:color="auto" w:fill="auto"/>
        <w:tabs>
          <w:tab w:pos="776" w:val="left"/>
        </w:tabs>
        <w:bidi w:val="0"/>
        <w:spacing w:before="0" w:line="472" w:lineRule="exact"/>
        <w:ind w:left="0" w:right="0" w:firstLine="440"/>
        <w:jc w:val="both"/>
      </w:pPr>
      <w:bookmarkStart w:id="245" w:name="bookmark245"/>
      <w:r>
        <w:rPr>
          <w:b/>
          <w:bCs/>
          <w:color w:val="000000"/>
          <w:spacing w:val="0"/>
          <w:w w:val="100"/>
          <w:position w:val="0"/>
        </w:rPr>
        <w:t>3</w:t>
      </w:r>
      <w:bookmarkEnd w:id="245"/>
      <w:r>
        <w:rPr>
          <w:b/>
          <w:bCs/>
          <w:color w:val="000000"/>
          <w:spacing w:val="0"/>
          <w:w w:val="100"/>
          <w:position w:val="0"/>
        </w:rPr>
        <w:t>、</w:t>
        <w:tab/>
        <w:t>持续完善人才引进与激励机制</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公司将持续使用限制性股票激励、绩效奖励等多种措施完善的人员激励、考核制度和培训机制，创造 良好的员工工作环境与公平、公正的竞争氛围，保障公司核心人员和管理队伍的稳定性，提高员工的素质、 技能和工作积极性。</w:t>
      </w:r>
    </w:p>
    <w:p>
      <w:pPr>
        <w:pStyle w:val="Style29"/>
        <w:keepNext w:val="0"/>
        <w:keepLines w:val="0"/>
        <w:widowControl w:val="0"/>
        <w:shd w:val="clear" w:color="auto" w:fill="auto"/>
        <w:bidi w:val="0"/>
        <w:spacing w:before="0" w:after="60" w:line="475" w:lineRule="exact"/>
        <w:ind w:left="0" w:right="0" w:firstLine="440"/>
        <w:jc w:val="both"/>
      </w:pPr>
      <w:r>
        <w:rPr>
          <w:color w:val="000000"/>
          <w:spacing w:val="0"/>
          <w:w w:val="100"/>
          <w:position w:val="0"/>
        </w:rPr>
        <w:t>公司也将进一步建设战略性人才的引进机制，从而使得公司人才队伍建设、经营效率提高形成良性循 环，最终实现业绩的增长及公司发展规划。</w:t>
      </w:r>
    </w:p>
    <w:p>
      <w:pPr>
        <w:pStyle w:val="Style29"/>
        <w:keepNext w:val="0"/>
        <w:keepLines w:val="0"/>
        <w:widowControl w:val="0"/>
        <w:shd w:val="clear" w:color="auto" w:fill="auto"/>
        <w:tabs>
          <w:tab w:pos="557" w:val="left"/>
        </w:tabs>
        <w:bidi w:val="0"/>
        <w:spacing w:before="0" w:line="472" w:lineRule="exact"/>
        <w:ind w:left="0" w:right="0" w:firstLine="0"/>
        <w:jc w:val="both"/>
      </w:pPr>
      <w:bookmarkStart w:id="246" w:name="bookmark246"/>
      <w:r>
        <w:rPr>
          <w:b/>
          <w:bCs/>
          <w:color w:val="000000"/>
          <w:spacing w:val="0"/>
          <w:w w:val="100"/>
          <w:position w:val="0"/>
        </w:rPr>
        <w:t>（</w:t>
      </w:r>
      <w:bookmarkEnd w:id="246"/>
      <w:r>
        <w:rPr>
          <w:b/>
          <w:bCs/>
          <w:color w:val="000000"/>
          <w:spacing w:val="0"/>
          <w:w w:val="100"/>
          <w:position w:val="0"/>
        </w:rPr>
        <w:t>四）</w:t>
        <w:tab/>
        <w:t>风险及应对</w:t>
      </w:r>
    </w:p>
    <w:p>
      <w:pPr>
        <w:pStyle w:val="Style29"/>
        <w:keepNext w:val="0"/>
        <w:keepLines w:val="0"/>
        <w:widowControl w:val="0"/>
        <w:shd w:val="clear" w:color="auto" w:fill="auto"/>
        <w:tabs>
          <w:tab w:pos="769" w:val="left"/>
        </w:tabs>
        <w:bidi w:val="0"/>
        <w:spacing w:before="0" w:line="468" w:lineRule="exact"/>
        <w:ind w:left="0" w:right="0" w:firstLine="440"/>
        <w:jc w:val="both"/>
      </w:pPr>
      <w:bookmarkStart w:id="247" w:name="bookmark247"/>
      <w:r>
        <w:rPr>
          <w:rFonts w:ascii="Times New Roman" w:eastAsia="Times New Roman" w:hAnsi="Times New Roman" w:cs="Times New Roman"/>
          <w:b/>
          <w:bCs/>
          <w:color w:val="000000"/>
          <w:spacing w:val="0"/>
          <w:w w:val="100"/>
          <w:position w:val="0"/>
        </w:rPr>
        <w:t>1</w:t>
      </w:r>
      <w:bookmarkEnd w:id="247"/>
      <w:r>
        <w:rPr>
          <w:b/>
          <w:bCs/>
          <w:color w:val="000000"/>
          <w:spacing w:val="0"/>
          <w:w w:val="100"/>
          <w:position w:val="0"/>
        </w:rPr>
        <w:t>、</w:t>
        <w:tab/>
        <w:t>技术更新换代风险</w:t>
      </w:r>
    </w:p>
    <w:p>
      <w:pPr>
        <w:pStyle w:val="Style29"/>
        <w:keepNext w:val="0"/>
        <w:keepLines w:val="0"/>
        <w:widowControl w:val="0"/>
        <w:shd w:val="clear" w:color="auto" w:fill="auto"/>
        <w:bidi w:val="0"/>
        <w:spacing w:before="0" w:line="468" w:lineRule="exact"/>
        <w:ind w:left="0" w:right="0" w:firstLine="460"/>
        <w:jc w:val="left"/>
      </w:pPr>
      <w:r>
        <w:rPr>
          <w:color w:val="000000"/>
          <w:spacing w:val="0"/>
          <w:w w:val="100"/>
          <w:position w:val="0"/>
        </w:rPr>
        <w:t>报告期内，公司主营业务以虚拟专用网和企业级互联网接入服务为主。专用网络行业具有技术进步快、 升级频率快的特点，技术和产品经常出现新的发展方向；同时，企事业客户对于信息传递的可靠性、安全 性、保密性、及时性的要求亦在日益提升。因此，公司必须准确把握行业技术和应用发展趋势，不断开发 和改进自身技术，以提供满足市场需求和客户标准的服务和产品。如果公司因研发投入有限、技术升级缓 慢等导致公司不能及时和快速地更新自身技术，则将面临公司收入增长乏力、竞争力削弱等不利影响。</w:t>
      </w:r>
    </w:p>
    <w:p>
      <w:pPr>
        <w:pStyle w:val="Style29"/>
        <w:keepNext w:val="0"/>
        <w:keepLines w:val="0"/>
        <w:widowControl w:val="0"/>
        <w:shd w:val="clear" w:color="auto" w:fill="auto"/>
        <w:tabs>
          <w:tab w:pos="769" w:val="left"/>
        </w:tabs>
        <w:bidi w:val="0"/>
        <w:spacing w:before="0" w:line="468" w:lineRule="exact"/>
        <w:ind w:left="0" w:right="0" w:firstLine="440"/>
        <w:jc w:val="both"/>
      </w:pPr>
      <w:bookmarkStart w:id="248" w:name="bookmark248"/>
      <w:r>
        <w:rPr>
          <w:rFonts w:ascii="Times New Roman" w:eastAsia="Times New Roman" w:hAnsi="Times New Roman" w:cs="Times New Roman"/>
          <w:b/>
          <w:bCs/>
          <w:color w:val="000000"/>
          <w:spacing w:val="0"/>
          <w:w w:val="100"/>
          <w:position w:val="0"/>
        </w:rPr>
        <w:t>2</w:t>
      </w:r>
      <w:bookmarkEnd w:id="248"/>
      <w:r>
        <w:rPr>
          <w:b/>
          <w:bCs/>
          <w:color w:val="000000"/>
          <w:spacing w:val="0"/>
          <w:w w:val="100"/>
          <w:position w:val="0"/>
        </w:rPr>
        <w:t>、</w:t>
        <w:tab/>
        <w:t>核心人才资源风险</w:t>
      </w:r>
    </w:p>
    <w:p>
      <w:pPr>
        <w:pStyle w:val="Style29"/>
        <w:keepNext w:val="0"/>
        <w:keepLines w:val="0"/>
        <w:widowControl w:val="0"/>
        <w:shd w:val="clear" w:color="auto" w:fill="auto"/>
        <w:bidi w:val="0"/>
        <w:spacing w:before="0" w:line="468" w:lineRule="exact"/>
        <w:ind w:left="0" w:right="0" w:firstLine="460"/>
        <w:jc w:val="both"/>
      </w:pPr>
      <w:r>
        <w:rPr>
          <w:color w:val="000000"/>
          <w:spacing w:val="0"/>
          <w:w w:val="100"/>
          <w:position w:val="0"/>
        </w:rPr>
        <w:t>公司所处的专用网络行业属于知识密集型产业，公司业务的持续发展不断需要高层次、实用性、复合 型专业技术技能的人才。公司拥有一支专用网络建设和运营管理经验丰富的高素质运营团队，有着长期的 专用网络行业从业经验。专业团队是保持和提升公司竞争力的关键因素，如果公司不能对此类人才形成有 效的管理或者不能持续聚集专业技术人才，将会导致公司竞争力下降，后续扩张乏力，对公司持续盈利能 力产生不利影响。</w:t>
      </w:r>
    </w:p>
    <w:p>
      <w:pPr>
        <w:pStyle w:val="Style29"/>
        <w:keepNext w:val="0"/>
        <w:keepLines w:val="0"/>
        <w:widowControl w:val="0"/>
        <w:shd w:val="clear" w:color="auto" w:fill="auto"/>
        <w:tabs>
          <w:tab w:pos="778" w:val="left"/>
        </w:tabs>
        <w:bidi w:val="0"/>
        <w:spacing w:before="0" w:line="468" w:lineRule="exact"/>
        <w:ind w:left="0" w:right="0" w:firstLine="460"/>
        <w:jc w:val="both"/>
      </w:pPr>
      <w:bookmarkStart w:id="249" w:name="bookmark249"/>
      <w:r>
        <w:rPr>
          <w:rFonts w:ascii="Times New Roman" w:eastAsia="Times New Roman" w:hAnsi="Times New Roman" w:cs="Times New Roman"/>
          <w:b/>
          <w:bCs/>
          <w:color w:val="000000"/>
          <w:spacing w:val="0"/>
          <w:w w:val="100"/>
          <w:position w:val="0"/>
        </w:rPr>
        <w:t>3</w:t>
      </w:r>
      <w:bookmarkEnd w:id="249"/>
      <w:r>
        <w:rPr>
          <w:b/>
          <w:bCs/>
          <w:color w:val="000000"/>
          <w:spacing w:val="0"/>
          <w:w w:val="100"/>
          <w:position w:val="0"/>
        </w:rPr>
        <w:t>、</w:t>
        <w:tab/>
        <w:t>市场竞争加剧风险</w:t>
      </w:r>
    </w:p>
    <w:p>
      <w:pPr>
        <w:pStyle w:val="Style29"/>
        <w:keepNext w:val="0"/>
        <w:keepLines w:val="0"/>
        <w:widowControl w:val="0"/>
        <w:shd w:val="clear" w:color="auto" w:fill="auto"/>
        <w:bidi w:val="0"/>
        <w:spacing w:before="0" w:line="464" w:lineRule="exact"/>
        <w:ind w:left="0" w:right="0" w:firstLine="460"/>
        <w:jc w:val="both"/>
      </w:pPr>
      <w:r>
        <w:rPr>
          <w:color w:val="000000"/>
          <w:spacing w:val="0"/>
          <w:w w:val="100"/>
          <w:position w:val="0"/>
        </w:rPr>
        <w:t>我国增值电信业务实行市场准入制度，企业从事增值电信业务需取得工信部或当地通信管理局颁发的 增值电信业务经营许可证。</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规划期间，国家为鼓励电信行业的发展，工信部等政府主管部门逐渐 放开了对增值电信领域经营许可的限制。截至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月底，全国虚拟专用网业务持证企业共</w:t>
      </w:r>
      <w:r>
        <w:rPr>
          <w:rFonts w:ascii="Times New Roman" w:eastAsia="Times New Roman" w:hAnsi="Times New Roman" w:cs="Times New Roman"/>
          <w:color w:val="000000"/>
          <w:spacing w:val="0"/>
          <w:w w:val="100"/>
          <w:position w:val="0"/>
        </w:rPr>
        <w:t>1,865</w:t>
      </w:r>
      <w:r>
        <w:rPr>
          <w:color w:val="000000"/>
          <w:spacing w:val="0"/>
          <w:w w:val="100"/>
          <w:position w:val="0"/>
        </w:rPr>
        <w:t>家，全 国互联网接入服务业务持证企业共</w:t>
      </w:r>
      <w:r>
        <w:rPr>
          <w:rFonts w:ascii="Times New Roman" w:eastAsia="Times New Roman" w:hAnsi="Times New Roman" w:cs="Times New Roman"/>
          <w:color w:val="000000"/>
          <w:spacing w:val="0"/>
          <w:w w:val="100"/>
          <w:position w:val="0"/>
        </w:rPr>
        <w:t>5,289</w:t>
      </w:r>
      <w:r>
        <w:rPr>
          <w:color w:val="000000"/>
          <w:spacing w:val="0"/>
          <w:w w:val="100"/>
          <w:position w:val="0"/>
        </w:rPr>
        <w:t>家，公司面临的市场竞争日趋激烈。</w:t>
      </w:r>
    </w:p>
    <w:p>
      <w:pPr>
        <w:pStyle w:val="Style29"/>
        <w:keepNext w:val="0"/>
        <w:keepLines w:val="0"/>
        <w:widowControl w:val="0"/>
        <w:shd w:val="clear" w:color="auto" w:fill="auto"/>
        <w:bidi w:val="0"/>
        <w:spacing w:before="0" w:line="470" w:lineRule="exact"/>
        <w:ind w:left="0" w:right="0" w:firstLine="460"/>
        <w:jc w:val="both"/>
      </w:pPr>
      <w:r>
        <w:rPr>
          <w:color w:val="000000"/>
          <w:spacing w:val="0"/>
          <w:w w:val="100"/>
          <w:position w:val="0"/>
        </w:rPr>
        <w:t>另外，伴随着互联网应用的不断扩展，云计算服务、互联网服务对专用网络的需求逐步扩大，大批企 业进入专用网络市场，业内其它规模较大企业也不断通过并购持有牌照的公司开展增值电信业务。公司的 专用网络业务将面临更加激烈的市场竞争，竞争的加剧可能导致行业的整体毛利率和净利率出现下滑，市 场份额被竞争对手抢占的风险。</w:t>
      </w:r>
    </w:p>
    <w:p>
      <w:pPr>
        <w:pStyle w:val="Style29"/>
        <w:keepNext w:val="0"/>
        <w:keepLines w:val="0"/>
        <w:widowControl w:val="0"/>
        <w:shd w:val="clear" w:color="auto" w:fill="auto"/>
        <w:tabs>
          <w:tab w:pos="769" w:val="left"/>
        </w:tabs>
        <w:bidi w:val="0"/>
        <w:spacing w:before="0" w:line="468" w:lineRule="exact"/>
        <w:ind w:left="0" w:right="0" w:firstLine="440"/>
        <w:jc w:val="both"/>
      </w:pPr>
      <w:bookmarkStart w:id="250" w:name="bookmark250"/>
      <w:r>
        <w:rPr>
          <w:rFonts w:ascii="Times New Roman" w:eastAsia="Times New Roman" w:hAnsi="Times New Roman" w:cs="Times New Roman"/>
          <w:b/>
          <w:bCs/>
          <w:color w:val="000000"/>
          <w:spacing w:val="0"/>
          <w:w w:val="100"/>
          <w:position w:val="0"/>
        </w:rPr>
        <w:t>4</w:t>
      </w:r>
      <w:bookmarkEnd w:id="250"/>
      <w:r>
        <w:rPr>
          <w:b/>
          <w:bCs/>
          <w:color w:val="000000"/>
          <w:spacing w:val="0"/>
          <w:w w:val="100"/>
          <w:position w:val="0"/>
        </w:rPr>
        <w:t>、</w:t>
        <w:tab/>
        <w:t>电信资源采购成本波动及运营商政策变动风险</w:t>
      </w:r>
    </w:p>
    <w:p>
      <w:pPr>
        <w:pStyle w:val="Style29"/>
        <w:keepNext w:val="0"/>
        <w:keepLines w:val="0"/>
        <w:widowControl w:val="0"/>
        <w:shd w:val="clear" w:color="auto" w:fill="auto"/>
        <w:bidi w:val="0"/>
        <w:spacing w:before="0" w:line="468" w:lineRule="exact"/>
        <w:ind w:left="0" w:right="0" w:firstLine="460"/>
        <w:jc w:val="both"/>
      </w:pPr>
      <w:r>
        <w:rPr>
          <w:color w:val="000000"/>
          <w:spacing w:val="0"/>
          <w:w w:val="100"/>
          <w:position w:val="0"/>
        </w:rPr>
        <w:t>增值电信业务是公司的主要收入和利润来源，报告期内，增值电信业务收入占公司营业收入的比重分 别为</w:t>
      </w:r>
      <w:r>
        <w:rPr>
          <w:rFonts w:ascii="Times New Roman" w:eastAsia="Times New Roman" w:hAnsi="Times New Roman" w:cs="Times New Roman"/>
          <w:color w:val="000000"/>
          <w:spacing w:val="0"/>
          <w:w w:val="100"/>
          <w:position w:val="0"/>
        </w:rPr>
        <w:t>86.93%</w:t>
      </w:r>
      <w:r>
        <w:rPr>
          <w:color w:val="000000"/>
          <w:spacing w:val="0"/>
          <w:w w:val="100"/>
          <w:position w:val="0"/>
        </w:rPr>
        <w:t>，本地网络和骨干网络等电信资源成本是公司增值电信业务的主要成本。公司采购的电信资源 主要包括带宽资源和机柜等。报告期内，电信资源成本合计占公司增值电信业务成本的比例为</w:t>
      </w:r>
      <w:r>
        <w:rPr>
          <w:rFonts w:ascii="Times New Roman" w:eastAsia="Times New Roman" w:hAnsi="Times New Roman" w:cs="Times New Roman"/>
          <w:color w:val="000000"/>
          <w:spacing w:val="0"/>
          <w:w w:val="100"/>
          <w:position w:val="0"/>
        </w:rPr>
        <w:t>82.35%</w:t>
      </w:r>
      <w:r>
        <w:rPr>
          <w:color w:val="000000"/>
          <w:spacing w:val="0"/>
          <w:w w:val="100"/>
          <w:position w:val="0"/>
        </w:rPr>
        <w:t>，是 公司营业成本的主要构成部分。随着公司业务规模的扩大，公司需要采购的电信资源也不断增加。如果电 信资源采购成本发生大幅波动将直接导致公司盈利能力和毛利率的波动。</w:t>
      </w:r>
    </w:p>
    <w:p>
      <w:pPr>
        <w:pStyle w:val="Style29"/>
        <w:keepNext w:val="0"/>
        <w:keepLines w:val="0"/>
        <w:widowControl w:val="0"/>
        <w:shd w:val="clear" w:color="auto" w:fill="auto"/>
        <w:bidi w:val="0"/>
        <w:spacing w:before="0" w:after="400" w:line="461" w:lineRule="exact"/>
        <w:ind w:left="0" w:right="0" w:firstLine="480"/>
        <w:jc w:val="both"/>
      </w:pPr>
      <w:r>
        <w:rPr>
          <w:color w:val="000000"/>
          <w:spacing w:val="0"/>
          <w:w w:val="100"/>
          <w:position w:val="0"/>
        </w:rPr>
        <w:t>我国带宽资源主要由基础电信运营商掌握，公司作为专用网络服务提供商在带宽资源采购中，一定程 度上依赖于基础电信运营商。近年来，我国在带宽资源领域推行</w:t>
      </w:r>
      <w:r>
        <w:rPr>
          <w:rFonts w:ascii="Times New Roman" w:eastAsia="Times New Roman" w:hAnsi="Times New Roman" w:cs="Times New Roman"/>
          <w:color w:val="000000"/>
          <w:spacing w:val="0"/>
          <w:w w:val="100"/>
          <w:position w:val="0"/>
        </w:rPr>
        <w:t>“</w:t>
      </w:r>
      <w:r>
        <w:rPr>
          <w:color w:val="000000"/>
          <w:spacing w:val="0"/>
          <w:w w:val="100"/>
          <w:position w:val="0"/>
        </w:rPr>
        <w:t>提速降费</w:t>
      </w:r>
      <w:r>
        <w:rPr>
          <w:rFonts w:ascii="Times New Roman" w:eastAsia="Times New Roman" w:hAnsi="Times New Roman" w:cs="Times New Roman"/>
          <w:color w:val="000000"/>
          <w:spacing w:val="0"/>
          <w:w w:val="100"/>
          <w:position w:val="0"/>
        </w:rPr>
        <w:t>''</w:t>
      </w:r>
      <w:r>
        <w:rPr>
          <w:color w:val="000000"/>
          <w:spacing w:val="0"/>
          <w:w w:val="100"/>
          <w:position w:val="0"/>
        </w:rPr>
        <w:t>政策，公司带宽资源采购价格 总体呈现下降趋势，推动了公司毛利率和盈利能力的提升。如果未来基础运营商市场政策出现变化，导致 带宽资源限制供应或提价，公司将面临带宽资源采购受限以及成本上升的风险，从而可能导致公司毛利率 下降、净利润下滑，给公司经营业绩带来不利影响。</w:t>
      </w:r>
    </w:p>
    <w:p>
      <w:pPr>
        <w:pStyle w:val="Style29"/>
        <w:keepNext w:val="0"/>
        <w:keepLines w:val="0"/>
        <w:widowControl w:val="0"/>
        <w:shd w:val="clear" w:color="auto" w:fill="auto"/>
        <w:bidi w:val="0"/>
        <w:spacing w:before="0" w:after="0"/>
        <w:ind w:left="0" w:right="0" w:firstLine="440"/>
        <w:jc w:val="left"/>
      </w:pPr>
      <w:bookmarkStart w:id="251" w:name="bookmark251"/>
      <w:r>
        <w:rPr>
          <w:rFonts w:ascii="Times New Roman" w:eastAsia="Times New Roman" w:hAnsi="Times New Roman" w:cs="Times New Roman"/>
          <w:b/>
          <w:bCs/>
          <w:color w:val="000000"/>
          <w:spacing w:val="0"/>
          <w:w w:val="100"/>
          <w:position w:val="0"/>
        </w:rPr>
        <w:t>5</w:t>
      </w:r>
      <w:bookmarkEnd w:id="251"/>
      <w:r>
        <w:rPr>
          <w:b/>
          <w:bCs/>
          <w:color w:val="000000"/>
          <w:spacing w:val="0"/>
          <w:w w:val="100"/>
          <w:position w:val="0"/>
        </w:rPr>
        <w:t>、毛利率波动风险</w:t>
      </w:r>
    </w:p>
    <w:p>
      <w:pPr>
        <w:pStyle w:val="Style29"/>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近几年，公司业务总体处于稳步发展阶段，原有客户群体稳定、新客户不断拓展，核心业务市场前景 良好；同时，公司不断优化成本结构，充分利用现有网络资源，报告期内，公司主营业务毛利率为</w:t>
      </w:r>
      <w:r>
        <w:rPr>
          <w:rFonts w:ascii="Times New Roman" w:eastAsia="Times New Roman" w:hAnsi="Times New Roman" w:cs="Times New Roman"/>
          <w:color w:val="000000"/>
          <w:spacing w:val="0"/>
          <w:w w:val="100"/>
          <w:position w:val="0"/>
        </w:rPr>
        <w:t>37.60%</w:t>
      </w:r>
      <w:r>
        <w:rPr>
          <w:color w:val="000000"/>
          <w:spacing w:val="0"/>
          <w:w w:val="100"/>
          <w:position w:val="0"/>
        </w:rPr>
        <w:t>， 推动公司盈利能力和净利润规模不断提升。</w:t>
      </w:r>
    </w:p>
    <w:p>
      <w:pPr>
        <w:pStyle w:val="Style29"/>
        <w:keepNext w:val="0"/>
        <w:keepLines w:val="0"/>
        <w:widowControl w:val="0"/>
        <w:shd w:val="clear" w:color="auto" w:fill="auto"/>
        <w:bidi w:val="0"/>
        <w:spacing w:before="0" w:after="360" w:line="468" w:lineRule="exact"/>
        <w:ind w:left="0" w:right="0" w:firstLine="480"/>
        <w:jc w:val="both"/>
      </w:pPr>
      <w:r>
        <w:rPr>
          <w:color w:val="000000"/>
          <w:spacing w:val="0"/>
          <w:w w:val="100"/>
          <w:position w:val="0"/>
        </w:rPr>
        <w:t>如果未来随着市场竞争加剧、产业政策或行业结构变化，公司若不能持续保持竞争优势，不能适应政 策或市场需求变化，或者成本控制不力，将可能导致公司产品销售价格大幅下降或者产品销售价格下降幅 度超过成本下降幅度，使得公司面临毛利率下降的风险。</w:t>
      </w:r>
    </w:p>
    <w:p>
      <w:pPr>
        <w:pStyle w:val="Style27"/>
        <w:keepNext/>
        <w:keepLines/>
        <w:widowControl w:val="0"/>
        <w:shd w:val="clear" w:color="auto" w:fill="auto"/>
        <w:bidi w:val="0"/>
        <w:spacing w:before="0" w:after="120" w:line="240" w:lineRule="auto"/>
        <w:ind w:left="0" w:right="0" w:firstLine="0"/>
        <w:jc w:val="left"/>
      </w:pPr>
      <w:bookmarkStart w:id="252" w:name="bookmark252"/>
      <w:bookmarkStart w:id="253" w:name="bookmark253"/>
      <w:bookmarkStart w:id="254" w:name="bookmark254"/>
      <w:r>
        <w:rPr>
          <w:color w:val="000000"/>
          <w:spacing w:val="0"/>
          <w:w w:val="100"/>
          <w:position w:val="0"/>
          <w:sz w:val="24"/>
          <w:szCs w:val="24"/>
        </w:rPr>
        <w:t>十、接待调研、沟通、采访等活动登记表</w:t>
      </w:r>
      <w:bookmarkEnd w:id="252"/>
      <w:bookmarkEnd w:id="253"/>
      <w:bookmarkEnd w:id="254"/>
    </w:p>
    <w:p>
      <w:pPr>
        <w:pStyle w:val="Style38"/>
        <w:keepNext/>
        <w:keepLines/>
        <w:widowControl w:val="0"/>
        <w:shd w:val="clear" w:color="auto" w:fill="auto"/>
        <w:bidi w:val="0"/>
        <w:spacing w:before="0" w:after="520" w:line="468"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一）报告期内接待调研、沟通、采访等活动登记表</w:t>
      </w:r>
      <w:bookmarkEnd w:id="255"/>
      <w:bookmarkEnd w:id="256"/>
      <w:bookmarkEnd w:id="258"/>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80" w:line="468" w:lineRule="exact"/>
        <w:ind w:left="0" w:right="0" w:firstLine="0"/>
        <w:jc w:val="left"/>
        <w:sectPr>
          <w:footnotePr>
            <w:pos w:val="pageBottom"/>
            <w:numFmt w:val="decimal"/>
            <w:numRestart w:val="continuous"/>
          </w:footnotePr>
          <w:pgSz w:w="11900" w:h="16840"/>
          <w:pgMar w:top="1287" w:right="1062" w:bottom="1589" w:left="1046"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760" w:after="620" w:line="240" w:lineRule="auto"/>
        <w:ind w:left="0" w:right="0" w:firstLine="0"/>
        <w:jc w:val="center"/>
      </w:pPr>
      <w:bookmarkStart w:id="259" w:name="bookmark259"/>
      <w:bookmarkStart w:id="260" w:name="bookmark260"/>
      <w:bookmarkStart w:id="261" w:name="bookmark261"/>
      <w:r>
        <w:rPr>
          <w:color w:val="000000"/>
          <w:spacing w:val="0"/>
          <w:w w:val="100"/>
          <w:position w:val="0"/>
        </w:rPr>
        <w:t>第五节重要事项</w:t>
      </w:r>
      <w:bookmarkEnd w:id="259"/>
      <w:bookmarkEnd w:id="260"/>
      <w:bookmarkEnd w:id="261"/>
    </w:p>
    <w:p>
      <w:pPr>
        <w:pStyle w:val="Style27"/>
        <w:keepNext/>
        <w:keepLines/>
        <w:widowControl w:val="0"/>
        <w:shd w:val="clear" w:color="auto" w:fill="auto"/>
        <w:bidi w:val="0"/>
        <w:spacing w:before="0" w:after="280" w:line="240" w:lineRule="auto"/>
        <w:ind w:left="0" w:right="0" w:firstLine="0"/>
        <w:jc w:val="both"/>
      </w:pPr>
      <w:bookmarkStart w:id="262" w:name="bookmark262"/>
      <w:bookmarkStart w:id="263" w:name="bookmark263"/>
      <w:bookmarkStart w:id="264" w:name="bookmark264"/>
      <w:bookmarkStart w:id="265" w:name="bookmark265"/>
      <w:r>
        <w:rPr>
          <w:color w:val="000000"/>
          <w:spacing w:val="0"/>
          <w:w w:val="100"/>
          <w:position w:val="0"/>
          <w:sz w:val="24"/>
          <w:szCs w:val="24"/>
        </w:rPr>
        <w:t>一</w:t>
      </w:r>
      <w:bookmarkEnd w:id="264"/>
      <w:r>
        <w:rPr>
          <w:color w:val="000000"/>
          <w:spacing w:val="0"/>
          <w:w w:val="100"/>
          <w:position w:val="0"/>
          <w:sz w:val="24"/>
          <w:szCs w:val="24"/>
        </w:rPr>
        <w:t>、公司普通股利润分配及资本公积金转增股本情况</w:t>
      </w:r>
      <w:bookmarkEnd w:id="262"/>
      <w:bookmarkEnd w:id="263"/>
      <w:bookmarkEnd w:id="265"/>
    </w:p>
    <w:p>
      <w:pPr>
        <w:pStyle w:val="Style29"/>
        <w:keepNext w:val="0"/>
        <w:keepLines w:val="0"/>
        <w:widowControl w:val="0"/>
        <w:shd w:val="clear" w:color="auto" w:fill="auto"/>
        <w:bidi w:val="0"/>
        <w:spacing w:before="0" w:after="380" w:line="469" w:lineRule="exact"/>
        <w:ind w:left="0" w:right="0" w:firstLine="0"/>
        <w:jc w:val="both"/>
      </w:pPr>
      <w:r>
        <w:rPr>
          <w:b/>
          <w:bCs/>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公司根据《公司法》、《证券法》、《关于进一步落实上市公司现金分红有关事项的通知》及《上市 公司监管指引</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号——上市公司现金分红》等有关规定，结合公司的实际情况，制定了《公司章程（草案）》 中的利润分配政策及《南凌科技股份有限公司首次公开发行股票并上市后股东分红回报规划》，对上市后 的利润分配政策作出了具体规定，从制度上保障了公司上市后利润分配的连续性和稳定性。公司严格遵守 利润分配政策，切实保障投资者利益，强化对投资者的回报。</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9"/>
        <w:keepNext w:val="0"/>
        <w:keepLines w:val="0"/>
        <w:widowControl w:val="0"/>
        <w:shd w:val="clear" w:color="auto" w:fill="auto"/>
        <w:bidi w:val="0"/>
        <w:spacing w:before="0" w:after="0" w:line="619" w:lineRule="exact"/>
        <w:ind w:left="0" w:right="0" w:firstLine="0"/>
        <w:jc w:val="left"/>
      </w:pPr>
      <w:r>
        <w:rPr>
          <w:b/>
          <w:bCs/>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619"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100" w:line="619" w:lineRule="exact"/>
        <w:ind w:left="0" w:right="0" w:firstLine="0"/>
        <w:jc w:val="left"/>
      </w:pPr>
      <w:r>
        <w:rPr>
          <w:b/>
          <w:bCs/>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72,919,650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58,335,720.00</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58,335,720.00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177,099,656.50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011"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基于公司持续、稳健的盈利能力和良好的财务状况，以及对未来发展的良好预期，为积极合理回报投资者、共享企业价值， 公司拟以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年末总股本</w:t>
            </w:r>
            <w:r>
              <w:rPr>
                <w:rFonts w:ascii="Times New Roman" w:eastAsia="Times New Roman" w:hAnsi="Times New Roman" w:cs="Times New Roman"/>
                <w:color w:val="000000"/>
                <w:spacing w:val="0"/>
                <w:w w:val="100"/>
                <w:position w:val="0"/>
                <w:sz w:val="18"/>
                <w:szCs w:val="18"/>
              </w:rPr>
              <w:t>72,919,650</w:t>
            </w:r>
            <w:r>
              <w:rPr>
                <w:color w:val="000000"/>
                <w:spacing w:val="0"/>
                <w:w w:val="100"/>
                <w:position w:val="0"/>
                <w:sz w:val="17"/>
                <w:szCs w:val="17"/>
              </w:rPr>
              <w:t>股为基数，进行如下分配：向全体股东每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元（含税），合计派 发现金股利</w:t>
            </w:r>
            <w:r>
              <w:rPr>
                <w:rFonts w:ascii="Times New Roman" w:eastAsia="Times New Roman" w:hAnsi="Times New Roman" w:cs="Times New Roman"/>
                <w:color w:val="000000"/>
                <w:spacing w:val="0"/>
                <w:w w:val="100"/>
                <w:position w:val="0"/>
                <w:sz w:val="18"/>
                <w:szCs w:val="18"/>
              </w:rPr>
              <w:t>58,335,720</w:t>
            </w:r>
            <w:r>
              <w:rPr>
                <w:color w:val="000000"/>
                <w:spacing w:val="0"/>
                <w:w w:val="100"/>
                <w:position w:val="0"/>
                <w:sz w:val="17"/>
                <w:szCs w:val="17"/>
              </w:rPr>
              <w:t>元。同时进行资本公积金转增股本，向全体股东每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股，合计转增股本</w:t>
            </w:r>
            <w:r>
              <w:rPr>
                <w:rFonts w:ascii="Times New Roman" w:eastAsia="Times New Roman" w:hAnsi="Times New Roman" w:cs="Times New Roman"/>
                <w:color w:val="000000"/>
                <w:spacing w:val="0"/>
                <w:w w:val="100"/>
                <w:position w:val="0"/>
                <w:sz w:val="18"/>
                <w:szCs w:val="18"/>
              </w:rPr>
              <w:t>58,335,720</w:t>
            </w:r>
            <w:r>
              <w:rPr>
                <w:color w:val="000000"/>
                <w:spacing w:val="0"/>
                <w:w w:val="100"/>
                <w:position w:val="0"/>
                <w:sz w:val="17"/>
                <w:szCs w:val="17"/>
              </w:rPr>
              <w:t>股。 本年度公司不送红股。经上述分配后，剩余未分配利润全部结转以后年度。</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如在本次利润分配预案公告披露之日起至实施权益分派的股权登记日期间，因公司进行新股增发、股权激励授予行权、股 份回购等事项导致公司总股本发生变动的，公司维持每股分配的现金股利和转增股份比例不变，相应调整分配总额。</w:t>
            </w:r>
          </w:p>
        </w:tc>
      </w:tr>
    </w:tbl>
    <w:p>
      <w:pPr>
        <w:pStyle w:val="Style29"/>
        <w:keepNext w:val="0"/>
        <w:keepLines w:val="0"/>
        <w:widowControl w:val="0"/>
        <w:shd w:val="clear" w:color="auto" w:fill="auto"/>
        <w:bidi w:val="0"/>
        <w:spacing w:before="0" w:line="478" w:lineRule="exact"/>
        <w:ind w:left="0" w:right="0" w:firstLine="0"/>
        <w:jc w:val="both"/>
      </w:pPr>
      <w:r>
        <w:rPr>
          <w:b/>
          <w:bCs/>
          <w:color w:val="000000"/>
          <w:spacing w:val="0"/>
          <w:w w:val="100"/>
          <w:position w:val="0"/>
        </w:rPr>
        <w:t>公司近</w:t>
      </w:r>
      <w:r>
        <w:rPr>
          <w:rFonts w:ascii="Times New Roman" w:eastAsia="Times New Roman" w:hAnsi="Times New Roman" w:cs="Times New Roman"/>
          <w:b/>
          <w:bCs/>
          <w:color w:val="000000"/>
          <w:spacing w:val="0"/>
          <w:w w:val="100"/>
          <w:position w:val="0"/>
        </w:rPr>
        <w:t>3</w:t>
      </w:r>
      <w:r>
        <w:rPr>
          <w:b/>
          <w:bCs/>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363" w:val="left"/>
        </w:tabs>
        <w:bidi w:val="0"/>
        <w:spacing w:before="0" w:line="466" w:lineRule="exact"/>
        <w:ind w:left="0" w:right="0" w:firstLine="0"/>
        <w:jc w:val="both"/>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72,919,650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 红利</w:t>
      </w:r>
      <w:r>
        <w:rPr>
          <w:rFonts w:ascii="Times New Roman" w:eastAsia="Times New Roman" w:hAnsi="Times New Roman" w:cs="Times New Roman"/>
          <w:color w:val="000000"/>
          <w:spacing w:val="0"/>
          <w:w w:val="100"/>
          <w:position w:val="0"/>
        </w:rPr>
        <w:t>8</w:t>
      </w:r>
      <w:r>
        <w:rPr>
          <w:color w:val="000000"/>
          <w:spacing w:val="0"/>
          <w:w w:val="100"/>
          <w:position w:val="0"/>
        </w:rPr>
        <w:t>元（含税），以资本公积向全体股东每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29"/>
        <w:keepNext w:val="0"/>
        <w:keepLines w:val="0"/>
        <w:widowControl w:val="0"/>
        <w:shd w:val="clear" w:color="auto" w:fill="auto"/>
        <w:tabs>
          <w:tab w:pos="373" w:val="left"/>
        </w:tabs>
        <w:bidi w:val="0"/>
        <w:spacing w:before="0" w:line="478" w:lineRule="exact"/>
        <w:ind w:left="0" w:right="0" w:firstLine="0"/>
        <w:jc w:val="both"/>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年度未进行分红。</w:t>
      </w:r>
    </w:p>
    <w:p>
      <w:pPr>
        <w:pStyle w:val="Style29"/>
        <w:keepNext w:val="0"/>
        <w:keepLines w:val="0"/>
        <w:widowControl w:val="0"/>
        <w:shd w:val="clear" w:color="auto" w:fill="auto"/>
        <w:tabs>
          <w:tab w:pos="373" w:val="left"/>
        </w:tabs>
        <w:bidi w:val="0"/>
        <w:spacing w:before="0" w:line="490" w:lineRule="exact"/>
        <w:ind w:left="0" w:right="0" w:firstLine="0"/>
        <w:jc w:val="both"/>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年度经股东大会审议，按照股东持股等比例分配原则，向股东合计派发现金股利</w:t>
      </w:r>
      <w:r>
        <w:rPr>
          <w:rFonts w:ascii="Times New Roman" w:eastAsia="Times New Roman" w:hAnsi="Times New Roman" w:cs="Times New Roman"/>
          <w:color w:val="000000"/>
          <w:spacing w:val="0"/>
          <w:w w:val="100"/>
          <w:position w:val="0"/>
        </w:rPr>
        <w:t>25,000,000</w:t>
      </w:r>
      <w:r>
        <w:rPr>
          <w:color w:val="000000"/>
          <w:spacing w:val="0"/>
          <w:w w:val="100"/>
          <w:position w:val="0"/>
        </w:rPr>
        <w:t>元， （含税）。</w:t>
      </w:r>
    </w:p>
    <w:p>
      <w:pPr>
        <w:pStyle w:val="Style29"/>
        <w:keepNext w:val="0"/>
        <w:keepLines w:val="0"/>
        <w:widowControl w:val="0"/>
        <w:shd w:val="clear" w:color="auto" w:fill="auto"/>
        <w:bidi w:val="0"/>
        <w:spacing w:before="0" w:after="200" w:line="478" w:lineRule="exact"/>
        <w:ind w:left="0" w:right="0" w:firstLine="0"/>
        <w:jc w:val="both"/>
      </w:pPr>
      <w:r>
        <w:rPr>
          <w:b/>
          <w:bCs/>
          <w:color w:val="000000"/>
          <w:spacing w:val="0"/>
          <w:w w:val="100"/>
          <w:position w:val="0"/>
        </w:rPr>
        <w:t>公司近三年（包括本报告期）普通股现金分红情况表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rPr>
                <w:sz w:val="17"/>
                <w:szCs w:val="17"/>
              </w:rPr>
            </w:pPr>
            <w:r>
              <w:rPr>
                <w:color w:val="000000"/>
                <w:spacing w:val="0"/>
                <w:w w:val="100"/>
                <w:position w:val="0"/>
                <w:sz w:val="17"/>
                <w:szCs w:val="17"/>
              </w:rPr>
              <w:t>以其他方式</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现金分红总额</w:t>
            </w:r>
          </w:p>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58,335,720.00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76,068,385.68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58,335,720.00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71,901,205.60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55,082,804.69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w:t>
            </w:r>
          </w:p>
        </w:tc>
      </w:tr>
    </w:tbl>
    <w:p>
      <w:pPr>
        <w:widowControl w:val="0"/>
        <w:spacing w:after="279" w:line="1" w:lineRule="exact"/>
      </w:pPr>
    </w:p>
    <w:p>
      <w:pPr>
        <w:pStyle w:val="Style29"/>
        <w:keepNext w:val="0"/>
        <w:keepLines w:val="0"/>
        <w:widowControl w:val="0"/>
        <w:shd w:val="clear" w:color="auto" w:fill="auto"/>
        <w:bidi w:val="0"/>
        <w:spacing w:before="0" w:line="240" w:lineRule="auto"/>
        <w:ind w:left="0" w:right="0" w:firstLine="0"/>
        <w:jc w:val="left"/>
      </w:pPr>
      <w:r>
        <w:rPr>
          <w:b/>
          <w:bCs/>
          <w:color w:val="000000"/>
          <w:spacing w:val="0"/>
          <w:w w:val="100"/>
          <w:position w:val="0"/>
        </w:rPr>
        <w:t>公司报告期内盈利且母公司可供普通股股东分配利润为正但未提出普通股现金红利分配预案</w:t>
      </w:r>
      <w:r>
        <w:br w:type="page"/>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二</w:t>
      </w:r>
      <w:bookmarkEnd w:id="271"/>
      <w:r>
        <w:rPr>
          <w:color w:val="000000"/>
          <w:spacing w:val="0"/>
          <w:w w:val="100"/>
          <w:position w:val="0"/>
          <w:sz w:val="24"/>
          <w:szCs w:val="24"/>
        </w:rPr>
        <w:t>、承诺事项履行情况</w:t>
      </w:r>
      <w:bookmarkEnd w:id="269"/>
      <w:bookmarkEnd w:id="270"/>
      <w:bookmarkEnd w:id="272"/>
    </w:p>
    <w:p>
      <w:pPr>
        <w:pStyle w:val="Style38"/>
        <w:keepNext/>
        <w:keepLines/>
        <w:widowControl w:val="0"/>
        <w:shd w:val="clear" w:color="auto" w:fill="auto"/>
        <w:bidi w:val="0"/>
        <w:spacing w:before="0" w:after="24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w:t>
      </w:r>
      <w:bookmarkEnd w:id="275"/>
      <w:r>
        <w:rPr>
          <w:color w:val="000000"/>
          <w:spacing w:val="0"/>
          <w:w w:val="100"/>
          <w:position w:val="0"/>
        </w:rPr>
        <w:t>一）公司实际控制人、股东、关联方、收购人以及公司等承诺相关方在报告期内履行完毕及截至报告期</w:t>
      </w:r>
      <w:bookmarkEnd w:id="273"/>
      <w:bookmarkEnd w:id="274"/>
      <w:bookmarkEnd w:id="276"/>
    </w:p>
    <w:p>
      <w:pPr>
        <w:pStyle w:val="Style38"/>
        <w:keepNext/>
        <w:keepLines/>
        <w:widowControl w:val="0"/>
        <w:shd w:val="clear" w:color="auto" w:fill="auto"/>
        <w:bidi w:val="0"/>
        <w:spacing w:before="0" w:after="520" w:line="240" w:lineRule="auto"/>
        <w:ind w:left="0" w:right="0" w:firstLine="0"/>
        <w:jc w:val="left"/>
      </w:pPr>
      <w:bookmarkStart w:id="273" w:name="bookmark273"/>
      <w:bookmarkStart w:id="274" w:name="bookmark274"/>
      <w:bookmarkStart w:id="277" w:name="bookmark277"/>
      <w:r>
        <w:rPr>
          <w:color w:val="000000"/>
          <w:spacing w:val="0"/>
          <w:w w:val="100"/>
          <w:position w:val="0"/>
        </w:rPr>
        <w:t>末尚未履行完毕的承诺事项</w:t>
      </w:r>
      <w:bookmarkEnd w:id="273"/>
      <w:bookmarkEnd w:id="274"/>
      <w:bookmarkEnd w:id="27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888"/>
        <w:gridCol w:w="946"/>
        <w:gridCol w:w="5563"/>
        <w:gridCol w:w="898"/>
        <w:gridCol w:w="317"/>
        <w:gridCol w:w="36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承 诺 期 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履 行 情 况</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收购报 告书或 权益变 动报告 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资产重 组时所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首次公 开发行 或再融 资时所 作承诺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作为公司的控股股东、实际控制人，陈树林、蒋小明承诺如下：</w:t>
            </w:r>
          </w:p>
          <w:p>
            <w:pPr>
              <w:pStyle w:val="Style22"/>
              <w:keepNext w:val="0"/>
              <w:keepLines w:val="0"/>
              <w:widowControl w:val="0"/>
              <w:shd w:val="clear" w:color="auto" w:fill="auto"/>
              <w:tabs>
                <w:tab w:pos="302"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自股票上市之日起三十六个月内，不转让或者委托他人管理其直接 或间接持有的公司股份，也不由公司回购该部分股份；</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上述股份限售期届满后，在本人担任公司董事、监事或高级管理人 员期间，每年直接或间接转让的股份不得超过本人直接或间接持有的公 司股份总数的百分之二十五；离职后半年内，不转让本人直接或间接持 有的公司股份；</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所持股票在锁定期满后两年内减持的，其减持价格不低于发行价；</w:t>
            </w:r>
          </w:p>
          <w:p>
            <w:pPr>
              <w:pStyle w:val="Style22"/>
              <w:keepNext w:val="0"/>
              <w:keepLines w:val="0"/>
              <w:widowControl w:val="0"/>
              <w:shd w:val="clear" w:color="auto" w:fill="auto"/>
              <w:tabs>
                <w:tab w:pos="21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个交易日的收盘价均低于发 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个月期末（如该日不是交易日，则为该日后第一个 交易日）收盘价低于发行价，本人持有公司股票的锁定期限自动延长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个月。若公司股票在此期间发生派息、送股、资本公积转增股本等除权 除息事项的，发行价应相应调整。</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本人将遵守中国证监会《上市公司股东、董监高减持股份的若干规 定》，深圳证券交易所《深圳证券交易所创业板股票上市规则》、《深圳 证券交易所上市公司股东及董事、监事、高级管理人员减持股份实施细 则》的相关规定。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作为公司的控股股东、实际控制人，陈树林、蒋小明承诺如下：</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、自股票上市之日起三十六个月内，不转让或者委托他人管理其直接 或间接持有的公司股份，也不由公司回购该部分股份；</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上述股份限售期届满后，在本人担任公司董事、监事或高级管理人 员期间，每年直接或间接转让的股份不得超过本人直接或间接持有的公 司股份总数的百分之二十五；离职后半年内，不转让本人直接或间接持 有的公司股份；</w:t>
            </w:r>
          </w:p>
          <w:p>
            <w:pPr>
              <w:pStyle w:val="Style22"/>
              <w:keepNext w:val="0"/>
              <w:keepLines w:val="0"/>
              <w:widowControl w:val="0"/>
              <w:shd w:val="clear" w:color="auto" w:fill="auto"/>
              <w:tabs>
                <w:tab w:pos="27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所持股票在锁定期满后两年内减持的，其减持价格不低于发行价；</w:t>
            </w:r>
          </w:p>
          <w:p>
            <w:pPr>
              <w:pStyle w:val="Style22"/>
              <w:keepNext w:val="0"/>
              <w:keepLines w:val="0"/>
              <w:widowControl w:val="0"/>
              <w:shd w:val="clear" w:color="auto" w:fill="auto"/>
              <w:tabs>
                <w:tab w:pos="216"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个交易日的收盘价均低于发 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个月期末（如该日不是交易日，则为该日后第一个 交易日）收盘价低于发行价，本人持有公司股票的锁定期限自动延长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个月。若公司股票在此期间发生派息、送股、资本公积转增股本等除权 除息事项的，发行价应相应调整。</w:t>
            </w:r>
          </w:p>
          <w:p>
            <w:pPr>
              <w:pStyle w:val="Style22"/>
              <w:keepNext w:val="0"/>
              <w:keepLines w:val="0"/>
              <w:widowControl w:val="0"/>
              <w:shd w:val="clear" w:color="auto" w:fill="auto"/>
              <w:tabs>
                <w:tab w:pos="27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本人将遵守中国证监会《上市公司股东、董监高减持股份的若干规 定》，深圳证券交易所《深圳证券交易所创业板股票上市规则》、《深圳 证券交易所上市公司股东及董事、监事、高级管理人员减持股份实施细 则》的相关规定。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行 中</w:t>
            </w:r>
          </w:p>
        </w:tc>
      </w:tr>
      <w:tr>
        <w:trPr>
          <w:trHeight w:val="196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深圳市东 方富海创 业投资企 业（有限合 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作为公司持股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以上股东承诺如下：</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本企业将遵守中国证监会《上市公司股东、董监高减持股份的若干规 定》，深圳证券交易所《深圳证券交易所创业板股票上市规则》、《深圳 证券交易所上市公司股东及董事、监事、高级管理人员减持股份实施细 则》的相关规定。自股票上市之日起十二个月内，本企业不转让或者委 托他人管理直接或间接持有的公司股份，也不由公司回购该部分股份。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196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深圳市众 创佳业投 资企业（有 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作为公司持股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以上股东承诺如下：</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本企业将遵守中国证监会《上市公司股东、董监高减持股份的若干规 定》，深圳证券交易所《深圳证券交易所创业板股票上市规则》、《深圳 证券交易所上市公司股东及董事、监事、高级管理人员减持股份实施细 则》的相关规定。自股票上市之日起十二个月内，本企业不转让或者委 托他人管理直接或间接持有的公司股份，也不由公司回购该部分股份。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19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本人将遵守中国证监会《上市公司股东、董监高减持股份的若干规定》， 深圳证券交易所《深圳证券交易所创业板股票上市规则》、《深圳证券交 易所上市公司股东及董事、监事、高级管理人员减持股份实施细则》的 相关规定。自公司公开发行股票并上市之日起十二个月内，本人不转让 或者委托他人管理本人通过众创佳业间接持有的公司公开发行股票前 已发行的股份，也不由众创佳业回购该部分股份。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196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本人将遵守中国证监会《上市公司股东、董监高减持股份的若干规定》， 深圳证券交易所《深圳证券交易所创业板股票上市规则》、《深圳证券交 易所上市公司股东及董事、监事、高级管理人员减持股份实施细则》的 相关规定。自公司公开发行股票并上市之日起十二个月内，本人不转让 或者委托他人管理本人通过众创佳业间接持有的公司公开发行股票前 已发行的股份，也不由众创佳业回购该部分股份。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1661"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本人将遵守中国证监会《上市公司股东、董监高减持股份的若干规定》， 深圳证券交易所《深圳证券交易所创业板股票上市规则》、《深圳证券交 易所上市公司股东及董事、监事、高级管理人员减持股份实施细则》的 相关规定。自公司公开发行股票并上市之日起十二个月内，本人不转让 或者委托他人管理本人通过众创佳业间接持有的公司公开发行股票前</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已发行的股份，也不由众创佳业回购该部分股份。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本人将遵守中国证监会《上市公司股东、董监高减持股份的若干规定》， 深圳证券交易所《深圳证券交易所创业板股票上市规则》、《深圳证券交 易所上市公司股东及董事、监事、高级管理人员减持股份实施细则》的 相关规定。自公司公开发行股票并上市之日起十二个月内，本人不转让 或者委托他人管理本人通过众创佳业间接持有的公司公开发行股票前 已发行的股份，也不由众创佳业回购该部分股份。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本人将遵守中国证监会《上市公司股东、董监高减持股份的若干规 定》，深圳证券交易所《深圳证券交易所创业板股票上市规则》、《深圳 证券交易所上市公司股东及董事、监事、高级管理人员减持股份实施细 则》的相关规定，以及本人就持股锁定事项出具的相关承诺执行有关股 份限售事项；在证券监管机构、自律机构及证券交易所等有关部门颁布 的相关法律法规及规范性文件的有关规定，以及本人股份锁定承诺规定 的限售期内，本人不会进行任何违反相关规定及股份锁定承诺的股份减 持行为。</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股份锁定期满后，本人届时将综合考虑资金需求、投资安排等各方 面因素确定是否减持公司股份。</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如本人确定依法减持公司股份的，将严格按照证券监管机构、自律 机构及证券交易所等有权部门颁布的届时有效的减持规则进行减持，并 履行相应的信息披露义务。</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减持承诺：</w:t>
            </w:r>
          </w:p>
          <w:p>
            <w:pPr>
              <w:pStyle w:val="Style22"/>
              <w:keepNext w:val="0"/>
              <w:keepLines w:val="0"/>
              <w:widowControl w:val="0"/>
              <w:numPr>
                <w:ilvl w:val="0"/>
                <w:numId w:val="1"/>
              </w:numPr>
              <w:shd w:val="clear" w:color="auto" w:fill="auto"/>
              <w:tabs>
                <w:tab w:pos="341" w:val="left"/>
              </w:tabs>
              <w:bidi w:val="0"/>
              <w:spacing w:before="0" w:after="0" w:line="315" w:lineRule="exact"/>
              <w:ind w:left="0" w:right="0" w:firstLine="0"/>
              <w:jc w:val="both"/>
              <w:rPr>
                <w:sz w:val="17"/>
                <w:szCs w:val="17"/>
              </w:rPr>
            </w:pPr>
            <w:r>
              <w:rPr>
                <w:color w:val="000000"/>
                <w:spacing w:val="0"/>
                <w:w w:val="100"/>
                <w:position w:val="0"/>
                <w:sz w:val="17"/>
                <w:szCs w:val="17"/>
              </w:rPr>
              <w:t>减持条件：符合中国证监会、证券交易所的有关规定；</w:t>
            </w:r>
          </w:p>
          <w:p>
            <w:pPr>
              <w:pStyle w:val="Style22"/>
              <w:keepNext w:val="0"/>
              <w:keepLines w:val="0"/>
              <w:widowControl w:val="0"/>
              <w:numPr>
                <w:ilvl w:val="0"/>
                <w:numId w:val="1"/>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减持时间：严格遵守持股流通限制的相关规定，持股流通限制期 满后方可减持公司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p>
            <w:pPr>
              <w:pStyle w:val="Style22"/>
              <w:keepNext w:val="0"/>
              <w:keepLines w:val="0"/>
              <w:widowControl w:val="0"/>
              <w:numPr>
                <w:ilvl w:val="0"/>
                <w:numId w:val="1"/>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减持方式：以证券交易所集中竞价、大宗交易以及中国证监会、 证券交易所认可的方式；</w:t>
            </w:r>
          </w:p>
          <w:p>
            <w:pPr>
              <w:pStyle w:val="Style22"/>
              <w:keepNext w:val="0"/>
              <w:keepLines w:val="0"/>
              <w:widowControl w:val="0"/>
              <w:numPr>
                <w:ilvl w:val="0"/>
                <w:numId w:val="1"/>
              </w:numPr>
              <w:shd w:val="clear" w:color="auto" w:fill="auto"/>
              <w:tabs>
                <w:tab w:pos="446" w:val="left"/>
              </w:tabs>
              <w:bidi w:val="0"/>
              <w:spacing w:before="0" w:after="0" w:line="315" w:lineRule="exact"/>
              <w:ind w:left="0" w:right="0" w:firstLine="0"/>
              <w:jc w:val="both"/>
              <w:rPr>
                <w:sz w:val="17"/>
                <w:szCs w:val="17"/>
              </w:rPr>
            </w:pPr>
            <w:r>
              <w:rPr>
                <w:color w:val="000000"/>
                <w:spacing w:val="0"/>
                <w:w w:val="100"/>
                <w:position w:val="0"/>
                <w:sz w:val="17"/>
                <w:szCs w:val="17"/>
              </w:rPr>
              <w:t>减持价格：如在持股流通限制期满后两年内减持，减持价格不低 于公司首次公开发行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股股票的发行价，公司如有派息、送股、资本 公积金转增股本、配股等除权除息事项，发行价格将相应进行调整；</w:t>
            </w:r>
          </w:p>
          <w:p>
            <w:pPr>
              <w:pStyle w:val="Style22"/>
              <w:keepNext w:val="0"/>
              <w:keepLines w:val="0"/>
              <w:widowControl w:val="0"/>
              <w:numPr>
                <w:ilvl w:val="0"/>
                <w:numId w:val="1"/>
              </w:numPr>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 xml:space="preserve"> 减持公告：将在减持前提前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个交易日将具体的减持计划以书面 方式告知公司，由公司提前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个交易日公告。如通过深圳证券交易所集 中竞价交易减持股份的，应当在首次卖出的十五个交易日前向深圳证券 交易所报告减持计划，进行备案及公告。减持计划的内容包括但不限于 减持股份的数量、来源、原因、时间区间和价格区间等信息。</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陈树林、蒋小明同时作出承诺，若其未能按照上述承诺事项履行，本人 持有的公司股份自本人未履行上述减持意向之日起六个月内不得减持。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、本人将遵守中国证监会《上市公司股东、董监高减持股份的若干规 定》，深圳证券交易所《深圳证券交易所创业板股票上市规则》、《深圳 证券交易所上市公司股东及董事、监事、高级管理人员减持股份实施细 则》的相关规定，以及本人就持股锁定事项出具的相关承诺执行有关股 份限售事项；在证券监管机构、自律机构及证券交易所等有关部门颁布 的相关法律法规及规范性文件的有关规定，以及本人股份锁定承诺规定 的限售期内，本人不会进行任何违反相关规定及股份锁定承诺的股份减</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持行为。</w:t>
            </w:r>
          </w:p>
          <w:p>
            <w:pPr>
              <w:pStyle w:val="Style2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股份锁定期满后，本人届时将综合考虑资金需求、投资安排等各方 面因素确定是否减持公司股份。</w:t>
            </w:r>
          </w:p>
          <w:p>
            <w:pPr>
              <w:pStyle w:val="Style22"/>
              <w:keepNext w:val="0"/>
              <w:keepLines w:val="0"/>
              <w:widowControl w:val="0"/>
              <w:shd w:val="clear" w:color="auto" w:fill="auto"/>
              <w:tabs>
                <w:tab w:pos="278"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如本人确定依法减持公司股份的，将严格按照证券监管机构、自律 机构及证券交易所等有权部门颁布的届时有效的减持规则进行减持，并 履行相应的信息披露义务。</w:t>
            </w:r>
          </w:p>
          <w:p>
            <w:pPr>
              <w:pStyle w:val="Style2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减持承诺：</w:t>
            </w:r>
          </w:p>
          <w:p>
            <w:pPr>
              <w:pStyle w:val="Style22"/>
              <w:keepNext w:val="0"/>
              <w:keepLines w:val="0"/>
              <w:widowControl w:val="0"/>
              <w:numPr>
                <w:ilvl w:val="0"/>
                <w:numId w:val="3"/>
              </w:numPr>
              <w:shd w:val="clear" w:color="auto" w:fill="auto"/>
              <w:tabs>
                <w:tab w:pos="341" w:val="left"/>
              </w:tabs>
              <w:bidi w:val="0"/>
              <w:spacing w:before="0" w:after="0" w:line="317" w:lineRule="exact"/>
              <w:ind w:left="0" w:right="0" w:firstLine="0"/>
              <w:jc w:val="both"/>
              <w:rPr>
                <w:sz w:val="17"/>
                <w:szCs w:val="17"/>
              </w:rPr>
            </w:pPr>
            <w:r>
              <w:rPr>
                <w:color w:val="000000"/>
                <w:spacing w:val="0"/>
                <w:w w:val="100"/>
                <w:position w:val="0"/>
                <w:sz w:val="17"/>
                <w:szCs w:val="17"/>
              </w:rPr>
              <w:t>减持条件：符合中国证监会、证券交易所的有关规定；</w:t>
            </w:r>
          </w:p>
          <w:p>
            <w:pPr>
              <w:pStyle w:val="Style22"/>
              <w:keepNext w:val="0"/>
              <w:keepLines w:val="0"/>
              <w:widowControl w:val="0"/>
              <w:numPr>
                <w:ilvl w:val="0"/>
                <w:numId w:val="3"/>
              </w:numPr>
              <w:shd w:val="clear" w:color="auto" w:fill="auto"/>
              <w:tabs>
                <w:tab w:pos="451" w:val="left"/>
              </w:tabs>
              <w:bidi w:val="0"/>
              <w:spacing w:before="0" w:after="0" w:line="317" w:lineRule="exact"/>
              <w:ind w:left="0" w:right="0" w:firstLine="0"/>
              <w:jc w:val="both"/>
              <w:rPr>
                <w:sz w:val="17"/>
                <w:szCs w:val="17"/>
              </w:rPr>
            </w:pPr>
            <w:r>
              <w:rPr>
                <w:color w:val="000000"/>
                <w:spacing w:val="0"/>
                <w:w w:val="100"/>
                <w:position w:val="0"/>
                <w:sz w:val="17"/>
                <w:szCs w:val="17"/>
              </w:rPr>
              <w:t>减持时间：严格遵守持股流通限制的相关规定，持股流通限制期 满后方可减持公司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p>
            <w:pPr>
              <w:pStyle w:val="Style22"/>
              <w:keepNext w:val="0"/>
              <w:keepLines w:val="0"/>
              <w:widowControl w:val="0"/>
              <w:numPr>
                <w:ilvl w:val="0"/>
                <w:numId w:val="3"/>
              </w:numPr>
              <w:shd w:val="clear" w:color="auto" w:fill="auto"/>
              <w:tabs>
                <w:tab w:pos="451" w:val="left"/>
              </w:tabs>
              <w:bidi w:val="0"/>
              <w:spacing w:before="0" w:after="0" w:line="317" w:lineRule="exact"/>
              <w:ind w:left="0" w:right="0" w:firstLine="0"/>
              <w:jc w:val="both"/>
              <w:rPr>
                <w:sz w:val="17"/>
                <w:szCs w:val="17"/>
              </w:rPr>
            </w:pPr>
            <w:r>
              <w:rPr>
                <w:color w:val="000000"/>
                <w:spacing w:val="0"/>
                <w:w w:val="100"/>
                <w:position w:val="0"/>
                <w:sz w:val="17"/>
                <w:szCs w:val="17"/>
              </w:rPr>
              <w:t>减持方式：以证券交易所集中竞价、大宗交易以及中国证监会、 证券交易所认可的方式；</w:t>
            </w:r>
          </w:p>
          <w:p>
            <w:pPr>
              <w:pStyle w:val="Style22"/>
              <w:keepNext w:val="0"/>
              <w:keepLines w:val="0"/>
              <w:widowControl w:val="0"/>
              <w:numPr>
                <w:ilvl w:val="0"/>
                <w:numId w:val="3"/>
              </w:numPr>
              <w:shd w:val="clear" w:color="auto" w:fill="auto"/>
              <w:tabs>
                <w:tab w:pos="446" w:val="left"/>
              </w:tabs>
              <w:bidi w:val="0"/>
              <w:spacing w:before="0" w:after="0" w:line="317" w:lineRule="exact"/>
              <w:ind w:left="0" w:right="0" w:firstLine="0"/>
              <w:jc w:val="both"/>
              <w:rPr>
                <w:sz w:val="17"/>
                <w:szCs w:val="17"/>
              </w:rPr>
            </w:pPr>
            <w:r>
              <w:rPr>
                <w:color w:val="000000"/>
                <w:spacing w:val="0"/>
                <w:w w:val="100"/>
                <w:position w:val="0"/>
                <w:sz w:val="17"/>
                <w:szCs w:val="17"/>
              </w:rPr>
              <w:t>减持价格：如在持股流通限制期满后两年内减持，减持价格不低 于公司首次公开发行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股股票的发行价，公司如有派息、送股、资本 公积金转增股本、配股等除权除息事项，发行价格将相应进行调整；</w:t>
            </w:r>
          </w:p>
          <w:p>
            <w:pPr>
              <w:pStyle w:val="Style22"/>
              <w:keepNext w:val="0"/>
              <w:keepLines w:val="0"/>
              <w:widowControl w:val="0"/>
              <w:numPr>
                <w:ilvl w:val="0"/>
                <w:numId w:val="3"/>
              </w:numPr>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 xml:space="preserve"> 减持公告：将在减持前提前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个交易日将具体的减持计划以书面 方式告知公司，由公司提前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个交易日公告。如通过深圳证券交易所集 中竞价交易减持股份的，应当在首次卖出的十五个交易日前向深圳证券 交易所报告减持计划，进行备案及公告。减持计划的内容包括但不限于 减持股份的数量、来源、原因、时间区间和价格区间等信息。</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陈树林、蒋小明同时作出承诺，若其未能按照上述承诺事项履行，本人 持有的公司股份自本人未履行上述减持意向之日起六个月内不得减持。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深圳市东 方富海创 业投资企 业(有限合 伙)</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 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78"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本企业将遵守中国证监会《上市公司股东、董监高减持股份的若干 规定》，深圳证券交易所《深圳证券交易所创业板股票上市规则》、《深 圳证券交易所上市公司股东及董事、监事、高级管理人员减持股份实施 细则》的相关规定，以及本企业就持股锁定事项出具的相关承诺执行有 关股份限售事项；在证券监管机构、自律机构及证券交易所等有关部门 颁布的相关法律法规及规范性文件的有关规定，以及本企业股份锁定承 诺规定的限售期内，本企业不会进行任何违反相关规定及股份锁定承诺 的股份减持行为。</w:t>
            </w:r>
          </w:p>
          <w:p>
            <w:pPr>
              <w:pStyle w:val="Style22"/>
              <w:keepNext w:val="0"/>
              <w:keepLines w:val="0"/>
              <w:widowControl w:val="0"/>
              <w:shd w:val="clear" w:color="auto" w:fill="auto"/>
              <w:tabs>
                <w:tab w:pos="283"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股份锁定期满后，本企业届时将综合考虑资金需求、投资安排等各 方面因素确定是否减持公司股份。</w:t>
            </w:r>
          </w:p>
          <w:p>
            <w:pPr>
              <w:pStyle w:val="Style22"/>
              <w:keepNext w:val="0"/>
              <w:keepLines w:val="0"/>
              <w:widowControl w:val="0"/>
              <w:shd w:val="clear" w:color="auto" w:fill="auto"/>
              <w:tabs>
                <w:tab w:pos="278"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如本企业确定依法减持公司股份的，将严格按照证券监管机构、自 律机构及证券交易所等有权部门颁布的届时有效的减持规则进行减持， 并履行相应的信息披露义务。</w:t>
            </w:r>
          </w:p>
          <w:p>
            <w:pPr>
              <w:pStyle w:val="Style22"/>
              <w:keepNext w:val="0"/>
              <w:keepLines w:val="0"/>
              <w:widowControl w:val="0"/>
              <w:shd w:val="clear" w:color="auto" w:fill="auto"/>
              <w:tabs>
                <w:tab w:pos="283"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减持承诺：</w:t>
            </w:r>
          </w:p>
          <w:p>
            <w:pPr>
              <w:pStyle w:val="Style22"/>
              <w:keepNext w:val="0"/>
              <w:keepLines w:val="0"/>
              <w:widowControl w:val="0"/>
              <w:numPr>
                <w:ilvl w:val="0"/>
                <w:numId w:val="5"/>
              </w:numPr>
              <w:shd w:val="clear" w:color="auto" w:fill="auto"/>
              <w:tabs>
                <w:tab w:pos="341" w:val="left"/>
              </w:tabs>
              <w:bidi w:val="0"/>
              <w:spacing w:before="0" w:after="0" w:line="316" w:lineRule="exact"/>
              <w:ind w:left="0" w:right="0" w:firstLine="0"/>
              <w:jc w:val="both"/>
              <w:rPr>
                <w:sz w:val="17"/>
                <w:szCs w:val="17"/>
              </w:rPr>
            </w:pPr>
            <w:r>
              <w:rPr>
                <w:color w:val="000000"/>
                <w:spacing w:val="0"/>
                <w:w w:val="100"/>
                <w:position w:val="0"/>
                <w:sz w:val="17"/>
                <w:szCs w:val="17"/>
              </w:rPr>
              <w:t>减持条件：符合中国证监会、证券交易所的有关规定；</w:t>
            </w:r>
          </w:p>
          <w:p>
            <w:pPr>
              <w:pStyle w:val="Style22"/>
              <w:keepNext w:val="0"/>
              <w:keepLines w:val="0"/>
              <w:widowControl w:val="0"/>
              <w:numPr>
                <w:ilvl w:val="0"/>
                <w:numId w:val="5"/>
              </w:numPr>
              <w:shd w:val="clear" w:color="auto" w:fill="auto"/>
              <w:tabs>
                <w:tab w:pos="451" w:val="left"/>
              </w:tabs>
              <w:bidi w:val="0"/>
              <w:spacing w:before="0" w:after="0" w:line="316" w:lineRule="exact"/>
              <w:ind w:left="0" w:right="0" w:firstLine="0"/>
              <w:jc w:val="both"/>
              <w:rPr>
                <w:sz w:val="17"/>
                <w:szCs w:val="17"/>
              </w:rPr>
            </w:pPr>
            <w:r>
              <w:rPr>
                <w:color w:val="000000"/>
                <w:spacing w:val="0"/>
                <w:w w:val="100"/>
                <w:position w:val="0"/>
                <w:sz w:val="17"/>
                <w:szCs w:val="17"/>
              </w:rPr>
              <w:t>减持时间：严格遵守持股流通限制的相关规定，持股流通限制期 满后方可减持公司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p>
            <w:pPr>
              <w:pStyle w:val="Style22"/>
              <w:keepNext w:val="0"/>
              <w:keepLines w:val="0"/>
              <w:widowControl w:val="0"/>
              <w:numPr>
                <w:ilvl w:val="0"/>
                <w:numId w:val="5"/>
              </w:numPr>
              <w:shd w:val="clear" w:color="auto" w:fill="auto"/>
              <w:tabs>
                <w:tab w:pos="451" w:val="left"/>
              </w:tabs>
              <w:bidi w:val="0"/>
              <w:spacing w:before="0" w:after="0" w:line="316" w:lineRule="exact"/>
              <w:ind w:left="0" w:right="0" w:firstLine="0"/>
              <w:jc w:val="both"/>
              <w:rPr>
                <w:sz w:val="17"/>
                <w:szCs w:val="17"/>
              </w:rPr>
            </w:pPr>
            <w:r>
              <w:rPr>
                <w:color w:val="000000"/>
                <w:spacing w:val="0"/>
                <w:w w:val="100"/>
                <w:position w:val="0"/>
                <w:sz w:val="17"/>
                <w:szCs w:val="17"/>
              </w:rPr>
              <w:t>减持方式：以证券交易所集中竞价、大宗交易以及中国证监会、 证券交易所认可的方式；</w:t>
            </w:r>
          </w:p>
          <w:p>
            <w:pPr>
              <w:pStyle w:val="Style22"/>
              <w:keepNext w:val="0"/>
              <w:keepLines w:val="0"/>
              <w:widowControl w:val="0"/>
              <w:numPr>
                <w:ilvl w:val="0"/>
                <w:numId w:val="5"/>
              </w:numPr>
              <w:shd w:val="clear" w:color="auto" w:fill="auto"/>
              <w:tabs>
                <w:tab w:pos="442" w:val="left"/>
              </w:tabs>
              <w:bidi w:val="0"/>
              <w:spacing w:before="0" w:after="0" w:line="316" w:lineRule="exact"/>
              <w:ind w:left="0" w:right="0" w:firstLine="0"/>
              <w:jc w:val="both"/>
              <w:rPr>
                <w:sz w:val="17"/>
                <w:szCs w:val="17"/>
              </w:rPr>
            </w:pPr>
            <w:r>
              <w:rPr>
                <w:color w:val="000000"/>
                <w:spacing w:val="0"/>
                <w:w w:val="100"/>
                <w:position w:val="0"/>
                <w:sz w:val="17"/>
                <w:szCs w:val="17"/>
              </w:rPr>
              <w:t>减持价格：如在持股流通限制期满后两年内减持的，减持价格不 低于公司首次公开发行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股股票的发行价；</w:t>
            </w:r>
          </w:p>
          <w:p>
            <w:pPr>
              <w:pStyle w:val="Style22"/>
              <w:keepNext w:val="0"/>
              <w:keepLines w:val="0"/>
              <w:widowControl w:val="0"/>
              <w:numPr>
                <w:ilvl w:val="0"/>
                <w:numId w:val="5"/>
              </w:numPr>
              <w:shd w:val="clear" w:color="auto" w:fill="auto"/>
              <w:tabs>
                <w:tab w:pos="355" w:val="left"/>
              </w:tabs>
              <w:bidi w:val="0"/>
              <w:spacing w:before="0" w:after="0" w:line="316" w:lineRule="exact"/>
              <w:ind w:left="0" w:right="0" w:firstLine="0"/>
              <w:jc w:val="both"/>
              <w:rPr>
                <w:sz w:val="17"/>
                <w:szCs w:val="17"/>
              </w:rPr>
            </w:pPr>
            <w:r>
              <w:rPr>
                <w:color w:val="000000"/>
                <w:spacing w:val="0"/>
                <w:w w:val="100"/>
                <w:position w:val="0"/>
                <w:sz w:val="17"/>
                <w:szCs w:val="17"/>
              </w:rPr>
              <w:t>减持公告：在减持前提前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个交易日将具体的减持计划以书面方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式告知公司，由公司提前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个交易日公告。如通过深圳证券交易所集中 竞价交易减持股份的，应当在首次卖出的十五个交易日前向深圳证券交 易所报告减持计划，进行备案及公告。减持计划的内容包括但不限于减 持股份的数量、来源、原因、时间区间和价格区间等信息。</w:t>
            </w:r>
          </w:p>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本企业同时承诺，若其未能按照上述承诺事项履行，本企业持有的南凌 科技股份自本企业未履行上述减持意向之日起六个月内不得减持。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深圳市众 创佳业投 资企业（有 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 承诺</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78"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本企业将遵守中国证监会《上市公司股东、董监高减持股份的若干 规定》，深圳证券交易所《深圳证券交易所创业板股票上市规则》、《深 圳证券交易所上市公司股东及董事、监事、高级管理人员减持股份实施 细则》的相关规定，以及本企业就持股锁定事项出具的相关承诺执行有 关股份限售事项；在证券监管机构、自律机构及证券交易所等有关部门 颁布的相关法律法规及规范性文件的有关规定，以及本企业股份锁定承 诺规定的限售期内，本企业不会进行任何违反相关规定及股份锁定承诺 的股份减持行为。</w:t>
            </w:r>
          </w:p>
          <w:p>
            <w:pPr>
              <w:pStyle w:val="Style2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股份锁定期满后，本企业届时将综合考虑资金需求、投资安排等各 方面因素确定是否减持公司股份。</w:t>
            </w:r>
          </w:p>
          <w:p>
            <w:pPr>
              <w:pStyle w:val="Style22"/>
              <w:keepNext w:val="0"/>
              <w:keepLines w:val="0"/>
              <w:widowControl w:val="0"/>
              <w:shd w:val="clear" w:color="auto" w:fill="auto"/>
              <w:tabs>
                <w:tab w:pos="278"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如本企业确定依法减持公司股份的，将严格按照证券监管机构、自 律机构及证券交易所等有权部门颁布的届时有效的减持规则进行减持， 并履行相应的信息披露义务。</w:t>
            </w:r>
          </w:p>
          <w:p>
            <w:pPr>
              <w:pStyle w:val="Style22"/>
              <w:keepNext w:val="0"/>
              <w:keepLines w:val="0"/>
              <w:widowControl w:val="0"/>
              <w:shd w:val="clear" w:color="auto" w:fill="auto"/>
              <w:tabs>
                <w:tab w:pos="283"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减持承诺：</w:t>
            </w:r>
          </w:p>
          <w:p>
            <w:pPr>
              <w:pStyle w:val="Style22"/>
              <w:keepNext w:val="0"/>
              <w:keepLines w:val="0"/>
              <w:widowControl w:val="0"/>
              <w:shd w:val="clear" w:color="auto" w:fill="auto"/>
              <w:tabs>
                <w:tab w:pos="341"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减持条件：符合中国证监会、证券交易所的有关规定；</w:t>
            </w:r>
          </w:p>
          <w:p>
            <w:pPr>
              <w:pStyle w:val="Style22"/>
              <w:keepNext w:val="0"/>
              <w:keepLines w:val="0"/>
              <w:widowControl w:val="0"/>
              <w:shd w:val="clear" w:color="auto" w:fill="auto"/>
              <w:tabs>
                <w:tab w:pos="451"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减持时间：严格遵守持股流通限制的相关规定，持股流通限制期 满后方可减持公司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w:t>
            </w:r>
          </w:p>
          <w:p>
            <w:pPr>
              <w:pStyle w:val="Style22"/>
              <w:keepNext w:val="0"/>
              <w:keepLines w:val="0"/>
              <w:widowControl w:val="0"/>
              <w:shd w:val="clear" w:color="auto" w:fill="auto"/>
              <w:tabs>
                <w:tab w:pos="451"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减持方式：以证券交易所集中竞价、大宗交易以及中国证监会、 证券交易所认可的方式；</w:t>
            </w:r>
          </w:p>
          <w:p>
            <w:pPr>
              <w:pStyle w:val="Style22"/>
              <w:keepNext w:val="0"/>
              <w:keepLines w:val="0"/>
              <w:widowControl w:val="0"/>
              <w:shd w:val="clear" w:color="auto" w:fill="auto"/>
              <w:tabs>
                <w:tab w:pos="442"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减持价格：如在持股流通限制期满后两年内减持的，减持价格不 低于公司首次公开发行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股股票的发行价；</w:t>
            </w:r>
          </w:p>
          <w:p>
            <w:pPr>
              <w:pStyle w:val="Style22"/>
              <w:keepNext w:val="0"/>
              <w:keepLines w:val="0"/>
              <w:widowControl w:val="0"/>
              <w:shd w:val="clear" w:color="auto" w:fill="auto"/>
              <w:tabs>
                <w:tab w:pos="451"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减持公告：在减持前提前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个交易日将具体的减持计划以书面方 式告知公司，由公司提前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个交易日公告。如通过深圳证券交易所集中 竞价交易减持股份的，应当在首次卖出的十五个交易日前向深圳证券交 易所报告减持计划，进行备案及公告。减持计划的内容包括但不限于减 持股份的数量、来源、原因、时间区间和价格区间等信息。</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本企业同时承诺，若其未能按照上述承诺事项履行，本企业持有的南凌 科技股份自本企业未履行上述减持意向之日起六个月内不得减持。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股东一致 行动承诺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陈树林、蒋小明为公司控股股东和共同实际控制人，各自分别直接持有 公司</w:t>
            </w:r>
            <w:r>
              <w:rPr>
                <w:rFonts w:ascii="Times New Roman" w:eastAsia="Times New Roman" w:hAnsi="Times New Roman" w:cs="Times New Roman"/>
                <w:color w:val="000000"/>
                <w:spacing w:val="0"/>
                <w:w w:val="100"/>
                <w:position w:val="0"/>
                <w:sz w:val="18"/>
                <w:szCs w:val="18"/>
              </w:rPr>
              <w:t>35.41%</w:t>
            </w:r>
            <w:r>
              <w:rPr>
                <w:color w:val="000000"/>
                <w:spacing w:val="0"/>
                <w:w w:val="100"/>
                <w:position w:val="0"/>
                <w:sz w:val="17"/>
                <w:szCs w:val="17"/>
              </w:rPr>
              <w:t>的股份，合计持有公司</w:t>
            </w:r>
            <w:r>
              <w:rPr>
                <w:rFonts w:ascii="Times New Roman" w:eastAsia="Times New Roman" w:hAnsi="Times New Roman" w:cs="Times New Roman"/>
                <w:color w:val="000000"/>
                <w:spacing w:val="0"/>
                <w:w w:val="100"/>
                <w:position w:val="0"/>
                <w:sz w:val="18"/>
                <w:szCs w:val="18"/>
              </w:rPr>
              <w:t>70.82%</w:t>
            </w:r>
            <w:r>
              <w:rPr>
                <w:color w:val="000000"/>
                <w:spacing w:val="0"/>
                <w:w w:val="100"/>
                <w:position w:val="0"/>
                <w:sz w:val="17"/>
                <w:szCs w:val="17"/>
              </w:rPr>
              <w:t>的股份。二人从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月至今，合计持股比例一直超过发行人及其前身南凌有限总股本的 </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，且在报告期内的历次的股东（大）会决议及董事会决议及运营决 策上保持一致意见，能够实际支配发行人的行为。</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为进一步明确和加强二人之间的一致行动关系及决策机制，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日，二人签订了《一致行动协议》，具体内容如下：</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一致行动事项</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在不违反法律法规、公司章程，不损害公司、股东和债权人利益的情况 下，双方应就以下范围的事项（以下称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一致行动事项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）采取一致行动：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①股东大会、董事会的召集权、投票权、提案权、提名权等相关权利的 行使；②股权转让、质押及其他处置；③董事、监事候选人的提名；④ 指示双方共同提名的董事在董事会会议上的表决；⑤决定公司内部管理 机构的设置；⑥决定制定公司的基本管理制度；⑦本协议双方认为应该 作为一致行动事项的其他事项。</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双方应就一致行动事项事先协商，并应尽最大努力争取通过协商一致做 出决定。一方无法就一致行动事项与另一方进行事先协商时，可以委托 第三方代为协商的。</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一方不能参加股东大会时，应委托本协议的另一方参加股东大会并行使 双方的投票表决权；如双方均不能参加股东大会时，应当共同委托第三 方参加股东大会并行使双方的投票表决权。</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双方协商无法达成一致时，双方同意，由陈树林作出决定。对此决定， 双方应无条件遵照执行；或由蒋小明不作指示而直接委托陈树林对股东 大会、董事会审议事项进行投票。</w:t>
            </w:r>
          </w:p>
          <w:p>
            <w:pPr>
              <w:pStyle w:val="Style22"/>
              <w:keepNext w:val="0"/>
              <w:keepLines w:val="0"/>
              <w:widowControl w:val="0"/>
              <w:numPr>
                <w:ilvl w:val="0"/>
                <w:numId w:val="7"/>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股权转让、质押及其他处置</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一方在任何时候、任何情况下如有以任何方式转让、质押或以其他方式 处置其所持有的全部或部分公司股权的意向，应即时向另一方通报其行 为的目的、实施的计划，并以取得对方的书面同意为前提。</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一方如转让其所持有的全部或部分股权，应当至少提前十日书面通知另 一方，另一方有优先受让权。</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一方如将其所持有的全部或部分股权对外转让，则该等转让需以受让方 同意承继本协议项下全部义务，并代替出让方重新签署本协议作为股权 转让的生效条件之一。</w:t>
            </w:r>
          </w:p>
          <w:p>
            <w:pPr>
              <w:pStyle w:val="Style22"/>
              <w:keepNext w:val="0"/>
              <w:keepLines w:val="0"/>
              <w:widowControl w:val="0"/>
              <w:numPr>
                <w:ilvl w:val="0"/>
                <w:numId w:val="7"/>
              </w:numPr>
              <w:shd w:val="clear" w:color="auto" w:fill="auto"/>
              <w:tabs>
                <w:tab w:pos="360" w:val="left"/>
              </w:tabs>
              <w:bidi w:val="0"/>
              <w:spacing w:before="0" w:after="0" w:line="312" w:lineRule="exact"/>
              <w:ind w:left="0" w:right="0" w:firstLine="0"/>
              <w:jc w:val="both"/>
              <w:rPr>
                <w:sz w:val="17"/>
                <w:szCs w:val="17"/>
              </w:rPr>
            </w:pPr>
            <w:r>
              <w:rPr>
                <w:color w:val="000000"/>
                <w:spacing w:val="0"/>
                <w:w w:val="100"/>
                <w:position w:val="0"/>
                <w:sz w:val="17"/>
                <w:szCs w:val="17"/>
              </w:rPr>
              <w:t>责任与义务</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双方承诺在其作为公司股东期间，全面履行《一致行动协议》的约定； 一方不得单独或联合任何第三方向股东大会、董事会提出未经双方充分 协商并达成一致意见的提案，或进行与双方事先协商结果不一致的表 决。</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一方持有公司的股份不得通过协议、授权或其他方式委托他人代为持 有。</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一方不得与第三方签订与《一致行动协议》内容相同、近似的协议或合 同。</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一方因故意或过失不履行《一致行动协议》的，给守约方造成实际损失 的，违约方应赔偿守约方所遭受的实际损失。</w:t>
            </w:r>
          </w:p>
          <w:p>
            <w:pPr>
              <w:pStyle w:val="Style22"/>
              <w:keepNext w:val="0"/>
              <w:keepLines w:val="0"/>
              <w:widowControl w:val="0"/>
              <w:numPr>
                <w:ilvl w:val="0"/>
                <w:numId w:val="7"/>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协议的变更、终止</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《一致行动协议》生效后，一方不得擅自变更或终止。需变更或终止时， 由双方根据《一致行动协议》第一条规定的程序经过协商决定，并就此 达成书面协议。在书面协议达成前，《一致行动协议》各条款仍然有效。</w:t>
            </w:r>
          </w:p>
          <w:p>
            <w:pPr>
              <w:pStyle w:val="Style22"/>
              <w:keepNext w:val="0"/>
              <w:keepLines w:val="0"/>
              <w:widowControl w:val="0"/>
              <w:numPr>
                <w:ilvl w:val="0"/>
                <w:numId w:val="7"/>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期限</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《一致行动协议》自双方签署之日生效，有效期为五年。协议期满前三 十日内，若双方未提出异议，《一致行动协议》有效期则自动顺延二年。 鉴于双方对于《一致行动协议》有效期自动顺延无异议，为了确保公司 控制权的稳定，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日，发行人实际控制人陈树林、蒋小明 出具承诺：南凌科技首次公开发行股票并上市成功后，陈树林、蒋小明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将根据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日签署的《一致行动协议》规定的程序，再次签 署有效期不低于五年的一致行动协议。</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《一致行动协议》不因蒋小明、陈树林履行正常程序后的增资、减资或 股权转让等行为导致持股比例的变动而无效，如一方不再持有公司的股 份，则该《一致行动协议》自动失效。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股东一致 行动承诺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陈树林、蒋小明为公司控股股东和共同实际控制人，各自分别直接持有 公司</w:t>
            </w:r>
            <w:r>
              <w:rPr>
                <w:rFonts w:ascii="Times New Roman" w:eastAsia="Times New Roman" w:hAnsi="Times New Roman" w:cs="Times New Roman"/>
                <w:color w:val="000000"/>
                <w:spacing w:val="0"/>
                <w:w w:val="100"/>
                <w:position w:val="0"/>
                <w:sz w:val="18"/>
                <w:szCs w:val="18"/>
              </w:rPr>
              <w:t>35.41%</w:t>
            </w:r>
            <w:r>
              <w:rPr>
                <w:color w:val="000000"/>
                <w:spacing w:val="0"/>
                <w:w w:val="100"/>
                <w:position w:val="0"/>
                <w:sz w:val="17"/>
                <w:szCs w:val="17"/>
              </w:rPr>
              <w:t>的股份，合计持有公司</w:t>
            </w:r>
            <w:r>
              <w:rPr>
                <w:rFonts w:ascii="Times New Roman" w:eastAsia="Times New Roman" w:hAnsi="Times New Roman" w:cs="Times New Roman"/>
                <w:color w:val="000000"/>
                <w:spacing w:val="0"/>
                <w:w w:val="100"/>
                <w:position w:val="0"/>
                <w:sz w:val="18"/>
                <w:szCs w:val="18"/>
              </w:rPr>
              <w:t>70.82%</w:t>
            </w:r>
            <w:r>
              <w:rPr>
                <w:color w:val="000000"/>
                <w:spacing w:val="0"/>
                <w:w w:val="100"/>
                <w:position w:val="0"/>
                <w:sz w:val="17"/>
                <w:szCs w:val="17"/>
              </w:rPr>
              <w:t>的股份。二人从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月至今，合计持股比例一直超过发行人及其前身南凌有限总股本的 </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，且在报告期内的历次的股东(大)会决议及董事会决议及运营决 策上保持一致意见，能够实际支配发行人的行为。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为进一步明确和加强二人之间的一致行动关系及决策机制，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日，二人签订了《一致行动协议》，具体内容如下：</w:t>
            </w:r>
          </w:p>
          <w:p>
            <w:pPr>
              <w:pStyle w:val="Style22"/>
              <w:keepNext w:val="0"/>
              <w:keepLines w:val="0"/>
              <w:widowControl w:val="0"/>
              <w:numPr>
                <w:ilvl w:val="0"/>
                <w:numId w:val="9"/>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一致行动事项</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在不违反法律法规、公司章程，不损害公司、股东和债权人利益的情况 下，双方应就以下范围的事项(以下称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一致行动事项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)采取一致行动： ①股东大会、董事会的召集权、投票权、提案权、提名权等相关权利的 行使；②股权转让、质押及其他处置；③董事、监事候选人的提名；④ 指示双方共同提名的董事在董事会会议上的表决；⑤决定公司内部管理 机构的设置；⑥决定制定公司的基本管理制度；⑦本协议双方认为应该 作为一致行动事项的其他事项。</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双方应就一致行动事项事先协商，并应尽最大努力争取通过协商一致做 出决定。一方无法就一致行动事项与另一方进行事先协商时，可以委托 第三方代为协商的。</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一方不能参加股东大会时，应委托本协议的另一方参加股东大会并行使 双方的投票表决权；如双方均不能参加股东大会时，应当共同委托第三 方参加股东大会并行使双方的投票表决权。</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双方协商无法达成一致时，双方同意，由陈树林作出决定。对此决定， 双方应无条件遵照执行；或由蒋小明不作指示而直接委托陈树林对股东 大会、董事会审议事项进行投票。</w:t>
            </w:r>
          </w:p>
          <w:p>
            <w:pPr>
              <w:pStyle w:val="Style22"/>
              <w:keepNext w:val="0"/>
              <w:keepLines w:val="0"/>
              <w:widowControl w:val="0"/>
              <w:numPr>
                <w:ilvl w:val="0"/>
                <w:numId w:val="9"/>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股权转让、质押及其他处置</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一方在任何时候、任何情况下如有以任何方式转让、质押或以其他方式 处置其所持有的全部或部分公司股权的意向，应即时向另一方通报其行 为的目的、实施的计划，并以取得对方的书面同意为前提。</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一方如转让其所持有的全部或部分股权，应当至少提前十日书面通知另 一方，另一方有优先受让权。</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一方如将其所持有的全部或部分股权对外转让，则该等转让需以受让方 同意承继本协议项下全部义务，并代替出让方重新签署本协议作为股权 转让的生效条件之一。</w:t>
            </w:r>
          </w:p>
          <w:p>
            <w:pPr>
              <w:pStyle w:val="Style22"/>
              <w:keepNext w:val="0"/>
              <w:keepLines w:val="0"/>
              <w:widowControl w:val="0"/>
              <w:numPr>
                <w:ilvl w:val="0"/>
                <w:numId w:val="9"/>
              </w:numPr>
              <w:shd w:val="clear" w:color="auto" w:fill="auto"/>
              <w:tabs>
                <w:tab w:pos="360" w:val="left"/>
              </w:tabs>
              <w:bidi w:val="0"/>
              <w:spacing w:before="0" w:after="0" w:line="312" w:lineRule="exact"/>
              <w:ind w:left="0" w:right="0" w:firstLine="0"/>
              <w:jc w:val="both"/>
              <w:rPr>
                <w:sz w:val="17"/>
                <w:szCs w:val="17"/>
              </w:rPr>
            </w:pPr>
            <w:r>
              <w:rPr>
                <w:color w:val="000000"/>
                <w:spacing w:val="0"/>
                <w:w w:val="100"/>
                <w:position w:val="0"/>
                <w:sz w:val="17"/>
                <w:szCs w:val="17"/>
              </w:rPr>
              <w:t>责任与义务</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双方承诺在其作为公司股东期间，全面履行《一致行动协议》的约定； 一方不得单独或联合任何第三方向股东大会、董事会提出未经双方充分 协商并达成一致意见的提案，或进行与双方事先协商结果不一致的表 决。</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一方持有公司的股份不得通过协议、授权或其他方式委托他人代为持</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一方不得与第三方签订与《一致行动协议》内容相同、近似的协议或合 同。</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一方因故意或过失不履行《一致行动协议》的，给守约方造成实际损失 的，违约方应赔偿守约方所遭受的实际损失。</w:t>
            </w:r>
          </w:p>
          <w:p>
            <w:pPr>
              <w:pStyle w:val="Style22"/>
              <w:keepNext w:val="0"/>
              <w:keepLines w:val="0"/>
              <w:widowControl w:val="0"/>
              <w:numPr>
                <w:ilvl w:val="0"/>
                <w:numId w:val="11"/>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协议的变更、终止</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《一致行动协议》生效后，一方不得擅自变更或终止。需变更或终止时， 由双方根据《一致行动协议》第一条规定的程序经过协商决定，并就此 达成书面协议。在书面协议达成前，《一致行动协议》各条款仍然有效。</w:t>
            </w:r>
          </w:p>
          <w:p>
            <w:pPr>
              <w:pStyle w:val="Style22"/>
              <w:keepNext w:val="0"/>
              <w:keepLines w:val="0"/>
              <w:widowControl w:val="0"/>
              <w:numPr>
                <w:ilvl w:val="0"/>
                <w:numId w:val="11"/>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期限</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《一致行动协议》自双方签署之日生效，有效期为五年。协议期满前三 十日内，若双方未提出异议，《一致行动协议》有效期则自动顺延二年。 鉴于双方对于《一致行动协议》有效期自动顺延无异议，为了确保公司 控制权的稳定，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日，发行人实际控制人陈树林、蒋小明 出具承诺：南凌科技首次公开发行股票并上市成功后，陈树林、蒋小明 将根据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日签署的《一致行动协议》规定的程序，再次签 署有效期不低于五年的一致行动协议。</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《一致行动协议》不因蒋小明、陈树林履行正常程序后的增资、减资或 股权转让等行为导致持股比例的变动而无效，如一方不再持有公司的股 份，则该《一致行动协议》自动失效。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发行人控股股东及共同实际控制人陈树林和蒋小明已出具避免同业竞 争的承诺函，作出以下承诺：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)本人所控制的其他企业目前不存在自营、与他人共同经营或为他 人经营与南凌科技相同、相似业务的情形，与南凌科技之间不存在同业 竞争。</w:t>
            </w:r>
          </w:p>
          <w:p>
            <w:pPr>
              <w:pStyle w:val="Style22"/>
              <w:keepNext w:val="0"/>
              <w:keepLines w:val="0"/>
              <w:widowControl w:val="0"/>
              <w:numPr>
                <w:ilvl w:val="0"/>
                <w:numId w:val="13"/>
              </w:numPr>
              <w:shd w:val="clear" w:color="auto" w:fill="auto"/>
              <w:tabs>
                <w:tab w:pos="446" w:val="left"/>
              </w:tabs>
              <w:bidi w:val="0"/>
              <w:spacing w:before="0" w:after="0" w:line="315" w:lineRule="exact"/>
              <w:ind w:left="0" w:right="0" w:firstLine="0"/>
              <w:jc w:val="both"/>
              <w:rPr>
                <w:sz w:val="17"/>
                <w:szCs w:val="17"/>
              </w:rPr>
            </w:pPr>
            <w:r>
              <w:rPr>
                <w:color w:val="000000"/>
                <w:spacing w:val="0"/>
                <w:w w:val="100"/>
                <w:position w:val="0"/>
                <w:sz w:val="17"/>
                <w:szCs w:val="17"/>
              </w:rPr>
              <w:t>在本人作为南凌科技控股股东的期间，本人所控制的其他企业将 不采取参股、控股、联营、合营、合作或者其他任何方式直接或间接从 事与南凌科技业务范围相同、相似或构成实质竞争的业务。如本人及本 人所控制的其他企业获得的商业机会与南凌科技主营业务发生同业竞 争或可能发生同业竞争的，本人及本人所控制的其他企业将立即通知南 凌科技，尽力将该商业机会按合理和公平的条款和条件给予南凌科技， 以确保南凌科技及其全体股东利益不受损害。</w:t>
            </w:r>
          </w:p>
          <w:p>
            <w:pPr>
              <w:pStyle w:val="Style22"/>
              <w:keepNext w:val="0"/>
              <w:keepLines w:val="0"/>
              <w:widowControl w:val="0"/>
              <w:numPr>
                <w:ilvl w:val="0"/>
                <w:numId w:val="13"/>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如果本人及本人所控制的其他企业发现任何与发行人或其控股企 业主营业务构成或可能构成直接或间接竞争关系的新业务机会，将立即 书面通知发行人，并尽力促使该业务机会按合理和公平的条款和条件首 先提供给发行人或其控股企业。</w:t>
            </w:r>
          </w:p>
          <w:p>
            <w:pPr>
              <w:pStyle w:val="Style22"/>
              <w:keepNext w:val="0"/>
              <w:keepLines w:val="0"/>
              <w:widowControl w:val="0"/>
              <w:numPr>
                <w:ilvl w:val="0"/>
                <w:numId w:val="13"/>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如本人及本人所控制的其他企业违反上述承诺，则因此而取得的 相关收益将全部归南凌科技所有；如因此给南凌科技及其他股东造成损 失的，本人及本人所控制的其他企业将及时、足额赔偿南凌科技及其他 股东因此遭受的全部损失。如本人及本人所控制的其他企业未履行前述 承诺，则南凌科技有权扣留应付本人的现金分红，直至本人及本人所控 制的其他企业履行上述承诺。</w:t>
            </w:r>
          </w:p>
          <w:p>
            <w:pPr>
              <w:pStyle w:val="Style22"/>
              <w:keepNext w:val="0"/>
              <w:keepLines w:val="0"/>
              <w:widowControl w:val="0"/>
              <w:numPr>
                <w:ilvl w:val="0"/>
                <w:numId w:val="13"/>
              </w:numPr>
              <w:shd w:val="clear" w:color="auto" w:fill="auto"/>
              <w:tabs>
                <w:tab w:pos="456" w:val="left"/>
              </w:tabs>
              <w:bidi w:val="0"/>
              <w:spacing w:before="0" w:after="0" w:line="315" w:lineRule="exact"/>
              <w:ind w:left="0" w:right="0" w:firstLine="0"/>
              <w:jc w:val="both"/>
              <w:rPr>
                <w:sz w:val="18"/>
                <w:szCs w:val="18"/>
              </w:rPr>
            </w:pPr>
            <w:r>
              <w:rPr>
                <w:color w:val="000000"/>
                <w:spacing w:val="0"/>
                <w:w w:val="100"/>
                <w:position w:val="0"/>
                <w:sz w:val="17"/>
                <w:szCs w:val="17"/>
              </w:rPr>
              <w:t>上述承诺在本人对发行人拥有直接或间接的控制权或对发行人存 在重大影响期间持续有效，且不可变更或撤销。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757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发行人控股股东及共同实际控制人陈树林和蒋小明已出具避免同业竞 争的承诺函，作出以下承诺：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)本人所控制的其他企业目前不存在自营、与他人共同经营或为他 人经营与南凌科技相同、相似业务的情形，与南凌科技之间不存在同业 竞争。</w:t>
            </w:r>
          </w:p>
          <w:p>
            <w:pPr>
              <w:pStyle w:val="Style22"/>
              <w:keepNext w:val="0"/>
              <w:keepLines w:val="0"/>
              <w:widowControl w:val="0"/>
              <w:numPr>
                <w:ilvl w:val="0"/>
                <w:numId w:val="15"/>
              </w:numPr>
              <w:shd w:val="clear" w:color="auto" w:fill="auto"/>
              <w:tabs>
                <w:tab w:pos="446" w:val="left"/>
              </w:tabs>
              <w:bidi w:val="0"/>
              <w:spacing w:before="0" w:after="0" w:line="315" w:lineRule="exact"/>
              <w:ind w:left="0" w:right="0" w:firstLine="0"/>
              <w:jc w:val="both"/>
              <w:rPr>
                <w:sz w:val="17"/>
                <w:szCs w:val="17"/>
              </w:rPr>
            </w:pPr>
            <w:r>
              <w:rPr>
                <w:color w:val="000000"/>
                <w:spacing w:val="0"/>
                <w:w w:val="100"/>
                <w:position w:val="0"/>
                <w:sz w:val="17"/>
                <w:szCs w:val="17"/>
              </w:rPr>
              <w:t>在本人作为南凌科技控股股东的期间，本人所控制的其他企业将 不采取参股、控股、联营、合营、合作或者其他任何方式直接或间接从 事与南凌科技业务范围相同、相似或构成实质竞争的业务。如本人及本 人所控制的其他企业获得的商业机会与南凌科技主营业务发生同业竞 争或可能发生同业竞争的，本人及本人所控制的其他企业将立即通知南 凌科技，尽力将该商业机会按合理和公平的条款和条件给予南凌科技， 以确保南凌科技及其全体股东利益不受损害。</w:t>
            </w:r>
          </w:p>
          <w:p>
            <w:pPr>
              <w:pStyle w:val="Style22"/>
              <w:keepNext w:val="0"/>
              <w:keepLines w:val="0"/>
              <w:widowControl w:val="0"/>
              <w:numPr>
                <w:ilvl w:val="0"/>
                <w:numId w:val="15"/>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如果本人及本人所控制的其他企业发现任何与发行人或其控股企 业主营业务构成或可能构成直接或间接竞争关系的新业务机会，将立即 书面通知发行人，并尽力促使该业务机会按合理和公平的条款和条件首 先提供给发行人或其控股企业。</w:t>
            </w:r>
          </w:p>
          <w:p>
            <w:pPr>
              <w:pStyle w:val="Style22"/>
              <w:keepNext w:val="0"/>
              <w:keepLines w:val="0"/>
              <w:widowControl w:val="0"/>
              <w:numPr>
                <w:ilvl w:val="0"/>
                <w:numId w:val="15"/>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如本人及本人所控制的其他企业违反上述承诺，则因此而取得的 相关收益将全部归南凌科技所有；如因此给南凌科技及其他股东造成损 失的，本人及本人所控制的其他企业将及时、足额赔偿南凌科技及其他 股东因此遭受的全部损失。如本人及本人所控制的其他企业未履行前述 承诺，则南凌科技有权扣留应付本人的现金分红，直至本人及本人所控 制的其他企业履行上述承诺。</w:t>
            </w:r>
          </w:p>
          <w:p>
            <w:pPr>
              <w:pStyle w:val="Style22"/>
              <w:keepNext w:val="0"/>
              <w:keepLines w:val="0"/>
              <w:widowControl w:val="0"/>
              <w:numPr>
                <w:ilvl w:val="0"/>
                <w:numId w:val="15"/>
              </w:numPr>
              <w:shd w:val="clear" w:color="auto" w:fill="auto"/>
              <w:tabs>
                <w:tab w:pos="456" w:val="left"/>
              </w:tabs>
              <w:bidi w:val="0"/>
              <w:spacing w:before="0" w:after="0" w:line="315" w:lineRule="exact"/>
              <w:ind w:left="0" w:right="0" w:firstLine="0"/>
              <w:jc w:val="both"/>
              <w:rPr>
                <w:sz w:val="18"/>
                <w:szCs w:val="18"/>
              </w:rPr>
            </w:pPr>
            <w:r>
              <w:rPr>
                <w:color w:val="000000"/>
                <w:spacing w:val="0"/>
                <w:w w:val="100"/>
                <w:position w:val="0"/>
                <w:sz w:val="17"/>
                <w:szCs w:val="17"/>
              </w:rPr>
              <w:t>上述承诺在本人对发行人拥有直接或间接的控制权或对发行人存 在重大影响期间持续有效，且不可变更或撤销。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深圳市东 方富海创 业投资企 业(有限合 伙)</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以上股份的有限合伙企业股东东方富海、众创佳业已出 具避免同业竞争的承诺函，作出以下承诺：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)本企业严格按照上市公司关联方信息披露的要求，披露本企业及 本企业直接或间接控制的企业信息。</w:t>
            </w:r>
          </w:p>
          <w:p>
            <w:pPr>
              <w:pStyle w:val="Style22"/>
              <w:keepNext w:val="0"/>
              <w:keepLines w:val="0"/>
              <w:widowControl w:val="0"/>
              <w:numPr>
                <w:ilvl w:val="0"/>
                <w:numId w:val="17"/>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本企业及本企业所控制的其他企业目前不存在自营、与他人共同 经营或为他人经营与南凌科技相同、相似业务的情形，与南凌科技之间 不存在同业竞争。</w:t>
            </w:r>
          </w:p>
          <w:p>
            <w:pPr>
              <w:pStyle w:val="Style22"/>
              <w:keepNext w:val="0"/>
              <w:keepLines w:val="0"/>
              <w:widowControl w:val="0"/>
              <w:numPr>
                <w:ilvl w:val="0"/>
                <w:numId w:val="17"/>
              </w:numPr>
              <w:shd w:val="clear" w:color="auto" w:fill="auto"/>
              <w:tabs>
                <w:tab w:pos="446" w:val="left"/>
              </w:tabs>
              <w:bidi w:val="0"/>
              <w:spacing w:before="0" w:after="0" w:line="315" w:lineRule="exact"/>
              <w:ind w:left="0" w:right="0" w:firstLine="0"/>
              <w:jc w:val="both"/>
              <w:rPr>
                <w:sz w:val="17"/>
                <w:szCs w:val="17"/>
              </w:rPr>
            </w:pPr>
            <w:r>
              <w:rPr>
                <w:color w:val="000000"/>
                <w:spacing w:val="0"/>
                <w:w w:val="100"/>
                <w:position w:val="0"/>
                <w:sz w:val="17"/>
                <w:szCs w:val="17"/>
              </w:rPr>
              <w:t>在本企业直接或间接持有南凌科技股份期间，本企业及本企业所 控制的其他企业将不采取参股、控股、联营、合营、合作或者其他任何 方式直接或间接从事与南凌科技业务范围相同、相似或构成实质竞争的 业务，如本企业或本企业所控制的其他企业获得的商业机会与南凌科技 主营业务发生同业竞争或可能发生同业竞争的，本企业将立即通知南凌 科技，尽力将该商业机会按合理和公平的条款和条件给予南凌科技，以 确保南凌科技及其全体股东利益不受损害。</w:t>
            </w:r>
          </w:p>
          <w:p>
            <w:pPr>
              <w:pStyle w:val="Style22"/>
              <w:keepNext w:val="0"/>
              <w:keepLines w:val="0"/>
              <w:widowControl w:val="0"/>
              <w:numPr>
                <w:ilvl w:val="0"/>
                <w:numId w:val="17"/>
              </w:numPr>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如果本企业及其所控制的其他企业发现任何与发行人或其控股企 业主营业务构成或可能构成直接或间接竞争关系的新业务机会，将立即 书面通知发行人，并尽力促使该业务机会按合理和公平的条款和条件首 先提供给发行人或其控股企业。如果本企业将来出现所投资的全资、控 股企业从事的业务与公司构成竞争的情况，本企业同意通过有效方式将 该等业务纳入公司经营或采取其他恰当的方式以消除同业竞争的情形；</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公司有权随时要求本企业出让在该等企业中的全部股份，本企业给予公 司对该等股份的优先购买权，并将尽最大努力促使有关交易的价格是公 平合理的。</w:t>
            </w:r>
          </w:p>
          <w:p>
            <w:pPr>
              <w:pStyle w:val="Style22"/>
              <w:keepNext w:val="0"/>
              <w:keepLines w:val="0"/>
              <w:widowControl w:val="0"/>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如本企业违反上述承诺，则因此而取得的相关收益将全部归南凌 科技所有；如因此给南凌科技及其他股东造成损失的，本企业将及时、 足额赔偿南凌科技及其他股东因此遭受的全部损失。如本企业未履行前 述承诺，则南凌科技有权扣留应付本企业的现金分红，直至本企业履行 上述承诺。</w:t>
            </w:r>
          </w:p>
          <w:p>
            <w:pPr>
              <w:pStyle w:val="Style22"/>
              <w:keepNext w:val="0"/>
              <w:keepLines w:val="0"/>
              <w:widowControl w:val="0"/>
              <w:shd w:val="clear" w:color="auto" w:fill="auto"/>
              <w:tabs>
                <w:tab w:pos="365" w:val="left"/>
              </w:tabs>
              <w:bidi w:val="0"/>
              <w:spacing w:before="0" w:after="0" w:line="315"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上述承诺在本企业对发行人直接或间接持有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以上股权期间持续 有效，且不可变更或撤销。本承诺函至发生以下情形时终止（以较早为 准）：①本企业对发行人直接或间接持股低于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；或②发行人股票终止 上市（暂停买卖除外）。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深圳市众 创佳业投 资企业（有 限合伙）</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以上股份的有限合伙企业股东东方富海、众创佳业已出 具避免同业竞争的承诺函，作出以下承诺：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）本企业严格按照上市公司关联方信息披露的要求，披露本企业及 本企业直接或间接控制的企业信息。</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本企业及本企业所控制的其他企业目前不存在自营、与他人共同 经营或为他人经营与南凌科技相同、相似业务的情形，与南凌科技之间 不存在同业竞争。</w:t>
            </w:r>
          </w:p>
          <w:p>
            <w:pPr>
              <w:pStyle w:val="Style22"/>
              <w:keepNext w:val="0"/>
              <w:keepLines w:val="0"/>
              <w:widowControl w:val="0"/>
              <w:shd w:val="clear" w:color="auto" w:fill="auto"/>
              <w:tabs>
                <w:tab w:pos="446" w:val="left"/>
              </w:tabs>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在本企业直接或间接持有南凌科技股份期间，本企业及本企业所 控制的其他企业将不采取参股、控股、联营、合营、合作或者其他任何 方式直接或间接从事与南凌科技业务范围相同、相似或构成实质竞争的 业务，如本企业或本企业所控制的其他企业获得的商业机会与南凌科技 主营业务发生同业竞争或可能发生同业竞争的，本企业将立即通知南凌 科技，尽力将该商业机会按合理和公平的条款和条件给予南凌科技，以 确保南凌科技及其全体股东利益不受损害。</w:t>
            </w:r>
          </w:p>
          <w:p>
            <w:pPr>
              <w:pStyle w:val="Style22"/>
              <w:keepNext w:val="0"/>
              <w:keepLines w:val="0"/>
              <w:widowControl w:val="0"/>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如果本企业及其所控制的其他企业发现任何与发行人或其控股企 业主营业务构成或可能构成直接或间接竞争关系的新业务机会，将立即 书面通知发行人，并尽力促使该业务机会按合理和公平的条款和条件首 先提供给发行人或其控股企业。如果本企业将来出现所投资的全资、控 股企业从事的业务与公司构成竞争的情况，本企业同意通过有效方式将 该等业务纳入公司经营或采取其他恰当的方式以消除同业竞争的情形； 公司有权随时要求本企业出让在该等企业中的全部股份，本企业给予公 司对该等股份的优先购买权，并将尽最大努力促使有关交易的价格是公 平合理的。</w:t>
            </w:r>
          </w:p>
          <w:p>
            <w:pPr>
              <w:pStyle w:val="Style22"/>
              <w:keepNext w:val="0"/>
              <w:keepLines w:val="0"/>
              <w:widowControl w:val="0"/>
              <w:shd w:val="clear" w:color="auto" w:fill="auto"/>
              <w:tabs>
                <w:tab w:pos="451" w:val="left"/>
              </w:tabs>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如本企业违反上述承诺，则因此而取得的相关收益将全部归南凌 科技所有；如因此给南凌科技及其他股东造成损失的，本企业将及时、 足额赔偿南凌科技及其他股东因此遭受的全部损失。如本企业未履行前 述承诺，则南凌科技有权扣留应付本企业的现金分红，直至本企业履行 上述承诺。</w:t>
            </w:r>
          </w:p>
          <w:p>
            <w:pPr>
              <w:pStyle w:val="Style22"/>
              <w:keepNext w:val="0"/>
              <w:keepLines w:val="0"/>
              <w:widowControl w:val="0"/>
              <w:shd w:val="clear" w:color="auto" w:fill="auto"/>
              <w:tabs>
                <w:tab w:pos="365" w:val="left"/>
              </w:tabs>
              <w:bidi w:val="0"/>
              <w:spacing w:before="0" w:after="0" w:line="315"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上述承诺在本企业对发行人直接或间接持有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以上股权期间持续 有效，且不可变更或撤销。本承诺函至发生以下情形时终止（以较早为 准）：①本企业对发行人直接或间接持股低于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；或②发行人股票终止 上市（暂停买卖除外）。</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539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发行人控股股东及实际控制人陈树林和蒋小明已出具《关于规范关联交 易的承诺函》，作出以下承诺：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不利用控股股东地位及与公司之间的关联关系损害公司利益和其他 股东的合法权益。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本承诺函出具日，未以任何理由和方式占用过公司的资金或其他资 产，且今后本人及本人控制的其他企业亦将不会以任何理由和方式占用 公司的资金或其他资产。</w:t>
            </w:r>
          </w:p>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减少与公司发生关联交易，如关联交易无法避免，将按照公平合理 和正常的商业交易条件进行，将不会要求或接受公司给予比在任何一项 市场公平交易中第三者更优惠的条件。</w:t>
            </w:r>
          </w:p>
          <w:p>
            <w:pPr>
              <w:pStyle w:val="Style22"/>
              <w:keepNext w:val="0"/>
              <w:keepLines w:val="0"/>
              <w:widowControl w:val="0"/>
              <w:shd w:val="clear" w:color="auto" w:fill="auto"/>
              <w:tabs>
                <w:tab w:pos="283" w:val="left"/>
              </w:tabs>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将严格和善意地履行与公司签订的各种关联交易协议，不会向公司 谋求任何超出上述规定以外的利益或收益。</w:t>
            </w:r>
          </w:p>
          <w:p>
            <w:pPr>
              <w:pStyle w:val="Style2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本人将通过对所控制的其他企业的控制权，促使该等企业按照同样 的标准遵守上述承诺。</w:t>
            </w:r>
          </w:p>
          <w:p>
            <w:pPr>
              <w:pStyle w:val="Style22"/>
              <w:keepNext w:val="0"/>
              <w:keepLines w:val="0"/>
              <w:widowControl w:val="0"/>
              <w:shd w:val="clear" w:color="auto" w:fill="auto"/>
              <w:tabs>
                <w:tab w:pos="278" w:val="left"/>
              </w:tabs>
              <w:bidi w:val="0"/>
              <w:spacing w:before="0" w:after="10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若违反上述承诺，本人将承担相应的法律责任，包括但不限于赔偿 由此给公司及其他股东造成的全部损失。</w:t>
            </w:r>
          </w:p>
          <w:p>
            <w:pPr>
              <w:pStyle w:val="Style22"/>
              <w:keepNext w:val="0"/>
              <w:keepLines w:val="0"/>
              <w:widowControl w:val="0"/>
              <w:shd w:val="clear" w:color="auto" w:fill="auto"/>
              <w:tabs>
                <w:tab w:pos="278" w:val="left"/>
              </w:tabs>
              <w:bidi w:val="0"/>
              <w:spacing w:before="0" w:after="4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上述承诺持续有效，直至本人不再控制南凌科技为止。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发行人控股股东及实际控制人陈树林和蒋小明已出具《关于规范关联交 易的承诺函》，作出以下承诺：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不利用控股股东地位及与公司之间的关联关系损害公司利益和其他 股东的合法权益。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本承诺函出具日，未以任何理由和方式占用过公司的资金或其他资 产，且今后本人及本人控制的其他企业亦将不会以任何理由和方式占用 公司的资金或其他资产。</w:t>
            </w:r>
          </w:p>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减少与公司发生关联交易，如关联交易无法避免，将按照公平合理 和正常的商业交易条件进行，将不会要求或接受公司给予比在任何一项 市场公平交易中第三者更优惠的条件。</w:t>
            </w:r>
          </w:p>
          <w:p>
            <w:pPr>
              <w:pStyle w:val="Style22"/>
              <w:keepNext w:val="0"/>
              <w:keepLines w:val="0"/>
              <w:widowControl w:val="0"/>
              <w:shd w:val="clear" w:color="auto" w:fill="auto"/>
              <w:tabs>
                <w:tab w:pos="283" w:val="left"/>
              </w:tabs>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将严格和善意地履行与公司签订的各种关联交易协议，不会向公司 谋求任何超出上述规定以外的利益或收益。</w:t>
            </w:r>
          </w:p>
          <w:p>
            <w:pPr>
              <w:pStyle w:val="Style22"/>
              <w:keepNext w:val="0"/>
              <w:keepLines w:val="0"/>
              <w:widowControl w:val="0"/>
              <w:shd w:val="clear" w:color="auto" w:fill="auto"/>
              <w:tabs>
                <w:tab w:pos="274"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本人将通过对所控制的其他企业的控制权，促使该等企业按照同样 的标准遵守上述承诺。</w:t>
            </w:r>
          </w:p>
          <w:p>
            <w:pPr>
              <w:pStyle w:val="Style22"/>
              <w:keepNext w:val="0"/>
              <w:keepLines w:val="0"/>
              <w:widowControl w:val="0"/>
              <w:shd w:val="clear" w:color="auto" w:fill="auto"/>
              <w:tabs>
                <w:tab w:pos="278" w:val="left"/>
              </w:tabs>
              <w:bidi w:val="0"/>
              <w:spacing w:before="0" w:after="10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若违反上述承诺，本人将承担相应的法律责任，包括但不限于赔偿 由此给公司及其他股东造成的全部损失。</w:t>
            </w:r>
          </w:p>
          <w:p>
            <w:pPr>
              <w:pStyle w:val="Style22"/>
              <w:keepNext w:val="0"/>
              <w:keepLines w:val="0"/>
              <w:widowControl w:val="0"/>
              <w:shd w:val="clear" w:color="auto" w:fill="auto"/>
              <w:tabs>
                <w:tab w:pos="278" w:val="left"/>
              </w:tabs>
              <w:bidi w:val="0"/>
              <w:spacing w:before="0" w:after="4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上述承诺持续有效，直至本人不再控制南凌科技为止。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深圳市东 方富海创 业投资企 业（有限合 伙）</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以上股份的股东东方富海、众创佳业已出具《关于规范 关联交易的承诺函》，作出以下承诺：</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不利用股东地位及与公司之间的关联关系损害公司利益和其他股东 的合法权益。</w:t>
            </w:r>
          </w:p>
          <w:p>
            <w:pPr>
              <w:pStyle w:val="Style22"/>
              <w:keepNext w:val="0"/>
              <w:keepLines w:val="0"/>
              <w:widowControl w:val="0"/>
              <w:shd w:val="clear" w:color="auto" w:fill="auto"/>
              <w:tabs>
                <w:tab w:pos="283"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本承诺函出具日，未以任何理由和方式占用过公司的资金或其他资 产，且今后本企业及本企业控制的其他企业亦将不会以任何理由和方式 占用公司的资金或其他资产。</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减少与公司发生关联交易，如关联交易无法避免，将按照公平合理 和正常的商业交易条件进行，将不会要求或接受公司给予比在任何一项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市场公平交易中第三者更优惠的条件。</w:t>
            </w:r>
          </w:p>
          <w:p>
            <w:pPr>
              <w:pStyle w:val="Style22"/>
              <w:keepNext w:val="0"/>
              <w:keepLines w:val="0"/>
              <w:widowControl w:val="0"/>
              <w:shd w:val="clear" w:color="auto" w:fill="auto"/>
              <w:tabs>
                <w:tab w:pos="283"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将严格和善意地履行与公司签订的各种关联交易协议，不会向公司 谋求任何超出上述规定以外的利益或收益。</w:t>
            </w:r>
          </w:p>
          <w:p>
            <w:pPr>
              <w:pStyle w:val="Style22"/>
              <w:keepNext w:val="0"/>
              <w:keepLines w:val="0"/>
              <w:widowControl w:val="0"/>
              <w:shd w:val="clear" w:color="auto" w:fill="auto"/>
              <w:tabs>
                <w:tab w:pos="274"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本企业将通过对所控制的其他企业的控制权，促使该等企业按照同 样的标准遵守上述承诺。</w:t>
            </w:r>
          </w:p>
          <w:p>
            <w:pPr>
              <w:pStyle w:val="Style22"/>
              <w:keepNext w:val="0"/>
              <w:keepLines w:val="0"/>
              <w:widowControl w:val="0"/>
              <w:shd w:val="clear" w:color="auto" w:fill="auto"/>
              <w:tabs>
                <w:tab w:pos="278"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若违反上述承诺，本企业将承担相应的法律责任，包括但不限于赔 偿由此给公司及其他股东造成的全部损失。</w:t>
            </w:r>
          </w:p>
          <w:p>
            <w:pPr>
              <w:pStyle w:val="Style22"/>
              <w:keepNext w:val="0"/>
              <w:keepLines w:val="0"/>
              <w:widowControl w:val="0"/>
              <w:shd w:val="clear" w:color="auto" w:fill="auto"/>
              <w:tabs>
                <w:tab w:pos="269"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上述承诺持续有效，直至本企业不再直接或间接地持有南凌科技的 股份为止，且不可变更或撤销。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深圳市众 创佳业投 资企业（有 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关于同业 竞争、关联 交易、资金 占用方面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以上股份的股东东方富海、众创佳业已出具《关于规范 关联交易的承诺函》，作出以下承诺：</w:t>
            </w:r>
          </w:p>
          <w:p>
            <w:pPr>
              <w:pStyle w:val="Style2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不利用股东地位及与公司之间的关联关系损害公司利益和其他股东 的合法权益。</w:t>
            </w:r>
          </w:p>
          <w:p>
            <w:pPr>
              <w:pStyle w:val="Style22"/>
              <w:keepNext w:val="0"/>
              <w:keepLines w:val="0"/>
              <w:widowControl w:val="0"/>
              <w:shd w:val="clear" w:color="auto" w:fill="auto"/>
              <w:tabs>
                <w:tab w:pos="283" w:val="left"/>
              </w:tabs>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本承诺函出具日，未以任何理由和方式占用过公司的资金或其他资 产，且今后本企业及本企业控制的其他企业亦将不会以任何理由和方式 占用公司的资金或其他资产。</w:t>
            </w:r>
          </w:p>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减少与公司发生关联交易，如关联交易无法避免，将按照公平合理 和正常的商业交易条件进行，将不会要求或接受公司给予比在任何一项 市场公平交易中第三者更优惠的条件。</w:t>
            </w:r>
          </w:p>
          <w:p>
            <w:pPr>
              <w:pStyle w:val="Style22"/>
              <w:keepNext w:val="0"/>
              <w:keepLines w:val="0"/>
              <w:widowControl w:val="0"/>
              <w:shd w:val="clear" w:color="auto" w:fill="auto"/>
              <w:tabs>
                <w:tab w:pos="283" w:val="left"/>
              </w:tabs>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将严格和善意地履行与公司签订的各种关联交易协议，不会向公司 谋求任何超出上述规定以外的利益或收益。</w:t>
            </w:r>
          </w:p>
          <w:p>
            <w:pPr>
              <w:pStyle w:val="Style22"/>
              <w:keepNext w:val="0"/>
              <w:keepLines w:val="0"/>
              <w:widowControl w:val="0"/>
              <w:shd w:val="clear" w:color="auto" w:fill="auto"/>
              <w:tabs>
                <w:tab w:pos="274"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本企业将通过对所控制的其他企业的控制权，促使该等企业按照同 样的标准遵守上述承诺。</w:t>
            </w:r>
          </w:p>
          <w:p>
            <w:pPr>
              <w:pStyle w:val="Style22"/>
              <w:keepNext w:val="0"/>
              <w:keepLines w:val="0"/>
              <w:widowControl w:val="0"/>
              <w:shd w:val="clear" w:color="auto" w:fill="auto"/>
              <w:tabs>
                <w:tab w:pos="278"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若违反上述承诺，本企业将承担相应的法律责任，包括但不限于赔 偿由此给公司及其他股东造成的全部损失。</w:t>
            </w:r>
          </w:p>
          <w:p>
            <w:pPr>
              <w:pStyle w:val="Style22"/>
              <w:keepNext w:val="0"/>
              <w:keepLines w:val="0"/>
              <w:widowControl w:val="0"/>
              <w:shd w:val="clear" w:color="auto" w:fill="auto"/>
              <w:tabs>
                <w:tab w:pos="269"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上述承诺持续有效，直至本企业不再直接或间接地持有南凌科技的 股份为止，且不可变更或撤销。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长 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numPr>
                <w:ilvl w:val="0"/>
                <w:numId w:val="19"/>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启动条件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numPr>
                <w:ilvl w:val="0"/>
                <w:numId w:val="19"/>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停止条件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行调整）时，将停止实施股价稳定措施；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w:t>
            </w:r>
          </w:p>
          <w:p>
            <w:pPr>
              <w:pStyle w:val="Style22"/>
              <w:keepNext w:val="0"/>
              <w:keepLines w:val="0"/>
              <w:widowControl w:val="0"/>
              <w:numPr>
                <w:ilvl w:val="0"/>
                <w:numId w:val="21"/>
              </w:numPr>
              <w:shd w:val="clear" w:color="auto" w:fill="auto"/>
              <w:tabs>
                <w:tab w:pos="206" w:val="left"/>
              </w:tabs>
              <w:bidi w:val="0"/>
              <w:spacing w:before="0" w:after="0" w:line="314" w:lineRule="exact"/>
              <w:ind w:left="0" w:right="0" w:firstLine="0"/>
              <w:jc w:val="both"/>
              <w:rPr>
                <w:sz w:val="17"/>
                <w:szCs w:val="17"/>
              </w:rPr>
            </w:pPr>
            <w:r>
              <w:rPr>
                <w:color w:val="000000"/>
                <w:spacing w:val="0"/>
                <w:w w:val="100"/>
                <w:position w:val="0"/>
                <w:sz w:val="17"/>
                <w:szCs w:val="17"/>
              </w:rPr>
              <w:t>由公司回购股票</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21"/>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tabs>
                <w:tab w:pos="25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公司控股股东、实际控制人应在符合《上市公司收购管理办法》、股 东及董事增持等法律法规的条件和要求的前提下，对公司股票进行增 持；</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numPr>
                <w:ilvl w:val="0"/>
                <w:numId w:val="21"/>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董事、高级管理人员增持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稳定股价措施的启动程序</w:t>
            </w:r>
          </w:p>
          <w:p>
            <w:pPr>
              <w:pStyle w:val="Style22"/>
              <w:keepNext w:val="0"/>
              <w:keepLines w:val="0"/>
              <w:widowControl w:val="0"/>
              <w:numPr>
                <w:ilvl w:val="0"/>
                <w:numId w:val="23"/>
              </w:numPr>
              <w:shd w:val="clear" w:color="auto" w:fill="auto"/>
              <w:tabs>
                <w:tab w:pos="192" w:val="left"/>
              </w:tabs>
              <w:bidi w:val="0"/>
              <w:spacing w:before="0" w:after="0" w:line="314" w:lineRule="exact"/>
              <w:ind w:left="0" w:right="0" w:firstLine="0"/>
              <w:jc w:val="both"/>
              <w:rPr>
                <w:sz w:val="17"/>
                <w:szCs w:val="17"/>
              </w:rPr>
            </w:pPr>
            <w:r>
              <w:rPr>
                <w:color w:val="000000"/>
                <w:spacing w:val="0"/>
                <w:w w:val="100"/>
                <w:position w:val="0"/>
                <w:sz w:val="17"/>
                <w:szCs w:val="17"/>
              </w:rPr>
              <w:t>公司回购</w:t>
            </w:r>
          </w:p>
          <w:p>
            <w:pPr>
              <w:pStyle w:val="Style22"/>
              <w:keepNext w:val="0"/>
              <w:keepLines w:val="0"/>
              <w:widowControl w:val="0"/>
              <w:shd w:val="clear" w:color="auto" w:fill="auto"/>
              <w:tabs>
                <w:tab w:pos="206"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p>
            <w:pPr>
              <w:pStyle w:val="Style22"/>
              <w:keepNext w:val="0"/>
              <w:keepLines w:val="0"/>
              <w:widowControl w:val="0"/>
              <w:numPr>
                <w:ilvl w:val="0"/>
                <w:numId w:val="23"/>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控股股东及董事、高级管理人员增持</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 交易日开始启动增持。</w:t>
            </w:r>
          </w:p>
          <w:p>
            <w:pPr>
              <w:pStyle w:val="Style22"/>
              <w:keepNext w:val="0"/>
              <w:keepLines w:val="0"/>
              <w:widowControl w:val="0"/>
              <w:shd w:val="clear" w:color="auto" w:fill="auto"/>
              <w:tabs>
                <w:tab w:pos="360"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约束措施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①对公司未能遵守本预案时的约束措施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股东实施现金分红。</w:t>
            </w:r>
          </w:p>
          <w:p>
            <w:pPr>
              <w:pStyle w:val="Style22"/>
              <w:keepNext w:val="0"/>
              <w:keepLines w:val="0"/>
              <w:widowControl w:val="0"/>
              <w:numPr>
                <w:ilvl w:val="0"/>
                <w:numId w:val="25"/>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25"/>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numPr>
                <w:ilvl w:val="0"/>
                <w:numId w:val="27"/>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启动条件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numPr>
                <w:ilvl w:val="0"/>
                <w:numId w:val="27"/>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停止条件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w:t>
            </w:r>
          </w:p>
          <w:p>
            <w:pPr>
              <w:pStyle w:val="Style22"/>
              <w:keepNext w:val="0"/>
              <w:keepLines w:val="0"/>
              <w:widowControl w:val="0"/>
              <w:numPr>
                <w:ilvl w:val="0"/>
                <w:numId w:val="29"/>
              </w:numPr>
              <w:shd w:val="clear" w:color="auto" w:fill="auto"/>
              <w:tabs>
                <w:tab w:pos="206" w:val="left"/>
              </w:tabs>
              <w:bidi w:val="0"/>
              <w:spacing w:before="0" w:after="0" w:line="313" w:lineRule="exact"/>
              <w:ind w:left="0" w:right="0" w:firstLine="0"/>
              <w:jc w:val="both"/>
              <w:rPr>
                <w:sz w:val="17"/>
                <w:szCs w:val="17"/>
              </w:rPr>
            </w:pPr>
            <w:r>
              <w:rPr>
                <w:color w:val="000000"/>
                <w:spacing w:val="0"/>
                <w:w w:val="100"/>
                <w:position w:val="0"/>
                <w:sz w:val="17"/>
                <w:szCs w:val="17"/>
              </w:rPr>
              <w:t>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29"/>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tabs>
                <w:tab w:pos="254"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公司控股股东、实际控制人应在符合《上市公司收购管理办法》、股 东及董事增持等法律法规的条件和要求的前提下，对公司股票进行增 持；</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③董事、高级管理人员增持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稳定股价措施的启动程序</w:t>
            </w:r>
          </w:p>
          <w:p>
            <w:pPr>
              <w:pStyle w:val="Style22"/>
              <w:keepNext w:val="0"/>
              <w:keepLines w:val="0"/>
              <w:widowControl w:val="0"/>
              <w:numPr>
                <w:ilvl w:val="0"/>
                <w:numId w:val="31"/>
              </w:numPr>
              <w:shd w:val="clear" w:color="auto" w:fill="auto"/>
              <w:tabs>
                <w:tab w:pos="192" w:val="left"/>
              </w:tabs>
              <w:bidi w:val="0"/>
              <w:spacing w:before="0" w:after="0" w:line="314" w:lineRule="exact"/>
              <w:ind w:left="0" w:right="0" w:firstLine="0"/>
              <w:jc w:val="both"/>
              <w:rPr>
                <w:sz w:val="17"/>
                <w:szCs w:val="17"/>
              </w:rPr>
            </w:pPr>
            <w:r>
              <w:rPr>
                <w:color w:val="000000"/>
                <w:spacing w:val="0"/>
                <w:w w:val="100"/>
                <w:position w:val="0"/>
                <w:sz w:val="17"/>
                <w:szCs w:val="17"/>
              </w:rPr>
              <w:t>公司回购</w:t>
            </w:r>
          </w:p>
          <w:p>
            <w:pPr>
              <w:pStyle w:val="Style22"/>
              <w:keepNext w:val="0"/>
              <w:keepLines w:val="0"/>
              <w:widowControl w:val="0"/>
              <w:shd w:val="clear" w:color="auto" w:fill="auto"/>
              <w:tabs>
                <w:tab w:pos="206"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p>
            <w:pPr>
              <w:pStyle w:val="Style22"/>
              <w:keepNext w:val="0"/>
              <w:keepLines w:val="0"/>
              <w:widowControl w:val="0"/>
              <w:numPr>
                <w:ilvl w:val="0"/>
                <w:numId w:val="31"/>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控股股东及董事、高级管理人员增持</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 交易日开始启动增持。</w:t>
            </w:r>
          </w:p>
          <w:p>
            <w:pPr>
              <w:pStyle w:val="Style22"/>
              <w:keepNext w:val="0"/>
              <w:keepLines w:val="0"/>
              <w:widowControl w:val="0"/>
              <w:shd w:val="clear" w:color="auto" w:fill="auto"/>
              <w:tabs>
                <w:tab w:pos="360"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约束措施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①对公司未能遵守本预案时的约束措施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33"/>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33"/>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南凌科技 股份有限 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numPr>
                <w:ilvl w:val="0"/>
                <w:numId w:val="35"/>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启动条件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numPr>
                <w:ilvl w:val="0"/>
                <w:numId w:val="35"/>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停止条件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一情形，则视为本次稳定股价方案终止：</w:t>
            </w:r>
          </w:p>
          <w:p>
            <w:pPr>
              <w:pStyle w:val="Style22"/>
              <w:keepNext w:val="0"/>
              <w:keepLines w:val="0"/>
              <w:widowControl w:val="0"/>
              <w:shd w:val="clear" w:color="auto" w:fill="auto"/>
              <w:tabs>
                <w:tab w:pos="20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w:t>
            </w:r>
          </w:p>
          <w:p>
            <w:pPr>
              <w:pStyle w:val="Style22"/>
              <w:keepNext w:val="0"/>
              <w:keepLines w:val="0"/>
              <w:widowControl w:val="0"/>
              <w:numPr>
                <w:ilvl w:val="0"/>
                <w:numId w:val="37"/>
              </w:numPr>
              <w:shd w:val="clear" w:color="auto" w:fill="auto"/>
              <w:tabs>
                <w:tab w:pos="206" w:val="left"/>
              </w:tabs>
              <w:bidi w:val="0"/>
              <w:spacing w:before="0" w:after="0" w:line="313" w:lineRule="exact"/>
              <w:ind w:left="0" w:right="0" w:firstLine="0"/>
              <w:jc w:val="both"/>
              <w:rPr>
                <w:sz w:val="17"/>
                <w:szCs w:val="17"/>
              </w:rPr>
            </w:pPr>
            <w:r>
              <w:rPr>
                <w:color w:val="000000"/>
                <w:spacing w:val="0"/>
                <w:w w:val="100"/>
                <w:position w:val="0"/>
                <w:sz w:val="17"/>
                <w:szCs w:val="17"/>
              </w:rPr>
              <w:t>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37"/>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）公司控股股东、实际控制人应在符合《上市公司收购管理办法》、股 东及董事增持等法律法规的条件和要求的前提下，对公司股票进行增 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③董事、高级管理人员增持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稳定股价措施的启动程序</w:t>
            </w:r>
          </w:p>
          <w:p>
            <w:pPr>
              <w:pStyle w:val="Style22"/>
              <w:keepNext w:val="0"/>
              <w:keepLines w:val="0"/>
              <w:widowControl w:val="0"/>
              <w:numPr>
                <w:ilvl w:val="0"/>
                <w:numId w:val="39"/>
              </w:numPr>
              <w:shd w:val="clear" w:color="auto" w:fill="auto"/>
              <w:tabs>
                <w:tab w:pos="192" w:val="left"/>
              </w:tabs>
              <w:bidi w:val="0"/>
              <w:spacing w:before="0" w:after="0" w:line="314" w:lineRule="exact"/>
              <w:ind w:left="0" w:right="0" w:firstLine="0"/>
              <w:jc w:val="both"/>
              <w:rPr>
                <w:sz w:val="17"/>
                <w:szCs w:val="17"/>
              </w:rPr>
            </w:pPr>
            <w:r>
              <w:rPr>
                <w:color w:val="000000"/>
                <w:spacing w:val="0"/>
                <w:w w:val="100"/>
                <w:position w:val="0"/>
                <w:sz w:val="17"/>
                <w:szCs w:val="17"/>
              </w:rPr>
              <w:t>公司回购</w:t>
            </w:r>
          </w:p>
          <w:p>
            <w:pPr>
              <w:pStyle w:val="Style22"/>
              <w:keepNext w:val="0"/>
              <w:keepLines w:val="0"/>
              <w:widowControl w:val="0"/>
              <w:shd w:val="clear" w:color="auto" w:fill="auto"/>
              <w:tabs>
                <w:tab w:pos="206"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p>
            <w:pPr>
              <w:pStyle w:val="Style22"/>
              <w:keepNext w:val="0"/>
              <w:keepLines w:val="0"/>
              <w:widowControl w:val="0"/>
              <w:numPr>
                <w:ilvl w:val="0"/>
                <w:numId w:val="39"/>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控股股东及董事、高级管理人员增持</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 交易日开始启动增持。</w:t>
            </w:r>
          </w:p>
          <w:p>
            <w:pPr>
              <w:pStyle w:val="Style22"/>
              <w:keepNext w:val="0"/>
              <w:keepLines w:val="0"/>
              <w:widowControl w:val="0"/>
              <w:shd w:val="clear" w:color="auto" w:fill="auto"/>
              <w:tabs>
                <w:tab w:pos="360"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约束措施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①对公司未能遵守本预案时的约束措施</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41"/>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41"/>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①启动条件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②停止条件</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tabs>
                <w:tab w:pos="20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w:t>
            </w:r>
          </w:p>
          <w:p>
            <w:pPr>
              <w:pStyle w:val="Style22"/>
              <w:keepNext w:val="0"/>
              <w:keepLines w:val="0"/>
              <w:widowControl w:val="0"/>
              <w:numPr>
                <w:ilvl w:val="0"/>
                <w:numId w:val="43"/>
              </w:numPr>
              <w:shd w:val="clear" w:color="auto" w:fill="auto"/>
              <w:tabs>
                <w:tab w:pos="206" w:val="left"/>
              </w:tabs>
              <w:bidi w:val="0"/>
              <w:spacing w:before="0" w:after="0" w:line="313" w:lineRule="exact"/>
              <w:ind w:left="0" w:right="0" w:firstLine="0"/>
              <w:jc w:val="both"/>
              <w:rPr>
                <w:sz w:val="17"/>
                <w:szCs w:val="17"/>
              </w:rPr>
            </w:pPr>
            <w:r>
              <w:rPr>
                <w:color w:val="000000"/>
                <w:spacing w:val="0"/>
                <w:w w:val="100"/>
                <w:position w:val="0"/>
                <w:sz w:val="17"/>
                <w:szCs w:val="17"/>
              </w:rPr>
              <w:t>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43"/>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100" w:line="313"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）公司控股股东、实际控制人应在符合《上市公司收购管理办法》、股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东及董事增持等法律法规的条件和要求的前提下，对公司股票进行增 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③董事、高级管理人员增持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稳定股价措施的启动程序</w:t>
            </w:r>
          </w:p>
          <w:p>
            <w:pPr>
              <w:pStyle w:val="Style22"/>
              <w:keepNext w:val="0"/>
              <w:keepLines w:val="0"/>
              <w:widowControl w:val="0"/>
              <w:numPr>
                <w:ilvl w:val="0"/>
                <w:numId w:val="45"/>
              </w:numPr>
              <w:shd w:val="clear" w:color="auto" w:fill="auto"/>
              <w:tabs>
                <w:tab w:pos="192" w:val="left"/>
              </w:tabs>
              <w:bidi w:val="0"/>
              <w:spacing w:before="0" w:after="0" w:line="314" w:lineRule="exact"/>
              <w:ind w:left="0" w:right="0" w:firstLine="0"/>
              <w:jc w:val="both"/>
              <w:rPr>
                <w:sz w:val="17"/>
                <w:szCs w:val="17"/>
              </w:rPr>
            </w:pPr>
            <w:r>
              <w:rPr>
                <w:color w:val="000000"/>
                <w:spacing w:val="0"/>
                <w:w w:val="100"/>
                <w:position w:val="0"/>
                <w:sz w:val="17"/>
                <w:szCs w:val="17"/>
              </w:rPr>
              <w:t>公司回购</w:t>
            </w:r>
          </w:p>
          <w:p>
            <w:pPr>
              <w:pStyle w:val="Style22"/>
              <w:keepNext w:val="0"/>
              <w:keepLines w:val="0"/>
              <w:widowControl w:val="0"/>
              <w:shd w:val="clear" w:color="auto" w:fill="auto"/>
              <w:tabs>
                <w:tab w:pos="206"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p>
            <w:pPr>
              <w:pStyle w:val="Style22"/>
              <w:keepNext w:val="0"/>
              <w:keepLines w:val="0"/>
              <w:widowControl w:val="0"/>
              <w:numPr>
                <w:ilvl w:val="0"/>
                <w:numId w:val="45"/>
              </w:numPr>
              <w:shd w:val="clear" w:color="auto" w:fill="auto"/>
              <w:tabs>
                <w:tab w:pos="187" w:val="left"/>
              </w:tabs>
              <w:bidi w:val="0"/>
              <w:spacing w:before="0" w:after="0" w:line="314" w:lineRule="exact"/>
              <w:ind w:left="0" w:right="0" w:firstLine="0"/>
              <w:jc w:val="both"/>
              <w:rPr>
                <w:sz w:val="17"/>
                <w:szCs w:val="17"/>
              </w:rPr>
            </w:pPr>
            <w:r>
              <w:rPr>
                <w:color w:val="000000"/>
                <w:spacing w:val="0"/>
                <w:w w:val="100"/>
                <w:position w:val="0"/>
                <w:sz w:val="17"/>
                <w:szCs w:val="17"/>
              </w:rPr>
              <w:t>控股股东及董事、高级管理人员增持</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 交易日开始启动增持。</w:t>
            </w:r>
          </w:p>
          <w:p>
            <w:pPr>
              <w:pStyle w:val="Style22"/>
              <w:keepNext w:val="0"/>
              <w:keepLines w:val="0"/>
              <w:widowControl w:val="0"/>
              <w:shd w:val="clear" w:color="auto" w:fill="auto"/>
              <w:tabs>
                <w:tab w:pos="360" w:val="left"/>
              </w:tabs>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约束措施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numPr>
                <w:ilvl w:val="0"/>
                <w:numId w:val="47"/>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对公司未能遵守本预案时的约束措施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47"/>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47"/>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刘青</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①启动条件</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②停止条件</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tabs>
                <w:tab w:pos="20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w:t>
            </w:r>
          </w:p>
          <w:p>
            <w:pPr>
              <w:pStyle w:val="Style22"/>
              <w:keepNext w:val="0"/>
              <w:keepLines w:val="0"/>
              <w:widowControl w:val="0"/>
              <w:numPr>
                <w:ilvl w:val="0"/>
                <w:numId w:val="49"/>
              </w:numPr>
              <w:shd w:val="clear" w:color="auto" w:fill="auto"/>
              <w:tabs>
                <w:tab w:pos="206" w:val="left"/>
              </w:tabs>
              <w:bidi w:val="0"/>
              <w:spacing w:before="0" w:after="0" w:line="313" w:lineRule="exact"/>
              <w:ind w:left="0" w:right="0" w:firstLine="0"/>
              <w:jc w:val="both"/>
              <w:rPr>
                <w:sz w:val="17"/>
                <w:szCs w:val="17"/>
              </w:rPr>
            </w:pPr>
            <w:r>
              <w:rPr>
                <w:color w:val="000000"/>
                <w:spacing w:val="0"/>
                <w:w w:val="100"/>
                <w:position w:val="0"/>
                <w:sz w:val="17"/>
                <w:szCs w:val="17"/>
              </w:rPr>
              <w:t>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49"/>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实际控制人增持股票：</w:t>
            </w:r>
          </w:p>
          <w:p>
            <w:pPr>
              <w:pStyle w:val="Style22"/>
              <w:keepNext w:val="0"/>
              <w:keepLines w:val="0"/>
              <w:widowControl w:val="0"/>
              <w:shd w:val="clear" w:color="auto" w:fill="auto"/>
              <w:tabs>
                <w:tab w:pos="254"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公司控股股东、实际控制人应在符合《上市公司收购管理办法》、股 东及董事增持等法律法规的条件和要求的前提下，对公司股票进行增 持；</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③董事、高级管理人员增持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）稳定股价措施的启动程序</w:t>
            </w:r>
          </w:p>
          <w:p>
            <w:pPr>
              <w:pStyle w:val="Style22"/>
              <w:keepNext w:val="0"/>
              <w:keepLines w:val="0"/>
              <w:widowControl w:val="0"/>
              <w:numPr>
                <w:ilvl w:val="0"/>
                <w:numId w:val="51"/>
              </w:numPr>
              <w:shd w:val="clear" w:color="auto" w:fill="auto"/>
              <w:tabs>
                <w:tab w:pos="192" w:val="left"/>
              </w:tabs>
              <w:bidi w:val="0"/>
              <w:spacing w:before="0" w:after="0" w:line="315" w:lineRule="exact"/>
              <w:ind w:left="0" w:right="0" w:firstLine="0"/>
              <w:jc w:val="both"/>
              <w:rPr>
                <w:sz w:val="17"/>
                <w:szCs w:val="17"/>
              </w:rPr>
            </w:pPr>
            <w:r>
              <w:rPr>
                <w:color w:val="000000"/>
                <w:spacing w:val="0"/>
                <w:w w:val="100"/>
                <w:position w:val="0"/>
                <w:sz w:val="17"/>
                <w:szCs w:val="17"/>
              </w:rPr>
              <w:t>公司回购</w:t>
            </w:r>
          </w:p>
          <w:p>
            <w:pPr>
              <w:pStyle w:val="Style22"/>
              <w:keepNext w:val="0"/>
              <w:keepLines w:val="0"/>
              <w:widowControl w:val="0"/>
              <w:shd w:val="clear" w:color="auto" w:fill="auto"/>
              <w:tabs>
                <w:tab w:pos="20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p>
            <w:pPr>
              <w:pStyle w:val="Style22"/>
              <w:keepNext w:val="0"/>
              <w:keepLines w:val="0"/>
              <w:widowControl w:val="0"/>
              <w:numPr>
                <w:ilvl w:val="0"/>
                <w:numId w:val="51"/>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控股股东及董事、高级管理人员增持</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交易日开始启动增持。</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）约束措施</w:t>
            </w:r>
          </w:p>
          <w:p>
            <w:pPr>
              <w:pStyle w:val="Style22"/>
              <w:keepNext w:val="0"/>
              <w:keepLines w:val="0"/>
              <w:widowControl w:val="0"/>
              <w:numPr>
                <w:ilvl w:val="0"/>
                <w:numId w:val="53"/>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对公司未能遵守本预案时的约束措施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53"/>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53"/>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刘学忠</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①启动条件</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②停止条件</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tabs>
                <w:tab w:pos="20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w:t>
            </w:r>
          </w:p>
          <w:p>
            <w:pPr>
              <w:pStyle w:val="Style22"/>
              <w:keepNext w:val="0"/>
              <w:keepLines w:val="0"/>
              <w:widowControl w:val="0"/>
              <w:numPr>
                <w:ilvl w:val="0"/>
                <w:numId w:val="55"/>
              </w:numPr>
              <w:shd w:val="clear" w:color="auto" w:fill="auto"/>
              <w:tabs>
                <w:tab w:pos="206" w:val="left"/>
              </w:tabs>
              <w:bidi w:val="0"/>
              <w:spacing w:before="0" w:after="0" w:line="313" w:lineRule="exact"/>
              <w:ind w:left="0" w:right="0" w:firstLine="0"/>
              <w:jc w:val="both"/>
              <w:rPr>
                <w:sz w:val="17"/>
                <w:szCs w:val="17"/>
              </w:rPr>
            </w:pPr>
            <w:r>
              <w:rPr>
                <w:color w:val="000000"/>
                <w:spacing w:val="0"/>
                <w:w w:val="100"/>
                <w:position w:val="0"/>
                <w:sz w:val="17"/>
                <w:szCs w:val="17"/>
              </w:rPr>
              <w:t>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55"/>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控股股东、实际控制人增持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tabs>
                <w:tab w:pos="25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公司控股股东、实际控制人应在符合《上市公司收购管理办法》、股 东及董事增持等法律法规的条件和要求的前提下，对公司股票进行增 持；</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③董事、高级管理人员增持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）稳定股价措施的启动程序</w:t>
            </w:r>
          </w:p>
          <w:p>
            <w:pPr>
              <w:pStyle w:val="Style22"/>
              <w:keepNext w:val="0"/>
              <w:keepLines w:val="0"/>
              <w:widowControl w:val="0"/>
              <w:numPr>
                <w:ilvl w:val="0"/>
                <w:numId w:val="57"/>
              </w:numPr>
              <w:shd w:val="clear" w:color="auto" w:fill="auto"/>
              <w:tabs>
                <w:tab w:pos="192" w:val="left"/>
              </w:tabs>
              <w:bidi w:val="0"/>
              <w:spacing w:before="0" w:after="0" w:line="315" w:lineRule="exact"/>
              <w:ind w:left="0" w:right="0" w:firstLine="0"/>
              <w:jc w:val="both"/>
              <w:rPr>
                <w:sz w:val="17"/>
                <w:szCs w:val="17"/>
              </w:rPr>
            </w:pPr>
            <w:r>
              <w:rPr>
                <w:color w:val="000000"/>
                <w:spacing w:val="0"/>
                <w:w w:val="100"/>
                <w:position w:val="0"/>
                <w:sz w:val="17"/>
                <w:szCs w:val="17"/>
              </w:rPr>
              <w:t>公司回购</w:t>
            </w:r>
          </w:p>
          <w:p>
            <w:pPr>
              <w:pStyle w:val="Style22"/>
              <w:keepNext w:val="0"/>
              <w:keepLines w:val="0"/>
              <w:widowControl w:val="0"/>
              <w:shd w:val="clear" w:color="auto" w:fill="auto"/>
              <w:tabs>
                <w:tab w:pos="20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p>
            <w:pPr>
              <w:pStyle w:val="Style22"/>
              <w:keepNext w:val="0"/>
              <w:keepLines w:val="0"/>
              <w:widowControl w:val="0"/>
              <w:numPr>
                <w:ilvl w:val="0"/>
                <w:numId w:val="57"/>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控股股东及董事、高级管理人员增持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）公司董事会应在控股股东及董事、高级管理人员增持启动条件触发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）控股股东及董事、高级管理人员应在增持计划公告做出之日起次一 交易日开始启动增持。</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）约束措施</w:t>
            </w:r>
          </w:p>
          <w:p>
            <w:pPr>
              <w:pStyle w:val="Style22"/>
              <w:keepNext w:val="0"/>
              <w:keepLines w:val="0"/>
              <w:widowControl w:val="0"/>
              <w:numPr>
                <w:ilvl w:val="0"/>
                <w:numId w:val="59"/>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对公司未能遵守本预案时的约束措施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59"/>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59"/>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）启动稳定股价措施的条件</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①启动条件</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②停止条件</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tabs>
                <w:tab w:pos="20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 ①由公司回购股票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 价超过公司最近一期经审计的除权后每股净资产值，或者继续增持股份 将导致公司不满足上市条件，公司董事会应做出决议终止本次回购股份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61"/>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tabs>
                <w:tab w:pos="25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公司控股股东、实际控制人应在符合《上市公司收购管理办法》、股 东及董事增持等法律法规的条件和要求的前提下，对公司股票进行增 持；</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numPr>
                <w:ilvl w:val="0"/>
                <w:numId w:val="61"/>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董事、高级管理人员增持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）稳定股价措施的启动程序</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①公司回购</w:t>
            </w:r>
          </w:p>
          <w:p>
            <w:pPr>
              <w:pStyle w:val="Style22"/>
              <w:keepNext w:val="0"/>
              <w:keepLines w:val="0"/>
              <w:widowControl w:val="0"/>
              <w:shd w:val="clear" w:color="auto" w:fill="auto"/>
              <w:tabs>
                <w:tab w:pos="20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②控股股东及董事、高级管理人员增持</w:t>
            </w:r>
          </w:p>
          <w:p>
            <w:pPr>
              <w:pStyle w:val="Style22"/>
              <w:keepNext w:val="0"/>
              <w:keepLines w:val="0"/>
              <w:widowControl w:val="0"/>
              <w:shd w:val="clear" w:color="auto" w:fill="auto"/>
              <w:tabs>
                <w:tab w:pos="278"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 交易日开始启动增持。</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）约束措施</w:t>
            </w:r>
          </w:p>
          <w:p>
            <w:pPr>
              <w:pStyle w:val="Style22"/>
              <w:keepNext w:val="0"/>
              <w:keepLines w:val="0"/>
              <w:widowControl w:val="0"/>
              <w:numPr>
                <w:ilvl w:val="0"/>
                <w:numId w:val="63"/>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对公司未能遵守本预案时的约束措施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63"/>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63"/>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年第一次临时股东大会通过了《关于</w:t>
            </w:r>
            <w:r>
              <w:rPr>
                <w:color w:val="000000"/>
                <w:spacing w:val="0"/>
                <w:w w:val="100"/>
                <w:position w:val="0"/>
                <w:sz w:val="18"/>
                <w:szCs w:val="18"/>
              </w:rPr>
              <w:t>〈</w:t>
            </w:r>
            <w:r>
              <w:rPr>
                <w:color w:val="000000"/>
                <w:spacing w:val="0"/>
                <w:w w:val="100"/>
                <w:position w:val="0"/>
                <w:sz w:val="17"/>
                <w:szCs w:val="17"/>
              </w:rPr>
              <w:t>南凌科技股份有限公司 上市后稳定股价的预案及未能履行承诺的约束措施</w:t>
            </w:r>
            <w:r>
              <w:rPr>
                <w:color w:val="000000"/>
                <w:spacing w:val="0"/>
                <w:w w:val="100"/>
                <w:position w:val="0"/>
                <w:sz w:val="18"/>
                <w:szCs w:val="18"/>
              </w:rPr>
              <w:t>〉</w:t>
            </w:r>
            <w:r>
              <w:rPr>
                <w:color w:val="000000"/>
                <w:spacing w:val="0"/>
                <w:w w:val="100"/>
                <w:position w:val="0"/>
                <w:sz w:val="17"/>
                <w:szCs w:val="17"/>
              </w:rPr>
              <w:t xml:space="preserve">的议案》（以下简称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稳定股价的预案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），具体内容如下：</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355" w:val="left"/>
              </w:tabs>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启动稳定股价措施的条件</w:t>
            </w:r>
          </w:p>
          <w:p>
            <w:pPr>
              <w:pStyle w:val="Style22"/>
              <w:keepNext w:val="0"/>
              <w:keepLines w:val="0"/>
              <w:widowControl w:val="0"/>
              <w:numPr>
                <w:ilvl w:val="0"/>
                <w:numId w:val="65"/>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启动条件</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在南凌科技首次公开发行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年内，除不可抗力等因素 所导致的股价下跌之外，如公司股票连续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公司最近一期经审计的每股净资产（最近一期审计基准日后，因利润分 配、资本公积金转增股本、增发、配股等情况导致公司净资产或股份总 数出现变化的，每股净资产相应进行调整，下同），公司应当在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 开始实施相关稳定股价的方案，并应提前公告具体实施方案。</w:t>
            </w:r>
          </w:p>
          <w:p>
            <w:pPr>
              <w:pStyle w:val="Style22"/>
              <w:keepNext w:val="0"/>
              <w:keepLines w:val="0"/>
              <w:widowControl w:val="0"/>
              <w:numPr>
                <w:ilvl w:val="0"/>
                <w:numId w:val="65"/>
              </w:numPr>
              <w:shd w:val="clear" w:color="auto" w:fill="auto"/>
              <w:tabs>
                <w:tab w:pos="187" w:val="left"/>
              </w:tabs>
              <w:bidi w:val="0"/>
              <w:spacing w:before="0" w:after="0" w:line="313" w:lineRule="exact"/>
              <w:ind w:left="0" w:right="0" w:firstLine="0"/>
              <w:jc w:val="both"/>
              <w:rPr>
                <w:sz w:val="17"/>
                <w:szCs w:val="17"/>
              </w:rPr>
            </w:pPr>
            <w:r>
              <w:rPr>
                <w:color w:val="000000"/>
                <w:spacing w:val="0"/>
                <w:w w:val="100"/>
                <w:position w:val="0"/>
                <w:sz w:val="17"/>
                <w:szCs w:val="17"/>
              </w:rPr>
              <w:t>停止条件</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在上述第①项稳定股价具体方案的实施期间内或实施前，若出现以下任 一情形，则视为本次稳定股价方案终止：</w:t>
            </w:r>
          </w:p>
          <w:p>
            <w:pPr>
              <w:pStyle w:val="Style22"/>
              <w:keepNext w:val="0"/>
              <w:keepLines w:val="0"/>
              <w:widowControl w:val="0"/>
              <w:shd w:val="clear" w:color="auto" w:fill="auto"/>
              <w:tabs>
                <w:tab w:pos="202"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如公司股票连续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个交易日收盘价高于最近一期经审计的每股净资 产（最近一期审计基准日后，因利润分配、资本公积金转增股本、增发、 配股等情况导致公司净资产或股份总数出现变化的，每股净资产相应进 行调整）时，将停止实施股价稳定措施；</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继续回购或增持公司股份将导致公司股权分布不符合上市条件。 上述第①项稳定股价具体方案实施完毕或停止实施后，如再次发生上述 第①项的启动条件，则再次启动稳定股价措施。</w:t>
            </w:r>
          </w:p>
          <w:p>
            <w:pPr>
              <w:pStyle w:val="Style22"/>
              <w:keepNext w:val="0"/>
              <w:keepLines w:val="0"/>
              <w:widowControl w:val="0"/>
              <w:shd w:val="clear" w:color="auto" w:fill="auto"/>
              <w:tabs>
                <w:tab w:pos="355" w:val="left"/>
              </w:tabs>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股价稳定预案的具体措施</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当上述启动股价稳定措施的条件成就时，将依次开展公司回购，控股股 东、实际控制人增持，董事、高级管理人员增持等工作以稳定公司股价， 回购或增持价格不超过公司最近一期经审计的每股净资产，控股股东、 实际控制人及董事、高级管理人员在公司出现需稳定股价的情形时，必 须履行所承诺的增持义务，在履行完强制增持义务后，可选择自愿增持。 如该等方案、措施需要提交董事会、股东大会审议的，则控股股东、实 际控制人以及其他担任董事、监事、高级管理人员的股东应予以支持。 ①由公司回购股票</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如公司出现连续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个交易日的收盘价低于最近一期经审计的净资产</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时，公司可自愿采取回购股票的措施以稳定公司股价：</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公司为稳定股价之目的回购股份，应符合《上市公司回购社会公众 股份管理办法（试行）》及《关于上市公司以集中竞价交易方式回购股 份的补充规定》等相关法律、法规的规定，且不应导致公司股权分布不 符合上市条件；</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公司董事会对回购股份做出决议，须经全体董事二分之一以上表决 通过，公司董事承诺就该等回购股份的相关决议投赞成票。公司股东大 会对回购股份做出决议，须经出席会议的股东所持表决权的三分之二以 上通过，公司控股股东承诺就该等回购事宜在股东大会中投赞成票；</w:t>
            </w:r>
          </w:p>
          <w:p>
            <w:pPr>
              <w:pStyle w:val="Style22"/>
              <w:keepNext w:val="0"/>
              <w:keepLines w:val="0"/>
              <w:widowControl w:val="0"/>
              <w:shd w:val="clear" w:color="auto" w:fill="auto"/>
              <w:tabs>
                <w:tab w:pos="27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公司为稳定股价之目的进行股份回购的，除应符合相关法律法规之 要求之外，还应符合：单次触发前述稳定股价启动条件时用于回购股份 的资金总额原则上不超过公司上一会计年度实现的归属于母公司股东 的净利润的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公司用于回购股份的资金总额累计不超过公司首次公开发行新股所 募集资金总额的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公司董事会公告回购股份预案后，公司股票若连续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价超过公司最近一期经审计的除权后每股净资产值，或者继续增持股份 将导致公司不满足上市条件，公司董事会应做出决议终止本次回购股份 事宜，且在未来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个月内不再启动股份回购事宜。</w:t>
            </w:r>
          </w:p>
          <w:p>
            <w:pPr>
              <w:pStyle w:val="Style22"/>
              <w:keepNext w:val="0"/>
              <w:keepLines w:val="0"/>
              <w:widowControl w:val="0"/>
              <w:numPr>
                <w:ilvl w:val="0"/>
                <w:numId w:val="67"/>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控股股东、实际控制人增持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 收盘价均高于最近一期经审计的每股净资产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，则启动公司控股股东、 实际控制人增持股票：</w:t>
            </w:r>
          </w:p>
          <w:p>
            <w:pPr>
              <w:pStyle w:val="Style22"/>
              <w:keepNext w:val="0"/>
              <w:keepLines w:val="0"/>
              <w:widowControl w:val="0"/>
              <w:shd w:val="clear" w:color="auto" w:fill="auto"/>
              <w:tabs>
                <w:tab w:pos="25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公司控股股东、实际控制人应在符合《上市公司收购管理办法》、股 东及董事增持等法律法规的条件和要求的前提下，对公司股票进行增 持；</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个月内控股股东或实际控制人增持股份金额不少于控股股东、实 际控制人自公司上市后累计从公司所获得现金分红金额的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，增持数 量不超过公司股本总额的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2"/>
              <w:keepNext w:val="0"/>
              <w:keepLines w:val="0"/>
              <w:widowControl w:val="0"/>
              <w:numPr>
                <w:ilvl w:val="0"/>
                <w:numId w:val="67"/>
              </w:numPr>
              <w:shd w:val="clear" w:color="auto" w:fill="auto"/>
              <w:tabs>
                <w:tab w:pos="187" w:val="left"/>
              </w:tabs>
              <w:bidi w:val="0"/>
              <w:spacing w:before="0" w:after="0" w:line="315" w:lineRule="exact"/>
              <w:ind w:left="0" w:right="0" w:firstLine="0"/>
              <w:jc w:val="both"/>
              <w:rPr>
                <w:sz w:val="17"/>
                <w:szCs w:val="17"/>
              </w:rPr>
            </w:pPr>
            <w:r>
              <w:rPr>
                <w:color w:val="000000"/>
                <w:spacing w:val="0"/>
                <w:w w:val="100"/>
                <w:position w:val="0"/>
                <w:sz w:val="17"/>
                <w:szCs w:val="17"/>
              </w:rPr>
              <w:t>董事、高级管理人员增持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在公司回购股票措施完成，且公司控股股东、实际控制人单次增持股份 数量达到最大限额之日后，如仍未达到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公司股票连续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个交易日的收 盘价均高于最近一期经审计的每股净资产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，则启动董事、高级管理人 员增持：</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在公司任职并领取薪酬的公司董事（不包括独立董事）、高级管理人 员应在符合《上市公司收购管理办法》及《上市公司董事、监事和高级 管理人员所持本公司股份及其变动管理规则》等法律法规的条件和要求 的前提下，对公司股票进行增持；</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有义务增持的公司董事、高级管理人员</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个月内用于增持货币资金 不低于上年度自公司领取的税后薪酬总和的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,单一会计年度内用以 稳定股价所动用的资金应不超过其在担任董事或高级管理人员职务期 间上年度自公司领取的税后薪酬总和的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，并在股份增持完成后的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个月内将不出售所增持的股份；</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个月内，若公司新聘任董事（不包括独立董事）、高 级管理人员的，公司将要求该等新聘任的董事、高级管理人员履行本公 司上市时董事、高级管理人员已作出的相应承诺。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）稳定股价措施的启动程序</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①公司回购</w:t>
            </w:r>
          </w:p>
          <w:p>
            <w:pPr>
              <w:pStyle w:val="Style22"/>
              <w:keepNext w:val="0"/>
              <w:keepLines w:val="0"/>
              <w:widowControl w:val="0"/>
              <w:shd w:val="clear" w:color="auto" w:fill="auto"/>
              <w:tabs>
                <w:tab w:pos="206"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公司董事会应在上述公司回购启动条件触发之日起的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个工作日内 做出是否回购股份的决议；</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公司董事会应当在做出是否回购股份决议后的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个工作日内公告董 事会决议，如不回购需公告理由，如回购还需公告回购股份预案，并发 布召开股东大会的通知；</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公司回购应在公司股东大会决议做出之日起次一交易日开始启动回 购；</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公司董事会对稳定股价的措施做出决议，须经全体董事二分之一以 上表决通过，公司董事承诺就该等稳定股价措施相关议案投赞成票。公 司股东大会对该等稳定股价措施相关议案做出决议，须经出席会议的股 东所持表决权的三分之二以上通过，公司控股股东承诺就该等稳定股价 措施相关议案在股东大会中投赞成票；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）公司回购方案实施完毕后，应在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个工作日内公告公司股份变动报 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日内依法注销所回购的股份，办理工商变更登记手续。 ②控股股东及董事、高级管理人员增持</w:t>
            </w:r>
          </w:p>
          <w:p>
            <w:pPr>
              <w:pStyle w:val="Style22"/>
              <w:keepNext w:val="0"/>
              <w:keepLines w:val="0"/>
              <w:widowControl w:val="0"/>
              <w:shd w:val="clear" w:color="auto" w:fill="auto"/>
              <w:tabs>
                <w:tab w:pos="278"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公司董事会应在控股股东及董事、高级管理人员增持启动条件触发 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个交易日内做出增持计划公告；</w:t>
            </w:r>
          </w:p>
          <w:p>
            <w:pPr>
              <w:pStyle w:val="Style2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控股股东及董事、高级管理人员应在增持计划公告做出之日起次一 交易日开始启动增持。</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）约束措施</w:t>
            </w:r>
          </w:p>
          <w:p>
            <w:pPr>
              <w:pStyle w:val="Style22"/>
              <w:keepNext w:val="0"/>
              <w:keepLines w:val="0"/>
              <w:widowControl w:val="0"/>
              <w:numPr>
                <w:ilvl w:val="0"/>
                <w:numId w:val="69"/>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对公司未能遵守本预案时的约束措施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公司董事会、股东大会审议通过的稳定股价措施方案要求公司回购股份 但未实际履行的，公司将在股东大会及中国证监会指定报刊上公开说明 未履行的具体原因，并向股东和社会公众投资者道歉，同时以单次不低 于经审计的上一会计年度实现的可分配利润的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、单一会计年度合计 不低于经审计的上一会计年度实现的可分配利润的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的标准向全体 股东实施现金分红。</w:t>
            </w:r>
          </w:p>
          <w:p>
            <w:pPr>
              <w:pStyle w:val="Style22"/>
              <w:keepNext w:val="0"/>
              <w:keepLines w:val="0"/>
              <w:widowControl w:val="0"/>
              <w:numPr>
                <w:ilvl w:val="0"/>
                <w:numId w:val="69"/>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对控股股东、实际控制人未能遵守本预案时的约束措施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控股股东如已公告增持具体计划，且达到实施条件但无合理理由未能实 际履行，则公司有权将与控股股东履行其增持义务相等金额的应付控股 股东现金分红予以截留，直至控股股东履行完毕其增持义务；如已经连 续两次触发增持义务而控股股东均未能提出具体增持计划，则公司可将 与控股股东履行其增持义务相等金额的应付控股股东现金分红予以截 留用于股份回购计划，控股股东丧失对相应金额现金分红的追索权；如 对公司董事会提出的股份回购计划投弃权票或反对票，则公司可将与控 股股东履行其增持义务相等金额的应付控股股东现金分红予以截留用 于下次股份回购计划，控股股东丧失对相应金额现金分红的追索权。 由公司在定期报告中披露控股股东、实际控制人关于股价稳定措施的履 行情况，及未履行股价稳定措施时的补救及改正情况。</w:t>
            </w:r>
          </w:p>
          <w:p>
            <w:pPr>
              <w:pStyle w:val="Style22"/>
              <w:keepNext w:val="0"/>
              <w:keepLines w:val="0"/>
              <w:widowControl w:val="0"/>
              <w:numPr>
                <w:ilvl w:val="0"/>
                <w:numId w:val="69"/>
              </w:numPr>
              <w:shd w:val="clear" w:color="auto" w:fill="auto"/>
              <w:tabs>
                <w:tab w:pos="187" w:val="left"/>
              </w:tabs>
              <w:bidi w:val="0"/>
              <w:spacing w:before="0" w:after="0" w:line="312" w:lineRule="exact"/>
              <w:ind w:left="0" w:right="0" w:firstLine="0"/>
              <w:jc w:val="both"/>
              <w:rPr>
                <w:sz w:val="17"/>
                <w:szCs w:val="17"/>
              </w:rPr>
            </w:pPr>
            <w:r>
              <w:rPr>
                <w:color w:val="000000"/>
                <w:spacing w:val="0"/>
                <w:w w:val="100"/>
                <w:position w:val="0"/>
                <w:sz w:val="17"/>
                <w:szCs w:val="17"/>
              </w:rPr>
              <w:t>对有增持义务的董事、高级管理人员未能履行本预案时的约束措施 公司董事、高级管理人员如已公告增持具体计划，且达到实施条件但无 合理理由未能实际履行，则公司有权将与其履行增持义务相等金额的工 资薪酬及现金分红予以截留，直至相关人员履行完毕增持义务；如个人 在任职期间连续两次未能主动履行其增持义务，由控股股东或董事会提 请股东大会同意更换相关董事，由公司董事会提请解聘相关高级管理人 员。</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由公司在定期报告中披露有增持义务的董事、高管关于股价稳定措施的 履行情况，及未履行股价稳定措施时的补救及改正情况。</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为维护公司股票上市后股价的稳定，充分保护公司股东特别是中小股东 的权益，发行人、发行人控股股东、实际控制人、董事（不含独立董事） 和高级管理人员作出承诺：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在公司上市后三年内股价达到稳定股价预 案规定的启动稳定股价措施的具体条件后，遵守公司董事会做出的稳定 股价的具体实施方案，并根据该具体实施方案采取包括但不限于回购公 司股票或董事会作出的其他稳定股价的具体实施措施。本公司或本人保 证将严格履行上述承诺事项，并严格遵守董事会决议采取的约束措施。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填补被摊薄即期回报的措施及承诺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正</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7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7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7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7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7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tabs>
                <w:tab w:pos="274" w:val="left"/>
              </w:tabs>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董事、高级管理人员对公司填补回报措施的承诺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7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7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7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7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7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励的行权条件与公司填补回报措施的执行情况相挂钩；</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75"/>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75"/>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7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7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7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40" w:line="315"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7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7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7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7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公司将继续利用长期积累的行业技术和管理经验，进一步通过合理规</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划，提高骨干网络带宽资源的复用率，从而降低整体运营成本、提升公 司盈利水平。</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填补被摊薄即期回报的措施及承诺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正</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8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8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8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8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8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tabs>
                <w:tab w:pos="274" w:val="left"/>
              </w:tabs>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董事、高级管理人员对公司填补回报措施的承诺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王海茸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8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8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8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8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8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励的行权条件与公司填补回报措施的执行情况相挂钩；</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85"/>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85"/>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8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8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8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40" w:line="315"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张建斌</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8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8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8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89"/>
              </w:numPr>
              <w:shd w:val="clear" w:color="auto" w:fill="auto"/>
              <w:tabs>
                <w:tab w:pos="355" w:val="left"/>
              </w:tabs>
              <w:bidi w:val="0"/>
              <w:spacing w:before="0" w:after="0" w:line="314" w:lineRule="exact"/>
              <w:ind w:left="0" w:right="0" w:firstLine="0"/>
              <w:jc w:val="both"/>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公司将继续利用长期积累的行业技术和管理经验，进一步通过合理规</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划，提高骨干网络带宽资源的复用率，从而降低整体运营成本、提升公 司盈利水平。</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刘学忠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填补被摊薄即期回报的措施及承诺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正</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4" w:val="left"/>
              </w:tabs>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9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9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9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9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91"/>
              </w:numPr>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tabs>
                <w:tab w:pos="274" w:val="left"/>
              </w:tabs>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董事、高级管理人员对公司填补回报措施的承诺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9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9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 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9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9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93"/>
              </w:numPr>
              <w:shd w:val="clear" w:color="auto" w:fill="auto"/>
              <w:tabs>
                <w:tab w:pos="355" w:val="left"/>
              </w:tabs>
              <w:bidi w:val="0"/>
              <w:spacing w:before="0" w:after="0" w:line="314" w:lineRule="exact"/>
              <w:ind w:left="0" w:right="0" w:firstLine="0"/>
              <w:jc w:val="left"/>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励的行权条件与公司填补回报措施的执行情况相挂钩；</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 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填补被摊薄即期回报的措施及承诺</w:t>
            </w:r>
          </w:p>
          <w:p>
            <w:pPr>
              <w:pStyle w:val="Style22"/>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本次发行对即期回报摊薄的影响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公司本次发行新股</w:t>
            </w:r>
            <w:r>
              <w:rPr>
                <w:rFonts w:ascii="Times New Roman" w:eastAsia="Times New Roman" w:hAnsi="Times New Roman" w:cs="Times New Roman"/>
                <w:color w:val="000000"/>
                <w:spacing w:val="0"/>
                <w:w w:val="100"/>
                <w:position w:val="0"/>
                <w:sz w:val="18"/>
                <w:szCs w:val="18"/>
              </w:rPr>
              <w:t>1,823.00</w:t>
            </w:r>
            <w:r>
              <w:rPr>
                <w:color w:val="000000"/>
                <w:spacing w:val="0"/>
                <w:w w:val="100"/>
                <w:position w:val="0"/>
                <w:sz w:val="17"/>
                <w:szCs w:val="17"/>
              </w:rPr>
              <w:t>万股，发行后的公司总股本</w:t>
            </w:r>
            <w:r>
              <w:rPr>
                <w:rFonts w:ascii="Times New Roman" w:eastAsia="Times New Roman" w:hAnsi="Times New Roman" w:cs="Times New Roman"/>
                <w:color w:val="000000"/>
                <w:spacing w:val="0"/>
                <w:w w:val="100"/>
                <w:position w:val="0"/>
                <w:sz w:val="18"/>
                <w:szCs w:val="18"/>
              </w:rPr>
              <w:t>7,291.97</w:t>
            </w:r>
            <w:r>
              <w:rPr>
                <w:color w:val="000000"/>
                <w:spacing w:val="0"/>
                <w:w w:val="100"/>
                <w:position w:val="0"/>
                <w:sz w:val="17"/>
                <w:szCs w:val="17"/>
              </w:rPr>
              <w:t>万股。 本次发行募集资金到位后，公司的总股本和净资产规模将会有大幅度增 加。由于本次募集资金投资项目的建设和达产需要一定时间，新建项目 在建设期和投产初期对公司盈利的贡献较小，无法在发行当年即达到预 期效益。受上述主要因素的影响，在本次发行后的一段时间内，公司存 在因股本规模和净资产增长较快而摊薄每股收益的情形，公司的每股收 益将有所下降。</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公司将通过加强募集资金管理、提升公司盈利能力和水平、完善分红政 策等措施，积极提升公司盈利能力，填补被摊薄的股东即期回报。</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公司填补即期回报被摊薄的具体措施</w:t>
            </w:r>
          </w:p>
          <w:p>
            <w:pPr>
              <w:pStyle w:val="Style22"/>
              <w:keepNext w:val="0"/>
              <w:keepLines w:val="0"/>
              <w:widowControl w:val="0"/>
              <w:numPr>
                <w:ilvl w:val="0"/>
                <w:numId w:val="95"/>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加强募集资金投资管理</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募集资金到位后，公司将加强对募集资金的管理：公司将对募集资金进 行专项存储，对其使用、管理和监督进行明确规定，定期对募集资金进 行内部审计、配合监管银行和保荐人对募集资金使用的检查和监督，以 保证募集资金合理规范使用，并做好募集资金投资项目的建设和运行管 理，按照募投项目实施进度进行建设，确保募集资金使用效率。</w:t>
            </w:r>
          </w:p>
          <w:p>
            <w:pPr>
              <w:pStyle w:val="Style22"/>
              <w:keepNext w:val="0"/>
              <w:keepLines w:val="0"/>
              <w:widowControl w:val="0"/>
              <w:numPr>
                <w:ilvl w:val="0"/>
                <w:numId w:val="95"/>
              </w:numPr>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积极实施募集资金投资项目，尽快获得预期投资收益</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本次发行募集资金紧紧围绕公司主营业务，用于网络服务平台建设项 目、研发中心建设项目等。公司已对投资项目的可行性进行了充分论证, 募集资金到位后，公司将加快募投项目建设进度，确保募集资金使用效 率。随着公司募集资金投资项目的全部建设完成，公司能够从技术实力、</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服务品质、业务协同等方面持续提升公司的核心竞争力；募投项目预期 将为公司带来良好的经济效益，降低本次发行所导致的即期回报被摊薄 的风险。</w:t>
            </w:r>
          </w:p>
          <w:p>
            <w:pPr>
              <w:pStyle w:val="Style22"/>
              <w:keepNext w:val="0"/>
              <w:keepLines w:val="0"/>
              <w:widowControl w:val="0"/>
              <w:numPr>
                <w:ilvl w:val="0"/>
                <w:numId w:val="9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加强市场开拓，完善业务网络</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公司作为国内专用网络领域位于行业前列的专业服务商，具有良好的品 牌与市场影响力。公司在巩固现有市场份额的基础上，继续布局全国性 业务，公司将依托长期深耕行业积累的品牌、服务、管理等优势，继续 加快扩大业务规模，加深与客户的合作关系，从而扩大业务和服务领域， 完善业务网络。</w:t>
            </w:r>
          </w:p>
          <w:p>
            <w:pPr>
              <w:pStyle w:val="Style22"/>
              <w:keepNext w:val="0"/>
              <w:keepLines w:val="0"/>
              <w:widowControl w:val="0"/>
              <w:numPr>
                <w:ilvl w:val="0"/>
                <w:numId w:val="9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提高公司盈利能力，加强成本管理</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公司将继续利用长期积累的行业技术和管理经验，进一步通过合理规 划，提高骨干网络带宽资源的复用率，从而降低整体运营成本、提升公 司盈利水平。</w:t>
            </w:r>
          </w:p>
          <w:p>
            <w:pPr>
              <w:pStyle w:val="Style22"/>
              <w:keepNext w:val="0"/>
              <w:keepLines w:val="0"/>
              <w:widowControl w:val="0"/>
              <w:numPr>
                <w:ilvl w:val="0"/>
                <w:numId w:val="97"/>
              </w:numPr>
              <w:shd w:val="clear" w:color="auto" w:fill="auto"/>
              <w:tabs>
                <w:tab w:pos="355" w:val="left"/>
              </w:tabs>
              <w:bidi w:val="0"/>
              <w:spacing w:before="0" w:after="0" w:line="315" w:lineRule="exact"/>
              <w:ind w:left="0" w:right="0" w:firstLine="0"/>
              <w:jc w:val="both"/>
              <w:rPr>
                <w:sz w:val="17"/>
                <w:szCs w:val="17"/>
              </w:rPr>
            </w:pPr>
            <w:r>
              <w:rPr>
                <w:color w:val="000000"/>
                <w:spacing w:val="0"/>
                <w:w w:val="100"/>
                <w:position w:val="0"/>
                <w:sz w:val="17"/>
                <w:szCs w:val="17"/>
              </w:rPr>
              <w:t>完善利润分配制度，优化投资回报机制</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公司已根据中国证监会的相关规定，并结合公司实际情况，制定了上市 后适用的利润分配政策，制订了《南凌科技股份有限公司上市后股东分 红回报规划》，加强了对中小投资者的利益保护，优化投资回报机制。 本次发行结束后，公司将在严格执行现行分红政策的基础上，综合考虑 未来的收入水平、盈利能力等因素，在条件允许的情况下，进一步提高 对股东的利润分配，优化投资回报机制。</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发行人制定的上述填补回报措施不等于对发行人未来利润做出保证。</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、董事、高级管理人员对公司填补回报措施的承诺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公司全体董事、高级管理人员将忠实、勤勉地履行职责，维护公司和全 体股东的合法权益，并对公司填补即期回报措施能够得到切实履行作出 如下承诺，本人承诺不因职务变更、离职等原因而放弃履行已作出的以 下承诺：</w:t>
            </w:r>
          </w:p>
          <w:p>
            <w:pPr>
              <w:pStyle w:val="Style22"/>
              <w:keepNext w:val="0"/>
              <w:keepLines w:val="0"/>
              <w:widowControl w:val="0"/>
              <w:shd w:val="clear" w:color="auto" w:fill="auto"/>
              <w:bidi w:val="0"/>
              <w:spacing w:before="0" w:after="100" w:line="315"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本人承诺不无偿或以不公平条件向其他单位或者个人输送利益，也 不采用其他方式损害公司利益；</w:t>
            </w:r>
          </w:p>
          <w:p>
            <w:pPr>
              <w:pStyle w:val="Style22"/>
              <w:keepNext w:val="0"/>
              <w:keepLines w:val="0"/>
              <w:widowControl w:val="0"/>
              <w:shd w:val="clear" w:color="auto" w:fill="auto"/>
              <w:tabs>
                <w:tab w:pos="288"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本人承诺对董事和高级管理人员的职务消费行为进行约束；</w:t>
            </w:r>
          </w:p>
          <w:p>
            <w:pPr>
              <w:pStyle w:val="Style22"/>
              <w:keepNext w:val="0"/>
              <w:keepLines w:val="0"/>
              <w:widowControl w:val="0"/>
              <w:shd w:val="clear" w:color="auto" w:fill="auto"/>
              <w:tabs>
                <w:tab w:pos="235"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本人承诺不动用公司资产从事与其履行职责无关的投资、消费活动；</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本人承诺由董事会或薪酬委员会制定的薪酬制度与公司填补回报措 施的执行情况相挂钩；</w:t>
            </w:r>
          </w:p>
          <w:p>
            <w:pPr>
              <w:pStyle w:val="Style22"/>
              <w:keepNext w:val="0"/>
              <w:keepLines w:val="0"/>
              <w:widowControl w:val="0"/>
              <w:shd w:val="clear" w:color="auto" w:fill="auto"/>
              <w:tabs>
                <w:tab w:pos="27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若公司后续推出公司股权激励政策，本人承诺拟公布的公司股权激 励的行权条件与公司填补回报措施的执行情况相挂钩；</w:t>
            </w:r>
          </w:p>
          <w:p>
            <w:pPr>
              <w:pStyle w:val="Style22"/>
              <w:keepNext w:val="0"/>
              <w:keepLines w:val="0"/>
              <w:widowControl w:val="0"/>
              <w:shd w:val="clear" w:color="auto" w:fill="auto"/>
              <w:tabs>
                <w:tab w:pos="27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88"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 4</w:t>
            </w:r>
            <w:r>
              <w:rPr>
                <w:color w:val="000000"/>
                <w:spacing w:val="0"/>
                <w:w w:val="100"/>
                <w:position w:val="0"/>
                <w:sz w:val="17"/>
                <w:szCs w:val="17"/>
              </w:rPr>
              <w:t>、控股股东和实际控制人陈树林、蒋小明的承诺</w:t>
            </w:r>
          </w:p>
          <w:p>
            <w:pPr>
              <w:pStyle w:val="Style22"/>
              <w:keepNext w:val="0"/>
              <w:keepLines w:val="0"/>
              <w:widowControl w:val="0"/>
              <w:shd w:val="clear" w:color="auto" w:fill="auto"/>
              <w:bidi w:val="0"/>
              <w:spacing w:before="0" w:after="40" w:line="315" w:lineRule="exact"/>
              <w:ind w:left="0" w:right="0" w:firstLine="0"/>
              <w:jc w:val="both"/>
              <w:rPr>
                <w:sz w:val="17"/>
                <w:szCs w:val="17"/>
              </w:rPr>
            </w:pPr>
            <w:r>
              <w:rPr>
                <w:color w:val="000000"/>
                <w:spacing w:val="0"/>
                <w:w w:val="100"/>
                <w:position w:val="0"/>
                <w:sz w:val="17"/>
                <w:szCs w:val="17"/>
              </w:rPr>
              <w:t>公司控股股东、实际控制人陈树林、蒋小明就公司填补即期回报措施能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够得到切实履行作出如下承诺：</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T、</w:t>
            </w:r>
            <w:r>
              <w:rPr>
                <w:color w:val="000000"/>
                <w:spacing w:val="0"/>
                <w:w w:val="100"/>
                <w:position w:val="0"/>
                <w:sz w:val="17"/>
                <w:szCs w:val="17"/>
              </w:rPr>
              <w:t>本人承诺不越权干预公司经营管理活动，不侵占公司利益；</w:t>
            </w:r>
          </w:p>
          <w:p>
            <w:pPr>
              <w:pStyle w:val="Style22"/>
              <w:keepNext w:val="0"/>
              <w:keepLines w:val="0"/>
              <w:widowControl w:val="0"/>
              <w:shd w:val="clear" w:color="auto" w:fill="auto"/>
              <w:tabs>
                <w:tab w:pos="283"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本承诺出具日后至首次公开发行实施完毕前，若中国证券监督管理 委员会等证券监管机构作出关于填补回报措施及其承诺的其他新的监 管规定，且本承诺相关内容不能满足中国证券监督管理委员会等证券监 管机构的该等规定时，本人承诺届时将按照中国证券监督管理委员会等 证券监管机构的最新规定出具补充承诺；</w:t>
            </w:r>
          </w:p>
          <w:p>
            <w:pPr>
              <w:pStyle w:val="Style22"/>
              <w:keepNext w:val="0"/>
              <w:keepLines w:val="0"/>
              <w:widowControl w:val="0"/>
              <w:shd w:val="clear" w:color="auto" w:fill="auto"/>
              <w:tabs>
                <w:tab w:pos="278"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本人承诺切实履行公司制定的有关填补回报措施以及本人对此作出 的任何有关填补回报措施的承诺，若本人违反该等承诺并给公司或者投 资者造成损失的，本人愿意依法承担对公司或者投资者的补偿责任。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南凌科技 股份有限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利润分配的承诺</w:t>
            </w:r>
          </w:p>
          <w:p>
            <w:pPr>
              <w:pStyle w:val="Style22"/>
              <w:keepNext w:val="0"/>
              <w:keepLines w:val="0"/>
              <w:widowControl w:val="0"/>
              <w:shd w:val="clear" w:color="auto" w:fill="auto"/>
              <w:tabs>
                <w:tab w:pos="269"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公司的承诺</w:t>
            </w:r>
          </w:p>
          <w:p>
            <w:pPr>
              <w:pStyle w:val="Style2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关于公司利润分配政策的承诺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发行人关于本次发行上市后适用的利润分配政策承诺如下：</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公司根据国务院发布的《关于进一步加强资本市场中小投资者合法权 益保护工作的意见》（国办发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号）及证监会《上市公司监管指 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号——上市公司现金分红》等规范文件的相关要求，公司重视对 投资者的合理投资回报，制定了本次发行上市后适用的《公司章程（草 案）》及《南凌科技股份有限公司上市后股东分红回报规划》，对公司利 润分配政策尤其是现金分红政策进行了具体安排，公司承诺将严格按照 上述制度进行利润分配，切实保障投资者收益权。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承诺未能履行的约束措施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公司上市后，如果公司未履行或者未完全履行上述承诺，有权主体可自 行依据法律、法规、规章及规范性文件对发行人采取相应惩罚、约束措 施，公司对此不持有异议。</w:t>
            </w:r>
          </w:p>
          <w:p>
            <w:pPr>
              <w:pStyle w:val="Style2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控股股东、实际控制人陈树林、蒋小明的承诺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公司控股股东、实际控制人陈树林、蒋小明就利润分配政策作出如下承 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南凌科技股份有限公司首次公开发行股票并在创业板上市后，公司控 股股东、实际控制人陈树林、蒋小明（以下称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将督促公司严 格执行公司为首次公开发行股票并在创业板上市制定的《公司章程（草 案）》中规定的利润分配政策。</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若承诺人未能执行上述承诺内容，将采取以下约束措施：</w:t>
            </w:r>
          </w:p>
          <w:p>
            <w:pPr>
              <w:pStyle w:val="Style22"/>
              <w:keepNext w:val="0"/>
              <w:keepLines w:val="0"/>
              <w:widowControl w:val="0"/>
              <w:shd w:val="clear" w:color="auto" w:fill="auto"/>
              <w:tabs>
                <w:tab w:pos="288" w:val="left"/>
              </w:tabs>
              <w:bidi w:val="0"/>
              <w:spacing w:before="0" w:after="0" w:line="312" w:lineRule="exact"/>
              <w:ind w:left="0" w:right="0" w:firstLine="0"/>
              <w:jc w:val="both"/>
              <w:rPr>
                <w:sz w:val="17"/>
                <w:szCs w:val="17"/>
              </w:rPr>
            </w:pPr>
            <w:r>
              <w:rPr>
                <w:color w:val="000000"/>
                <w:spacing w:val="0"/>
                <w:w w:val="100"/>
                <w:position w:val="0"/>
                <w:sz w:val="17"/>
                <w:szCs w:val="17"/>
              </w:rPr>
              <w:t>一、</w:t>
              <w:tab/>
              <w:t>承诺人将在股东大会及中国证券监督管理委员会指定媒体上公开说 明未履行承诺的原因并向公司股东和社会公众投资者道歉。</w:t>
            </w:r>
          </w:p>
          <w:p>
            <w:pPr>
              <w:pStyle w:val="Style22"/>
              <w:keepNext w:val="0"/>
              <w:keepLines w:val="0"/>
              <w:widowControl w:val="0"/>
              <w:shd w:val="clear" w:color="auto" w:fill="auto"/>
              <w:tabs>
                <w:tab w:pos="326" w:val="left"/>
              </w:tabs>
              <w:bidi w:val="0"/>
              <w:spacing w:before="0" w:after="0" w:line="312" w:lineRule="exact"/>
              <w:ind w:left="0" w:right="0" w:firstLine="0"/>
              <w:jc w:val="both"/>
              <w:rPr>
                <w:sz w:val="17"/>
                <w:szCs w:val="17"/>
              </w:rPr>
            </w:pPr>
            <w:r>
              <w:rPr>
                <w:color w:val="000000"/>
                <w:spacing w:val="0"/>
                <w:w w:val="100"/>
                <w:position w:val="0"/>
                <w:sz w:val="17"/>
                <w:szCs w:val="17"/>
              </w:rPr>
              <w:t>二、</w:t>
              <w:tab/>
              <w:t>如果因承诺人未履行上述承诺事项，致使投资者在证券交易中遭受 损失的，在中国证券监督管理委员会或者有管辖权的人民法院作出最终 认定或生效判决后，承诺人将依法向投资者赔偿损失。</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上述承诺内容系承诺人的真实意思表示，承诺人自愿接受监管机构、自 律组织及社会公众的监督，若违反上述承诺，承诺人将依法承担相应责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利润分配的承诺</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、公司的承诺</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）关于公司利润分配政策的承诺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常</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发行人关于本次发行上市后适用的利润分配政策承诺如下：</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公司根据国务院发布的《关于进一步加强资本市场中小投资者合法权 益保护工作的意见》（国办发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号）及证监会《上市公司监管指 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号——上市公司现金分红》等规范文件的相关要求，公司重视对 投资者的合理投资回报，制定了本次发行上市后适用的《公司章程（草 案）》及《南凌科技股份有限公司上市后股东分红回报规划》，对公司利 润分配政策尤其是现金分红政策进行了具体安排，公司承诺将严格按照 上述制度进行利润分配，切实保障投资者收益权。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）承诺未能履行的约束措施</w:t>
            </w:r>
          </w:p>
          <w:p>
            <w:pPr>
              <w:pStyle w:val="Style22"/>
              <w:keepNext w:val="0"/>
              <w:keepLines w:val="0"/>
              <w:widowControl w:val="0"/>
              <w:shd w:val="clear" w:color="auto" w:fill="auto"/>
              <w:bidi w:val="0"/>
              <w:spacing w:before="0" w:after="100" w:line="312" w:lineRule="exact"/>
              <w:ind w:left="0" w:right="0" w:firstLine="0"/>
              <w:jc w:val="both"/>
              <w:rPr>
                <w:sz w:val="17"/>
                <w:szCs w:val="17"/>
              </w:rPr>
            </w:pPr>
            <w:r>
              <w:rPr>
                <w:color w:val="000000"/>
                <w:spacing w:val="0"/>
                <w:w w:val="100"/>
                <w:position w:val="0"/>
                <w:sz w:val="17"/>
                <w:szCs w:val="17"/>
              </w:rPr>
              <w:t>公司上市后，如果公司未履行或者未完全履行上述承诺，有权主体可自 行依据法律、法规、规章及规范性文件对发行人采取相应惩罚、约束措 施，公司对此不持有异议。</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、控股股东、实际控制人陈树林、蒋小明的承诺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公司控股股东、实际控制人陈树林、蒋小明就利润分配政策作出如下承 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南凌科技股份有限公司首次公开发行股票并在创业板上市后，公司控 股股东、实际控制人陈树林、蒋小明（以下称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将督促公司严 格执行公司为首次公开发行股票并在创业板上市制定的《公司章程（草 案）》中规定的利润分配政策。</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若承诺人未能执行上述承诺内容，将采取以下约束措施：</w:t>
            </w:r>
          </w:p>
          <w:p>
            <w:pPr>
              <w:pStyle w:val="Style22"/>
              <w:keepNext w:val="0"/>
              <w:keepLines w:val="0"/>
              <w:widowControl w:val="0"/>
              <w:shd w:val="clear" w:color="auto" w:fill="auto"/>
              <w:tabs>
                <w:tab w:pos="288" w:val="left"/>
              </w:tabs>
              <w:bidi w:val="0"/>
              <w:spacing w:before="0" w:after="0" w:line="312" w:lineRule="exact"/>
              <w:ind w:left="0" w:right="0" w:firstLine="0"/>
              <w:jc w:val="both"/>
              <w:rPr>
                <w:sz w:val="17"/>
                <w:szCs w:val="17"/>
              </w:rPr>
            </w:pPr>
            <w:r>
              <w:rPr>
                <w:color w:val="000000"/>
                <w:spacing w:val="0"/>
                <w:w w:val="100"/>
                <w:position w:val="0"/>
                <w:sz w:val="17"/>
                <w:szCs w:val="17"/>
              </w:rPr>
              <w:t>一、</w:t>
              <w:tab/>
              <w:t>承诺人将在股东大会及中国证券监督管理委员会指定媒体上公开说 明未履行承诺的原因并向公司股东和社会公众投资者道歉。</w:t>
            </w:r>
          </w:p>
          <w:p>
            <w:pPr>
              <w:pStyle w:val="Style22"/>
              <w:keepNext w:val="0"/>
              <w:keepLines w:val="0"/>
              <w:widowControl w:val="0"/>
              <w:shd w:val="clear" w:color="auto" w:fill="auto"/>
              <w:tabs>
                <w:tab w:pos="326" w:val="left"/>
              </w:tabs>
              <w:bidi w:val="0"/>
              <w:spacing w:before="0" w:after="0" w:line="312" w:lineRule="exact"/>
              <w:ind w:left="0" w:right="0" w:firstLine="0"/>
              <w:jc w:val="both"/>
              <w:rPr>
                <w:sz w:val="17"/>
                <w:szCs w:val="17"/>
              </w:rPr>
            </w:pPr>
            <w:r>
              <w:rPr>
                <w:color w:val="000000"/>
                <w:spacing w:val="0"/>
                <w:w w:val="100"/>
                <w:position w:val="0"/>
                <w:sz w:val="17"/>
                <w:szCs w:val="17"/>
              </w:rPr>
              <w:t>二、</w:t>
              <w:tab/>
              <w:t>如果因承诺人未履行上述承诺事项，致使投资者在证券交易中遭受 损失的，在中国证券监督管理委员会或者有管辖权的人民法院作出最终 认定或生效判决后，承诺人将依法向投资者赔偿损失。</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上述承诺内容系承诺人的真实意思表示，承诺人自愿接受监管机构、自 律组织及社会公众的监督，若违反上述承诺，承诺人将依法承担相应责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行 中</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利润分配的承诺</w:t>
            </w:r>
          </w:p>
          <w:p>
            <w:pPr>
              <w:pStyle w:val="Style22"/>
              <w:keepNext w:val="0"/>
              <w:keepLines w:val="0"/>
              <w:widowControl w:val="0"/>
              <w:shd w:val="clear" w:color="auto" w:fill="auto"/>
              <w:tabs>
                <w:tab w:pos="269"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公司的承诺</w:t>
            </w:r>
          </w:p>
          <w:p>
            <w:pPr>
              <w:pStyle w:val="Style2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关于公司利润分配政策的承诺</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发行人关于本次发行上市后适用的利润分配政策承诺如下：</w:t>
            </w:r>
          </w:p>
          <w:p>
            <w:pPr>
              <w:pStyle w:val="Style2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公司根据国务院发布的《关于进一步加强资本市场中小投资者合法权 益保护工作的意见》（国办发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sz w:val="17"/>
                <w:szCs w:val="17"/>
              </w:rPr>
              <w:t>号）及证监会《上市公司监管指 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号——上市公司现金分红》等规范文件的相关要求，公司重视对 投资者的合理投资回报，制定了本次发行上市后适用的《公司章程（草 案）》及《南凌科技股份有限公司上市后股东分红回报规划》，对公司利 润分配政策尤其是现金分红政策进行了具体安排，公司承诺将严格按照 上述制度进行利润分配，切实保障投资者收益权。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tabs>
                <w:tab w:pos="355"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承诺未能履行的约束措施</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公司上市后，如果公司未履行或者未完全履行上述承诺，有权主体可自 行依据法律、法规、规章及规范性文件对发行人采取相应惩罚、约束措 施，公司对此不持有异议。</w:t>
            </w:r>
          </w:p>
          <w:p>
            <w:pPr>
              <w:pStyle w:val="Style2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控股股东、实际控制人陈树林、蒋小明的承诺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正 常 履 行 中</w:t>
            </w:r>
          </w:p>
        </w:tc>
      </w:tr>
    </w:tbl>
    <w:p>
      <w:pPr>
        <w:spacing w:lineRule="exact" w:line="1"/>
        <w:rPr>
          <w:sz w:val="2"/>
          <w:szCs w:val="2"/>
        </w:rPr>
      </w:pPr>
      <w:r>
        <w:br w:type="page"/>
      </w:r>
    </w:p>
    <w:tbl>
      <w:tblPr>
        <w:tblOverlap w:val="never"/>
        <w:jc w:val="center"/>
        <w:tblLayout w:type="fixed"/>
      </w:tblPr>
      <w:tblGrid>
        <w:gridCol w:w="715"/>
        <w:gridCol w:w="888"/>
        <w:gridCol w:w="946"/>
        <w:gridCol w:w="5563"/>
        <w:gridCol w:w="898"/>
        <w:gridCol w:w="317"/>
        <w:gridCol w:w="360"/>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公司控股股东、实际控制人陈树林、蒋小明就利润分配政策作出如下承 诺：</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南凌科技股份有限公司首次公开发行股票并在创业板上市后，公司控 股股东、实际控制人陈树林、蒋小明（以下称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承诺人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将督促公司严 格执行公司为首次公开发行股票并在创业板上市制定的《公司章程（草 案）》中规定的利润分配政策。</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若承诺人未能执行上述承诺内容，将采取以下约束措施：</w:t>
            </w:r>
          </w:p>
          <w:p>
            <w:pPr>
              <w:pStyle w:val="Style22"/>
              <w:keepNext w:val="0"/>
              <w:keepLines w:val="0"/>
              <w:widowControl w:val="0"/>
              <w:shd w:val="clear" w:color="auto" w:fill="auto"/>
              <w:tabs>
                <w:tab w:pos="288" w:val="left"/>
              </w:tabs>
              <w:bidi w:val="0"/>
              <w:spacing w:before="0" w:after="0" w:line="313" w:lineRule="exact"/>
              <w:ind w:left="0" w:right="0" w:firstLine="0"/>
              <w:jc w:val="both"/>
              <w:rPr>
                <w:sz w:val="17"/>
                <w:szCs w:val="17"/>
              </w:rPr>
            </w:pPr>
            <w:r>
              <w:rPr>
                <w:color w:val="000000"/>
                <w:spacing w:val="0"/>
                <w:w w:val="100"/>
                <w:position w:val="0"/>
                <w:sz w:val="17"/>
                <w:szCs w:val="17"/>
              </w:rPr>
              <w:t>一、</w:t>
              <w:tab/>
              <w:t>承诺人将在股东大会及中国证券监督管理委员会指定媒体上公开说 明未履行承诺的原因并向公司股东和社会公众投资者道歉。</w:t>
            </w:r>
          </w:p>
          <w:p>
            <w:pPr>
              <w:pStyle w:val="Style22"/>
              <w:keepNext w:val="0"/>
              <w:keepLines w:val="0"/>
              <w:widowControl w:val="0"/>
              <w:shd w:val="clear" w:color="auto" w:fill="auto"/>
              <w:tabs>
                <w:tab w:pos="326" w:val="left"/>
              </w:tabs>
              <w:bidi w:val="0"/>
              <w:spacing w:before="0" w:after="0" w:line="313" w:lineRule="exact"/>
              <w:ind w:left="0" w:right="0" w:firstLine="0"/>
              <w:jc w:val="both"/>
              <w:rPr>
                <w:sz w:val="17"/>
                <w:szCs w:val="17"/>
              </w:rPr>
            </w:pPr>
            <w:r>
              <w:rPr>
                <w:color w:val="000000"/>
                <w:spacing w:val="0"/>
                <w:w w:val="100"/>
                <w:position w:val="0"/>
                <w:sz w:val="17"/>
                <w:szCs w:val="17"/>
              </w:rPr>
              <w:t>二、</w:t>
              <w:tab/>
              <w:t>如果因承诺人未履行上述承诺事项，致使投资者在证券交易中遭受 损失的，在中国证券监督管理委员会或者有管辖权的人民法院作出最终 认定或生效判决后，承诺人将依法向投资者赔偿损失。</w:t>
            </w:r>
          </w:p>
          <w:p>
            <w:pPr>
              <w:pStyle w:val="Style2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上述承诺内容系承诺人的真实意思表示，承诺人自愿接受监管机构、自 律组织及社会公众的监督，若违反上述承诺，承诺人将依法承担相应责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其他对 公司中 小股东 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承诺是 否按时 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39" w:line="1" w:lineRule="exact"/>
      </w:pPr>
    </w:p>
    <w:p>
      <w:pPr>
        <w:pStyle w:val="Style38"/>
        <w:keepNext/>
        <w:keepLines/>
        <w:widowControl w:val="0"/>
        <w:shd w:val="clear" w:color="auto" w:fill="auto"/>
        <w:bidi w:val="0"/>
        <w:spacing w:before="0" w:after="24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二）公司资产或项目存在盈利预测，且报告期仍处在盈利预测期间，公司就资产或项目达到原盈利预测</w:t>
      </w:r>
      <w:bookmarkEnd w:id="278"/>
      <w:bookmarkEnd w:id="279"/>
      <w:bookmarkEnd w:id="281"/>
    </w:p>
    <w:p>
      <w:pPr>
        <w:pStyle w:val="Style38"/>
        <w:keepNext/>
        <w:keepLines/>
        <w:widowControl w:val="0"/>
        <w:shd w:val="clear" w:color="auto" w:fill="auto"/>
        <w:bidi w:val="0"/>
        <w:spacing w:before="0" w:after="520" w:line="240" w:lineRule="auto"/>
        <w:ind w:left="0" w:right="0" w:firstLine="0"/>
        <w:jc w:val="both"/>
      </w:pPr>
      <w:bookmarkStart w:id="278" w:name="bookmark278"/>
      <w:bookmarkStart w:id="279" w:name="bookmark279"/>
      <w:bookmarkStart w:id="282" w:name="bookmark282"/>
      <w:r>
        <w:rPr>
          <w:color w:val="000000"/>
          <w:spacing w:val="0"/>
          <w:w w:val="100"/>
          <w:position w:val="0"/>
        </w:rPr>
        <w:t>及其原因做出说明</w:t>
      </w:r>
      <w:bookmarkEnd w:id="278"/>
      <w:bookmarkEnd w:id="279"/>
      <w:bookmarkEnd w:id="28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tabs>
          <w:tab w:pos="522" w:val="left"/>
        </w:tabs>
        <w:bidi w:val="0"/>
        <w:spacing w:before="0" w:after="520" w:line="240" w:lineRule="auto"/>
        <w:ind w:left="0" w:right="0" w:firstLine="0"/>
        <w:jc w:val="both"/>
      </w:pPr>
      <w:bookmarkStart w:id="283" w:name="bookmark283"/>
      <w:bookmarkStart w:id="284" w:name="bookmark284"/>
      <w:bookmarkStart w:id="285" w:name="bookmark285"/>
      <w:bookmarkStart w:id="286" w:name="bookmark286"/>
      <w:r>
        <w:rPr>
          <w:color w:val="000000"/>
          <w:spacing w:val="0"/>
          <w:w w:val="100"/>
          <w:position w:val="0"/>
          <w:sz w:val="24"/>
          <w:szCs w:val="24"/>
        </w:rPr>
        <w:t>三</w:t>
      </w:r>
      <w:bookmarkEnd w:id="285"/>
      <w:r>
        <w:rPr>
          <w:color w:val="000000"/>
          <w:spacing w:val="0"/>
          <w:w w:val="100"/>
          <w:position w:val="0"/>
          <w:sz w:val="24"/>
          <w:szCs w:val="24"/>
        </w:rPr>
        <w:t>、</w:t>
        <w:tab/>
        <w:t>控股股东及其关联方对上市公司的非经营性占用资金情况</w:t>
      </w:r>
      <w:bookmarkEnd w:id="283"/>
      <w:bookmarkEnd w:id="284"/>
      <w:bookmarkEnd w:id="28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52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四</w:t>
      </w:r>
      <w:bookmarkEnd w:id="28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7"/>
      <w:bookmarkEnd w:id="288"/>
      <w:bookmarkEnd w:id="29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tabs>
          <w:tab w:pos="517" w:val="left"/>
        </w:tabs>
        <w:bidi w:val="0"/>
        <w:spacing w:before="0" w:after="50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五</w:t>
      </w:r>
      <w:bookmarkEnd w:id="29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1"/>
      <w:bookmarkEnd w:id="292"/>
      <w:bookmarkEnd w:id="29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tabs>
          <w:tab w:pos="517" w:val="left"/>
        </w:tabs>
        <w:bidi w:val="0"/>
        <w:spacing w:before="0" w:after="50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六</w:t>
      </w:r>
      <w:bookmarkEnd w:id="297"/>
      <w:r>
        <w:rPr>
          <w:color w:val="000000"/>
          <w:spacing w:val="0"/>
          <w:w w:val="100"/>
          <w:position w:val="0"/>
          <w:sz w:val="24"/>
          <w:szCs w:val="24"/>
        </w:rPr>
        <w:t>、</w:t>
        <w:tab/>
        <w:t>董事会关于报告期会计政策、会计估计变更或重大会计差错更正的说明</w:t>
      </w:r>
      <w:bookmarkEnd w:id="295"/>
      <w:bookmarkEnd w:id="296"/>
      <w:bookmarkEnd w:id="298"/>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bookmarkStart w:id="299" w:name="bookmark299"/>
      <w:r>
        <w:rPr>
          <w:b/>
          <w:bCs/>
          <w:color w:val="000000"/>
          <w:spacing w:val="0"/>
          <w:w w:val="100"/>
          <w:position w:val="0"/>
        </w:rPr>
        <w:t>（</w:t>
      </w:r>
      <w:bookmarkEnd w:id="299"/>
      <w:r>
        <w:rPr>
          <w:b/>
          <w:bCs/>
          <w:color w:val="000000"/>
          <w:spacing w:val="0"/>
          <w:w w:val="100"/>
          <w:position w:val="0"/>
        </w:rPr>
        <w:t>一）重要会计政策变更</w:t>
      </w:r>
    </w:p>
    <w:p>
      <w:pPr>
        <w:pStyle w:val="Style29"/>
        <w:keepNext w:val="0"/>
        <w:keepLines w:val="0"/>
        <w:widowControl w:val="0"/>
        <w:shd w:val="clear" w:color="auto" w:fill="auto"/>
        <w:bidi w:val="0"/>
        <w:spacing w:before="0" w:after="380" w:line="240" w:lineRule="auto"/>
        <w:ind w:left="0" w:right="0" w:firstLine="540"/>
        <w:jc w:val="both"/>
      </w:pPr>
      <w:bookmarkStart w:id="300" w:name="bookmark300"/>
      <w:r>
        <w:rPr>
          <w:b/>
          <w:bCs/>
          <w:color w:val="000000"/>
          <w:spacing w:val="0"/>
          <w:w w:val="100"/>
          <w:position w:val="0"/>
        </w:rPr>
        <w:t>1</w:t>
      </w:r>
      <w:bookmarkEnd w:id="300"/>
      <w:r>
        <w:rPr>
          <w:b/>
          <w:bCs/>
          <w:color w:val="000000"/>
          <w:spacing w:val="0"/>
          <w:w w:val="100"/>
          <w:position w:val="0"/>
        </w:rPr>
        <w:t>、执行《企业会计准则第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号——收入》（</w:t>
      </w:r>
      <w:r>
        <w:rPr>
          <w:rFonts w:ascii="Times New Roman" w:eastAsia="Times New Roman" w:hAnsi="Times New Roman" w:cs="Times New Roman"/>
          <w:b/>
          <w:bCs/>
          <w:color w:val="000000"/>
          <w:spacing w:val="0"/>
          <w:w w:val="100"/>
          <w:position w:val="0"/>
        </w:rPr>
        <w:t>2017</w:t>
      </w:r>
      <w:r>
        <w:rPr>
          <w:b/>
          <w:bCs/>
          <w:color w:val="000000"/>
          <w:spacing w:val="0"/>
          <w:w w:val="100"/>
          <w:position w:val="0"/>
        </w:rPr>
        <w:t>年修订）（以下简称</w:t>
      </w:r>
      <w:r>
        <w:rPr>
          <w:rFonts w:ascii="Times New Roman" w:eastAsia="Times New Roman" w:hAnsi="Times New Roman" w:cs="Times New Roman"/>
          <w:b/>
          <w:bCs/>
          <w:color w:val="000000"/>
          <w:spacing w:val="0"/>
          <w:w w:val="100"/>
          <w:position w:val="0"/>
        </w:rPr>
        <w:t>“</w:t>
      </w:r>
      <w:r>
        <w:rPr>
          <w:b/>
          <w:bCs/>
          <w:color w:val="000000"/>
          <w:spacing w:val="0"/>
          <w:w w:val="100"/>
          <w:position w:val="0"/>
        </w:rPr>
        <w:t>新收入准则</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29"/>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当根据累积影响数调整当年年初留存收益及财务报表其他相关项目金额，对可比期间信息不予调整。</w:t>
      </w:r>
    </w:p>
    <w:p>
      <w:pPr>
        <w:pStyle w:val="Style29"/>
        <w:keepNext w:val="0"/>
        <w:keepLines w:val="0"/>
        <w:widowControl w:val="0"/>
        <w:shd w:val="clear" w:color="auto" w:fill="auto"/>
        <w:bidi w:val="0"/>
        <w:spacing w:before="0" w:after="120" w:line="473" w:lineRule="exact"/>
        <w:ind w:left="0" w:right="0" w:firstLine="5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 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 该准则的主要影响如下：</w:t>
      </w:r>
    </w:p>
    <w:tbl>
      <w:tblPr>
        <w:tblOverlap w:val="never"/>
        <w:jc w:val="center"/>
        <w:tblLayout w:type="fixed"/>
      </w:tblPr>
      <w:tblGrid>
        <w:gridCol w:w="2693"/>
        <w:gridCol w:w="1142"/>
        <w:gridCol w:w="1536"/>
        <w:gridCol w:w="1954"/>
        <w:gridCol w:w="2030"/>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会计政策变更 的内容和原因</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41"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将预收款项重分类至合同负债及 其他流动负债。</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第二届董事会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9,563,548.3</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 xml:space="preserve">9,513,171.54 </w:t>
            </w:r>
            <w:r>
              <w:rPr>
                <w:color w:val="000000"/>
                <w:spacing w:val="0"/>
                <w:w w:val="100"/>
                <w:position w:val="0"/>
                <w:sz w:val="17"/>
                <w:szCs w:val="17"/>
              </w:rPr>
              <w:t>元</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8,933,674.98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8,883,298.22</w:t>
            </w:r>
            <w:r>
              <w:rPr>
                <w:color w:val="000000"/>
                <w:spacing w:val="0"/>
                <w:w w:val="100"/>
                <w:position w:val="0"/>
                <w:sz w:val="17"/>
                <w:szCs w:val="17"/>
              </w:rPr>
              <w:t>元</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629,873.3</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629,873.3</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p>
        </w:tc>
      </w:tr>
      <w:tr>
        <w:trPr>
          <w:trHeight w:val="34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将应收账款中质保期内的质保金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重分类至合同资产</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3,249,928.4</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3,249,928.42</w:t>
            </w:r>
            <w:r>
              <w:rPr>
                <w:color w:val="000000"/>
                <w:spacing w:val="0"/>
                <w:w w:val="100"/>
                <w:position w:val="0"/>
                <w:sz w:val="17"/>
                <w:szCs w:val="17"/>
              </w:rPr>
              <w:t>元</w:t>
            </w:r>
          </w:p>
        </w:tc>
      </w:tr>
      <w:tr>
        <w:trPr>
          <w:trHeight w:val="3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3,249,928.42</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3,249,928.42</w:t>
            </w:r>
            <w:r>
              <w:rPr>
                <w:color w:val="000000"/>
                <w:spacing w:val="0"/>
                <w:w w:val="100"/>
                <w:position w:val="0"/>
                <w:sz w:val="17"/>
                <w:szCs w:val="17"/>
              </w:rPr>
              <w:t>元</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与原收入准则相比，执行新收入准则对</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日财务报表相关项目的影响如下:</w:t>
      </w:r>
    </w:p>
    <w:tbl>
      <w:tblPr>
        <w:tblOverlap w:val="never"/>
        <w:jc w:val="center"/>
        <w:tblLayout w:type="fixed"/>
      </w:tblPr>
      <w:tblGrid>
        <w:gridCol w:w="3154"/>
        <w:gridCol w:w="3298"/>
        <w:gridCol w:w="3019"/>
      </w:tblGrid>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80"/>
              <w:jc w:val="left"/>
              <w:rPr>
                <w:sz w:val="17"/>
                <w:szCs w:val="17"/>
              </w:rPr>
            </w:pPr>
            <w:r>
              <w:rPr>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11,100,124.68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10,757,583.14</w:t>
            </w:r>
            <w:r>
              <w:rPr>
                <w:color w:val="000000"/>
                <w:spacing w:val="0"/>
                <w:w w:val="100"/>
                <w:position w:val="0"/>
                <w:sz w:val="17"/>
                <w:szCs w:val="17"/>
              </w:rPr>
              <w:t>元</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10,344,153.4</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10,001,611.86</w:t>
            </w:r>
            <w:r>
              <w:rPr>
                <w:color w:val="000000"/>
                <w:spacing w:val="0"/>
                <w:w w:val="100"/>
                <w:position w:val="0"/>
                <w:sz w:val="17"/>
                <w:szCs w:val="17"/>
              </w:rPr>
              <w:t>元</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755,971.28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755,971.28</w:t>
            </w:r>
            <w:r>
              <w:rPr>
                <w:color w:val="000000"/>
                <w:spacing w:val="0"/>
                <w:w w:val="100"/>
                <w:position w:val="0"/>
                <w:sz w:val="17"/>
                <w:szCs w:val="17"/>
              </w:rPr>
              <w:t>元</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r>
    </w:tbl>
    <w:p>
      <w:pPr>
        <w:pStyle w:val="Style29"/>
        <w:keepNext w:val="0"/>
        <w:keepLines w:val="0"/>
        <w:widowControl w:val="0"/>
        <w:shd w:val="clear" w:color="auto" w:fill="auto"/>
        <w:bidi w:val="0"/>
        <w:spacing w:before="0" w:after="120" w:line="480" w:lineRule="exact"/>
        <w:ind w:left="0" w:right="0" w:firstLine="54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日起开始执行新收入准则，将预收款项不含税部分重分类至合同负债，将预收款项 中的税金重分类至其他流动负债列示；将应收账款中还在质保期内的质保金重分类至合同资产列示。</w:t>
      </w:r>
    </w:p>
    <w:p>
      <w:pPr>
        <w:pStyle w:val="Style29"/>
        <w:keepNext w:val="0"/>
        <w:keepLines w:val="0"/>
        <w:widowControl w:val="0"/>
        <w:shd w:val="clear" w:color="auto" w:fill="auto"/>
        <w:bidi w:val="0"/>
        <w:spacing w:before="0" w:after="300" w:line="480" w:lineRule="exact"/>
        <w:ind w:left="0" w:right="0" w:firstLine="0"/>
        <w:jc w:val="both"/>
      </w:pPr>
      <w:bookmarkStart w:id="301" w:name="bookmark301"/>
      <w:r>
        <w:rPr>
          <w:b/>
          <w:bCs/>
          <w:color w:val="000000"/>
          <w:spacing w:val="0"/>
          <w:w w:val="100"/>
          <w:position w:val="0"/>
        </w:rPr>
        <w:t>（</w:t>
      </w:r>
      <w:bookmarkEnd w:id="301"/>
      <w:r>
        <w:rPr>
          <w:b/>
          <w:bCs/>
          <w:color w:val="000000"/>
          <w:spacing w:val="0"/>
          <w:w w:val="100"/>
          <w:position w:val="0"/>
        </w:rPr>
        <w:t>二）其他重要会计政策和会计估计变更情况</w:t>
      </w:r>
      <w:r>
        <w:rPr>
          <w:rFonts w:ascii="Times New Roman" w:eastAsia="Times New Roman" w:hAnsi="Times New Roman" w:cs="Times New Roman"/>
          <w:b/>
          <w:bCs/>
          <w:color w:val="000000"/>
          <w:spacing w:val="0"/>
          <w:w w:val="100"/>
          <w:position w:val="0"/>
        </w:rPr>
        <w:t>•</w:t>
      </w:r>
    </w:p>
    <w:p>
      <w:pPr>
        <w:pStyle w:val="Style29"/>
        <w:keepNext w:val="0"/>
        <w:keepLines w:val="0"/>
        <w:widowControl w:val="0"/>
        <w:shd w:val="clear" w:color="auto" w:fill="auto"/>
        <w:tabs>
          <w:tab w:pos="798" w:val="left"/>
        </w:tabs>
        <w:bidi w:val="0"/>
        <w:spacing w:before="0" w:line="472" w:lineRule="exact"/>
        <w:ind w:left="0" w:right="0" w:firstLine="440"/>
        <w:jc w:val="both"/>
      </w:pPr>
      <w:bookmarkStart w:id="302" w:name="bookmark302"/>
      <w:r>
        <w:rPr>
          <w:b/>
          <w:bCs/>
          <w:color w:val="000000"/>
          <w:spacing w:val="0"/>
          <w:w w:val="100"/>
          <w:position w:val="0"/>
        </w:rPr>
        <w:t>1</w:t>
      </w:r>
      <w:bookmarkEnd w:id="302"/>
      <w:r>
        <w:rPr>
          <w:b/>
          <w:bCs/>
          <w:color w:val="000000"/>
          <w:spacing w:val="0"/>
          <w:w w:val="100"/>
          <w:position w:val="0"/>
        </w:rPr>
        <w:t>、</w:t>
        <w:tab/>
        <w:t>会计政策变更</w:t>
      </w:r>
    </w:p>
    <w:p>
      <w:pPr>
        <w:pStyle w:val="Style29"/>
        <w:keepNext w:val="0"/>
        <w:keepLines w:val="0"/>
        <w:widowControl w:val="0"/>
        <w:shd w:val="clear" w:color="auto" w:fill="auto"/>
        <w:bidi w:val="0"/>
        <w:spacing w:before="0" w:line="472" w:lineRule="exact"/>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执行《新冠肺炎疫情相关租金减让会计处理规定》</w:t>
      </w:r>
    </w:p>
    <w:p>
      <w:pPr>
        <w:pStyle w:val="Style29"/>
        <w:keepNext w:val="0"/>
        <w:keepLines w:val="0"/>
        <w:widowControl w:val="0"/>
        <w:shd w:val="clear" w:color="auto" w:fill="auto"/>
        <w:bidi w:val="0"/>
        <w:spacing w:before="0" w:after="4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sz w:val="20"/>
          <w:szCs w:val="20"/>
        </w:rPr>
        <w:t>0</w:t>
      </w:r>
      <w:r>
        <w:rPr>
          <w:color w:val="000000"/>
          <w:spacing w:val="0"/>
          <w:w w:val="100"/>
          <w:position w:val="0"/>
        </w:rPr>
        <w:t>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日至该规定施行日之间发生的相关租金减让进行调整。 按照该规定，对于满足条件的由新冠肺炎疫情直接引发的租金减免、延期支付租金等租金减让，企业可以 选择采用简化方法进行会计处理。</w:t>
      </w:r>
    </w:p>
    <w:p>
      <w:pPr>
        <w:pStyle w:val="Style29"/>
        <w:keepNext w:val="0"/>
        <w:keepLines w:val="0"/>
        <w:widowControl w:val="0"/>
        <w:shd w:val="clear" w:color="auto" w:fill="auto"/>
        <w:bidi w:val="0"/>
        <w:spacing w:before="0" w:line="480" w:lineRule="exact"/>
        <w:ind w:left="0" w:right="0" w:firstLine="44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至该规定施行日之间发生的相关租金减让根据该规定进行相应调整。</w:t>
      </w:r>
    </w:p>
    <w:p>
      <w:pPr>
        <w:pStyle w:val="Style29"/>
        <w:keepNext w:val="0"/>
        <w:keepLines w:val="0"/>
        <w:widowControl w:val="0"/>
        <w:shd w:val="clear" w:color="auto" w:fill="auto"/>
        <w:bidi w:val="0"/>
        <w:spacing w:before="0" w:line="456" w:lineRule="exact"/>
        <w:ind w:left="0" w:right="0" w:firstLine="440"/>
        <w:jc w:val="both"/>
      </w:pPr>
      <w:r>
        <w:rPr>
          <w:color w:val="000000"/>
          <w:spacing w:val="0"/>
          <w:w w:val="100"/>
          <w:position w:val="0"/>
        </w:rPr>
        <w:t xml:space="preserve">本公司作为承租人采用简化方法处理相关租金减让冲减本期管理费用、销售费用、研发费用合计人民 币 </w:t>
      </w:r>
      <w:r>
        <w:rPr>
          <w:rFonts w:ascii="Times New Roman" w:eastAsia="Times New Roman" w:hAnsi="Times New Roman" w:cs="Times New Roman"/>
          <w:color w:val="000000"/>
          <w:spacing w:val="0"/>
          <w:w w:val="100"/>
          <w:position w:val="0"/>
        </w:rPr>
        <w:t>1,404,913.7</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29"/>
        <w:keepNext w:val="0"/>
        <w:keepLines w:val="0"/>
        <w:widowControl w:val="0"/>
        <w:shd w:val="clear" w:color="auto" w:fill="auto"/>
        <w:tabs>
          <w:tab w:pos="813" w:val="left"/>
        </w:tabs>
        <w:bidi w:val="0"/>
        <w:spacing w:before="0" w:line="472" w:lineRule="exact"/>
        <w:ind w:left="0" w:right="0" w:firstLine="440"/>
        <w:jc w:val="both"/>
      </w:pPr>
      <w:bookmarkStart w:id="303" w:name="bookmark303"/>
      <w:r>
        <w:rPr>
          <w:b/>
          <w:bCs/>
          <w:color w:val="000000"/>
          <w:spacing w:val="0"/>
          <w:w w:val="100"/>
          <w:position w:val="0"/>
        </w:rPr>
        <w:t>2</w:t>
      </w:r>
      <w:bookmarkEnd w:id="303"/>
      <w:r>
        <w:rPr>
          <w:b/>
          <w:bCs/>
          <w:color w:val="000000"/>
          <w:spacing w:val="0"/>
          <w:w w:val="100"/>
          <w:position w:val="0"/>
        </w:rPr>
        <w:t>、</w:t>
        <w:tab/>
        <w:t>重要会计估计变更</w:t>
      </w:r>
    </w:p>
    <w:p>
      <w:pPr>
        <w:pStyle w:val="Style29"/>
        <w:keepNext w:val="0"/>
        <w:keepLines w:val="0"/>
        <w:widowControl w:val="0"/>
        <w:shd w:val="clear" w:color="auto" w:fill="auto"/>
        <w:bidi w:val="0"/>
        <w:spacing w:before="0" w:after="360" w:line="472" w:lineRule="exact"/>
        <w:ind w:left="0" w:right="0" w:firstLine="440"/>
        <w:jc w:val="both"/>
      </w:pPr>
      <w:r>
        <w:rPr>
          <w:color w:val="000000"/>
          <w:spacing w:val="0"/>
          <w:w w:val="100"/>
          <w:position w:val="0"/>
        </w:rPr>
        <w:t>本报告期公司主要会计估计未发生变更。</w:t>
      </w:r>
    </w:p>
    <w:p>
      <w:pPr>
        <w:pStyle w:val="Style27"/>
        <w:keepNext/>
        <w:keepLines/>
        <w:widowControl w:val="0"/>
        <w:shd w:val="clear" w:color="auto" w:fill="auto"/>
        <w:tabs>
          <w:tab w:pos="522" w:val="left"/>
        </w:tabs>
        <w:bidi w:val="0"/>
        <w:spacing w:before="0" w:after="50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七</w:t>
      </w:r>
      <w:bookmarkEnd w:id="306"/>
      <w:r>
        <w:rPr>
          <w:color w:val="000000"/>
          <w:spacing w:val="0"/>
          <w:w w:val="100"/>
          <w:position w:val="0"/>
          <w:sz w:val="24"/>
          <w:szCs w:val="24"/>
        </w:rPr>
        <w:t>、</w:t>
        <w:tab/>
        <w:t>与上年度财务报告相比，合并报表范围发生变化的情况说明</w:t>
      </w:r>
      <w:bookmarkEnd w:id="304"/>
      <w:bookmarkEnd w:id="305"/>
      <w:bookmarkEnd w:id="307"/>
    </w:p>
    <w:p>
      <w:pPr>
        <w:pStyle w:val="Style29"/>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420" w:line="472" w:lineRule="exact"/>
        <w:ind w:left="0" w:right="0" w:firstLine="0"/>
        <w:jc w:val="left"/>
      </w:pPr>
      <w:r>
        <w:rPr>
          <w:color w:val="000000"/>
          <w:spacing w:val="0"/>
          <w:w w:val="100"/>
          <w:position w:val="0"/>
        </w:rPr>
        <w:t>公司报告期无合并报表范围发生变化的情况。</w:t>
      </w:r>
    </w:p>
    <w:p>
      <w:pPr>
        <w:pStyle w:val="Style27"/>
        <w:keepNext/>
        <w:keepLines/>
        <w:widowControl w:val="0"/>
        <w:shd w:val="clear" w:color="auto" w:fill="auto"/>
        <w:tabs>
          <w:tab w:pos="522" w:val="left"/>
        </w:tabs>
        <w:bidi w:val="0"/>
        <w:spacing w:before="0" w:after="20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八</w:t>
      </w:r>
      <w:bookmarkEnd w:id="310"/>
      <w:r>
        <w:rPr>
          <w:color w:val="000000"/>
          <w:spacing w:val="0"/>
          <w:w w:val="100"/>
          <w:position w:val="0"/>
          <w:sz w:val="24"/>
          <w:szCs w:val="24"/>
        </w:rPr>
        <w:t>、</w:t>
        <w:tab/>
        <w:t>聘任、解聘会计师事务所情况</w:t>
      </w:r>
      <w:bookmarkEnd w:id="308"/>
      <w:bookmarkEnd w:id="309"/>
      <w:bookmarkEnd w:id="311"/>
    </w:p>
    <w:p>
      <w:pPr>
        <w:pStyle w:val="Style29"/>
        <w:keepNext w:val="0"/>
        <w:keepLines w:val="0"/>
        <w:widowControl w:val="0"/>
        <w:shd w:val="clear" w:color="auto" w:fill="auto"/>
        <w:bidi w:val="0"/>
        <w:spacing w:before="0" w:line="472" w:lineRule="exact"/>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付忠伟、杨艳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付忠伟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年签字，杨艳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年签字</w:t>
            </w:r>
          </w:p>
        </w:tc>
      </w:tr>
    </w:tbl>
    <w:p>
      <w:pPr>
        <w:widowControl w:val="0"/>
        <w:spacing w:after="279" w:line="1" w:lineRule="exact"/>
      </w:pP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是否改聘会计师事务所</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9"/>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九</w:t>
      </w:r>
      <w:bookmarkEnd w:id="314"/>
      <w:r>
        <w:rPr>
          <w:color w:val="000000"/>
          <w:spacing w:val="0"/>
          <w:w w:val="100"/>
          <w:position w:val="0"/>
          <w:sz w:val="24"/>
          <w:szCs w:val="24"/>
        </w:rPr>
        <w:t>、年度报告披露后面临退市情况</w:t>
      </w:r>
      <w:bookmarkEnd w:id="312"/>
      <w:bookmarkEnd w:id="313"/>
      <w:bookmarkEnd w:id="315"/>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十、破产重整相关事项</w:t>
      </w:r>
      <w:bookmarkEnd w:id="316"/>
      <w:bookmarkEnd w:id="317"/>
      <w:bookmarkEnd w:id="31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52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十一、重大诉讼、仲裁事项</w:t>
      </w:r>
      <w:bookmarkEnd w:id="319"/>
      <w:bookmarkEnd w:id="320"/>
      <w:bookmarkEnd w:id="32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52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十二、处罚及整改情况</w:t>
      </w:r>
      <w:bookmarkEnd w:id="322"/>
      <w:bookmarkEnd w:id="323"/>
      <w:bookmarkEnd w:id="32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52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十三、公司及其控股股东、实际控制人的诚信状况</w:t>
      </w:r>
      <w:bookmarkEnd w:id="325"/>
      <w:bookmarkEnd w:id="326"/>
      <w:bookmarkEnd w:id="32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十四、公司股权激励计划、员工持股计划或其他员工激励措施的实施情况</w:t>
      </w:r>
      <w:bookmarkEnd w:id="328"/>
      <w:bookmarkEnd w:id="329"/>
      <w:bookmarkEnd w:id="33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42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十五、重大关联交易</w:t>
      </w:r>
      <w:bookmarkEnd w:id="331"/>
      <w:bookmarkEnd w:id="332"/>
      <w:bookmarkEnd w:id="333"/>
    </w:p>
    <w:p>
      <w:pPr>
        <w:pStyle w:val="Style38"/>
        <w:keepNext/>
        <w:keepLines/>
        <w:widowControl w:val="0"/>
        <w:shd w:val="clear" w:color="auto" w:fill="auto"/>
        <w:bidi w:val="0"/>
        <w:spacing w:before="0" w:after="52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color w:val="000000"/>
          <w:spacing w:val="0"/>
          <w:w w:val="100"/>
          <w:position w:val="0"/>
        </w:rPr>
        <w:t>一）与日常经营相关的关联交易</w:t>
      </w:r>
      <w:bookmarkEnd w:id="334"/>
      <w:bookmarkEnd w:id="335"/>
      <w:bookmarkEnd w:id="33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二）</w:t>
        <w:tab/>
        <w:t>资产或股权收购、出售发生的关联交易</w:t>
      </w:r>
      <w:bookmarkEnd w:id="338"/>
      <w:bookmarkEnd w:id="339"/>
      <w:bookmarkEnd w:id="341"/>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公司报告期未发生资产或股权收购、出售的关联交易。</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color w:val="000000"/>
          <w:spacing w:val="0"/>
          <w:w w:val="100"/>
          <w:position w:val="0"/>
        </w:rPr>
        <w:t>三）</w:t>
        <w:tab/>
        <w:t>共同对外投资的关联交易</w:t>
      </w:r>
      <w:bookmarkEnd w:id="342"/>
      <w:bookmarkEnd w:id="343"/>
      <w:bookmarkEnd w:id="345"/>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四）</w:t>
        <w:tab/>
        <w:t>关联债权债务往来</w:t>
      </w:r>
      <w:bookmarkEnd w:id="346"/>
      <w:bookmarkEnd w:id="347"/>
      <w:bookmarkEnd w:id="349"/>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五）</w:t>
        <w:tab/>
        <w:t>其他重大关联交易</w:t>
      </w:r>
      <w:bookmarkEnd w:id="350"/>
      <w:bookmarkEnd w:id="351"/>
      <w:bookmarkEnd w:id="353"/>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42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十六、重大合同及其履行情况</w:t>
      </w:r>
      <w:bookmarkEnd w:id="354"/>
      <w:bookmarkEnd w:id="355"/>
      <w:bookmarkEnd w:id="356"/>
    </w:p>
    <w:p>
      <w:pPr>
        <w:pStyle w:val="Style38"/>
        <w:keepNext/>
        <w:keepLines/>
        <w:widowControl w:val="0"/>
        <w:shd w:val="clear" w:color="auto" w:fill="auto"/>
        <w:bidi w:val="0"/>
        <w:spacing w:before="0" w:after="52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color w:val="000000"/>
          <w:spacing w:val="0"/>
          <w:w w:val="100"/>
          <w:position w:val="0"/>
        </w:rPr>
        <w:t>一）托管、承包、租赁事项情况</w:t>
      </w:r>
      <w:bookmarkEnd w:id="357"/>
      <w:bookmarkEnd w:id="358"/>
      <w:bookmarkEnd w:id="360"/>
    </w:p>
    <w:p>
      <w:pPr>
        <w:pStyle w:val="Style47"/>
        <w:keepNext/>
        <w:keepLines/>
        <w:widowControl w:val="0"/>
        <w:shd w:val="clear" w:color="auto" w:fill="auto"/>
        <w:tabs>
          <w:tab w:pos="368"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托管情况</w:t>
      </w:r>
      <w:bookmarkEnd w:id="361"/>
      <w:bookmarkEnd w:id="362"/>
      <w:bookmarkEnd w:id="36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378"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承包情况</w:t>
      </w:r>
      <w:bookmarkEnd w:id="365"/>
      <w:bookmarkEnd w:id="366"/>
      <w:bookmarkEnd w:id="36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、租赁情况</w:t>
      </w:r>
      <w:bookmarkEnd w:id="369"/>
      <w:bookmarkEnd w:id="370"/>
      <w:bookmarkEnd w:id="37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二）</w:t>
        <w:tab/>
        <w:t>重大担保</w:t>
      </w:r>
      <w:bookmarkEnd w:id="373"/>
      <w:bookmarkEnd w:id="374"/>
      <w:bookmarkEnd w:id="37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color w:val="000000"/>
          <w:spacing w:val="0"/>
          <w:w w:val="100"/>
          <w:position w:val="0"/>
        </w:rPr>
        <w:t>三）</w:t>
        <w:tab/>
        <w:t>日常经营重大合同</w:t>
      </w:r>
      <w:bookmarkEnd w:id="377"/>
      <w:bookmarkEnd w:id="378"/>
      <w:bookmarkEnd w:id="38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合同订立公 司方名称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合同订立对 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合同履行的 进度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 销售收入金</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累计确认的 销售收入金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影响重大合 同履行的各 项条件是否 发生重大变</w:t>
            </w:r>
          </w:p>
          <w:p>
            <w:pPr>
              <w:pStyle w:val="Style2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是否存在合 同无法履行 的重大风险</w:t>
            </w:r>
          </w:p>
        </w:tc>
      </w:tr>
    </w:tbl>
    <w:p>
      <w:pPr>
        <w:widowControl w:val="0"/>
        <w:spacing w:after="259" w:line="1" w:lineRule="exact"/>
      </w:pPr>
    </w:p>
    <w:p>
      <w:pPr>
        <w:pStyle w:val="Style38"/>
        <w:keepNext/>
        <w:keepLines/>
        <w:widowControl w:val="0"/>
        <w:shd w:val="clear" w:color="auto" w:fill="auto"/>
        <w:tabs>
          <w:tab w:pos="594" w:val="left"/>
        </w:tabs>
        <w:bidi w:val="0"/>
        <w:spacing w:before="0" w:after="52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四）</w:t>
        <w:tab/>
        <w:t>委托他人进行现金资产管理情况</w:t>
      </w:r>
      <w:bookmarkEnd w:id="381"/>
      <w:bookmarkEnd w:id="382"/>
      <w:bookmarkEnd w:id="384"/>
    </w:p>
    <w:p>
      <w:pPr>
        <w:pStyle w:val="Style47"/>
        <w:keepNext/>
        <w:keepLines/>
        <w:widowControl w:val="0"/>
        <w:shd w:val="clear" w:color="auto" w:fill="auto"/>
        <w:tabs>
          <w:tab w:pos="36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w:t>
        <w:tab/>
        <w:t>委托理财情况</w:t>
      </w:r>
      <w:bookmarkEnd w:id="385"/>
      <w:bookmarkEnd w:id="386"/>
      <w:bookmarkEnd w:id="3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7"/>
        <w:keepNext/>
        <w:keepLines/>
        <w:widowControl w:val="0"/>
        <w:shd w:val="clear" w:color="auto" w:fill="auto"/>
        <w:tabs>
          <w:tab w:pos="378"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委托贷款情况</w:t>
      </w:r>
      <w:bookmarkEnd w:id="389"/>
      <w:bookmarkEnd w:id="390"/>
      <w:bookmarkEnd w:id="39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8"/>
        <w:keepNext/>
        <w:keepLines/>
        <w:widowControl w:val="0"/>
        <w:shd w:val="clear" w:color="auto" w:fill="auto"/>
        <w:tabs>
          <w:tab w:pos="594" w:val="left"/>
        </w:tabs>
        <w:bidi w:val="0"/>
        <w:spacing w:before="0" w:after="52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五）</w:t>
        <w:tab/>
        <w:t>其他重大合同</w:t>
      </w:r>
      <w:bookmarkEnd w:id="393"/>
      <w:bookmarkEnd w:id="394"/>
      <w:bookmarkEnd w:id="39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14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十七、社会责任情况</w:t>
      </w:r>
      <w:bookmarkEnd w:id="397"/>
      <w:bookmarkEnd w:id="398"/>
      <w:bookmarkEnd w:id="399"/>
    </w:p>
    <w:p>
      <w:pPr>
        <w:pStyle w:val="Style38"/>
        <w:keepNext/>
        <w:keepLines/>
        <w:widowControl w:val="0"/>
        <w:shd w:val="clear" w:color="auto" w:fill="auto"/>
        <w:bidi w:val="0"/>
        <w:spacing w:before="0" w:after="220" w:line="469" w:lineRule="exact"/>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color w:val="000000"/>
          <w:spacing w:val="0"/>
          <w:w w:val="100"/>
          <w:position w:val="0"/>
        </w:rPr>
        <w:t>一）履行社会责任情况</w:t>
      </w:r>
      <w:bookmarkEnd w:id="400"/>
      <w:bookmarkEnd w:id="401"/>
      <w:bookmarkEnd w:id="403"/>
    </w:p>
    <w:p>
      <w:pPr>
        <w:pStyle w:val="Style38"/>
        <w:keepNext/>
        <w:keepLines/>
        <w:widowControl w:val="0"/>
        <w:shd w:val="clear" w:color="auto" w:fill="auto"/>
        <w:bidi w:val="0"/>
        <w:spacing w:before="0" w:after="140" w:line="469" w:lineRule="exact"/>
        <w:ind w:left="0" w:right="0" w:firstLine="360"/>
        <w:jc w:val="both"/>
      </w:pPr>
      <w:bookmarkStart w:id="400" w:name="bookmark400"/>
      <w:bookmarkStart w:id="401" w:name="bookmark401"/>
      <w:bookmarkStart w:id="404" w:name="bookmark404"/>
      <w:r>
        <w:rPr>
          <w:rFonts w:ascii="Times New Roman" w:eastAsia="Times New Roman" w:hAnsi="Times New Roman" w:cs="Times New Roman"/>
          <w:b w:val="0"/>
          <w:bCs w:val="0"/>
          <w:color w:val="000000"/>
          <w:spacing w:val="0"/>
          <w:w w:val="100"/>
          <w:position w:val="0"/>
          <w:sz w:val="18"/>
          <w:szCs w:val="18"/>
        </w:rPr>
        <w:t>1</w:t>
      </w:r>
      <w:bookmarkEnd w:id="404"/>
      <w:r>
        <w:rPr>
          <w:color w:val="000000"/>
          <w:spacing w:val="0"/>
          <w:w w:val="100"/>
          <w:position w:val="0"/>
        </w:rPr>
        <w:t>、完善公司治理结构</w:t>
      </w:r>
      <w:bookmarkEnd w:id="400"/>
      <w:bookmarkEnd w:id="401"/>
    </w:p>
    <w:p>
      <w:pPr>
        <w:pStyle w:val="Style29"/>
        <w:keepNext w:val="0"/>
        <w:keepLines w:val="0"/>
        <w:widowControl w:val="0"/>
        <w:shd w:val="clear" w:color="auto" w:fill="auto"/>
        <w:bidi w:val="0"/>
        <w:spacing w:before="0" w:line="468" w:lineRule="exact"/>
        <w:ind w:left="0" w:right="0" w:firstLine="420"/>
        <w:jc w:val="both"/>
      </w:pPr>
      <w:r>
        <w:rPr>
          <w:color w:val="000000"/>
          <w:spacing w:val="0"/>
          <w:w w:val="100"/>
          <w:position w:val="0"/>
        </w:rPr>
        <w:t>公司严格按照《公司法》、《证券法》、《上市公司治理准则》、《深圳证券交易所创业板股票上市 规则》、《深圳证券交易所创业板上市公司规范运作指引》和中国证监会有关法律法规的要求，及时制定 和完善各项规章制度；积极推进内控体系建设，完善公司法人治理结构，明确公司股东大会、董事会、监 事会等各自应履行的职责和议事规则，为公司的规范运作提供了完善的制度保障，并有效地增加了公司决 策的公正性。充分尊重和维护所有股东特别是中小股东的权益。</w:t>
      </w:r>
    </w:p>
    <w:p>
      <w:pPr>
        <w:pStyle w:val="Style29"/>
        <w:keepNext w:val="0"/>
        <w:keepLines w:val="0"/>
        <w:widowControl w:val="0"/>
        <w:shd w:val="clear" w:color="auto" w:fill="auto"/>
        <w:tabs>
          <w:tab w:pos="798" w:val="left"/>
        </w:tabs>
        <w:bidi w:val="0"/>
        <w:spacing w:before="0" w:line="469" w:lineRule="exact"/>
        <w:ind w:left="0" w:right="0" w:firstLine="420"/>
        <w:jc w:val="both"/>
      </w:pPr>
      <w:bookmarkStart w:id="405" w:name="bookmark405"/>
      <w:r>
        <w:rPr>
          <w:rFonts w:ascii="Times New Roman" w:eastAsia="Times New Roman" w:hAnsi="Times New Roman" w:cs="Times New Roman"/>
          <w:b/>
          <w:bCs/>
          <w:color w:val="000000"/>
          <w:spacing w:val="0"/>
          <w:w w:val="100"/>
          <w:position w:val="0"/>
        </w:rPr>
        <w:t>2</w:t>
      </w:r>
      <w:bookmarkEnd w:id="405"/>
      <w:r>
        <w:rPr>
          <w:b/>
          <w:bCs/>
          <w:color w:val="000000"/>
          <w:spacing w:val="0"/>
          <w:w w:val="100"/>
          <w:position w:val="0"/>
        </w:rPr>
        <w:t>、</w:t>
        <w:tab/>
        <w:t>股东和投资者权益保护</w:t>
      </w:r>
    </w:p>
    <w:p>
      <w:pPr>
        <w:pStyle w:val="Style29"/>
        <w:keepNext w:val="0"/>
        <w:keepLines w:val="0"/>
        <w:widowControl w:val="0"/>
        <w:shd w:val="clear" w:color="auto" w:fill="auto"/>
        <w:bidi w:val="0"/>
        <w:spacing w:before="0" w:after="460" w:line="498" w:lineRule="exact"/>
        <w:ind w:left="0" w:right="0" w:firstLine="420"/>
        <w:jc w:val="both"/>
      </w:pPr>
      <w:r>
        <w:rPr>
          <w:color w:val="000000"/>
          <w:spacing w:val="0"/>
          <w:w w:val="100"/>
          <w:position w:val="0"/>
        </w:rPr>
        <w:t>公司严格按照《公司法》、《证券法》等法律法规及《公司章程》的有关规定，依法召开股东大会， 认真履行信息披露义务，确保公开披露的信息真实、准确、完整、及时。通过接听投资者来电、投资者关 系互动平台、投资者网上接待日活动、业绩网上说明会等多种方式与投资者进行沟通交流，使投资者能更 深入全面地了解公司</w:t>
      </w:r>
      <w:r>
        <w:rPr>
          <w:color w:val="000000"/>
          <w:spacing w:val="0"/>
          <w:w w:val="100"/>
          <w:position w:val="0"/>
        </w:rPr>
        <w:t>。</w:t>
      </w:r>
    </w:p>
    <w:p>
      <w:pPr>
        <w:pStyle w:val="Style29"/>
        <w:keepNext w:val="0"/>
        <w:keepLines w:val="0"/>
        <w:widowControl w:val="0"/>
        <w:shd w:val="clear" w:color="auto" w:fill="auto"/>
        <w:tabs>
          <w:tab w:pos="738" w:val="left"/>
        </w:tabs>
        <w:bidi w:val="0"/>
        <w:spacing w:before="0" w:after="0"/>
        <w:ind w:left="0" w:right="0" w:firstLine="360"/>
        <w:jc w:val="both"/>
      </w:pPr>
      <w:bookmarkStart w:id="406" w:name="bookmark406"/>
      <w:r>
        <w:rPr>
          <w:rFonts w:ascii="Times New Roman" w:eastAsia="Times New Roman" w:hAnsi="Times New Roman" w:cs="Times New Roman"/>
          <w:b/>
          <w:bCs/>
          <w:color w:val="000000"/>
          <w:spacing w:val="0"/>
          <w:w w:val="100"/>
          <w:position w:val="0"/>
        </w:rPr>
        <w:t>3</w:t>
      </w:r>
      <w:bookmarkEnd w:id="406"/>
      <w:r>
        <w:rPr>
          <w:b/>
          <w:bCs/>
          <w:color w:val="000000"/>
          <w:spacing w:val="0"/>
          <w:w w:val="100"/>
          <w:position w:val="0"/>
        </w:rPr>
        <w:t>、</w:t>
        <w:tab/>
        <w:t>职工权益保护</w:t>
      </w:r>
    </w:p>
    <w:p>
      <w:pPr>
        <w:pStyle w:val="Style29"/>
        <w:keepNext w:val="0"/>
        <w:keepLines w:val="0"/>
        <w:widowControl w:val="0"/>
        <w:shd w:val="clear" w:color="auto" w:fill="auto"/>
        <w:bidi w:val="0"/>
        <w:spacing w:before="0" w:line="469" w:lineRule="exact"/>
        <w:ind w:left="0" w:right="0" w:firstLine="420"/>
        <w:jc w:val="both"/>
      </w:pPr>
      <w:r>
        <w:rPr>
          <w:color w:val="000000"/>
          <w:spacing w:val="0"/>
          <w:w w:val="100"/>
          <w:position w:val="0"/>
        </w:rPr>
        <w:t>公司始终坚持“以人为本</w:t>
      </w:r>
      <w:r>
        <w:rPr>
          <w:rFonts w:ascii="Times New Roman" w:eastAsia="Times New Roman" w:hAnsi="Times New Roman" w:cs="Times New Roman"/>
          <w:color w:val="000000"/>
          <w:spacing w:val="0"/>
          <w:w w:val="100"/>
          <w:position w:val="0"/>
        </w:rPr>
        <w:t>''</w:t>
      </w:r>
      <w:r>
        <w:rPr>
          <w:color w:val="000000"/>
          <w:spacing w:val="0"/>
          <w:w w:val="100"/>
          <w:position w:val="0"/>
        </w:rPr>
        <w:t>的核心价值观，致力于培养员工的认同感和归属感，实现员工与企业共同 成长。公司严格按照《中华人民共和国劳动合同法》和有关劳动法律法规等规定，与员工签订劳动合同， 并严格执行相应的劳动用工规定和社会保障制度，尊重员工，为员工提供健康、安全、舒适的工作环境， 保障员工合法权益。同时，公司通过不断完善福利政策，关怀员工，努力为员工营造优良的技术创新环境， 使员工能更好地实现自我价值。</w:t>
      </w:r>
    </w:p>
    <w:p>
      <w:pPr>
        <w:pStyle w:val="Style29"/>
        <w:keepNext w:val="0"/>
        <w:keepLines w:val="0"/>
        <w:widowControl w:val="0"/>
        <w:shd w:val="clear" w:color="auto" w:fill="auto"/>
        <w:tabs>
          <w:tab w:pos="738" w:val="left"/>
        </w:tabs>
        <w:bidi w:val="0"/>
        <w:spacing w:before="0" w:line="469" w:lineRule="exact"/>
        <w:ind w:left="0" w:right="0" w:firstLine="360"/>
        <w:jc w:val="both"/>
      </w:pPr>
      <w:bookmarkStart w:id="407" w:name="bookmark407"/>
      <w:r>
        <w:rPr>
          <w:rFonts w:ascii="Times New Roman" w:eastAsia="Times New Roman" w:hAnsi="Times New Roman" w:cs="Times New Roman"/>
          <w:b/>
          <w:bCs/>
          <w:color w:val="000000"/>
          <w:spacing w:val="0"/>
          <w:w w:val="100"/>
          <w:position w:val="0"/>
        </w:rPr>
        <w:t>4</w:t>
      </w:r>
      <w:bookmarkEnd w:id="407"/>
      <w:r>
        <w:rPr>
          <w:b/>
          <w:bCs/>
          <w:color w:val="000000"/>
          <w:spacing w:val="0"/>
          <w:w w:val="100"/>
          <w:position w:val="0"/>
        </w:rPr>
        <w:t>、</w:t>
        <w:tab/>
        <w:t>热心承担社会公益事业</w:t>
      </w:r>
    </w:p>
    <w:p>
      <w:pPr>
        <w:pStyle w:val="Style29"/>
        <w:keepNext w:val="0"/>
        <w:keepLines w:val="0"/>
        <w:widowControl w:val="0"/>
        <w:shd w:val="clear" w:color="auto" w:fill="auto"/>
        <w:bidi w:val="0"/>
        <w:spacing w:before="0" w:line="475" w:lineRule="exact"/>
        <w:ind w:left="0" w:right="0" w:firstLine="420"/>
        <w:jc w:val="both"/>
      </w:pPr>
      <w:r>
        <w:rPr>
          <w:color w:val="000000"/>
          <w:spacing w:val="0"/>
          <w:w w:val="100"/>
          <w:position w:val="0"/>
        </w:rPr>
        <w:t>积极参与国家、地方政府公益慈善项目，勇于承担社会责任，用实际行动展现企业核心价值观，助推 地方经济与社会的和谐发展。</w:t>
      </w:r>
    </w:p>
    <w:p>
      <w:pPr>
        <w:pStyle w:val="Style38"/>
        <w:keepNext/>
        <w:keepLines/>
        <w:widowControl w:val="0"/>
        <w:shd w:val="clear" w:color="auto" w:fill="auto"/>
        <w:bidi w:val="0"/>
        <w:spacing w:before="0" w:after="520" w:line="469" w:lineRule="exact"/>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w:t>
      </w:r>
      <w:bookmarkEnd w:id="410"/>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履行精准扶贫社会责任情况</w:t>
      </w:r>
      <w:bookmarkEnd w:id="408"/>
      <w:bookmarkEnd w:id="409"/>
      <w:bookmarkEnd w:id="411"/>
    </w:p>
    <w:p>
      <w:pPr>
        <w:pStyle w:val="Style47"/>
        <w:keepNext/>
        <w:keepLines/>
        <w:widowControl w:val="0"/>
        <w:shd w:val="clear" w:color="auto" w:fill="auto"/>
        <w:bidi w:val="0"/>
        <w:spacing w:before="0" w:after="40" w:line="480" w:lineRule="auto"/>
        <w:ind w:left="0" w:right="0" w:firstLine="36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、精准扶贫规划</w:t>
      </w:r>
      <w:bookmarkEnd w:id="412"/>
      <w:bookmarkEnd w:id="413"/>
      <w:bookmarkEnd w:id="415"/>
    </w:p>
    <w:p>
      <w:pPr>
        <w:pStyle w:val="Style29"/>
        <w:keepNext w:val="0"/>
        <w:keepLines w:val="0"/>
        <w:widowControl w:val="0"/>
        <w:shd w:val="clear" w:color="auto" w:fill="auto"/>
        <w:bidi w:val="0"/>
        <w:spacing w:before="0" w:line="469" w:lineRule="exact"/>
        <w:ind w:left="0" w:right="0" w:firstLine="360"/>
        <w:jc w:val="both"/>
      </w:pPr>
      <w:r>
        <w:rPr>
          <w:color w:val="000000"/>
          <w:spacing w:val="0"/>
          <w:w w:val="100"/>
          <w:position w:val="0"/>
        </w:rPr>
        <w:t>响应国家、地方政府的号召，参与相关扶贫项目，推动脱贫攻坚，助力乡村振兴，促进贫困群众增收</w:t>
      </w:r>
      <w:r>
        <w:br w:type="page"/>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脱贫</w:t>
      </w:r>
      <w:r>
        <w:rPr>
          <w:color w:val="000000"/>
          <w:spacing w:val="0"/>
          <w:w w:val="100"/>
          <w:position w:val="0"/>
          <w:sz w:val="20"/>
          <w:szCs w:val="20"/>
        </w:rPr>
        <w:t>。</w:t>
      </w:r>
    </w:p>
    <w:p>
      <w:pPr>
        <w:pStyle w:val="Style47"/>
        <w:keepNext/>
        <w:keepLines/>
        <w:widowControl w:val="0"/>
        <w:shd w:val="clear" w:color="auto" w:fill="auto"/>
        <w:bidi w:val="0"/>
        <w:spacing w:before="0" w:line="240" w:lineRule="auto"/>
        <w:ind w:left="0" w:right="0" w:firstLine="44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、年度精准扶贫概要</w:t>
      </w:r>
      <w:bookmarkEnd w:id="416"/>
      <w:bookmarkEnd w:id="417"/>
      <w:bookmarkEnd w:id="419"/>
    </w:p>
    <w:p>
      <w:pPr>
        <w:pStyle w:val="Style29"/>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公司报告期内的扶贫计划基本完成。</w:t>
      </w:r>
    </w:p>
    <w:p>
      <w:pPr>
        <w:pStyle w:val="Style47"/>
        <w:keepNext/>
        <w:keepLines/>
        <w:widowControl w:val="0"/>
        <w:shd w:val="clear" w:color="auto" w:fill="auto"/>
        <w:bidi w:val="0"/>
        <w:spacing w:before="0" w:after="380" w:line="240" w:lineRule="auto"/>
        <w:ind w:left="0" w:right="0" w:firstLine="44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、精准扶贫成效</w:t>
      </w:r>
      <w:bookmarkEnd w:id="420"/>
      <w:bookmarkEnd w:id="421"/>
      <w:bookmarkEnd w:id="423"/>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8.2</w:t>
            </w:r>
            <w:r>
              <w:rPr>
                <w:color w:val="000000"/>
                <w:spacing w:val="0"/>
                <w:w w:val="100"/>
                <w:position w:val="0"/>
                <w:sz w:val="17"/>
                <w:szCs w:val="17"/>
              </w:rPr>
              <w:t>定点扶贫工作投入金额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三、所获奖项（内容、级别）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爱心捐赠防疫物资荣誉证书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深圳市福田区卫生健康局</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爱心企业荣誉证书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深圳市福田区精准扶贫精准脱贫派驻和平县工作组</w:t>
            </w:r>
          </w:p>
        </w:tc>
      </w:tr>
    </w:tbl>
    <w:p>
      <w:pPr>
        <w:widowControl w:val="0"/>
        <w:spacing w:after="259" w:line="1" w:lineRule="exact"/>
      </w:pPr>
    </w:p>
    <w:p>
      <w:pPr>
        <w:pStyle w:val="Style47"/>
        <w:keepNext/>
        <w:keepLines/>
        <w:widowControl w:val="0"/>
        <w:shd w:val="clear" w:color="auto" w:fill="auto"/>
        <w:bidi w:val="0"/>
        <w:spacing w:before="0" w:after="260" w:line="240" w:lineRule="auto"/>
        <w:ind w:left="0" w:right="0" w:firstLine="44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、后续精准扶贫计划</w:t>
      </w:r>
      <w:bookmarkEnd w:id="424"/>
      <w:bookmarkEnd w:id="425"/>
      <w:bookmarkEnd w:id="427"/>
    </w:p>
    <w:p>
      <w:pPr>
        <w:pStyle w:val="Style29"/>
        <w:keepNext w:val="0"/>
        <w:keepLines w:val="0"/>
        <w:widowControl w:val="0"/>
        <w:shd w:val="clear" w:color="auto" w:fill="auto"/>
        <w:bidi w:val="0"/>
        <w:spacing w:before="0" w:after="120" w:line="480" w:lineRule="exact"/>
        <w:ind w:left="0" w:right="0" w:firstLine="440"/>
        <w:jc w:val="left"/>
      </w:pPr>
      <w:r>
        <w:rPr>
          <w:color w:val="000000"/>
          <w:spacing w:val="0"/>
          <w:w w:val="100"/>
          <w:position w:val="0"/>
        </w:rPr>
        <w:t>将继续响应国家、地方政府的号召，参与相关扶贫项目，推动脱贫攻坚，助力乡村振兴，促进贫困群 众增收脱贫。</w:t>
      </w:r>
    </w:p>
    <w:p>
      <w:pPr>
        <w:pStyle w:val="Style38"/>
        <w:keepNext/>
        <w:keepLines/>
        <w:widowControl w:val="0"/>
        <w:shd w:val="clear" w:color="auto" w:fill="auto"/>
        <w:bidi w:val="0"/>
        <w:spacing w:before="0" w:after="260" w:line="480" w:lineRule="exact"/>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color w:val="000000"/>
          <w:spacing w:val="0"/>
          <w:w w:val="100"/>
          <w:position w:val="0"/>
        </w:rPr>
        <w:t>三）环境保护相关的情况</w:t>
      </w:r>
      <w:bookmarkEnd w:id="428"/>
      <w:bookmarkEnd w:id="429"/>
      <w:bookmarkEnd w:id="431"/>
    </w:p>
    <w:p>
      <w:pPr>
        <w:pStyle w:val="Style38"/>
        <w:keepNext/>
        <w:keepLines/>
        <w:widowControl w:val="0"/>
        <w:shd w:val="clear" w:color="auto" w:fill="auto"/>
        <w:bidi w:val="0"/>
        <w:spacing w:before="0" w:after="380" w:line="480" w:lineRule="exact"/>
        <w:ind w:left="0" w:right="0" w:firstLine="0"/>
        <w:jc w:val="left"/>
      </w:pPr>
      <w:bookmarkStart w:id="428" w:name="bookmark428"/>
      <w:bookmarkStart w:id="429" w:name="bookmark429"/>
      <w:r>
        <w:rPr>
          <w:color w:val="000000"/>
          <w:spacing w:val="0"/>
          <w:w w:val="100"/>
          <w:position w:val="0"/>
        </w:rPr>
        <w:t>上市公司及其子公司是否属于环境保护部门公布的重点排污单位</w:t>
      </w:r>
      <w:bookmarkEnd w:id="428"/>
      <w:bookmarkEnd w:id="429"/>
    </w:p>
    <w:p>
      <w:pPr>
        <w:pStyle w:val="Style29"/>
        <w:keepNext w:val="0"/>
        <w:keepLines w:val="0"/>
        <w:widowControl w:val="0"/>
        <w:shd w:val="clear" w:color="auto" w:fill="auto"/>
        <w:bidi w:val="0"/>
        <w:spacing w:before="0" w:after="380" w:line="50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w:t>
      </w:r>
      <w:r>
        <w:rPr>
          <w:i/>
          <w:iCs/>
          <w:color w:val="000000"/>
          <w:spacing w:val="0"/>
          <w:w w:val="100"/>
          <w:position w:val="0"/>
        </w:rPr>
        <w:t>否</w:t>
      </w:r>
    </w:p>
    <w:p>
      <w:pPr>
        <w:pStyle w:val="Style29"/>
        <w:keepNext w:val="0"/>
        <w:keepLines w:val="0"/>
        <w:widowControl w:val="0"/>
        <w:shd w:val="clear" w:color="auto" w:fill="auto"/>
        <w:bidi w:val="0"/>
        <w:spacing w:before="0" w:line="475"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公司在日常生产经营中认真执行《中华人民共和国环境保护法》、《中华人民共和国水污染防治法》、</w:t>
      </w:r>
    </w:p>
    <w:p>
      <w:pPr>
        <w:pStyle w:val="Style29"/>
        <w:keepNext w:val="0"/>
        <w:keepLines w:val="0"/>
        <w:widowControl w:val="0"/>
        <w:shd w:val="clear" w:color="auto" w:fill="auto"/>
        <w:bidi w:val="0"/>
        <w:spacing w:before="0" w:after="360" w:line="475" w:lineRule="exact"/>
        <w:ind w:left="0" w:right="0" w:firstLine="0"/>
        <w:jc w:val="left"/>
      </w:pPr>
      <w:r>
        <w:rPr>
          <w:color w:val="000000"/>
          <w:spacing w:val="0"/>
          <w:w w:val="100"/>
          <w:position w:val="0"/>
        </w:rPr>
        <w:t>《中华人民共和国大气污染防治法》、《中华人民共和国环境噪声污染防治法》、《中华人民共和国固体 废物污染防治法》等环保方面的法律法规，报告期内未出现因违法违规而受到处罚的情况。</w:t>
      </w:r>
    </w:p>
    <w:p>
      <w:pPr>
        <w:pStyle w:val="Style27"/>
        <w:keepNext/>
        <w:keepLines/>
        <w:widowControl w:val="0"/>
        <w:shd w:val="clear" w:color="auto" w:fill="auto"/>
        <w:bidi w:val="0"/>
        <w:spacing w:before="0" w:after="50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十八、其他重大事项的说明</w:t>
      </w:r>
      <w:bookmarkEnd w:id="432"/>
      <w:bookmarkEnd w:id="433"/>
      <w:bookmarkEnd w:id="434"/>
    </w:p>
    <w:p>
      <w:pPr>
        <w:pStyle w:val="Style29"/>
        <w:keepNext w:val="0"/>
        <w:keepLines w:val="0"/>
        <w:widowControl w:val="0"/>
        <w:shd w:val="clear" w:color="auto" w:fill="auto"/>
        <w:bidi w:val="0"/>
        <w:spacing w:before="0" w:after="0" w:line="49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60" w:line="475" w:lineRule="exact"/>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50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十九、公司子公司重大事项</w:t>
      </w:r>
      <w:bookmarkEnd w:id="435"/>
      <w:bookmarkEnd w:id="436"/>
      <w:bookmarkEnd w:id="437"/>
    </w:p>
    <w:p>
      <w:pPr>
        <w:pStyle w:val="Style29"/>
        <w:keepNext w:val="0"/>
        <w:keepLines w:val="0"/>
        <w:widowControl w:val="0"/>
        <w:shd w:val="clear" w:color="auto" w:fill="auto"/>
        <w:bidi w:val="0"/>
        <w:spacing w:before="0" w:after="440" w:line="49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4"/>
        <w:keepNext/>
        <w:keepLines/>
        <w:widowControl w:val="0"/>
        <w:shd w:val="clear" w:color="auto" w:fill="auto"/>
        <w:bidi w:val="0"/>
        <w:spacing w:before="0" w:after="600" w:line="240" w:lineRule="auto"/>
        <w:ind w:left="0" w:right="0" w:firstLine="0"/>
        <w:jc w:val="center"/>
      </w:pPr>
      <w:bookmarkStart w:id="438" w:name="bookmark438"/>
      <w:bookmarkStart w:id="439" w:name="bookmark439"/>
      <w:bookmarkStart w:id="440" w:name="bookmark440"/>
      <w:r>
        <w:rPr>
          <w:color w:val="000000"/>
          <w:spacing w:val="0"/>
          <w:w w:val="100"/>
          <w:position w:val="0"/>
        </w:rPr>
        <w:t>第六节股份变动及股东情况</w:t>
      </w:r>
      <w:bookmarkEnd w:id="438"/>
      <w:bookmarkEnd w:id="439"/>
      <w:bookmarkEnd w:id="440"/>
    </w:p>
    <w:p>
      <w:pPr>
        <w:pStyle w:val="Style27"/>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、股份变动情况</w:t>
      </w:r>
      <w:bookmarkEnd w:id="441"/>
      <w:bookmarkEnd w:id="442"/>
      <w:bookmarkEnd w:id="444"/>
    </w:p>
    <w:p>
      <w:pPr>
        <w:pStyle w:val="Style38"/>
        <w:keepNext/>
        <w:keepLines/>
        <w:widowControl w:val="0"/>
        <w:shd w:val="clear" w:color="auto" w:fill="auto"/>
        <w:bidi w:val="0"/>
        <w:spacing w:before="0" w:after="18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color w:val="000000"/>
          <w:spacing w:val="0"/>
          <w:w w:val="100"/>
          <w:position w:val="0"/>
        </w:rPr>
        <w:t>一）股份变动情况</w:t>
      </w:r>
      <w:bookmarkEnd w:id="445"/>
      <w:bookmarkEnd w:id="446"/>
      <w:bookmarkEnd w:id="44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54,689,65</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53,793,10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53,793,10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15,063,10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15,063,10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54,689,65</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72,919,65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79" w:line="1" w:lineRule="exact"/>
      </w:pP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股份变动的原因</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r>
        <w:rPr>
          <w:color w:val="000000"/>
          <w:spacing w:val="0"/>
          <w:w w:val="100"/>
          <w:position w:val="0"/>
        </w:rPr>
        <w:t>公开首次公开发行股票并在创业板上市。</w:t>
      </w:r>
    </w:p>
    <w:p>
      <w:pPr>
        <w:pStyle w:val="Style29"/>
        <w:keepNext w:val="0"/>
        <w:keepLines w:val="0"/>
        <w:widowControl w:val="0"/>
        <w:shd w:val="clear" w:color="auto" w:fill="auto"/>
        <w:bidi w:val="0"/>
        <w:spacing w:before="0" w:line="470" w:lineRule="exact"/>
        <w:ind w:left="0" w:right="0" w:firstLine="0"/>
        <w:jc w:val="both"/>
      </w:pPr>
      <w:r>
        <w:rPr>
          <w:b/>
          <w:bCs/>
          <w:color w:val="000000"/>
          <w:spacing w:val="0"/>
          <w:w w:val="100"/>
          <w:position w:val="0"/>
        </w:rPr>
        <w:t>股份变动的批准情况</w:t>
      </w:r>
    </w:p>
    <w:p>
      <w:pPr>
        <w:pStyle w:val="Style29"/>
        <w:keepNext w:val="0"/>
        <w:keepLines w:val="0"/>
        <w:widowControl w:val="0"/>
        <w:shd w:val="clear" w:color="auto" w:fill="auto"/>
        <w:bidi w:val="0"/>
        <w:spacing w:before="0" w:line="47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南凌科技股份有限公司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年经中国证券管理委员会《关于同意南凌科技股份有限公司首次公开发行 股票注册的批复》（证监许可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sz w:val="20"/>
          <w:szCs w:val="20"/>
        </w:rPr>
        <w:t>1</w:t>
      </w:r>
      <w:r>
        <w:rPr>
          <w:rFonts w:ascii="Times New Roman" w:eastAsia="Times New Roman" w:hAnsi="Times New Roman" w:cs="Times New Roman"/>
          <w:color w:val="000000"/>
          <w:spacing w:val="0"/>
          <w:w w:val="100"/>
          <w:position w:val="0"/>
        </w:rPr>
        <w:t xml:space="preserve">3154 </w:t>
      </w:r>
      <w:r>
        <w:rPr>
          <w:color w:val="000000"/>
          <w:spacing w:val="0"/>
          <w:w w:val="100"/>
          <w:position w:val="0"/>
        </w:rPr>
        <w:t>）同意注册，公司首次公开发行人民币普通股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 xml:space="preserve">18,230,000 </w:t>
      </w:r>
      <w:r>
        <w:rPr>
          <w:color w:val="000000"/>
          <w:spacing w:val="0"/>
          <w:w w:val="100"/>
          <w:position w:val="0"/>
        </w:rPr>
        <w:t>股。本次发行完毕后公司股份总数由</w:t>
      </w:r>
      <w:r>
        <w:rPr>
          <w:rFonts w:ascii="Times New Roman" w:eastAsia="Times New Roman" w:hAnsi="Times New Roman" w:cs="Times New Roman"/>
          <w:color w:val="000000"/>
          <w:spacing w:val="0"/>
          <w:w w:val="100"/>
          <w:position w:val="0"/>
        </w:rPr>
        <w:t>54,689,650</w:t>
      </w:r>
      <w:r>
        <w:rPr>
          <w:color w:val="000000"/>
          <w:spacing w:val="0"/>
          <w:w w:val="100"/>
          <w:position w:val="0"/>
        </w:rPr>
        <w:t>股变更为</w:t>
      </w:r>
      <w:r>
        <w:rPr>
          <w:rFonts w:ascii="Times New Roman" w:eastAsia="Times New Roman" w:hAnsi="Times New Roman" w:cs="Times New Roman"/>
          <w:color w:val="000000"/>
          <w:spacing w:val="0"/>
          <w:w w:val="100"/>
          <w:position w:val="0"/>
        </w:rPr>
        <w:t>72,919,650</w:t>
      </w:r>
      <w:r>
        <w:rPr>
          <w:color w:val="000000"/>
          <w:spacing w:val="0"/>
          <w:w w:val="100"/>
          <w:position w:val="0"/>
        </w:rPr>
        <w:t>股。</w:t>
      </w:r>
    </w:p>
    <w:p>
      <w:pPr>
        <w:pStyle w:val="Style29"/>
        <w:keepNext w:val="0"/>
        <w:keepLines w:val="0"/>
        <w:widowControl w:val="0"/>
        <w:shd w:val="clear" w:color="auto" w:fill="auto"/>
        <w:bidi w:val="0"/>
        <w:spacing w:before="0" w:after="380" w:line="470" w:lineRule="exact"/>
        <w:ind w:left="0" w:right="0" w:firstLine="0"/>
        <w:jc w:val="left"/>
      </w:pPr>
      <w:r>
        <w:rPr>
          <w:b/>
          <w:bCs/>
          <w:color w:val="000000"/>
          <w:spacing w:val="0"/>
          <w:w w:val="100"/>
          <w:position w:val="0"/>
        </w:rPr>
        <w:t>股份变动的过户情况</w:t>
      </w:r>
    </w:p>
    <w:p>
      <w:pPr>
        <w:pStyle w:val="Style29"/>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80" w:line="470" w:lineRule="exact"/>
        <w:ind w:left="0" w:right="0" w:firstLine="0"/>
        <w:jc w:val="left"/>
      </w:pPr>
      <w:r>
        <w:rPr>
          <w:b/>
          <w:bCs/>
          <w:color w:val="000000"/>
          <w:spacing w:val="0"/>
          <w:w w:val="100"/>
          <w:position w:val="0"/>
        </w:rPr>
        <w:t>股份回购的实施进展情况</w:t>
      </w:r>
    </w:p>
    <w:p>
      <w:pPr>
        <w:pStyle w:val="Style29"/>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80" w:line="470" w:lineRule="exact"/>
        <w:ind w:left="0" w:right="0" w:firstLine="0"/>
        <w:jc w:val="left"/>
      </w:pPr>
      <w:r>
        <w:rPr>
          <w:b/>
          <w:bCs/>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line="466" w:lineRule="exact"/>
        <w:ind w:left="0" w:right="0" w:firstLine="0"/>
        <w:jc w:val="left"/>
      </w:pPr>
      <w:r>
        <w:rPr>
          <w:b/>
          <w:bCs/>
          <w:color w:val="000000"/>
          <w:spacing w:val="0"/>
          <w:w w:val="100"/>
          <w:position w:val="0"/>
        </w:rPr>
        <w:t>股份变动对最近一年和最近一期基本每股收益和稀释每股收益、归属于公司普通股股东的每股净资产等财 务指标的影响</w:t>
      </w:r>
    </w:p>
    <w:p>
      <w:pPr>
        <w:pStyle w:val="Style29"/>
        <w:keepNext w:val="0"/>
        <w:keepLines w:val="0"/>
        <w:widowControl w:val="0"/>
        <w:shd w:val="clear" w:color="auto" w:fill="auto"/>
        <w:bidi w:val="0"/>
        <w:spacing w:before="0" w:line="47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480" w:lineRule="exact"/>
        <w:ind w:left="0" w:right="0" w:firstLine="440"/>
        <w:jc w:val="both"/>
      </w:pPr>
      <w:r>
        <w:rPr>
          <w:color w:val="000000"/>
          <w:spacing w:val="0"/>
          <w:w w:val="100"/>
          <w:position w:val="0"/>
        </w:rPr>
        <w:t>报告期内，公司完成首次公开发行股票，总股本由</w:t>
      </w:r>
      <w:r>
        <w:rPr>
          <w:rFonts w:ascii="Times New Roman" w:eastAsia="Times New Roman" w:hAnsi="Times New Roman" w:cs="Times New Roman"/>
          <w:color w:val="000000"/>
          <w:spacing w:val="0"/>
          <w:w w:val="100"/>
          <w:position w:val="0"/>
        </w:rPr>
        <w:t>54,689,650</w:t>
      </w:r>
      <w:r>
        <w:rPr>
          <w:color w:val="000000"/>
          <w:spacing w:val="0"/>
          <w:w w:val="100"/>
          <w:position w:val="0"/>
        </w:rPr>
        <w:t>股增加至</w:t>
      </w:r>
      <w:r>
        <w:rPr>
          <w:rFonts w:ascii="Times New Roman" w:eastAsia="Times New Roman" w:hAnsi="Times New Roman" w:cs="Times New Roman"/>
          <w:color w:val="000000"/>
          <w:spacing w:val="0"/>
          <w:w w:val="100"/>
          <w:position w:val="0"/>
        </w:rPr>
        <w:t>72,919,650</w:t>
      </w:r>
      <w:r>
        <w:rPr>
          <w:color w:val="000000"/>
          <w:spacing w:val="0"/>
          <w:w w:val="100"/>
          <w:position w:val="0"/>
        </w:rPr>
        <w:t>股，发行前后每股收 益和稀释后的每股收益无变化，但归属于公司普通股股东的每股净资产相应摊薄。</w:t>
      </w:r>
    </w:p>
    <w:p>
      <w:pPr>
        <w:pStyle w:val="Style29"/>
        <w:keepNext w:val="0"/>
        <w:keepLines w:val="0"/>
        <w:widowControl w:val="0"/>
        <w:shd w:val="clear" w:color="auto" w:fill="auto"/>
        <w:bidi w:val="0"/>
        <w:spacing w:before="0" w:after="380" w:line="470" w:lineRule="exact"/>
        <w:ind w:left="0" w:right="0" w:firstLine="0"/>
        <w:jc w:val="both"/>
      </w:pPr>
      <w:r>
        <w:rPr>
          <w:b/>
          <w:bCs/>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520" w:line="470" w:lineRule="exact"/>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二）限售股份变动情况</w:t>
      </w:r>
      <w:bookmarkEnd w:id="449"/>
      <w:bookmarkEnd w:id="450"/>
      <w:bookmarkEnd w:id="452"/>
    </w:p>
    <w:p>
      <w:pPr>
        <w:pStyle w:val="Style29"/>
        <w:keepNext w:val="0"/>
        <w:keepLines w:val="0"/>
        <w:widowControl w:val="0"/>
        <w:shd w:val="clear" w:color="auto" w:fill="auto"/>
        <w:bidi w:val="0"/>
        <w:spacing w:before="0" w:line="49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、证券发行与上市情况</w:t>
      </w:r>
      <w:bookmarkEnd w:id="453"/>
      <w:bookmarkEnd w:id="454"/>
      <w:bookmarkEnd w:id="456"/>
    </w:p>
    <w:p>
      <w:pPr>
        <w:pStyle w:val="Style38"/>
        <w:keepNext/>
        <w:keepLines/>
        <w:widowControl w:val="0"/>
        <w:shd w:val="clear" w:color="auto" w:fill="auto"/>
        <w:bidi w:val="0"/>
        <w:spacing w:before="0" w:after="52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一）报告期内证券发行（不含优先股）情况</w:t>
      </w:r>
      <w:bookmarkEnd w:id="457"/>
      <w:bookmarkEnd w:id="458"/>
      <w:bookmarkEnd w:id="460"/>
    </w:p>
    <w:p>
      <w:pPr>
        <w:pStyle w:val="Style4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股票及其衍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人民币普通 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报告期内证券发行（不含优先股）情况的说明</w:t>
      </w:r>
    </w:p>
    <w:p>
      <w:pPr>
        <w:widowControl w:val="0"/>
        <w:spacing w:after="139" w:line="1" w:lineRule="exact"/>
      </w:pPr>
    </w:p>
    <w:p>
      <w:pPr>
        <w:pStyle w:val="Style29"/>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南凌科技股份有限公司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年经中国证券管理委员会《关于同意南凌科技股份有限公司首次公开发行 股票注册的批复》（证监许可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sz w:val="20"/>
          <w:szCs w:val="20"/>
        </w:rPr>
        <w:t>1</w:t>
      </w:r>
      <w:r>
        <w:rPr>
          <w:rFonts w:ascii="Times New Roman" w:eastAsia="Times New Roman" w:hAnsi="Times New Roman" w:cs="Times New Roman"/>
          <w:color w:val="000000"/>
          <w:spacing w:val="0"/>
          <w:w w:val="100"/>
          <w:position w:val="0"/>
        </w:rPr>
        <w:t xml:space="preserve">3154 </w:t>
      </w:r>
      <w:r>
        <w:rPr>
          <w:color w:val="000000"/>
          <w:spacing w:val="0"/>
          <w:w w:val="100"/>
          <w:position w:val="0"/>
        </w:rPr>
        <w:t>）同意注册，公司首次公开发行人民币普通股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 xml:space="preserve">18,230,000 </w:t>
      </w:r>
      <w:r>
        <w:rPr>
          <w:color w:val="000000"/>
          <w:spacing w:val="0"/>
          <w:w w:val="100"/>
          <w:position w:val="0"/>
        </w:rPr>
        <w:t>股。本次发行完毕后公司股份总数由</w:t>
      </w:r>
      <w:r>
        <w:rPr>
          <w:rFonts w:ascii="Times New Roman" w:eastAsia="Times New Roman" w:hAnsi="Times New Roman" w:cs="Times New Roman"/>
          <w:color w:val="000000"/>
          <w:spacing w:val="0"/>
          <w:w w:val="100"/>
          <w:position w:val="0"/>
        </w:rPr>
        <w:t>54,689,650</w:t>
      </w:r>
      <w:r>
        <w:rPr>
          <w:color w:val="000000"/>
          <w:spacing w:val="0"/>
          <w:w w:val="100"/>
          <w:position w:val="0"/>
        </w:rPr>
        <w:t>股变更为</w:t>
      </w:r>
      <w:r>
        <w:rPr>
          <w:rFonts w:ascii="Times New Roman" w:eastAsia="Times New Roman" w:hAnsi="Times New Roman" w:cs="Times New Roman"/>
          <w:color w:val="000000"/>
          <w:spacing w:val="0"/>
          <w:w w:val="100"/>
          <w:position w:val="0"/>
        </w:rPr>
        <w:t>72,919,650</w:t>
      </w:r>
      <w:r>
        <w:rPr>
          <w:color w:val="000000"/>
          <w:spacing w:val="0"/>
          <w:w w:val="100"/>
          <w:position w:val="0"/>
        </w:rPr>
        <w:t>股。</w:t>
      </w:r>
    </w:p>
    <w:p>
      <w:pPr>
        <w:pStyle w:val="Style38"/>
        <w:keepNext/>
        <w:keepLines/>
        <w:widowControl w:val="0"/>
        <w:shd w:val="clear" w:color="auto" w:fill="auto"/>
        <w:tabs>
          <w:tab w:pos="594" w:val="left"/>
        </w:tabs>
        <w:bidi w:val="0"/>
        <w:spacing w:before="0" w:after="520" w:line="467" w:lineRule="exact"/>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二）</w:t>
        <w:tab/>
        <w:t>公司股份总数及股东结构的变动、公司资产和负债结构的变动情况说明</w:t>
      </w:r>
      <w:bookmarkEnd w:id="461"/>
      <w:bookmarkEnd w:id="462"/>
      <w:bookmarkEnd w:id="464"/>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after="140" w:line="466" w:lineRule="exact"/>
        <w:ind w:left="0" w:right="0" w:firstLine="440"/>
        <w:jc w:val="both"/>
      </w:pPr>
      <w:bookmarkStart w:id="465" w:name="bookmark465"/>
      <w:bookmarkStart w:id="466" w:name="bookmark466"/>
      <w:bookmarkStart w:id="467" w:name="bookmark467"/>
      <w:r>
        <w:rPr>
          <w:b w:val="0"/>
          <w:bCs w:val="0"/>
          <w:color w:val="000000"/>
          <w:spacing w:val="0"/>
          <w:w w:val="100"/>
          <w:position w:val="0"/>
        </w:rPr>
        <w:t>报告期内，公司首次公开发行人民币普通股</w:t>
      </w:r>
      <w:r>
        <w:rPr>
          <w:b w:val="0"/>
          <w:bCs w:val="0"/>
          <w:color w:val="000000"/>
          <w:spacing w:val="0"/>
          <w:w w:val="100"/>
          <w:position w:val="0"/>
          <w:sz w:val="20"/>
          <w:szCs w:val="20"/>
        </w:rPr>
        <w:t>（A</w:t>
      </w:r>
      <w:r>
        <w:rPr>
          <w:b w:val="0"/>
          <w:bCs w:val="0"/>
          <w:color w:val="000000"/>
          <w:spacing w:val="0"/>
          <w:w w:val="100"/>
          <w:position w:val="0"/>
        </w:rPr>
        <w:t>股）股票</w:t>
      </w:r>
      <w:r>
        <w:rPr>
          <w:b w:val="0"/>
          <w:bCs w:val="0"/>
          <w:color w:val="000000"/>
          <w:spacing w:val="0"/>
          <w:w w:val="100"/>
          <w:position w:val="0"/>
          <w:sz w:val="20"/>
          <w:szCs w:val="20"/>
        </w:rPr>
        <w:t>18,230,000</w:t>
      </w:r>
      <w:r>
        <w:rPr>
          <w:b w:val="0"/>
          <w:bCs w:val="0"/>
          <w:color w:val="000000"/>
          <w:spacing w:val="0"/>
          <w:w w:val="100"/>
          <w:position w:val="0"/>
        </w:rPr>
        <w:t>股。本次发行完毕后公司股份总 数由</w:t>
      </w:r>
      <w:r>
        <w:rPr>
          <w:b w:val="0"/>
          <w:bCs w:val="0"/>
          <w:color w:val="000000"/>
          <w:spacing w:val="0"/>
          <w:w w:val="100"/>
          <w:position w:val="0"/>
          <w:sz w:val="20"/>
          <w:szCs w:val="20"/>
        </w:rPr>
        <w:t>54,689,650</w:t>
      </w:r>
      <w:r>
        <w:rPr>
          <w:b w:val="0"/>
          <w:bCs w:val="0"/>
          <w:color w:val="000000"/>
          <w:spacing w:val="0"/>
          <w:w w:val="100"/>
          <w:position w:val="0"/>
        </w:rPr>
        <w:t>股变更为</w:t>
      </w:r>
      <w:r>
        <w:rPr>
          <w:b w:val="0"/>
          <w:bCs w:val="0"/>
          <w:color w:val="000000"/>
          <w:spacing w:val="0"/>
          <w:w w:val="100"/>
          <w:position w:val="0"/>
          <w:sz w:val="20"/>
          <w:szCs w:val="20"/>
        </w:rPr>
        <w:t>72,919,650</w:t>
      </w:r>
      <w:r>
        <w:rPr>
          <w:b w:val="0"/>
          <w:bCs w:val="0"/>
          <w:color w:val="000000"/>
          <w:spacing w:val="0"/>
          <w:w w:val="100"/>
          <w:position w:val="0"/>
        </w:rPr>
        <w:t>股。报告期期初，公司资产总额为</w:t>
      </w:r>
      <w:r>
        <w:rPr>
          <w:b w:val="0"/>
          <w:bCs w:val="0"/>
          <w:color w:val="000000"/>
          <w:spacing w:val="0"/>
          <w:w w:val="100"/>
          <w:position w:val="0"/>
          <w:sz w:val="20"/>
          <w:szCs w:val="20"/>
        </w:rPr>
        <w:t xml:space="preserve">282,515, </w:t>
      </w:r>
      <w:r>
        <w:rPr>
          <w:b w:val="0"/>
          <w:bCs w:val="0"/>
          <w:color w:val="000000"/>
          <w:spacing w:val="0"/>
          <w:w w:val="100"/>
          <w:position w:val="0"/>
          <w:sz w:val="20"/>
          <w:szCs w:val="20"/>
        </w:rPr>
        <w:t xml:space="preserve">563. </w:t>
      </w:r>
      <w:r>
        <w:rPr>
          <w:b w:val="0"/>
          <w:bCs w:val="0"/>
          <w:color w:val="000000"/>
          <w:spacing w:val="0"/>
          <w:w w:val="100"/>
          <w:position w:val="0"/>
          <w:sz w:val="20"/>
          <w:szCs w:val="20"/>
        </w:rPr>
        <w:t>03</w:t>
      </w:r>
      <w:r>
        <w:rPr>
          <w:b w:val="0"/>
          <w:bCs w:val="0"/>
          <w:color w:val="000000"/>
          <w:spacing w:val="0"/>
          <w:w w:val="100"/>
          <w:position w:val="0"/>
        </w:rPr>
        <w:t>元，负债总额 为</w:t>
      </w:r>
      <w:r>
        <w:rPr>
          <w:b w:val="0"/>
          <w:bCs w:val="0"/>
          <w:color w:val="000000"/>
          <w:spacing w:val="0"/>
          <w:w w:val="100"/>
          <w:position w:val="0"/>
          <w:sz w:val="20"/>
          <w:szCs w:val="20"/>
        </w:rPr>
        <w:t>81,193,323.68</w:t>
      </w:r>
      <w:r>
        <w:rPr>
          <w:b w:val="0"/>
          <w:bCs w:val="0"/>
          <w:color w:val="000000"/>
          <w:spacing w:val="0"/>
          <w:w w:val="100"/>
          <w:position w:val="0"/>
        </w:rPr>
        <w:t>元，资产负债率为</w:t>
      </w:r>
      <w:r>
        <w:rPr>
          <w:b w:val="0"/>
          <w:bCs w:val="0"/>
          <w:color w:val="000000"/>
          <w:spacing w:val="0"/>
          <w:w w:val="100"/>
          <w:position w:val="0"/>
          <w:sz w:val="20"/>
          <w:szCs w:val="20"/>
        </w:rPr>
        <w:t>28.74%；</w:t>
      </w:r>
      <w:r>
        <w:rPr>
          <w:b w:val="0"/>
          <w:bCs w:val="0"/>
          <w:color w:val="000000"/>
          <w:spacing w:val="0"/>
          <w:w w:val="100"/>
          <w:position w:val="0"/>
        </w:rPr>
        <w:t>报告期期末，公司资产总额为</w:t>
      </w:r>
      <w:r>
        <w:rPr>
          <w:b w:val="0"/>
          <w:bCs w:val="0"/>
          <w:color w:val="000000"/>
          <w:spacing w:val="0"/>
          <w:w w:val="100"/>
          <w:position w:val="0"/>
          <w:sz w:val="20"/>
          <w:szCs w:val="20"/>
        </w:rPr>
        <w:t>880,622,031.65</w:t>
      </w:r>
      <w:r>
        <w:rPr>
          <w:b w:val="0"/>
          <w:bCs w:val="0"/>
          <w:color w:val="000000"/>
          <w:spacing w:val="0"/>
          <w:w w:val="100"/>
          <w:position w:val="0"/>
        </w:rPr>
        <w:t>元，负债总 额为</w:t>
      </w:r>
      <w:r>
        <w:rPr>
          <w:b w:val="0"/>
          <w:bCs w:val="0"/>
          <w:color w:val="000000"/>
          <w:spacing w:val="0"/>
          <w:w w:val="100"/>
          <w:position w:val="0"/>
          <w:sz w:val="20"/>
          <w:szCs w:val="20"/>
        </w:rPr>
        <w:t>75,522,114.73</w:t>
      </w:r>
      <w:r>
        <w:rPr>
          <w:b w:val="0"/>
          <w:bCs w:val="0"/>
          <w:color w:val="000000"/>
          <w:spacing w:val="0"/>
          <w:w w:val="100"/>
          <w:position w:val="0"/>
        </w:rPr>
        <w:t>元，资产负债率为</w:t>
      </w:r>
      <w:r>
        <w:rPr>
          <w:b w:val="0"/>
          <w:bCs w:val="0"/>
          <w:color w:val="000000"/>
          <w:spacing w:val="0"/>
          <w:w w:val="100"/>
          <w:position w:val="0"/>
          <w:sz w:val="20"/>
          <w:szCs w:val="20"/>
        </w:rPr>
        <w:t>8.58%</w:t>
      </w:r>
      <w:r>
        <w:rPr>
          <w:b w:val="0"/>
          <w:bCs w:val="0"/>
          <w:color w:val="000000"/>
          <w:spacing w:val="0"/>
          <w:w w:val="100"/>
          <w:position w:val="0"/>
        </w:rPr>
        <w:t>。</w:t>
      </w:r>
      <w:bookmarkEnd w:id="465"/>
      <w:bookmarkEnd w:id="466"/>
      <w:bookmarkEnd w:id="467"/>
    </w:p>
    <w:p>
      <w:pPr>
        <w:pStyle w:val="Style38"/>
        <w:keepNext/>
        <w:keepLines/>
        <w:widowControl w:val="0"/>
        <w:shd w:val="clear" w:color="auto" w:fill="auto"/>
        <w:tabs>
          <w:tab w:pos="594" w:val="left"/>
        </w:tabs>
        <w:bidi w:val="0"/>
        <w:spacing w:before="0" w:after="380" w:line="467" w:lineRule="exact"/>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w:t>
      </w:r>
      <w:bookmarkEnd w:id="470"/>
      <w:r>
        <w:rPr>
          <w:color w:val="000000"/>
          <w:spacing w:val="0"/>
          <w:w w:val="100"/>
          <w:position w:val="0"/>
        </w:rPr>
        <w:t>三）</w:t>
        <w:tab/>
        <w:t>现存的内部职工股情况</w:t>
      </w:r>
      <w:bookmarkEnd w:id="468"/>
      <w:bookmarkEnd w:id="469"/>
      <w:bookmarkEnd w:id="471"/>
    </w:p>
    <w:p>
      <w:pPr>
        <w:pStyle w:val="Style29"/>
        <w:keepNext w:val="0"/>
        <w:keepLines w:val="0"/>
        <w:widowControl w:val="0"/>
        <w:shd w:val="clear" w:color="auto" w:fill="auto"/>
        <w:bidi w:val="0"/>
        <w:spacing w:before="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三</w:t>
      </w:r>
      <w:bookmarkEnd w:id="474"/>
      <w:r>
        <w:rPr>
          <w:color w:val="000000"/>
          <w:spacing w:val="0"/>
          <w:w w:val="100"/>
          <w:position w:val="0"/>
          <w:sz w:val="24"/>
          <w:szCs w:val="24"/>
        </w:rPr>
        <w:t>、股东和实际控制人情况</w:t>
      </w:r>
      <w:bookmarkEnd w:id="472"/>
      <w:bookmarkEnd w:id="473"/>
      <w:bookmarkEnd w:id="475"/>
    </w:p>
    <w:p>
      <w:pPr>
        <w:pStyle w:val="Style38"/>
        <w:keepNext/>
        <w:keepLines/>
        <w:widowControl w:val="0"/>
        <w:shd w:val="clear" w:color="auto" w:fill="auto"/>
        <w:bidi w:val="0"/>
        <w:spacing w:before="0" w:after="22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一）公司股东数量及持股情况</w:t>
      </w:r>
      <w:bookmarkEnd w:id="476"/>
      <w:bookmarkEnd w:id="477"/>
      <w:bookmarkEnd w:id="479"/>
    </w:p>
    <w:p>
      <w:pPr>
        <w:pStyle w:val="Style36"/>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21,929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16,062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 决权恢复的 优先股股东 总数（如有）</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持有有限售</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条件的股份</w:t>
            </w:r>
          </w:p>
          <w:p>
            <w:pPr>
              <w:pStyle w:val="Style22"/>
              <w:keepNext w:val="0"/>
              <w:keepLines w:val="0"/>
              <w:widowControl w:val="0"/>
              <w:shd w:val="clear" w:color="auto" w:fill="auto"/>
              <w:bidi w:val="0"/>
              <w:spacing w:before="0" w:after="100" w:line="240" w:lineRule="auto"/>
              <w:ind w:left="0" w:right="34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深圳市东方富 海创业投资企 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深圳市众创佳 业投资企业</w:t>
            </w:r>
          </w:p>
          <w:p>
            <w:pPr>
              <w:pStyle w:val="Style2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成都盈创成长 股权投资基金 合伙企业（有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深圳市远致创 业投资有限公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华泰证券股份</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杜芳苗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尹亮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熊建均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前十名股东中，陈树林先生与蒋小明先生属于一致行动人关系。</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华泰证券股份有限公司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131,100</w:t>
            </w: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杜芳苗</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73,300</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尹亮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熊健均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54,100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程燕萍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48,600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严宇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48,500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郑长勇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42,300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39,213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邓兴文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九坤投资（北京）有限公司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九坤私享</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号私募证券投资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34,900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 间是否存在关联关系或一致行动关系。</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前十名无限售流通股东中，股东严宇通过普通证券账户持有公司股份</w:t>
            </w:r>
            <w:r>
              <w:rPr>
                <w:rFonts w:ascii="Times New Roman" w:eastAsia="Times New Roman" w:hAnsi="Times New Roman" w:cs="Times New Roman"/>
                <w:color w:val="000000"/>
                <w:spacing w:val="0"/>
                <w:w w:val="100"/>
                <w:position w:val="0"/>
                <w:sz w:val="18"/>
                <w:szCs w:val="18"/>
              </w:rPr>
              <w:t>22,600</w:t>
            </w:r>
            <w:r>
              <w:rPr>
                <w:color w:val="000000"/>
                <w:spacing w:val="0"/>
                <w:w w:val="100"/>
                <w:position w:val="0"/>
                <w:sz w:val="17"/>
                <w:szCs w:val="17"/>
              </w:rPr>
              <w:t>股，通过投资 者信用证券账户持有公司股份数</w:t>
            </w:r>
            <w:r>
              <w:rPr>
                <w:rFonts w:ascii="Times New Roman" w:eastAsia="Times New Roman" w:hAnsi="Times New Roman" w:cs="Times New Roman"/>
                <w:color w:val="000000"/>
                <w:spacing w:val="0"/>
                <w:w w:val="100"/>
                <w:position w:val="0"/>
                <w:sz w:val="18"/>
                <w:szCs w:val="18"/>
              </w:rPr>
              <w:t>25,900</w:t>
            </w:r>
            <w:r>
              <w:rPr>
                <w:color w:val="000000"/>
                <w:spacing w:val="0"/>
                <w:w w:val="100"/>
                <w:position w:val="0"/>
                <w:sz w:val="17"/>
                <w:szCs w:val="17"/>
              </w:rPr>
              <w:t>股，合计共持有公司</w:t>
            </w:r>
            <w:r>
              <w:rPr>
                <w:rFonts w:ascii="Times New Roman" w:eastAsia="Times New Roman" w:hAnsi="Times New Roman" w:cs="Times New Roman"/>
                <w:color w:val="000000"/>
                <w:spacing w:val="0"/>
                <w:w w:val="100"/>
                <w:position w:val="0"/>
                <w:sz w:val="18"/>
                <w:szCs w:val="18"/>
              </w:rPr>
              <w:t>48,500</w:t>
            </w:r>
            <w:r>
              <w:rPr>
                <w:color w:val="000000"/>
                <w:spacing w:val="0"/>
                <w:w w:val="100"/>
                <w:position w:val="0"/>
                <w:sz w:val="17"/>
                <w:szCs w:val="17"/>
              </w:rPr>
              <w:t>股。</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i/>
          <w:iCs/>
          <w:color w:val="000000"/>
          <w:spacing w:val="0"/>
          <w:w w:val="100"/>
          <w:position w:val="0"/>
        </w:rPr>
        <w:t>否</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二）公司控股股东情况</w:t>
      </w:r>
      <w:bookmarkEnd w:id="480"/>
      <w:bookmarkEnd w:id="481"/>
      <w:bookmarkEnd w:id="48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陈树林先生为南凌科技股份有限公司董事长、总经理。蒋小明先生担任南凌科 技股份有限公司董事</w:t>
            </w:r>
          </w:p>
        </w:tc>
      </w:tr>
    </w:tbl>
    <w:p>
      <w:pPr>
        <w:spacing w:lineRule="exact" w:line="1"/>
        <w:rPr>
          <w:sz w:val="2"/>
          <w:szCs w:val="2"/>
        </w:rPr>
      </w:pPr>
      <w:r>
        <w:br w:type="page"/>
      </w:r>
    </w:p>
    <w:tbl>
      <w:tblPr>
        <w:tblOverlap w:val="never"/>
        <w:jc w:val="center"/>
        <w:tblLayout w:type="fixed"/>
      </w:tblPr>
      <w:tblGrid>
        <w:gridCol w:w="3451"/>
        <w:gridCol w:w="6254"/>
      </w:tblGrid>
      <w:tr>
        <w:trPr>
          <w:trHeight w:val="360"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54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三）公司实际控制人及其一致行动人</w:t>
      </w:r>
      <w:bookmarkEnd w:id="484"/>
      <w:bookmarkEnd w:id="485"/>
      <w:bookmarkEnd w:id="48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实际控制人性质：境内自然人 </w:t>
      </w: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29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陈树林先生，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月至今，担任南凌信息执行董事兼总经理；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月至今，担任 青岛南凌董事长；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月至今，担任海岱柱石董事长；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月至今担任航旅信息 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月至今，担任发行人董事长、总经理。</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蒋小明先生，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月至今，担任赛博国际董事；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月至今，担任新媒体实业董 事长、总经理；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月至今，担任中远海运（香港）独立董事；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月至今，担 任联合国投资委员会委员；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月至今，担任万盈投资董事长；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月至今，担 任海岱柱石董事；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月至今，担任陛通股份董事；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月至今，担任中融锦达 执行董事；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月至今，担任航旅信息董事；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月至今，担任力合资本投资管 理有限公司董事。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月至今，担任南凌科技股份董事。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实际控制人报告期内变更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公司与实际控制人之间的产权及控制关系的方框图</w:t>
      </w:r>
      <w:r>
        <w:br w:type="page"/>
      </w:r>
    </w:p>
    <w:p>
      <w:pPr>
        <w:widowControl w:val="0"/>
        <w:jc w:val="center"/>
        <w:rPr>
          <w:sz w:val="2"/>
          <w:szCs w:val="2"/>
        </w:rPr>
      </w:pPr>
      <w:r>
        <w:drawing>
          <wp:inline>
            <wp:extent cx="3060065" cy="13652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060065" cy="1365250"/>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52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四）其他持股在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8"/>
      <w:bookmarkEnd w:id="489"/>
      <w:bookmarkEnd w:id="49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6"/>
        <w:gridCol w:w="1632"/>
        <w:gridCol w:w="213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主要经营业务或管理活动</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深圳市东方富海创业投资企业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创业投资业务</w:t>
            </w:r>
          </w:p>
        </w:tc>
      </w:tr>
    </w:tbl>
    <w:p>
      <w:pPr>
        <w:widowControl w:val="0"/>
        <w:spacing w:after="259" w:line="1" w:lineRule="exact"/>
      </w:pPr>
    </w:p>
    <w:p>
      <w:pPr>
        <w:pStyle w:val="Style38"/>
        <w:keepNext/>
        <w:keepLines/>
        <w:widowControl w:val="0"/>
        <w:shd w:val="clear" w:color="auto" w:fill="auto"/>
        <w:bidi w:val="0"/>
        <w:spacing w:before="0" w:after="52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五）控股股东、实际控制人、重组方及其他承诺主体股份限制减持情况</w:t>
      </w:r>
      <w:bookmarkEnd w:id="492"/>
      <w:bookmarkEnd w:id="493"/>
      <w:bookmarkEnd w:id="495"/>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49" w:right="1051" w:bottom="1407"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widowControl w:val="0"/>
        <w:spacing w:line="1" w:lineRule="exact"/>
      </w:pPr>
      <w:r>
        <mc:AlternateContent>
          <mc:Choice Requires="wps">
            <w:drawing>
              <wp:anchor distT="0" distB="3175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wps:txbx>
                      <wps:bodyPr wrap="none" lIns="0" tIns="0" rIns="0" bIns="0">
                        <a:noAutoFit/>
                      </wps:bodyPr>
                    </wps:wsp>
                  </a:graphicData>
                </a:graphic>
              </wp:anchor>
            </w:drawing>
          </mc:Choice>
          <mc:Fallback>
            <w:pict>
              <v:shape id="_x0000_s1039" type="#_x0000_t202" style="position:absolute;margin-left:211.95000000000002pt;margin-top:0;width:170.90000000000001pt;height:19.199999999999999pt;z-index:-125829375;mso-wrap-distance-left:0;mso-wrap-distance-right:0;mso-wrap-distance-bottom:25.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96" w:name="bookmark496"/>
                      <w:bookmarkStart w:id="497" w:name="bookmark497"/>
                      <w:bookmarkStart w:id="498" w:name="bookmark498"/>
                      <w:r>
                        <w:rPr>
                          <w:color w:val="000000"/>
                          <w:spacing w:val="0"/>
                          <w:w w:val="100"/>
                          <w:position w:val="0"/>
                        </w:rPr>
                        <w:t>第七节优先股相关情况</w:t>
                      </w:r>
                      <w:bookmarkEnd w:id="496"/>
                      <w:bookmarkEnd w:id="497"/>
                      <w:bookmarkEnd w:id="498"/>
                    </w:p>
                  </w:txbxContent>
                </v:textbox>
                <w10:wrap type="topAndBottom" anchorx="page"/>
              </v:shape>
            </w:pict>
          </mc:Fallback>
        </mc:AlternateConten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20" w:after="620" w:line="240" w:lineRule="auto"/>
        <w:ind w:left="0" w:right="0" w:firstLine="0"/>
        <w:jc w:val="center"/>
      </w:pPr>
      <w:bookmarkStart w:id="499" w:name="bookmark499"/>
      <w:bookmarkStart w:id="500" w:name="bookmark500"/>
      <w:bookmarkStart w:id="501" w:name="bookmark501"/>
      <w:r>
        <w:rPr>
          <w:color w:val="000000"/>
          <w:spacing w:val="0"/>
          <w:w w:val="100"/>
          <w:position w:val="0"/>
        </w:rPr>
        <w:t>第八节可转换公司债券相关情况</w:t>
      </w:r>
      <w:bookmarkEnd w:id="499"/>
      <w:bookmarkEnd w:id="500"/>
      <w:bookmarkEnd w:id="50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02" w:name="bookmark502"/>
      <w:bookmarkStart w:id="503" w:name="bookmark503"/>
      <w:bookmarkStart w:id="504" w:name="bookmark504"/>
      <w:r>
        <w:rPr>
          <w:color w:val="000000"/>
          <w:spacing w:val="0"/>
          <w:w w:val="100"/>
          <w:position w:val="0"/>
        </w:rPr>
        <w:t>第九节董事、监事、高级管理人员和员工情况</w:t>
      </w:r>
      <w:bookmarkEnd w:id="502"/>
      <w:bookmarkEnd w:id="503"/>
      <w:bookmarkEnd w:id="504"/>
    </w:p>
    <w:p>
      <w:pPr>
        <w:pStyle w:val="Style27"/>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、董事、监事和高级管理人员持股变动</w:t>
      </w:r>
      <w:bookmarkEnd w:id="505"/>
      <w:bookmarkEnd w:id="506"/>
      <w:bookmarkEnd w:id="508"/>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本期增持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rPr>
                <w:sz w:val="17"/>
                <w:szCs w:val="17"/>
              </w:rPr>
            </w:pPr>
            <w:r>
              <w:rPr>
                <w:color w:val="000000"/>
                <w:spacing w:val="0"/>
                <w:w w:val="100"/>
                <w:position w:val="0"/>
                <w:sz w:val="17"/>
                <w:szCs w:val="17"/>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董事长、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董事、副 总经理、 董秘、财 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王海茸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张建斌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仇志强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郭铁柱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刘学忠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59" w:line="1" w:lineRule="exact"/>
      </w:pPr>
    </w:p>
    <w:p>
      <w:pPr>
        <w:pStyle w:val="Style27"/>
        <w:keepNext/>
        <w:keepLines/>
        <w:widowControl w:val="0"/>
        <w:shd w:val="clear" w:color="auto" w:fill="auto"/>
        <w:bidi w:val="0"/>
        <w:spacing w:before="0" w:after="26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sz w:val="24"/>
          <w:szCs w:val="24"/>
        </w:rPr>
        <w:t>二</w:t>
      </w:r>
      <w:bookmarkEnd w:id="511"/>
      <w:r>
        <w:rPr>
          <w:color w:val="000000"/>
          <w:spacing w:val="0"/>
          <w:w w:val="100"/>
          <w:position w:val="0"/>
          <w:sz w:val="24"/>
          <w:szCs w:val="24"/>
        </w:rPr>
        <w:t>、公司董事、监事、高级管理人员变动情况</w:t>
      </w:r>
      <w:bookmarkEnd w:id="509"/>
      <w:bookmarkEnd w:id="510"/>
      <w:bookmarkEnd w:id="512"/>
    </w:p>
    <w:p>
      <w:pPr>
        <w:pStyle w:val="Style29"/>
        <w:keepNext w:val="0"/>
        <w:keepLines w:val="0"/>
        <w:widowControl w:val="0"/>
        <w:shd w:val="clear" w:color="auto" w:fill="auto"/>
        <w:bidi w:val="0"/>
        <w:spacing w:before="0" w:line="46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260" w:line="468" w:lineRule="exact"/>
        <w:ind w:left="0" w:right="0" w:firstLine="0"/>
        <w:jc w:val="both"/>
        <w:rPr>
          <w:sz w:val="20"/>
          <w:szCs w:val="20"/>
        </w:rPr>
      </w:pPr>
      <w:bookmarkStart w:id="513" w:name="bookmark513"/>
      <w:bookmarkStart w:id="514" w:name="bookmark514"/>
      <w:bookmarkStart w:id="515" w:name="bookmark515"/>
      <w:r>
        <w:rPr>
          <w:color w:val="000000"/>
          <w:spacing w:val="0"/>
          <w:w w:val="100"/>
          <w:position w:val="0"/>
          <w:sz w:val="20"/>
          <w:szCs w:val="20"/>
        </w:rPr>
        <w:t>三、任职情况</w:t>
      </w:r>
      <w:bookmarkEnd w:id="513"/>
      <w:bookmarkEnd w:id="514"/>
      <w:bookmarkEnd w:id="515"/>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line="468" w:lineRule="exact"/>
        <w:ind w:left="0" w:right="0" w:firstLine="440"/>
        <w:jc w:val="both"/>
      </w:pPr>
      <w:r>
        <w:rPr>
          <w:b/>
          <w:bCs/>
          <w:color w:val="000000"/>
          <w:spacing w:val="0"/>
          <w:w w:val="100"/>
          <w:position w:val="0"/>
        </w:rPr>
        <w:t>公司董事简历：</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陈树林先生，</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年出生，中国国籍，拥有澳大利亚居留权，硕士学位。</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 任大庆凌志电信实业发展有限公司总经理；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月，担任深圳市星讯通信有限公司总经 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月，担任大庆国际集装箱运输有限公司副总经理；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 任世纪南凌数码科技（深圳）有限公司董事长。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月至今，担任南凌信息执行董事兼总经理；</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月至今，担任青岛南凌董事长；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月至今，担任海岱柱石董事长；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月至今担任航旅信息 董事长。</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月，担任深圳南凌有限董事长、总经理；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 南凌有限总经理；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月至今，担任南凌科技股份的董事长、总经理。</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蒋小明先生，</w:t>
      </w:r>
      <w:r>
        <w:rPr>
          <w:rFonts w:ascii="Times New Roman" w:eastAsia="Times New Roman" w:hAnsi="Times New Roman" w:cs="Times New Roman"/>
          <w:color w:val="000000"/>
          <w:spacing w:val="0"/>
          <w:w w:val="100"/>
          <w:position w:val="0"/>
        </w:rPr>
        <w:t>1953</w:t>
      </w:r>
      <w:r>
        <w:rPr>
          <w:color w:val="000000"/>
          <w:spacing w:val="0"/>
          <w:w w:val="100"/>
          <w:position w:val="0"/>
        </w:rPr>
        <w:t>年出生，中国国籍，拥有香港永久居留权，博士学位。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 任联合国职员退休基金副总裁；</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月，担任赛博控股有限公司董事长；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月担任威新集团有限公司主席兼执行董事；</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月，担任深圳创新科技园有限公司董 事；</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月，担任中海油田服务股份有限公司独立董事；</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 中银基金管理有限公司独立董事；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月，担任绿地香港控股有限公司独立董事；</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月，担任中国石油化工股份有限公司独立董事；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月，担任诺基亚独立 </w:t>
      </w:r>
      <w:r>
        <w:rPr>
          <w:color w:val="000000"/>
          <w:spacing w:val="0"/>
          <w:w w:val="100"/>
          <w:position w:val="0"/>
        </w:rPr>
        <w:t>董事。</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月至今，担任赛博国际董事；</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月至今，担任新媒体实业董事长、总经理；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月至今，担任中远海运（香港）独立董事；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月至今，担任联合国投资委员会委员；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担任万盈投资董事长；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月至今，担任海岱柱石董事；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月至今，担任陛通股份董事；</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月至今，担任中融锦达执行董事；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月至今，担任航旅信息董事；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月至今，担任力合资 本投资管理有限公司董事。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月，担任南凌有限董事长；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 技股份董事。</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陈金标先生，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年出生，中国国籍，无境外永久居留权，本科学历，中级会计师，中国注册会计师 协会非执业会员。</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月，担任西藏林芝地区农牧局主管会计；</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担任东莞益安电子制造有限公司会计经理；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月，担任安姆科国际容器（广东）有限公 司财务主管；</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月，担任惠阳中建电讯制品有限公司助理财务经理。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 历任青岛南凌监事、董事；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月至今，担任海岱柱石董事。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月，担任南凌有限 财务负责人；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月至今，担任南凌科技股份董事、副总经理、财务负责人、董事会秘书。</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刘青女士，</w:t>
      </w:r>
      <w:r>
        <w:rPr>
          <w:rFonts w:ascii="Times New Roman" w:eastAsia="Times New Roman" w:hAnsi="Times New Roman" w:cs="Times New Roman"/>
          <w:color w:val="000000"/>
          <w:spacing w:val="0"/>
          <w:w w:val="100"/>
          <w:position w:val="0"/>
        </w:rPr>
        <w:t>1971</w:t>
      </w:r>
      <w:r>
        <w:rPr>
          <w:color w:val="000000"/>
          <w:spacing w:val="0"/>
          <w:w w:val="100"/>
          <w:position w:val="0"/>
        </w:rPr>
        <w:t>年出生，中国香港籍，硕士研究生学历。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月，担任深圳特区证券 有限公司投资银行部投资经理；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月，担任深圳市信力德电子有限公司董事；</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月，深圳赛合投资咨询有限公司副总经理；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月，担任新鸿基金融（香港） 有限公司北京代表处首席代表；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月，担任深圳市澄泓投资有限公司执行董事、总经理；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月，担任青岛城投能源股权投资管理有限公司监事。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月至今，担任深圳市 东方富海投资管理股份有限公司合伙人；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月至今，担任镇江乐泰股权投资基金管理有限公司执行 董事、总经理。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月，担任南凌有限董事；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月至今，担任南凌科技股份董事。</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王海茸女士，女，</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年出生，中国国籍，无境外永久居留权，硕士研究生学历，中国注册会计师协 会非执业会员。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月，担任中铁二十局集团六公司会计。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月至今，担任西藏民 族大学专职教师。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月至今，担任南凌科技股份独立董事。</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傅向华先生，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年出生，中国国籍，无境外永久居留权，博士学历。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月至今，历任深圳大 学计算机与软件学院讲师、副教授、教授、系主任。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月至今，担任深圳大学计算机与软件学院教 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月至今，担任深圳技术大学大数据与互联网学院教授；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月至今，担任深圳市深大云 伴健康科技有限公司董事长；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月至今，担任深圳市数创卓智科技有限公司监事。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 担任南凌科技股份独立董事。</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张建斌先生，</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年出生，中国国籍，无境外永久居留权，硕士研究生学历，律师资格。</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color w:val="000000"/>
          <w:spacing w:val="0"/>
          <w:w w:val="100"/>
          <w:position w:val="0"/>
        </w:rPr>
        <w:t>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月，担任吉林大学法学院讲师。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月至今，担任深圳大学法学院副教授。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 今，担任南凌科技股份独立董事。</w:t>
      </w:r>
    </w:p>
    <w:p>
      <w:pPr>
        <w:pStyle w:val="Style29"/>
        <w:keepNext w:val="0"/>
        <w:keepLines w:val="0"/>
        <w:widowControl w:val="0"/>
        <w:shd w:val="clear" w:color="auto" w:fill="auto"/>
        <w:bidi w:val="0"/>
        <w:spacing w:before="0" w:line="470" w:lineRule="exact"/>
        <w:ind w:left="0" w:right="0" w:firstLine="440"/>
        <w:jc w:val="both"/>
      </w:pPr>
      <w:r>
        <w:rPr>
          <w:b/>
          <w:bCs/>
          <w:color w:val="000000"/>
          <w:spacing w:val="0"/>
          <w:w w:val="100"/>
          <w:position w:val="0"/>
        </w:rPr>
        <w:t>公司监事简历：</w:t>
      </w:r>
    </w:p>
    <w:p>
      <w:pPr>
        <w:pStyle w:val="Style29"/>
        <w:keepNext w:val="0"/>
        <w:keepLines w:val="0"/>
        <w:widowControl w:val="0"/>
        <w:shd w:val="clear" w:color="auto" w:fill="auto"/>
        <w:bidi w:val="0"/>
        <w:spacing w:before="0" w:line="469" w:lineRule="exact"/>
        <w:ind w:left="0" w:right="0" w:firstLine="480"/>
        <w:jc w:val="both"/>
      </w:pPr>
      <w:r>
        <w:rPr>
          <w:color w:val="000000"/>
          <w:spacing w:val="0"/>
          <w:w w:val="100"/>
          <w:position w:val="0"/>
        </w:rPr>
        <w:t>刘辉床先生，</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 任正大康地（深圳）有限公司职员；</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月，担任正大康地（蛇口）有限公司出货部主管；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月，担任深圳市瑞华通信发展有限公司职员。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月至今，担任南凌云计算监事；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月至今，担任青岛南凌监事；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月至今，担任南凌信息监事。</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 南凌有限行政经理、行政副总监；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月至今，担任南凌科技股份监事会主席、行政副总监。</w:t>
      </w:r>
    </w:p>
    <w:p>
      <w:pPr>
        <w:pStyle w:val="Style29"/>
        <w:keepNext w:val="0"/>
        <w:keepLines w:val="0"/>
        <w:widowControl w:val="0"/>
        <w:shd w:val="clear" w:color="auto" w:fill="auto"/>
        <w:bidi w:val="0"/>
        <w:spacing w:before="0" w:line="475" w:lineRule="exact"/>
        <w:ind w:left="0" w:right="0" w:firstLine="480"/>
        <w:jc w:val="both"/>
      </w:pPr>
      <w:r>
        <w:rPr>
          <w:color w:val="000000"/>
          <w:spacing w:val="0"/>
          <w:w w:val="100"/>
          <w:position w:val="0"/>
        </w:rPr>
        <w:t>郭铁柱先生，</w:t>
      </w:r>
      <w:r>
        <w:rPr>
          <w:rFonts w:ascii="Times New Roman" w:eastAsia="Times New Roman" w:hAnsi="Times New Roman" w:cs="Times New Roman"/>
          <w:color w:val="000000"/>
          <w:spacing w:val="0"/>
          <w:w w:val="100"/>
          <w:position w:val="0"/>
        </w:rPr>
        <w:t>1987</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 南凌有限销售工程师、销售经理；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月至今，担任南凌科技股份监事、销售总监。</w:t>
      </w:r>
    </w:p>
    <w:p>
      <w:pPr>
        <w:pStyle w:val="Style29"/>
        <w:keepNext w:val="0"/>
        <w:keepLines w:val="0"/>
        <w:widowControl w:val="0"/>
        <w:shd w:val="clear" w:color="auto" w:fill="auto"/>
        <w:bidi w:val="0"/>
        <w:spacing w:before="0" w:line="475" w:lineRule="exact"/>
        <w:ind w:left="0" w:right="0" w:firstLine="480"/>
        <w:jc w:val="both"/>
      </w:pPr>
      <w:r>
        <w:rPr>
          <w:color w:val="000000"/>
          <w:spacing w:val="0"/>
          <w:w w:val="100"/>
          <w:position w:val="0"/>
        </w:rPr>
        <w:t>仇志强先生，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 任汇智万维科技有限公司技术工程师；</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月，担任南凌有限项目副总监；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担任南凌科技股份监事、项目交付副总监。</w:t>
      </w:r>
    </w:p>
    <w:p>
      <w:pPr>
        <w:pStyle w:val="Style29"/>
        <w:keepNext w:val="0"/>
        <w:keepLines w:val="0"/>
        <w:widowControl w:val="0"/>
        <w:shd w:val="clear" w:color="auto" w:fill="auto"/>
        <w:bidi w:val="0"/>
        <w:spacing w:before="0" w:line="470" w:lineRule="exact"/>
        <w:ind w:left="0" w:right="0" w:firstLine="440"/>
        <w:jc w:val="left"/>
      </w:pPr>
      <w:r>
        <w:rPr>
          <w:b/>
          <w:bCs/>
          <w:color w:val="000000"/>
          <w:spacing w:val="0"/>
          <w:w w:val="100"/>
          <w:position w:val="0"/>
        </w:rPr>
        <w:t>公司高级管理人员简历：</w:t>
      </w:r>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陈树林先生，现任本公司总经理，简历参见公司董事的简历。</w:t>
      </w:r>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陈金标先生，现任本公司副总经理、董事会秘书、财务负责人。简历参见公司董事的简历。</w:t>
      </w:r>
    </w:p>
    <w:p>
      <w:pPr>
        <w:pStyle w:val="Style29"/>
        <w:keepNext w:val="0"/>
        <w:keepLines w:val="0"/>
        <w:widowControl w:val="0"/>
        <w:shd w:val="clear" w:color="auto" w:fill="auto"/>
        <w:bidi w:val="0"/>
        <w:spacing w:before="0" w:line="468" w:lineRule="exact"/>
        <w:ind w:left="0" w:right="0" w:firstLine="480"/>
        <w:jc w:val="both"/>
      </w:pPr>
      <w:r>
        <w:rPr>
          <w:color w:val="000000"/>
          <w:spacing w:val="0"/>
          <w:w w:val="100"/>
          <w:position w:val="0"/>
        </w:rPr>
        <w:t>刘学忠先生，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年出生，中国国籍，无境外永久居留权，硕士研究生学历。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担任黑龙江省农业开发办主任科员；</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月，担任深圳浩威电池实业有限公司总经理；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月，担任深圳市星讯通信有限公司董事、总经理；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月，担任深 圳前海通航技术有限公司总经理。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月至今，历任深圳市中互联投资服务有限公司执行董事。</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月，历任南凌有限董事、副总经理；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月至今，担任南凌科技股份副总经理。</w:t>
      </w:r>
    </w:p>
    <w:p>
      <w:pPr>
        <w:pStyle w:val="Style29"/>
        <w:keepNext w:val="0"/>
        <w:keepLines w:val="0"/>
        <w:widowControl w:val="0"/>
        <w:shd w:val="clear" w:color="auto" w:fill="auto"/>
        <w:bidi w:val="0"/>
        <w:spacing w:before="0" w:line="470" w:lineRule="exact"/>
        <w:ind w:left="0" w:right="0" w:firstLine="480"/>
        <w:jc w:val="both"/>
      </w:pPr>
      <w:r>
        <w:rPr>
          <w:color w:val="000000"/>
          <w:spacing w:val="0"/>
          <w:w w:val="100"/>
          <w:position w:val="0"/>
        </w:rPr>
        <w:t>黄玉华先生，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年出生，中国国籍，无境外永久居留权，硕士研究生学历。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月，担任联想集团南方储备干部；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月，担任中盛科技产业服务（深圳）有限公司监 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月至今，担任青岛南凌董事兼总经理；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月至今，担任南凌云计算执行董事、总经理。 </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月，历任南凌有限市场部经理、东莞分公司总经理、副总经理；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 任南凌科技股份副总经理。</w:t>
      </w:r>
    </w:p>
    <w:p>
      <w:pPr>
        <w:pStyle w:val="Style29"/>
        <w:keepNext w:val="0"/>
        <w:keepLines w:val="0"/>
        <w:widowControl w:val="0"/>
        <w:shd w:val="clear" w:color="auto" w:fill="auto"/>
        <w:bidi w:val="0"/>
        <w:spacing w:before="0" w:line="471" w:lineRule="exact"/>
        <w:ind w:left="0" w:right="0" w:firstLine="580"/>
        <w:jc w:val="both"/>
      </w:pPr>
      <w:r>
        <w:rPr>
          <w:color w:val="000000"/>
          <w:spacing w:val="0"/>
          <w:w w:val="100"/>
          <w:position w:val="0"/>
        </w:rPr>
        <w:t>侯刚先生，</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年出生，中国国籍，无境外永久居留权，本科学历。</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月，担任航 天工业部二院十七所工程师；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w:t>
      </w:r>
      <w:r>
        <w:rPr>
          <w:rFonts w:ascii="Times New Roman" w:eastAsia="Times New Roman" w:hAnsi="Times New Roman" w:cs="Times New Roman"/>
          <w:color w:val="000000"/>
          <w:spacing w:val="0"/>
          <w:w w:val="100"/>
          <w:position w:val="0"/>
        </w:rPr>
        <w:t>IBM</w:t>
      </w:r>
      <w:r>
        <w:rPr>
          <w:color w:val="000000"/>
          <w:spacing w:val="0"/>
          <w:w w:val="100"/>
          <w:position w:val="0"/>
        </w:rPr>
        <w:t>中国有限公司、</w:t>
      </w:r>
      <w:r>
        <w:rPr>
          <w:rFonts w:ascii="Times New Roman" w:eastAsia="Times New Roman" w:hAnsi="Times New Roman" w:cs="Times New Roman"/>
          <w:color w:val="000000"/>
          <w:spacing w:val="0"/>
          <w:w w:val="100"/>
          <w:position w:val="0"/>
        </w:rPr>
        <w:t>AT&amp;T</w:t>
      </w:r>
      <w:r>
        <w:rPr>
          <w:color w:val="000000"/>
          <w:spacing w:val="0"/>
          <w:w w:val="100"/>
          <w:position w:val="0"/>
        </w:rPr>
        <w:t>中国有限公司解决 方案部经理；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月，担任中企网络通信技术有限公司技术总监；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月，担任深圳市千笑云电子股份有限公司监事；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月，担任深圳前海通航技术有限公司 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月至今，担任航旅信息董事；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月至今，担任青岛南凌董事；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 浙江凌聚董事长、总经理。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月，担任南凌有限高级副总裁；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月至今，担任南 凌科技股份副总经理。</w:t>
      </w:r>
    </w:p>
    <w:p>
      <w:pPr>
        <w:pStyle w:val="Style29"/>
        <w:keepNext w:val="0"/>
        <w:keepLines w:val="0"/>
        <w:widowControl w:val="0"/>
        <w:shd w:val="clear" w:color="auto" w:fill="auto"/>
        <w:bidi w:val="0"/>
        <w:spacing w:before="0" w:line="471" w:lineRule="exact"/>
        <w:ind w:left="0" w:right="0" w:firstLine="0"/>
        <w:jc w:val="left"/>
      </w:pPr>
      <w:r>
        <w:rPr>
          <w:b/>
          <w:bCs/>
          <w:color w:val="000000"/>
          <w:spacing w:val="0"/>
          <w:w w:val="100"/>
          <w:position w:val="0"/>
        </w:rPr>
        <w:t>在股东单位任职情况</w:t>
      </w:r>
    </w:p>
    <w:p>
      <w:pPr>
        <w:pStyle w:val="Style29"/>
        <w:keepNext w:val="0"/>
        <w:keepLines w:val="0"/>
        <w:widowControl w:val="0"/>
        <w:shd w:val="clear" w:color="auto" w:fill="auto"/>
        <w:bidi w:val="0"/>
        <w:spacing w:before="0" w:line="47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471" w:lineRule="exact"/>
        <w:ind w:left="0" w:right="0" w:firstLine="0"/>
        <w:jc w:val="left"/>
      </w:pPr>
      <w:r>
        <w:rPr>
          <w:b/>
          <w:bCs/>
          <w:color w:val="000000"/>
          <w:spacing w:val="0"/>
          <w:w w:val="100"/>
          <w:position w:val="0"/>
        </w:rPr>
        <w:t>在其他单位任职情况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25"/>
        <w:gridCol w:w="2928"/>
        <w:gridCol w:w="1704"/>
        <w:gridCol w:w="1555"/>
        <w:gridCol w:w="1277"/>
        <w:gridCol w:w="1003"/>
      </w:tblGrid>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在其他单位担任的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 位是否领 取报酬津 贴</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深圳市海岱柱石科技发展有限公司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北京环球航旅信息科技有限公司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深圳市南凌产业投资有限公司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Cyber City International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深圳市新媒体实业有限公司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中远海运国际（香港）有限公司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联合国投资委员会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万盈（天津）股权投资基金管理有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深圳市海岱柱石科技发展有限公司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上海陛通半导体能源科技股份有限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北京中融锦达投资咨询有限公司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北京环球航旅信息科技有限公司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力合资本投资管理有限公司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深圳市海岱柱石科技发展有限公司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深圳东方富海投资管理股份有限公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325"/>
        <w:gridCol w:w="2928"/>
        <w:gridCol w:w="1704"/>
        <w:gridCol w:w="1555"/>
        <w:gridCol w:w="1277"/>
        <w:gridCol w:w="1003"/>
      </w:tblGrid>
      <w:tr>
        <w:trPr>
          <w:trHeight w:val="66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刘青</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镇江乐泰股权投资基金管理有限公 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总经理、执行董事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王海茸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西藏民族大学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专职教师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深圳大学计算机与软件学院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深圳技术大学大数据与互联网学院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深圳市深大云伴健康科技有限公司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深圳市壹箭教育科技有限公司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张建斌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深圳大学法学院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深圳市南凌云计算有限公司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深圳市众创佳业投资企业（有限合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刘学忠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深圳市中互联投资服务有限公司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深圳市南凌云计算有限公司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董事兼总经理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北京环球航旅信息科技有限公司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浙江凌聚云计算有限公司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after="87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rPr>
          <w:sz w:val="20"/>
          <w:szCs w:val="20"/>
        </w:rPr>
      </w:pPr>
      <w:bookmarkStart w:id="516" w:name="bookmark516"/>
      <w:bookmarkStart w:id="517" w:name="bookmark517"/>
      <w:bookmarkStart w:id="518" w:name="bookmark518"/>
      <w:bookmarkStart w:id="519" w:name="bookmark519"/>
      <w:r>
        <w:rPr>
          <w:color w:val="000000"/>
          <w:spacing w:val="0"/>
          <w:w w:val="100"/>
          <w:position w:val="0"/>
          <w:sz w:val="20"/>
          <w:szCs w:val="20"/>
        </w:rPr>
        <w:t>四</w:t>
      </w:r>
      <w:bookmarkEnd w:id="518"/>
      <w:r>
        <w:rPr>
          <w:color w:val="000000"/>
          <w:spacing w:val="0"/>
          <w:w w:val="100"/>
          <w:position w:val="0"/>
          <w:sz w:val="20"/>
          <w:szCs w:val="20"/>
        </w:rPr>
        <w:t>、董事、监事、高级管理人员报酬情况</w:t>
      </w:r>
      <w:bookmarkEnd w:id="516"/>
      <w:bookmarkEnd w:id="517"/>
      <w:bookmarkEnd w:id="519"/>
    </w:p>
    <w:p>
      <w:pPr>
        <w:pStyle w:val="Style27"/>
        <w:keepNext/>
        <w:keepLines/>
        <w:widowControl w:val="0"/>
        <w:shd w:val="clear" w:color="auto" w:fill="auto"/>
        <w:bidi w:val="0"/>
        <w:spacing w:before="0" w:after="380" w:line="240" w:lineRule="auto"/>
        <w:ind w:left="0" w:right="0" w:firstLine="0"/>
        <w:jc w:val="left"/>
        <w:rPr>
          <w:sz w:val="20"/>
          <w:szCs w:val="20"/>
        </w:rPr>
      </w:pPr>
      <w:bookmarkStart w:id="516" w:name="bookmark516"/>
      <w:bookmarkStart w:id="517" w:name="bookmark517"/>
      <w:r>
        <w:rPr>
          <w:color w:val="000000"/>
          <w:spacing w:val="0"/>
          <w:w w:val="100"/>
          <w:position w:val="0"/>
          <w:sz w:val="20"/>
          <w:szCs w:val="20"/>
        </w:rPr>
        <w:t>董事、监事、高级管理人员报酬的决策程序、确定依据、实际支付情况</w:t>
      </w:r>
      <w:bookmarkEnd w:id="516"/>
      <w:bookmarkEnd w:id="517"/>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在公司领取报酬的董事、监事、高级管理人员，参照市场和行业标准，结合公司薪酬制度获得年度薪酬。</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年度支付董监高薪酬计人民币合计</w:t>
      </w:r>
      <w:r>
        <w:rPr>
          <w:rFonts w:ascii="Times New Roman" w:eastAsia="Times New Roman" w:hAnsi="Times New Roman" w:cs="Times New Roman"/>
          <w:color w:val="000000"/>
          <w:spacing w:val="0"/>
          <w:w w:val="100"/>
          <w:position w:val="0"/>
        </w:rPr>
        <w:t>563.4</w:t>
      </w:r>
      <w:r>
        <w:rPr>
          <w:color w:val="000000"/>
          <w:spacing w:val="0"/>
          <w:w w:val="100"/>
          <w:position w:val="0"/>
        </w:rPr>
        <w:t>万元</w:t>
      </w:r>
    </w:p>
    <w:p>
      <w:pPr>
        <w:pStyle w:val="Style2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公司报告期内董事、监事和高级管理人员报酬情况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陈树林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陈金标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董事、副总经理、 财务负责人、董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王海茸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张建斌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刘辉床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郭铁柱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仇志强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刘学忠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黄玉华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9"/>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520" w:line="240" w:lineRule="auto"/>
        <w:ind w:left="0" w:right="0" w:firstLine="0"/>
        <w:jc w:val="left"/>
      </w:pPr>
      <w:bookmarkStart w:id="520" w:name="bookmark520"/>
      <w:bookmarkStart w:id="521" w:name="bookmark521"/>
      <w:bookmarkStart w:id="522" w:name="bookmark522"/>
      <w:r>
        <w:rPr>
          <w:color w:val="000000"/>
          <w:spacing w:val="0"/>
          <w:w w:val="100"/>
          <w:position w:val="0"/>
          <w:sz w:val="24"/>
          <w:szCs w:val="24"/>
        </w:rPr>
        <w:t>五、公司员工情况</w:t>
      </w:r>
      <w:bookmarkEnd w:id="520"/>
      <w:bookmarkEnd w:id="521"/>
      <w:bookmarkEnd w:id="522"/>
    </w:p>
    <w:p>
      <w:pPr>
        <w:pStyle w:val="Style38"/>
        <w:keepNext/>
        <w:keepLines/>
        <w:widowControl w:val="0"/>
        <w:shd w:val="clear" w:color="auto" w:fill="auto"/>
        <w:bidi w:val="0"/>
        <w:spacing w:before="0" w:after="400" w:line="240" w:lineRule="auto"/>
        <w:ind w:left="0" w:right="0" w:firstLine="0"/>
        <w:jc w:val="left"/>
      </w:pPr>
      <w:bookmarkStart w:id="523" w:name="bookmark523"/>
      <w:bookmarkStart w:id="524" w:name="bookmark524"/>
      <w:bookmarkStart w:id="525" w:name="bookmark525"/>
      <w:r>
        <w:rPr>
          <w:color w:val="000000"/>
          <w:spacing w:val="0"/>
          <w:w w:val="100"/>
          <w:position w:val="0"/>
        </w:rPr>
        <w:t>（一）员工数量、专业构成及教育程度</w:t>
      </w:r>
      <w:bookmarkEnd w:id="523"/>
      <w:bookmarkEnd w:id="524"/>
      <w:bookmarkEnd w:id="52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r>
    </w:tbl>
    <w:p>
      <w:pPr>
        <w:pStyle w:val="Style44"/>
        <w:keepNext w:val="0"/>
        <w:keepLines w:val="0"/>
        <w:widowControl w:val="0"/>
        <w:shd w:val="clear" w:color="auto" w:fill="auto"/>
        <w:bidi w:val="0"/>
        <w:spacing w:before="0" w:after="0" w:line="240" w:lineRule="auto"/>
        <w:ind w:left="101" w:right="0" w:firstLine="0"/>
        <w:jc w:val="left"/>
        <w:rPr>
          <w:sz w:val="20"/>
          <w:szCs w:val="20"/>
        </w:rPr>
      </w:pPr>
      <w:bookmarkStart w:id="526" w:name="bookmark526"/>
      <w:r>
        <w:rPr>
          <w:b/>
          <w:bCs/>
          <w:color w:val="000000"/>
          <w:spacing w:val="0"/>
          <w:w w:val="100"/>
          <w:position w:val="0"/>
          <w:sz w:val="20"/>
          <w:szCs w:val="20"/>
        </w:rPr>
        <w:t>（二）薪酬政策</w:t>
      </w:r>
      <w:bookmarkEnd w:id="526"/>
    </w:p>
    <w:p>
      <w:pPr>
        <w:widowControl w:val="0"/>
        <w:spacing w:after="279" w:line="1" w:lineRule="exact"/>
      </w:pPr>
    </w:p>
    <w:p>
      <w:pPr>
        <w:pStyle w:val="Style29"/>
        <w:keepNext w:val="0"/>
        <w:keepLines w:val="0"/>
        <w:widowControl w:val="0"/>
        <w:shd w:val="clear" w:color="auto" w:fill="auto"/>
        <w:bidi w:val="0"/>
        <w:spacing w:before="0" w:after="160" w:line="473"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年，公司继续秉承</w:t>
      </w:r>
      <w:r>
        <w:rPr>
          <w:rFonts w:ascii="Times New Roman" w:eastAsia="Times New Roman" w:hAnsi="Times New Roman" w:cs="Times New Roman"/>
          <w:color w:val="000000"/>
          <w:spacing w:val="0"/>
          <w:w w:val="100"/>
          <w:position w:val="0"/>
        </w:rPr>
        <w:t>“</w:t>
      </w:r>
      <w:r>
        <w:rPr>
          <w:color w:val="000000"/>
          <w:spacing w:val="0"/>
          <w:w w:val="100"/>
          <w:position w:val="0"/>
        </w:rPr>
        <w:t>公平、竞争、激励、经济、合法''原则，不断完善兼顾激励性和公平性的薪酬 绩效管理体系。公司将员工薪酬与个人绩效、公司经济效益紧密关联，实行岗位价值、绩效贡献、个人表 现与实际收入直接挂钩的结构工资制，各类岗位实际情况有不同组合，以达到激励最大化。</w:t>
      </w:r>
    </w:p>
    <w:p>
      <w:pPr>
        <w:pStyle w:val="Style29"/>
        <w:keepNext w:val="0"/>
        <w:keepLines w:val="0"/>
        <w:widowControl w:val="0"/>
        <w:shd w:val="clear" w:color="auto" w:fill="auto"/>
        <w:bidi w:val="0"/>
        <w:spacing w:before="0" w:after="160" w:line="468" w:lineRule="exact"/>
        <w:ind w:left="0" w:right="0" w:firstLine="380"/>
        <w:jc w:val="both"/>
      </w:pPr>
      <w:r>
        <w:rPr>
          <w:color w:val="000000"/>
          <w:spacing w:val="0"/>
          <w:w w:val="100"/>
          <w:position w:val="0"/>
        </w:rPr>
        <w:t>为了更好的激励销售人员拓展新客户、推广新产品，提升新业绩，公司完善了销售岗薪酬制度，将公 司业绩与员工利益紧密联系在一起。对于绩效优异的员工基于公司的管理制度、业务发展需要及整体的经 营成果，给予合理的工资增长、奖金或职位提升等激励。</w:t>
      </w:r>
    </w:p>
    <w:p>
      <w:pPr>
        <w:pStyle w:val="Style29"/>
        <w:keepNext w:val="0"/>
        <w:keepLines w:val="0"/>
        <w:widowControl w:val="0"/>
        <w:shd w:val="clear" w:color="auto" w:fill="auto"/>
        <w:bidi w:val="0"/>
        <w:spacing w:before="0" w:after="160" w:line="456" w:lineRule="exact"/>
        <w:ind w:left="0" w:right="0" w:firstLine="380"/>
        <w:jc w:val="both"/>
      </w:pPr>
      <w:r>
        <w:rPr>
          <w:color w:val="000000"/>
          <w:spacing w:val="0"/>
          <w:w w:val="100"/>
          <w:position w:val="0"/>
        </w:rPr>
        <w:t>在保持薪酬激励制度稳定性的基础上，根据公司经营发展情况、人才市场供需状况、当地政府的相关 工资政策规定，定期对公司薪酬激励制度进行优化调整，以提高市场竞争力。</w:t>
      </w:r>
    </w:p>
    <w:p>
      <w:pPr>
        <w:pStyle w:val="Style29"/>
        <w:keepNext w:val="0"/>
        <w:keepLines w:val="0"/>
        <w:widowControl w:val="0"/>
        <w:shd w:val="clear" w:color="auto" w:fill="auto"/>
        <w:bidi w:val="0"/>
        <w:spacing w:before="0" w:after="0" w:line="472" w:lineRule="exact"/>
        <w:ind w:left="0" w:right="0" w:firstLine="380"/>
        <w:jc w:val="both"/>
      </w:pPr>
      <w:r>
        <w:rPr>
          <w:color w:val="000000"/>
          <w:spacing w:val="0"/>
          <w:w w:val="100"/>
          <w:position w:val="0"/>
        </w:rPr>
        <w:t>报告期内，公司职工薪酬总额为</w:t>
      </w:r>
      <w:r>
        <w:rPr>
          <w:rFonts w:ascii="Times New Roman" w:eastAsia="Times New Roman" w:hAnsi="Times New Roman" w:cs="Times New Roman"/>
          <w:color w:val="000000"/>
          <w:spacing w:val="0"/>
          <w:w w:val="100"/>
          <w:position w:val="0"/>
        </w:rPr>
        <w:t>76,458,951.41</w:t>
      </w:r>
      <w:r>
        <w:rPr>
          <w:color w:val="000000"/>
          <w:spacing w:val="0"/>
          <w:w w:val="100"/>
          <w:position w:val="0"/>
        </w:rPr>
        <w:t>元，营业成本为</w:t>
      </w:r>
      <w:r>
        <w:rPr>
          <w:rFonts w:ascii="Times New Roman" w:eastAsia="Times New Roman" w:hAnsi="Times New Roman" w:cs="Times New Roman"/>
          <w:color w:val="000000"/>
          <w:spacing w:val="0"/>
          <w:w w:val="100"/>
          <w:position w:val="0"/>
        </w:rPr>
        <w:t>308,488,420.30</w:t>
      </w:r>
      <w:r>
        <w:rPr>
          <w:color w:val="000000"/>
          <w:spacing w:val="0"/>
          <w:w w:val="100"/>
          <w:position w:val="0"/>
        </w:rPr>
        <w:t>元，占公司营业成本的比 重为</w:t>
      </w:r>
      <w:r>
        <w:rPr>
          <w:rFonts w:ascii="Times New Roman" w:eastAsia="Times New Roman" w:hAnsi="Times New Roman" w:cs="Times New Roman"/>
          <w:color w:val="000000"/>
          <w:spacing w:val="0"/>
          <w:w w:val="100"/>
          <w:position w:val="0"/>
        </w:rPr>
        <w:t>24.78%</w:t>
      </w:r>
      <w:r>
        <w:rPr>
          <w:color w:val="000000"/>
          <w:spacing w:val="0"/>
          <w:w w:val="100"/>
          <w:position w:val="0"/>
        </w:rPr>
        <w:t>,上年同期，公司职工薪酬总额为</w:t>
      </w:r>
      <w:r>
        <w:rPr>
          <w:rFonts w:ascii="Times New Roman" w:eastAsia="Times New Roman" w:hAnsi="Times New Roman" w:cs="Times New Roman"/>
          <w:color w:val="000000"/>
          <w:spacing w:val="0"/>
          <w:w w:val="100"/>
          <w:position w:val="0"/>
        </w:rPr>
        <w:t>73,179,774.85</w:t>
      </w:r>
      <w:r>
        <w:rPr>
          <w:color w:val="000000"/>
          <w:spacing w:val="0"/>
          <w:w w:val="100"/>
          <w:position w:val="0"/>
        </w:rPr>
        <w:t>元，营业成本为</w:t>
      </w:r>
      <w:r>
        <w:rPr>
          <w:rFonts w:ascii="Times New Roman" w:eastAsia="Times New Roman" w:hAnsi="Times New Roman" w:cs="Times New Roman"/>
          <w:color w:val="000000"/>
          <w:spacing w:val="0"/>
          <w:w w:val="100"/>
          <w:position w:val="0"/>
        </w:rPr>
        <w:t>317,094,579.27</w:t>
      </w:r>
      <w:r>
        <w:rPr>
          <w:color w:val="000000"/>
          <w:spacing w:val="0"/>
          <w:w w:val="100"/>
          <w:position w:val="0"/>
        </w:rPr>
        <w:t>元，占公司营业 总成本的比重为</w:t>
      </w:r>
      <w:r>
        <w:rPr>
          <w:rFonts w:ascii="Times New Roman" w:eastAsia="Times New Roman" w:hAnsi="Times New Roman" w:cs="Times New Roman"/>
          <w:color w:val="000000"/>
          <w:spacing w:val="0"/>
          <w:w w:val="100"/>
          <w:position w:val="0"/>
        </w:rPr>
        <w:t>23.08%</w:t>
      </w:r>
      <w:r>
        <w:rPr>
          <w:color w:val="000000"/>
          <w:spacing w:val="0"/>
          <w:w w:val="100"/>
          <w:position w:val="0"/>
        </w:rPr>
        <w:t>；公司利润对职工薪酬总额变化敏感度较低，职工薪酬对公司财务状况和经营成果 不构成重大影响。</w:t>
      </w:r>
    </w:p>
    <w:p>
      <w:pPr>
        <w:pStyle w:val="Style29"/>
        <w:keepNext w:val="0"/>
        <w:keepLines w:val="0"/>
        <w:widowControl w:val="0"/>
        <w:shd w:val="clear" w:color="auto" w:fill="auto"/>
        <w:bidi w:val="0"/>
        <w:spacing w:before="0" w:after="160" w:line="472" w:lineRule="exact"/>
        <w:ind w:left="0" w:right="0" w:firstLine="380"/>
        <w:jc w:val="both"/>
      </w:pPr>
      <w:r>
        <w:rPr>
          <w:color w:val="000000"/>
          <w:spacing w:val="0"/>
          <w:w w:val="100"/>
          <w:position w:val="0"/>
        </w:rPr>
        <w:t>报告期内，公司核心技术人员数量为</w:t>
      </w:r>
      <w:r>
        <w:rPr>
          <w:rFonts w:ascii="Times New Roman" w:eastAsia="Times New Roman" w:hAnsi="Times New Roman" w:cs="Times New Roman"/>
          <w:color w:val="000000"/>
          <w:spacing w:val="0"/>
          <w:w w:val="100"/>
          <w:position w:val="0"/>
        </w:rPr>
        <w:t>4</w:t>
      </w:r>
      <w:r>
        <w:rPr>
          <w:color w:val="000000"/>
          <w:spacing w:val="0"/>
          <w:w w:val="100"/>
          <w:position w:val="0"/>
        </w:rPr>
        <w:t>人，公司人数</w:t>
      </w:r>
      <w:r>
        <w:rPr>
          <w:rFonts w:ascii="Times New Roman" w:eastAsia="Times New Roman" w:hAnsi="Times New Roman" w:cs="Times New Roman"/>
          <w:color w:val="000000"/>
          <w:spacing w:val="0"/>
          <w:w w:val="100"/>
          <w:position w:val="0"/>
        </w:rPr>
        <w:t>341</w:t>
      </w:r>
      <w:r>
        <w:rPr>
          <w:color w:val="000000"/>
          <w:spacing w:val="0"/>
          <w:w w:val="100"/>
          <w:position w:val="0"/>
        </w:rPr>
        <w:t>人，占比为</w:t>
      </w:r>
      <w:r>
        <w:rPr>
          <w:rFonts w:ascii="Times New Roman" w:eastAsia="Times New Roman" w:hAnsi="Times New Roman" w:cs="Times New Roman"/>
          <w:color w:val="000000"/>
          <w:spacing w:val="0"/>
          <w:w w:val="100"/>
          <w:position w:val="0"/>
        </w:rPr>
        <w:t>1.17%</w:t>
      </w:r>
      <w:r>
        <w:rPr>
          <w:color w:val="000000"/>
          <w:spacing w:val="0"/>
          <w:w w:val="100"/>
          <w:position w:val="0"/>
        </w:rPr>
        <w:t>，去年同期核心技术人员数 量为</w:t>
      </w:r>
      <w:r>
        <w:rPr>
          <w:rFonts w:ascii="Times New Roman" w:eastAsia="Times New Roman" w:hAnsi="Times New Roman" w:cs="Times New Roman"/>
          <w:color w:val="000000"/>
          <w:spacing w:val="0"/>
          <w:w w:val="100"/>
          <w:position w:val="0"/>
        </w:rPr>
        <w:t>4</w:t>
      </w:r>
      <w:r>
        <w:rPr>
          <w:color w:val="000000"/>
          <w:spacing w:val="0"/>
          <w:w w:val="100"/>
          <w:position w:val="0"/>
        </w:rPr>
        <w:t>人，公司人数</w:t>
      </w:r>
      <w:r>
        <w:rPr>
          <w:rFonts w:ascii="Times New Roman" w:eastAsia="Times New Roman" w:hAnsi="Times New Roman" w:cs="Times New Roman"/>
          <w:color w:val="000000"/>
          <w:spacing w:val="0"/>
          <w:w w:val="100"/>
          <w:position w:val="0"/>
        </w:rPr>
        <w:t>344</w:t>
      </w:r>
      <w:r>
        <w:rPr>
          <w:color w:val="000000"/>
          <w:spacing w:val="0"/>
          <w:w w:val="100"/>
          <w:position w:val="0"/>
        </w:rPr>
        <w:t>人占比为</w:t>
      </w:r>
      <w:r>
        <w:rPr>
          <w:rFonts w:ascii="Times New Roman" w:eastAsia="Times New Roman" w:hAnsi="Times New Roman" w:cs="Times New Roman"/>
          <w:color w:val="000000"/>
          <w:spacing w:val="0"/>
          <w:w w:val="100"/>
          <w:position w:val="0"/>
        </w:rPr>
        <w:t>1.16%</w:t>
      </w:r>
      <w:r>
        <w:rPr>
          <w:color w:val="000000"/>
          <w:spacing w:val="0"/>
          <w:w w:val="100"/>
          <w:position w:val="0"/>
        </w:rPr>
        <w:t>,增加比例为</w:t>
      </w:r>
      <w:r>
        <w:rPr>
          <w:rFonts w:ascii="Times New Roman" w:eastAsia="Times New Roman" w:hAnsi="Times New Roman" w:cs="Times New Roman"/>
          <w:color w:val="000000"/>
          <w:spacing w:val="0"/>
          <w:w w:val="100"/>
          <w:position w:val="0"/>
        </w:rPr>
        <w:t>0.01%</w:t>
      </w:r>
      <w:r>
        <w:rPr>
          <w:color w:val="000000"/>
          <w:spacing w:val="0"/>
          <w:w w:val="100"/>
          <w:position w:val="0"/>
        </w:rPr>
        <w:t>。</w:t>
      </w:r>
    </w:p>
    <w:p>
      <w:pPr>
        <w:pStyle w:val="Style29"/>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公司需遵守《深圳证券交易所行业信息披露指引第</w:t>
      </w:r>
      <w:r>
        <w:rPr>
          <w:color w:val="000000"/>
          <w:spacing w:val="0"/>
          <w:w w:val="100"/>
          <w:position w:val="0"/>
          <w:sz w:val="20"/>
          <w:szCs w:val="20"/>
        </w:rPr>
        <w:t>12</w:t>
      </w:r>
      <w:r>
        <w:rPr>
          <w:color w:val="000000"/>
          <w:spacing w:val="0"/>
          <w:w w:val="100"/>
          <w:position w:val="0"/>
        </w:rPr>
        <w:t>号一一上市公司从事软件与信息技术服务业务》 的披露要求。</w:t>
      </w:r>
    </w:p>
    <w:p>
      <w:pPr>
        <w:pStyle w:val="Style38"/>
        <w:keepNext/>
        <w:keepLines/>
        <w:widowControl w:val="0"/>
        <w:shd w:val="clear" w:color="auto" w:fill="auto"/>
        <w:bidi w:val="0"/>
        <w:spacing w:before="0" w:after="280" w:line="471" w:lineRule="exact"/>
        <w:ind w:left="0" w:right="0" w:firstLine="0"/>
        <w:jc w:val="both"/>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三）培训计划</w:t>
      </w:r>
      <w:bookmarkEnd w:id="527"/>
      <w:bookmarkEnd w:id="528"/>
      <w:bookmarkEnd w:id="530"/>
    </w:p>
    <w:p>
      <w:pPr>
        <w:pStyle w:val="Style29"/>
        <w:keepNext w:val="0"/>
        <w:keepLines w:val="0"/>
        <w:widowControl w:val="0"/>
        <w:shd w:val="clear" w:color="auto" w:fill="auto"/>
        <w:bidi w:val="0"/>
        <w:spacing w:before="0" w:after="160" w:line="466" w:lineRule="exact"/>
        <w:ind w:left="0" w:right="0" w:firstLine="380"/>
        <w:jc w:val="both"/>
      </w:pPr>
      <w:r>
        <w:rPr>
          <w:color w:val="000000"/>
          <w:spacing w:val="0"/>
          <w:w w:val="100"/>
          <w:position w:val="0"/>
        </w:rPr>
        <w:t>为支撑公司战略目标和业务发展需求、提升员工整体素质水平，公司致力于搭建培训管理体系，并在 实践中不断完善和修正，构建学习型组织，以提升员工可持续就业能力。</w:t>
      </w:r>
    </w:p>
    <w:p>
      <w:pPr>
        <w:pStyle w:val="Style29"/>
        <w:keepNext w:val="0"/>
        <w:keepLines w:val="0"/>
        <w:widowControl w:val="0"/>
        <w:shd w:val="clear" w:color="auto" w:fill="auto"/>
        <w:bidi w:val="0"/>
        <w:spacing w:before="0" w:after="160" w:line="466" w:lineRule="exact"/>
        <w:ind w:left="0" w:right="0"/>
        <w:jc w:val="both"/>
      </w:pPr>
      <w:r>
        <w:rPr>
          <w:color w:val="000000"/>
          <w:spacing w:val="0"/>
          <w:w w:val="100"/>
          <w:position w:val="0"/>
        </w:rPr>
        <w:t>针对新员工，公司开设了多元化的培训课程，包括但不限于公司文化制度、产品知识、业务流程、专 业技能等相关内容，帮助新员工快速了解公司文化和产品、融入团队、适应工作。</w:t>
      </w:r>
    </w:p>
    <w:p>
      <w:pPr>
        <w:pStyle w:val="Style29"/>
        <w:keepNext w:val="0"/>
        <w:keepLines w:val="0"/>
        <w:widowControl w:val="0"/>
        <w:shd w:val="clear" w:color="auto" w:fill="auto"/>
        <w:bidi w:val="0"/>
        <w:spacing w:before="0" w:after="160" w:line="468" w:lineRule="exact"/>
        <w:ind w:left="0" w:right="0"/>
        <w:jc w:val="both"/>
      </w:pPr>
      <w:r>
        <w:rPr>
          <w:color w:val="000000"/>
          <w:spacing w:val="0"/>
          <w:w w:val="100"/>
          <w:position w:val="0"/>
        </w:rPr>
        <w:t>针对在职员工，公司致力于员工可持续发展，通过完善课程体系，打造专业内部讲师团队、外聘讲师 集中授课、外派培训考取相关专业证书、鼓励员工在职学习提升学历等方式，不断提升员工职业素养和专 业技能，激发员工岗位创新力。</w:t>
      </w:r>
    </w:p>
    <w:p>
      <w:pPr>
        <w:pStyle w:val="Style29"/>
        <w:keepNext w:val="0"/>
        <w:keepLines w:val="0"/>
        <w:widowControl w:val="0"/>
        <w:shd w:val="clear" w:color="auto" w:fill="auto"/>
        <w:bidi w:val="0"/>
        <w:spacing w:before="0" w:after="160" w:line="461" w:lineRule="exact"/>
        <w:ind w:left="0" w:right="0"/>
        <w:jc w:val="both"/>
      </w:pPr>
      <w:r>
        <w:rPr>
          <w:color w:val="000000"/>
          <w:spacing w:val="0"/>
          <w:w w:val="100"/>
          <w:position w:val="0"/>
        </w:rPr>
        <w:t>同时，公司非常重视人才梯队建设，每年校园招聘优秀应届毕业生进行培养，通过入职培训、岗位实 习、导师带训、考评竞岗等方式，为公司发展储备未来人才。</w:t>
      </w:r>
    </w:p>
    <w:p>
      <w:pPr>
        <w:pStyle w:val="Style38"/>
        <w:keepNext/>
        <w:keepLines/>
        <w:widowControl w:val="0"/>
        <w:shd w:val="clear" w:color="auto" w:fill="auto"/>
        <w:bidi w:val="0"/>
        <w:spacing w:before="0" w:after="520" w:line="467"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四）劳务外包情况</w:t>
      </w:r>
      <w:bookmarkEnd w:id="531"/>
      <w:bookmarkEnd w:id="532"/>
      <w:bookmarkEnd w:id="534"/>
    </w:p>
    <w:p>
      <w:pPr>
        <w:pStyle w:val="Style29"/>
        <w:keepNext w:val="0"/>
        <w:keepLines w:val="0"/>
        <w:widowControl w:val="0"/>
        <w:shd w:val="clear" w:color="auto" w:fill="auto"/>
        <w:bidi w:val="0"/>
        <w:spacing w:before="0" w:after="160" w:line="542" w:lineRule="auto"/>
        <w:ind w:left="0" w:right="0" w:firstLine="0"/>
        <w:jc w:val="left"/>
        <w:sectPr>
          <w:footnotePr>
            <w:pos w:val="pageBottom"/>
            <w:numFmt w:val="decimal"/>
            <w:numRestart w:val="continuous"/>
          </w:footnotePr>
          <w:pgSz w:w="11900" w:h="16840"/>
          <w:pgMar w:top="1316" w:right="1020" w:bottom="1585" w:left="10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4"/>
        <w:keepNext/>
        <w:keepLines/>
        <w:widowControl w:val="0"/>
        <w:shd w:val="clear" w:color="auto" w:fill="auto"/>
        <w:bidi w:val="0"/>
        <w:spacing w:before="600" w:after="620" w:line="240" w:lineRule="auto"/>
        <w:ind w:left="0" w:right="0" w:firstLine="0"/>
        <w:jc w:val="center"/>
      </w:pPr>
      <w:bookmarkStart w:id="535" w:name="bookmark535"/>
      <w:bookmarkStart w:id="536" w:name="bookmark536"/>
      <w:bookmarkStart w:id="537" w:name="bookmark537"/>
      <w:r>
        <w:rPr>
          <w:color w:val="000000"/>
          <w:spacing w:val="0"/>
          <w:w w:val="100"/>
          <w:position w:val="0"/>
        </w:rPr>
        <w:t>第十节公司治理</w:t>
      </w:r>
      <w:bookmarkEnd w:id="535"/>
      <w:bookmarkEnd w:id="536"/>
      <w:bookmarkEnd w:id="537"/>
    </w:p>
    <w:p>
      <w:pPr>
        <w:pStyle w:val="Style27"/>
        <w:keepNext/>
        <w:keepLines/>
        <w:widowControl w:val="0"/>
        <w:shd w:val="clear" w:color="auto" w:fill="auto"/>
        <w:bidi w:val="0"/>
        <w:spacing w:before="0" w:after="260" w:line="240" w:lineRule="auto"/>
        <w:ind w:left="0" w:right="0" w:firstLine="0"/>
        <w:jc w:val="left"/>
      </w:pPr>
      <w:bookmarkStart w:id="538" w:name="bookmark538"/>
      <w:bookmarkStart w:id="539" w:name="bookmark539"/>
      <w:bookmarkStart w:id="540" w:name="bookmark540"/>
      <w:r>
        <w:rPr>
          <w:color w:val="000000"/>
          <w:spacing w:val="0"/>
          <w:w w:val="100"/>
          <w:position w:val="0"/>
          <w:sz w:val="24"/>
          <w:szCs w:val="24"/>
        </w:rPr>
        <w:t>一、公司治理的基本状况</w:t>
      </w:r>
      <w:bookmarkEnd w:id="538"/>
      <w:bookmarkEnd w:id="539"/>
      <w:bookmarkEnd w:id="540"/>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报告期内，公司严格按照《公司法》、《证券法》、《上市公司治理准则》、《深圳证券交易所股票 创业板上市规则》、《上市公司章程指引》和其他有关法律法规的要求，不断完善公司法人治理结构，进 一步规范公司运作，提高公司治理水平，建立健全公司内部管理和控制制度。公司本着对投资者高度负责 的精神，诚信经营并规范运作，切实履行上市公司义务，促进公司健康发展。截至报告期末，公司治理结 构的实际情况符合中国证监会发布的有关上市公司治理规范性文件的要求。</w:t>
      </w:r>
    </w:p>
    <w:p>
      <w:pPr>
        <w:pStyle w:val="Style29"/>
        <w:keepNext w:val="0"/>
        <w:keepLines w:val="0"/>
        <w:widowControl w:val="0"/>
        <w:shd w:val="clear" w:color="auto" w:fill="auto"/>
        <w:tabs>
          <w:tab w:pos="543" w:val="left"/>
        </w:tabs>
        <w:bidi w:val="0"/>
        <w:spacing w:before="0" w:line="471" w:lineRule="exact"/>
        <w:ind w:left="0" w:right="0" w:firstLine="0"/>
        <w:jc w:val="left"/>
      </w:pPr>
      <w:bookmarkStart w:id="541" w:name="bookmark541"/>
      <w:r>
        <w:rPr>
          <w:b/>
          <w:bCs/>
          <w:color w:val="000000"/>
          <w:spacing w:val="0"/>
          <w:w w:val="100"/>
          <w:position w:val="0"/>
        </w:rPr>
        <w:t>（</w:t>
      </w:r>
      <w:bookmarkEnd w:id="541"/>
      <w:r>
        <w:rPr>
          <w:b/>
          <w:bCs/>
          <w:color w:val="000000"/>
          <w:spacing w:val="0"/>
          <w:w w:val="100"/>
          <w:position w:val="0"/>
        </w:rPr>
        <w:t>一）</w:t>
        <w:tab/>
        <w:t>股东与股东大会</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公司严格按照《上市公司股东大会规则》、《公司章程》、《股东大会议事规则》等规定和要求，规 范股东大会的召集、召开和表决程序，并通过各种方式和途径，扩大股东参与股东大会的比例，尽可能为 股东参加股东大会创造便利条件，同时对每一项需要审议的事项均设定充裕的时间给股东表达意见，确保 所有股东，充分行使自己的权利。同时，公司邀请律师现场见证股东大会并出具了法律意见书，确保全体 股东特别是中小股东享有平等地位。</w:t>
      </w:r>
    </w:p>
    <w:p>
      <w:pPr>
        <w:pStyle w:val="Style29"/>
        <w:keepNext w:val="0"/>
        <w:keepLines w:val="0"/>
        <w:widowControl w:val="0"/>
        <w:shd w:val="clear" w:color="auto" w:fill="auto"/>
        <w:tabs>
          <w:tab w:pos="543" w:val="left"/>
        </w:tabs>
        <w:bidi w:val="0"/>
        <w:spacing w:before="0" w:line="471" w:lineRule="exact"/>
        <w:ind w:left="0" w:right="0" w:firstLine="0"/>
        <w:jc w:val="left"/>
      </w:pPr>
      <w:bookmarkStart w:id="542" w:name="bookmark542"/>
      <w:r>
        <w:rPr>
          <w:b/>
          <w:bCs/>
          <w:color w:val="000000"/>
          <w:spacing w:val="0"/>
          <w:w w:val="100"/>
          <w:position w:val="0"/>
        </w:rPr>
        <w:t>（</w:t>
      </w:r>
      <w:bookmarkEnd w:id="542"/>
      <w:r>
        <w:rPr>
          <w:b/>
          <w:bCs/>
          <w:color w:val="000000"/>
          <w:spacing w:val="0"/>
          <w:w w:val="100"/>
          <w:position w:val="0"/>
        </w:rPr>
        <w:t>二）</w:t>
        <w:tab/>
        <w:t>公司与控股股东</w:t>
      </w:r>
    </w:p>
    <w:p>
      <w:pPr>
        <w:pStyle w:val="Style29"/>
        <w:keepNext w:val="0"/>
        <w:keepLines w:val="0"/>
        <w:widowControl w:val="0"/>
        <w:shd w:val="clear" w:color="auto" w:fill="auto"/>
        <w:bidi w:val="0"/>
        <w:spacing w:before="0" w:line="472" w:lineRule="exact"/>
        <w:ind w:left="0" w:right="0" w:firstLine="440"/>
        <w:jc w:val="both"/>
      </w:pPr>
      <w:r>
        <w:rPr>
          <w:color w:val="000000"/>
          <w:spacing w:val="0"/>
          <w:w w:val="100"/>
          <w:position w:val="0"/>
        </w:rPr>
        <w:t>公司控股股东严格按照《上市公司治理准则》、《深圳证券交易所创业板股票上市规则》、《公司章 程》等规定和要求，规范自身行为，依法行使其权利并承担相应的义务，不存在超越公司股东大会直接或 间接干预公司的决策和经营活动的行为，不存在控股股东占用公司资金及公司为控股股东提供担保的情形。 公司拥有独立完整的业务和自主经营能力，在业务、资产、人员、机构、财务上独立于控股股东，公司董 事会、监事会和内部机构独立运作。</w:t>
      </w:r>
    </w:p>
    <w:p>
      <w:pPr>
        <w:pStyle w:val="Style29"/>
        <w:keepNext w:val="0"/>
        <w:keepLines w:val="0"/>
        <w:widowControl w:val="0"/>
        <w:shd w:val="clear" w:color="auto" w:fill="auto"/>
        <w:tabs>
          <w:tab w:pos="543" w:val="left"/>
        </w:tabs>
        <w:bidi w:val="0"/>
        <w:spacing w:before="0" w:line="471" w:lineRule="exact"/>
        <w:ind w:left="0" w:right="0" w:firstLine="0"/>
        <w:jc w:val="left"/>
      </w:pPr>
      <w:bookmarkStart w:id="543" w:name="bookmark543"/>
      <w:r>
        <w:rPr>
          <w:b/>
          <w:bCs/>
          <w:color w:val="000000"/>
          <w:spacing w:val="0"/>
          <w:w w:val="100"/>
          <w:position w:val="0"/>
        </w:rPr>
        <w:t>（</w:t>
      </w:r>
      <w:bookmarkEnd w:id="543"/>
      <w:r>
        <w:rPr>
          <w:b/>
          <w:bCs/>
          <w:color w:val="000000"/>
          <w:spacing w:val="0"/>
          <w:w w:val="100"/>
          <w:position w:val="0"/>
        </w:rPr>
        <w:t>三）</w:t>
        <w:tab/>
        <w:t>董事与董事会</w:t>
      </w:r>
    </w:p>
    <w:p>
      <w:pPr>
        <w:pStyle w:val="Style29"/>
        <w:keepNext w:val="0"/>
        <w:keepLines w:val="0"/>
        <w:widowControl w:val="0"/>
        <w:shd w:val="clear" w:color="auto" w:fill="auto"/>
        <w:bidi w:val="0"/>
        <w:spacing w:before="0" w:line="473"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名，董事会的人数及人员构成符合法律、法规和《公司章程》 的要求。各位董事能够严格按照《公司法》、《公司章程》和《董事会议事规则》等法律、法规开展工作， 诚信、勤勉地履行职责，认真出席董事会会议和股东大会，勤勉尽责地履行职责和义务，同时积极参加相 关培训，熟悉有关法律法规。公司按照《深圳证券交易所创业板上市公司规范运作指引》的要求，董事会 下设有审计委员会、薪酬与考核委员会、提名委员会和战略委员会四个专门委员会。专门委员会严格按照 </w:t>
      </w:r>
      <w:r>
        <w:rPr>
          <w:color w:val="000000"/>
          <w:spacing w:val="0"/>
          <w:w w:val="100"/>
          <w:position w:val="0"/>
        </w:rPr>
        <w:t>有关法律法规及各专门委员会议事规则等制度履行其职责，为董事会的科学决策提供了有益的补充。</w:t>
      </w:r>
    </w:p>
    <w:p>
      <w:pPr>
        <w:pStyle w:val="Style29"/>
        <w:keepNext w:val="0"/>
        <w:keepLines w:val="0"/>
        <w:widowControl w:val="0"/>
        <w:shd w:val="clear" w:color="auto" w:fill="auto"/>
        <w:tabs>
          <w:tab w:pos="594" w:val="left"/>
        </w:tabs>
        <w:bidi w:val="0"/>
        <w:spacing w:before="0" w:line="470" w:lineRule="exact"/>
        <w:ind w:left="0" w:right="0" w:firstLine="0"/>
        <w:jc w:val="left"/>
      </w:pPr>
      <w:bookmarkStart w:id="544" w:name="bookmark544"/>
      <w:r>
        <w:rPr>
          <w:b/>
          <w:bCs/>
          <w:color w:val="000000"/>
          <w:spacing w:val="0"/>
          <w:w w:val="100"/>
          <w:position w:val="0"/>
        </w:rPr>
        <w:t>（</w:t>
      </w:r>
      <w:bookmarkEnd w:id="544"/>
      <w:r>
        <w:rPr>
          <w:b/>
          <w:bCs/>
          <w:color w:val="000000"/>
          <w:spacing w:val="0"/>
          <w:w w:val="100"/>
          <w:position w:val="0"/>
        </w:rPr>
        <w:t>四）</w:t>
        <w:tab/>
        <w:t>监事与监事会</w:t>
      </w:r>
    </w:p>
    <w:p>
      <w:pPr>
        <w:pStyle w:val="Style29"/>
        <w:keepNext w:val="0"/>
        <w:keepLines w:val="0"/>
        <w:widowControl w:val="0"/>
        <w:shd w:val="clear" w:color="auto" w:fill="auto"/>
        <w:bidi w:val="0"/>
        <w:spacing w:before="0" w:line="473" w:lineRule="exact"/>
        <w:ind w:left="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 事能够按照《公司章程》、《监事会议事规则》的要求，认真履行自己的职责，对公司重大事项、财务状 况以及董事、高管人员履职的合法合规性进行监督，维护公司及股东的合法权益。</w:t>
      </w:r>
    </w:p>
    <w:p>
      <w:pPr>
        <w:pStyle w:val="Style29"/>
        <w:keepNext w:val="0"/>
        <w:keepLines w:val="0"/>
        <w:widowControl w:val="0"/>
        <w:shd w:val="clear" w:color="auto" w:fill="auto"/>
        <w:tabs>
          <w:tab w:pos="594" w:val="left"/>
        </w:tabs>
        <w:bidi w:val="0"/>
        <w:spacing w:before="0" w:line="470" w:lineRule="exact"/>
        <w:ind w:left="0" w:right="0" w:firstLine="0"/>
        <w:jc w:val="left"/>
      </w:pPr>
      <w:bookmarkStart w:id="545" w:name="bookmark545"/>
      <w:r>
        <w:rPr>
          <w:b/>
          <w:bCs/>
          <w:color w:val="000000"/>
          <w:spacing w:val="0"/>
          <w:w w:val="100"/>
          <w:position w:val="0"/>
        </w:rPr>
        <w:t>（</w:t>
      </w:r>
      <w:bookmarkEnd w:id="545"/>
      <w:r>
        <w:rPr>
          <w:b/>
          <w:bCs/>
          <w:color w:val="000000"/>
          <w:spacing w:val="0"/>
          <w:w w:val="100"/>
          <w:position w:val="0"/>
        </w:rPr>
        <w:t>五）</w:t>
        <w:tab/>
        <w:t>关于绩效评价与激励约束机制</w:t>
      </w:r>
    </w:p>
    <w:p>
      <w:pPr>
        <w:pStyle w:val="Style29"/>
        <w:keepNext w:val="0"/>
        <w:keepLines w:val="0"/>
        <w:widowControl w:val="0"/>
        <w:shd w:val="clear" w:color="auto" w:fill="auto"/>
        <w:bidi w:val="0"/>
        <w:spacing w:before="0" w:line="473" w:lineRule="exact"/>
        <w:ind w:left="0" w:right="0" w:firstLine="440"/>
        <w:jc w:val="left"/>
      </w:pPr>
      <w:r>
        <w:rPr>
          <w:color w:val="000000"/>
          <w:spacing w:val="0"/>
          <w:w w:val="100"/>
          <w:position w:val="0"/>
        </w:rPr>
        <w:t>公司已建立董事和高级管理人员绩效评价与激励约束机制，高级管理人员的薪酬和激励均与公司经营 业绩直接挂钩，公司将进一步完善公司绩效考核机制，更好地激励公司管理层和核心人员，董事、监事、 高级管理人员的聘任公开、透明，符合法律、法规的规定。</w:t>
      </w:r>
    </w:p>
    <w:p>
      <w:pPr>
        <w:pStyle w:val="Style29"/>
        <w:keepNext w:val="0"/>
        <w:keepLines w:val="0"/>
        <w:widowControl w:val="0"/>
        <w:shd w:val="clear" w:color="auto" w:fill="auto"/>
        <w:tabs>
          <w:tab w:pos="594" w:val="left"/>
        </w:tabs>
        <w:bidi w:val="0"/>
        <w:spacing w:before="0" w:line="470" w:lineRule="exact"/>
        <w:ind w:left="0" w:right="0" w:firstLine="0"/>
        <w:jc w:val="left"/>
      </w:pPr>
      <w:bookmarkStart w:id="546" w:name="bookmark546"/>
      <w:r>
        <w:rPr>
          <w:b/>
          <w:bCs/>
          <w:color w:val="000000"/>
          <w:spacing w:val="0"/>
          <w:w w:val="100"/>
          <w:position w:val="0"/>
        </w:rPr>
        <w:t>（</w:t>
      </w:r>
      <w:bookmarkEnd w:id="546"/>
      <w:r>
        <w:rPr>
          <w:b/>
          <w:bCs/>
          <w:color w:val="000000"/>
          <w:spacing w:val="0"/>
          <w:w w:val="100"/>
          <w:position w:val="0"/>
        </w:rPr>
        <w:t>六）</w:t>
        <w:tab/>
        <w:t>信息披露与透明度</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公司严格按照《上市公司信息披露管理办法》、《信息披露管理制度》、《投资者关系管理制度》等 文件的要求，真实、准确、及时、公平、完整地披露有关信息。同时，明确证券部是负责公司信息披露工 作的专门机构，负责信息披露日常事务，协调公司与投资者的关系，接待股东来访，回答投资者咨询，向 投资者提供公司已披露的资料。公司指定巨潮资讯网为公司信息披露的指定网站，确保公司所有股东能够 以平等的机会获得信息。</w:t>
      </w:r>
    </w:p>
    <w:p>
      <w:pPr>
        <w:pStyle w:val="Style29"/>
        <w:keepNext w:val="0"/>
        <w:keepLines w:val="0"/>
        <w:widowControl w:val="0"/>
        <w:shd w:val="clear" w:color="auto" w:fill="auto"/>
        <w:tabs>
          <w:tab w:pos="594" w:val="left"/>
        </w:tabs>
        <w:bidi w:val="0"/>
        <w:spacing w:before="0" w:line="470" w:lineRule="exact"/>
        <w:ind w:left="0" w:right="0" w:firstLine="0"/>
        <w:jc w:val="left"/>
      </w:pPr>
      <w:bookmarkStart w:id="547" w:name="bookmark547"/>
      <w:r>
        <w:rPr>
          <w:b/>
          <w:bCs/>
          <w:color w:val="000000"/>
          <w:spacing w:val="0"/>
          <w:w w:val="100"/>
          <w:position w:val="0"/>
        </w:rPr>
        <w:t>（</w:t>
      </w:r>
      <w:bookmarkEnd w:id="547"/>
      <w:r>
        <w:rPr>
          <w:b/>
          <w:bCs/>
          <w:color w:val="000000"/>
          <w:spacing w:val="0"/>
          <w:w w:val="100"/>
          <w:position w:val="0"/>
        </w:rPr>
        <w:t>七）</w:t>
        <w:tab/>
        <w:t>相关利益者</w:t>
      </w:r>
    </w:p>
    <w:p>
      <w:pPr>
        <w:pStyle w:val="Style29"/>
        <w:keepNext w:val="0"/>
        <w:keepLines w:val="0"/>
        <w:widowControl w:val="0"/>
        <w:shd w:val="clear" w:color="auto" w:fill="auto"/>
        <w:bidi w:val="0"/>
        <w:spacing w:before="0" w:line="466" w:lineRule="exact"/>
        <w:ind w:left="0" w:right="0" w:firstLine="440"/>
        <w:jc w:val="left"/>
      </w:pPr>
      <w:r>
        <w:rPr>
          <w:color w:val="000000"/>
          <w:spacing w:val="0"/>
          <w:w w:val="100"/>
          <w:position w:val="0"/>
        </w:rPr>
        <w:t>公司充分尊重和维护相关利益者的合法权益，加强与各方的沟通和交流，重视公司的社会责任，实现 股东、员工、社会等各方利益的协调平衡，共同推动公司持续、健康的发展。</w:t>
      </w:r>
    </w:p>
    <w:p>
      <w:pPr>
        <w:pStyle w:val="Style29"/>
        <w:keepNext w:val="0"/>
        <w:keepLines w:val="0"/>
        <w:widowControl w:val="0"/>
        <w:shd w:val="clear" w:color="auto" w:fill="auto"/>
        <w:bidi w:val="0"/>
        <w:spacing w:before="0" w:after="360" w:line="470" w:lineRule="exact"/>
        <w:ind w:left="0" w:right="0" w:firstLine="0"/>
        <w:jc w:val="left"/>
      </w:pPr>
      <w:r>
        <w:rPr>
          <w:b/>
          <w:bCs/>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9"/>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280" w:line="240" w:lineRule="auto"/>
        <w:ind w:left="0" w:right="0" w:firstLine="0"/>
        <w:jc w:val="left"/>
      </w:pPr>
      <w:bookmarkStart w:id="548" w:name="bookmark548"/>
      <w:bookmarkStart w:id="549" w:name="bookmark549"/>
      <w:bookmarkStart w:id="550" w:name="bookmark550"/>
      <w:r>
        <w:rPr>
          <w:color w:val="000000"/>
          <w:spacing w:val="0"/>
          <w:w w:val="100"/>
          <w:position w:val="0"/>
          <w:sz w:val="24"/>
          <w:szCs w:val="24"/>
        </w:rPr>
        <w:t>二、公司相对于控股股东在业务、人员、资产、机构、财务等方面的独立情况</w:t>
      </w:r>
      <w:bookmarkEnd w:id="548"/>
      <w:bookmarkEnd w:id="549"/>
      <w:bookmarkEnd w:id="550"/>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公司控股股东、实际控制人严格规范自己的行为，没有超越股东大会直接或间接干预公司的决策和经 营活动。公司拥有独立完整的业务和自主经营能力，在业务、人员、资产、机构、财务上独立于控股股东、 实际控制人，公司董事会、监事会和内部机构独立运作。</w:t>
      </w:r>
    </w:p>
    <w:p>
      <w:pPr>
        <w:pStyle w:val="Style27"/>
        <w:keepNext/>
        <w:keepLines/>
        <w:widowControl w:val="0"/>
        <w:shd w:val="clear" w:color="auto" w:fill="auto"/>
        <w:tabs>
          <w:tab w:pos="522" w:val="left"/>
        </w:tabs>
        <w:bidi w:val="0"/>
        <w:spacing w:before="0" w:after="52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三</w:t>
      </w:r>
      <w:bookmarkEnd w:id="553"/>
      <w:r>
        <w:rPr>
          <w:color w:val="000000"/>
          <w:spacing w:val="0"/>
          <w:w w:val="100"/>
          <w:position w:val="0"/>
          <w:sz w:val="24"/>
          <w:szCs w:val="24"/>
        </w:rPr>
        <w:t>、</w:t>
        <w:tab/>
        <w:t>同业竞争情况</w:t>
      </w:r>
      <w:bookmarkEnd w:id="551"/>
      <w:bookmarkEnd w:id="552"/>
      <w:bookmarkEnd w:id="55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四</w:t>
      </w:r>
      <w:bookmarkEnd w:id="557"/>
      <w:r>
        <w:rPr>
          <w:color w:val="000000"/>
          <w:spacing w:val="0"/>
          <w:w w:val="100"/>
          <w:position w:val="0"/>
          <w:sz w:val="24"/>
          <w:szCs w:val="24"/>
        </w:rPr>
        <w:t>、</w:t>
        <w:tab/>
        <w:t>报告期内召开的年度股东大会和临时股东大会的有关情况</w:t>
      </w:r>
      <w:bookmarkEnd w:id="555"/>
      <w:bookmarkEnd w:id="556"/>
      <w:bookmarkEnd w:id="558"/>
    </w:p>
    <w:p>
      <w:pPr>
        <w:pStyle w:val="Style38"/>
        <w:keepNext/>
        <w:keepLines/>
        <w:widowControl w:val="0"/>
        <w:shd w:val="clear" w:color="auto" w:fill="auto"/>
        <w:bidi w:val="0"/>
        <w:spacing w:before="0" w:after="120" w:line="240" w:lineRule="auto"/>
        <w:ind w:left="0" w:right="0" w:firstLine="0"/>
        <w:jc w:val="left"/>
      </w:pPr>
      <w:bookmarkStart w:id="559" w:name="bookmark559"/>
      <w:bookmarkStart w:id="560" w:name="bookmark560"/>
      <w:bookmarkStart w:id="561" w:name="bookmark561"/>
      <w:r>
        <w:rPr>
          <w:color w:val="000000"/>
          <w:spacing w:val="0"/>
          <w:w w:val="100"/>
          <w:position w:val="0"/>
        </w:rPr>
        <w:t>（一）本报告期股东大会情况</w:t>
      </w:r>
      <w:bookmarkEnd w:id="559"/>
      <w:bookmarkEnd w:id="560"/>
      <w:bookmarkEnd w:id="56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59" w:line="1" w:lineRule="exact"/>
      </w:pPr>
    </w:p>
    <w:p>
      <w:pPr>
        <w:pStyle w:val="Style38"/>
        <w:keepNext/>
        <w:keepLines/>
        <w:widowControl w:val="0"/>
        <w:shd w:val="clear" w:color="auto" w:fill="auto"/>
        <w:bidi w:val="0"/>
        <w:spacing w:before="0" w:after="520" w:line="240" w:lineRule="auto"/>
        <w:ind w:left="0" w:right="0" w:firstLine="140"/>
        <w:jc w:val="left"/>
      </w:pPr>
      <w:bookmarkStart w:id="562" w:name="bookmark562"/>
      <w:bookmarkStart w:id="563" w:name="bookmark563"/>
      <w:bookmarkStart w:id="564" w:name="bookmark564"/>
      <w:r>
        <w:rPr>
          <w:color w:val="000000"/>
          <w:spacing w:val="0"/>
          <w:w w:val="100"/>
          <w:position w:val="0"/>
        </w:rPr>
        <w:t>（二）表决权恢复的优先股股东请求召开临时股东大会</w:t>
      </w:r>
      <w:bookmarkEnd w:id="562"/>
      <w:bookmarkEnd w:id="563"/>
      <w:bookmarkEnd w:id="56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五</w:t>
      </w:r>
      <w:bookmarkEnd w:id="567"/>
      <w:r>
        <w:rPr>
          <w:color w:val="000000"/>
          <w:spacing w:val="0"/>
          <w:w w:val="100"/>
          <w:position w:val="0"/>
          <w:sz w:val="24"/>
          <w:szCs w:val="24"/>
        </w:rPr>
        <w:t>、报告期内独立董事履行职责的情况</w:t>
      </w:r>
      <w:bookmarkEnd w:id="565"/>
      <w:bookmarkEnd w:id="566"/>
      <w:bookmarkEnd w:id="568"/>
    </w:p>
    <w:p>
      <w:pPr>
        <w:pStyle w:val="Style38"/>
        <w:keepNext/>
        <w:keepLines/>
        <w:widowControl w:val="0"/>
        <w:shd w:val="clear" w:color="auto" w:fill="auto"/>
        <w:bidi w:val="0"/>
        <w:spacing w:before="0" w:after="120" w:line="240" w:lineRule="auto"/>
        <w:ind w:left="0" w:right="0" w:firstLine="140"/>
        <w:jc w:val="left"/>
      </w:pPr>
      <w:bookmarkStart w:id="569" w:name="bookmark569"/>
      <w:bookmarkStart w:id="570" w:name="bookmark570"/>
      <w:bookmarkStart w:id="571" w:name="bookmark571"/>
      <w:r>
        <w:rPr>
          <w:color w:val="000000"/>
          <w:spacing w:val="0"/>
          <w:w w:val="100"/>
          <w:position w:val="0"/>
        </w:rPr>
        <w:t>（一）独立董事出席董事会及股东大会的情况</w:t>
      </w:r>
      <w:bookmarkEnd w:id="569"/>
      <w:bookmarkEnd w:id="570"/>
      <w:bookmarkEnd w:id="57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王海茸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傅向华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张建斌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59" w:line="1" w:lineRule="exact"/>
      </w:pP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连续两次未亲自出席董事会的说明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无 </w:t>
      </w:r>
      <w:bookmarkStart w:id="572" w:name="bookmark572"/>
      <w:r>
        <w:rPr>
          <w:b/>
          <w:bCs/>
          <w:color w:val="000000"/>
          <w:spacing w:val="0"/>
          <w:w w:val="100"/>
          <w:position w:val="0"/>
        </w:rPr>
        <w:t>（二）独立董事对公司有关事项提出异议的情况 独立董事对公司有关事项是否提出异议</w:t>
      </w:r>
      <w:bookmarkEnd w:id="572"/>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bidi w:val="0"/>
        <w:spacing w:before="0" w:after="280" w:line="468" w:lineRule="exact"/>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color w:val="000000"/>
          <w:spacing w:val="0"/>
          <w:w w:val="100"/>
          <w:position w:val="0"/>
        </w:rPr>
        <w:t>三）独立董事履行职责的其他说明</w:t>
      </w:r>
      <w:bookmarkEnd w:id="573"/>
      <w:bookmarkEnd w:id="574"/>
      <w:bookmarkEnd w:id="576"/>
    </w:p>
    <w:p>
      <w:pPr>
        <w:pStyle w:val="Style38"/>
        <w:keepNext/>
        <w:keepLines/>
        <w:widowControl w:val="0"/>
        <w:shd w:val="clear" w:color="auto" w:fill="auto"/>
        <w:bidi w:val="0"/>
        <w:spacing w:before="0" w:after="140" w:line="468" w:lineRule="exact"/>
        <w:ind w:left="0" w:right="0" w:firstLine="0"/>
        <w:jc w:val="left"/>
      </w:pPr>
      <w:bookmarkStart w:id="573" w:name="bookmark573"/>
      <w:bookmarkStart w:id="574" w:name="bookmark574"/>
      <w:r>
        <w:rPr>
          <w:color w:val="000000"/>
          <w:spacing w:val="0"/>
          <w:w w:val="100"/>
          <w:position w:val="0"/>
        </w:rPr>
        <w:t>独立董事对公司有关建议是否被采纳</w:t>
      </w:r>
      <w:bookmarkEnd w:id="573"/>
      <w:bookmarkEnd w:id="574"/>
    </w:p>
    <w:p>
      <w:pPr>
        <w:pStyle w:val="Style29"/>
        <w:keepNext w:val="0"/>
        <w:keepLines w:val="0"/>
        <w:widowControl w:val="0"/>
        <w:shd w:val="clear" w:color="auto" w:fill="auto"/>
        <w:bidi w:val="0"/>
        <w:spacing w:before="0" w:line="468" w:lineRule="exact"/>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line="468"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440" w:line="475"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年，独立董事通过参加董事会、股东大会等方式及时对公司经营重大事项等提出建设性专业的意见， 报告期内独立董事所提出的宝贵意见均被采纳。</w:t>
      </w:r>
    </w:p>
    <w:p>
      <w:pPr>
        <w:pStyle w:val="Style27"/>
        <w:keepNext/>
        <w:keepLines/>
        <w:widowControl w:val="0"/>
        <w:shd w:val="clear" w:color="auto" w:fill="auto"/>
        <w:bidi w:val="0"/>
        <w:spacing w:before="0" w:after="20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六</w:t>
      </w:r>
      <w:bookmarkEnd w:id="579"/>
      <w:r>
        <w:rPr>
          <w:color w:val="000000"/>
          <w:spacing w:val="0"/>
          <w:w w:val="100"/>
          <w:position w:val="0"/>
          <w:sz w:val="24"/>
          <w:szCs w:val="24"/>
        </w:rPr>
        <w:t>、董事会下设专门委员会在报告期内履行职责情况</w:t>
      </w:r>
      <w:bookmarkEnd w:id="577"/>
      <w:bookmarkEnd w:id="578"/>
      <w:bookmarkEnd w:id="580"/>
    </w:p>
    <w:p>
      <w:pPr>
        <w:pStyle w:val="Style29"/>
        <w:keepNext w:val="0"/>
        <w:keepLines w:val="0"/>
        <w:widowControl w:val="0"/>
        <w:shd w:val="clear" w:color="auto" w:fill="auto"/>
        <w:bidi w:val="0"/>
        <w:spacing w:before="0" w:after="40" w:line="470" w:lineRule="exact"/>
        <w:ind w:left="0" w:right="0" w:firstLine="440"/>
        <w:jc w:val="left"/>
      </w:pPr>
      <w:r>
        <w:rPr>
          <w:color w:val="000000"/>
          <w:spacing w:val="0"/>
          <w:w w:val="100"/>
          <w:position w:val="0"/>
        </w:rPr>
        <w:t>报告期内，董事会专门委员会根据《上市公司治理准则》、《公司章程》和公司董事会专门委员会《工 作细则》，结合公司经营情况，切实履职，开展了行之有效的工作，保证了公司治理规范有效运作。现将 各专门委员会具体工作报告如下：</w:t>
      </w:r>
    </w:p>
    <w:p>
      <w:pPr>
        <w:pStyle w:val="Style29"/>
        <w:keepNext w:val="0"/>
        <w:keepLines w:val="0"/>
        <w:widowControl w:val="0"/>
        <w:shd w:val="clear" w:color="auto" w:fill="auto"/>
        <w:tabs>
          <w:tab w:pos="594" w:val="left"/>
        </w:tabs>
        <w:bidi w:val="0"/>
        <w:spacing w:before="0" w:after="40" w:line="468" w:lineRule="exact"/>
        <w:ind w:left="0" w:right="0" w:firstLine="0"/>
        <w:jc w:val="left"/>
      </w:pPr>
      <w:bookmarkStart w:id="581" w:name="bookmark581"/>
      <w:r>
        <w:rPr>
          <w:b/>
          <w:bCs/>
          <w:color w:val="000000"/>
          <w:spacing w:val="0"/>
          <w:w w:val="100"/>
          <w:position w:val="0"/>
        </w:rPr>
        <w:t>（</w:t>
      </w:r>
      <w:bookmarkEnd w:id="581"/>
      <w:r>
        <w:rPr>
          <w:b/>
          <w:bCs/>
          <w:color w:val="000000"/>
          <w:spacing w:val="0"/>
          <w:w w:val="100"/>
          <w:position w:val="0"/>
        </w:rPr>
        <w:t>一）</w:t>
        <w:tab/>
        <w:t>董事会战略委员会</w:t>
      </w:r>
    </w:p>
    <w:p>
      <w:pPr>
        <w:pStyle w:val="Style29"/>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战略委员会成员由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名董事组成；战略委员会委员由董事长、二分之一以上独立董事或者全体董事的 三分之一提名，并由董事会选举产生；战略委员会设主任委员（召集人）一名。</w:t>
      </w:r>
    </w:p>
    <w:p>
      <w:pPr>
        <w:pStyle w:val="Style29"/>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报告期内，战略委员会主要负责对公司长期发展战略规划、重大战略性投资进行可行性研究。</w:t>
      </w:r>
    </w:p>
    <w:p>
      <w:pPr>
        <w:pStyle w:val="Style29"/>
        <w:keepNext w:val="0"/>
        <w:keepLines w:val="0"/>
        <w:widowControl w:val="0"/>
        <w:shd w:val="clear" w:color="auto" w:fill="auto"/>
        <w:tabs>
          <w:tab w:pos="594" w:val="left"/>
        </w:tabs>
        <w:bidi w:val="0"/>
        <w:spacing w:before="0" w:after="40" w:line="468" w:lineRule="exact"/>
        <w:ind w:left="0" w:right="0" w:firstLine="0"/>
        <w:jc w:val="left"/>
      </w:pPr>
      <w:bookmarkStart w:id="582" w:name="bookmark582"/>
      <w:r>
        <w:rPr>
          <w:b/>
          <w:bCs/>
          <w:color w:val="000000"/>
          <w:spacing w:val="0"/>
          <w:w w:val="100"/>
          <w:position w:val="0"/>
        </w:rPr>
        <w:t>（</w:t>
      </w:r>
      <w:bookmarkEnd w:id="582"/>
      <w:r>
        <w:rPr>
          <w:b/>
          <w:bCs/>
          <w:color w:val="000000"/>
          <w:spacing w:val="0"/>
          <w:w w:val="100"/>
          <w:position w:val="0"/>
        </w:rPr>
        <w:t>二）</w:t>
        <w:tab/>
        <w:t>董事会审计委员会</w:t>
      </w:r>
    </w:p>
    <w:p>
      <w:pPr>
        <w:pStyle w:val="Style29"/>
        <w:keepNext w:val="0"/>
        <w:keepLines w:val="0"/>
        <w:widowControl w:val="0"/>
        <w:shd w:val="clear" w:color="auto" w:fill="auto"/>
        <w:bidi w:val="0"/>
        <w:spacing w:before="0" w:after="40" w:line="463" w:lineRule="exact"/>
        <w:ind w:left="0" w:right="0" w:firstLine="440"/>
        <w:jc w:val="both"/>
      </w:pPr>
      <w:r>
        <w:rPr>
          <w:color w:val="000000"/>
          <w:spacing w:val="0"/>
          <w:w w:val="100"/>
          <w:position w:val="0"/>
        </w:rPr>
        <w:t>审计委员会由三名董事组成，独立董事占多数并担任召集人</w:t>
      </w:r>
      <w:r>
        <w:rPr>
          <w:rFonts w:ascii="Times New Roman" w:eastAsia="Times New Roman" w:hAnsi="Times New Roman" w:cs="Times New Roman"/>
          <w:color w:val="000000"/>
          <w:spacing w:val="0"/>
          <w:w w:val="100"/>
          <w:position w:val="0"/>
        </w:rPr>
        <w:t>,</w:t>
      </w:r>
      <w:r>
        <w:rPr>
          <w:color w:val="000000"/>
          <w:spacing w:val="0"/>
          <w:w w:val="100"/>
          <w:position w:val="0"/>
        </w:rPr>
        <w:t>委员中至少有一名独立董事为会计专业人 士；审计委员会委员由董事长、二分之一以上独立董事或者全体董事的三分之一提名</w:t>
      </w:r>
      <w:r>
        <w:rPr>
          <w:color w:val="000000"/>
          <w:spacing w:val="0"/>
          <w:w w:val="100"/>
          <w:position w:val="0"/>
        </w:rPr>
        <w:t>，</w:t>
      </w:r>
      <w:r>
        <w:rPr>
          <w:color w:val="000000"/>
          <w:spacing w:val="0"/>
          <w:w w:val="100"/>
          <w:position w:val="0"/>
        </w:rPr>
        <w:t>并由董事会选举产生; 审计委员会设主任委员（召集人）一名，由独立董事委员（会计专业人士）担任，负责主持委员会工作。</w:t>
      </w:r>
    </w:p>
    <w:p>
      <w:pPr>
        <w:pStyle w:val="Style29"/>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报告期内公司审计委员会监督及评估外部审计工作，提议续聘外部审计机构；监督及评估公司的内部 审计工作，负责内部审计与外部审计的协调；审核公司的财务信息及其披露；监督及评估公司的内部控制。</w:t>
      </w:r>
    </w:p>
    <w:p>
      <w:pPr>
        <w:pStyle w:val="Style29"/>
        <w:keepNext w:val="0"/>
        <w:keepLines w:val="0"/>
        <w:widowControl w:val="0"/>
        <w:shd w:val="clear" w:color="auto" w:fill="auto"/>
        <w:tabs>
          <w:tab w:pos="594" w:val="left"/>
        </w:tabs>
        <w:bidi w:val="0"/>
        <w:spacing w:before="0" w:after="40" w:line="468" w:lineRule="exact"/>
        <w:ind w:left="0" w:right="0" w:firstLine="0"/>
        <w:jc w:val="left"/>
      </w:pPr>
      <w:bookmarkStart w:id="583" w:name="bookmark583"/>
      <w:r>
        <w:rPr>
          <w:b/>
          <w:bCs/>
          <w:color w:val="000000"/>
          <w:spacing w:val="0"/>
          <w:w w:val="100"/>
          <w:position w:val="0"/>
        </w:rPr>
        <w:t>（</w:t>
      </w:r>
      <w:bookmarkEnd w:id="583"/>
      <w:r>
        <w:rPr>
          <w:b/>
          <w:bCs/>
          <w:color w:val="000000"/>
          <w:spacing w:val="0"/>
          <w:w w:val="100"/>
          <w:position w:val="0"/>
        </w:rPr>
        <w:t>三）</w:t>
        <w:tab/>
        <w:t>薪酬与考核委员会</w:t>
      </w:r>
    </w:p>
    <w:p>
      <w:pPr>
        <w:pStyle w:val="Style29"/>
        <w:keepNext w:val="0"/>
        <w:keepLines w:val="0"/>
        <w:widowControl w:val="0"/>
        <w:shd w:val="clear" w:color="auto" w:fill="auto"/>
        <w:bidi w:val="0"/>
        <w:spacing w:before="0" w:after="40" w:line="463" w:lineRule="exact"/>
        <w:ind w:left="0" w:right="0" w:firstLine="440"/>
        <w:jc w:val="both"/>
      </w:pPr>
      <w:r>
        <w:rPr>
          <w:color w:val="000000"/>
          <w:spacing w:val="0"/>
          <w:w w:val="100"/>
          <w:position w:val="0"/>
        </w:rPr>
        <w:t>薪酬与考核委员会由三名董事组成，其中独立董事占多数；薪酬与考核委员会委员由董事长、二分之 一以上独立董事或全体董事的三分之一提名，并由董事会选举产生；薪酬与考核委员会设主任委员（召集 人）一名，由独立董事委员担任，负责主持委员会工作。</w:t>
      </w:r>
    </w:p>
    <w:p>
      <w:pPr>
        <w:pStyle w:val="Style29"/>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 xml:space="preserve">报告期内薪酬与考核委员会研究董事和高级管理人员的考核标准，进行考核并提出建议；研究和审查 </w:t>
      </w:r>
      <w:r>
        <w:rPr>
          <w:color w:val="000000"/>
          <w:spacing w:val="0"/>
          <w:w w:val="100"/>
          <w:position w:val="0"/>
        </w:rPr>
        <w:t>董事、高级管理人员的薪酬政策与方案。</w:t>
      </w:r>
    </w:p>
    <w:p>
      <w:pPr>
        <w:pStyle w:val="Style29"/>
        <w:keepNext w:val="0"/>
        <w:keepLines w:val="0"/>
        <w:widowControl w:val="0"/>
        <w:shd w:val="clear" w:color="auto" w:fill="auto"/>
        <w:bidi w:val="0"/>
        <w:spacing w:before="0" w:after="40" w:line="467" w:lineRule="exact"/>
        <w:ind w:left="0" w:right="0" w:firstLine="0"/>
        <w:jc w:val="left"/>
      </w:pPr>
      <w:bookmarkStart w:id="584" w:name="bookmark584"/>
      <w:r>
        <w:rPr>
          <w:b/>
          <w:bCs/>
          <w:color w:val="000000"/>
          <w:spacing w:val="0"/>
          <w:w w:val="100"/>
          <w:position w:val="0"/>
        </w:rPr>
        <w:t>（</w:t>
      </w:r>
      <w:bookmarkEnd w:id="584"/>
      <w:r>
        <w:rPr>
          <w:b/>
          <w:bCs/>
          <w:color w:val="000000"/>
          <w:spacing w:val="0"/>
          <w:w w:val="100"/>
          <w:position w:val="0"/>
        </w:rPr>
        <w:t>四）提名委员会</w:t>
      </w:r>
    </w:p>
    <w:p>
      <w:pPr>
        <w:pStyle w:val="Style29"/>
        <w:keepNext w:val="0"/>
        <w:keepLines w:val="0"/>
        <w:widowControl w:val="0"/>
        <w:shd w:val="clear" w:color="auto" w:fill="auto"/>
        <w:bidi w:val="0"/>
        <w:spacing w:before="0" w:after="40" w:line="475" w:lineRule="exact"/>
        <w:ind w:left="0" w:right="0" w:firstLine="440"/>
        <w:jc w:val="left"/>
      </w:pPr>
      <w:r>
        <w:rPr>
          <w:color w:val="000000"/>
          <w:spacing w:val="0"/>
          <w:w w:val="100"/>
          <w:position w:val="0"/>
        </w:rPr>
        <w:t>公司董事会提名委员会设委员</w:t>
      </w:r>
      <w:r>
        <w:rPr>
          <w:rFonts w:ascii="Times New Roman" w:eastAsia="Times New Roman" w:hAnsi="Times New Roman" w:cs="Times New Roman"/>
          <w:color w:val="000000"/>
          <w:spacing w:val="0"/>
          <w:w w:val="100"/>
          <w:position w:val="0"/>
        </w:rPr>
        <w:t>3</w:t>
      </w:r>
      <w:r>
        <w:rPr>
          <w:color w:val="000000"/>
          <w:spacing w:val="0"/>
          <w:w w:val="100"/>
          <w:position w:val="0"/>
        </w:rPr>
        <w:t>名，提名委员会人数及人员构成符合法律、法规及公司章程的要求。 报告期内，提名委员会对董事、高级管理人员任职情况进行了审核，并对公司的人事任免提出合理化建议， 切实履行了相关工作职责。</w:t>
      </w:r>
    </w:p>
    <w:p>
      <w:pPr>
        <w:pStyle w:val="Style29"/>
        <w:keepNext w:val="0"/>
        <w:keepLines w:val="0"/>
        <w:widowControl w:val="0"/>
        <w:shd w:val="clear" w:color="auto" w:fill="auto"/>
        <w:bidi w:val="0"/>
        <w:spacing w:before="0" w:after="260" w:line="466" w:lineRule="exact"/>
        <w:ind w:left="0" w:right="0" w:firstLine="440"/>
        <w:jc w:val="left"/>
      </w:pPr>
      <w:r>
        <w:rPr>
          <w:color w:val="000000"/>
          <w:spacing w:val="0"/>
          <w:w w:val="100"/>
          <w:position w:val="0"/>
        </w:rPr>
        <w:t>报告期内提名委员会研究董事、高级管理人员的选择标准和程序并提出建议；对董事人选和高级管理 人员人选进行审核并提出建议。</w:t>
      </w:r>
    </w:p>
    <w:p>
      <w:pPr>
        <w:pStyle w:val="Style16"/>
        <w:keepNext w:val="0"/>
        <w:keepLines w:val="0"/>
        <w:widowControl w:val="0"/>
        <w:shd w:val="clear" w:color="auto" w:fill="auto"/>
        <w:tabs>
          <w:tab w:pos="522" w:val="left"/>
        </w:tabs>
        <w:bidi w:val="0"/>
        <w:spacing w:before="0" w:after="40" w:line="240" w:lineRule="auto"/>
        <w:ind w:left="0" w:right="0" w:firstLine="0"/>
        <w:jc w:val="left"/>
        <w:rPr>
          <w:sz w:val="24"/>
          <w:szCs w:val="24"/>
        </w:rPr>
      </w:pPr>
      <w:bookmarkStart w:id="585" w:name="bookmark585"/>
      <w:r>
        <w:rPr>
          <w:color w:val="000000"/>
          <w:spacing w:val="0"/>
          <w:w w:val="100"/>
          <w:position w:val="0"/>
          <w:sz w:val="24"/>
          <w:szCs w:val="24"/>
        </w:rPr>
        <w:t>七</w:t>
      </w:r>
      <w:bookmarkEnd w:id="585"/>
      <w:r>
        <w:rPr>
          <w:color w:val="000000"/>
          <w:spacing w:val="0"/>
          <w:w w:val="100"/>
          <w:position w:val="0"/>
          <w:sz w:val="24"/>
          <w:szCs w:val="24"/>
        </w:rPr>
        <w:t>、</w:t>
        <w:tab/>
        <w:t>监事会工作情况</w:t>
      </w:r>
    </w:p>
    <w:p>
      <w:pPr>
        <w:pStyle w:val="Style29"/>
        <w:keepNext w:val="0"/>
        <w:keepLines w:val="0"/>
        <w:widowControl w:val="0"/>
        <w:shd w:val="clear" w:color="auto" w:fill="auto"/>
        <w:bidi w:val="0"/>
        <w:spacing w:before="0" w:after="260" w:line="467" w:lineRule="exact"/>
        <w:ind w:left="0" w:right="0" w:firstLine="0"/>
        <w:jc w:val="left"/>
      </w:pPr>
      <w:r>
        <w:rPr>
          <w:b/>
          <w:bCs/>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i/>
          <w:iCs/>
          <w:color w:val="000000"/>
          <w:spacing w:val="0"/>
          <w:w w:val="100"/>
          <w:position w:val="0"/>
        </w:rPr>
        <w:t>否</w:t>
      </w:r>
    </w:p>
    <w:p>
      <w:pPr>
        <w:pStyle w:val="Style29"/>
        <w:keepNext w:val="0"/>
        <w:keepLines w:val="0"/>
        <w:widowControl w:val="0"/>
        <w:shd w:val="clear" w:color="auto" w:fill="auto"/>
        <w:bidi w:val="0"/>
        <w:spacing w:before="0" w:after="260" w:line="467" w:lineRule="exact"/>
        <w:ind w:left="0" w:right="0" w:firstLine="0"/>
        <w:jc w:val="left"/>
      </w:pPr>
      <w:r>
        <w:rPr>
          <w:color w:val="000000"/>
          <w:spacing w:val="0"/>
          <w:w w:val="100"/>
          <w:position w:val="0"/>
        </w:rPr>
        <w:t>公司监事会对报告期内的监督事项无异议。</w:t>
      </w:r>
    </w:p>
    <w:p>
      <w:pPr>
        <w:pStyle w:val="Style16"/>
        <w:keepNext w:val="0"/>
        <w:keepLines w:val="0"/>
        <w:widowControl w:val="0"/>
        <w:shd w:val="clear" w:color="auto" w:fill="auto"/>
        <w:tabs>
          <w:tab w:pos="522" w:val="left"/>
        </w:tabs>
        <w:bidi w:val="0"/>
        <w:spacing w:before="0" w:after="40" w:line="240" w:lineRule="auto"/>
        <w:ind w:left="0" w:right="0" w:firstLine="0"/>
        <w:jc w:val="left"/>
        <w:rPr>
          <w:sz w:val="24"/>
          <w:szCs w:val="24"/>
        </w:rPr>
      </w:pPr>
      <w:bookmarkStart w:id="586" w:name="bookmark586"/>
      <w:r>
        <w:rPr>
          <w:color w:val="000000"/>
          <w:spacing w:val="0"/>
          <w:w w:val="100"/>
          <w:position w:val="0"/>
          <w:sz w:val="24"/>
          <w:szCs w:val="24"/>
        </w:rPr>
        <w:t>八</w:t>
      </w:r>
      <w:bookmarkEnd w:id="586"/>
      <w:r>
        <w:rPr>
          <w:color w:val="000000"/>
          <w:spacing w:val="0"/>
          <w:w w:val="100"/>
          <w:position w:val="0"/>
          <w:sz w:val="24"/>
          <w:szCs w:val="24"/>
        </w:rPr>
        <w:t>、</w:t>
        <w:tab/>
        <w:t>高级管理人员的考评及激励情况</w:t>
      </w:r>
    </w:p>
    <w:p>
      <w:pPr>
        <w:pStyle w:val="Style29"/>
        <w:keepNext w:val="0"/>
        <w:keepLines w:val="0"/>
        <w:widowControl w:val="0"/>
        <w:shd w:val="clear" w:color="auto" w:fill="auto"/>
        <w:bidi w:val="0"/>
        <w:spacing w:before="0" w:after="40" w:line="467" w:lineRule="exact"/>
        <w:ind w:left="0" w:right="0" w:firstLine="440"/>
        <w:jc w:val="left"/>
      </w:pPr>
      <w:r>
        <w:rPr>
          <w:color w:val="000000"/>
          <w:spacing w:val="0"/>
          <w:w w:val="100"/>
          <w:position w:val="0"/>
        </w:rPr>
        <w:t>公司高级管理人员全部经董事长提名，董事会提名委员会审核任职资格后，由董事会聘任，直接对董 事会负责，承担董事会下达的经营指标。公司建立了完善的高级管理人员绩效考评体系和薪酬制度，高级 管理人员的工作绩效与其收入直接挂钩。董事会薪酬与考核委员会审查了董事及高级管理人员的绩效考核 机制、薪酬分配方案，并监督薪酬制度的执行情况。报告期内，公司高级管理人员能够严格按照《公司法》、 《公司章程》及有关法律法规认真履行职责，积极落实公司股东大会和董事会相关决议，认真履行了工作 职责。报告期内，公司各项考评及激励机制执行情况良好，起到了应有的激励和约束作用。</w:t>
      </w:r>
    </w:p>
    <w:p>
      <w:pPr>
        <w:pStyle w:val="Style29"/>
        <w:keepNext w:val="0"/>
        <w:keepLines w:val="0"/>
        <w:widowControl w:val="0"/>
        <w:shd w:val="clear" w:color="auto" w:fill="auto"/>
        <w:bidi w:val="0"/>
        <w:spacing w:before="0" w:after="260" w:line="466" w:lineRule="exact"/>
        <w:ind w:left="0" w:right="0" w:firstLine="440"/>
        <w:jc w:val="left"/>
      </w:pPr>
      <w:r>
        <w:rPr>
          <w:color w:val="000000"/>
          <w:spacing w:val="0"/>
          <w:w w:val="100"/>
          <w:position w:val="0"/>
        </w:rPr>
        <w:t>为充分发挥和调动公司高级管理人员的工作积极性和创造性，公司将结合实际情况，进一步完善董事、 监事和高级管理人员的激励与约束机制，建立科学的高级管理人员绩效考核机制。</w:t>
      </w:r>
    </w:p>
    <w:p>
      <w:pPr>
        <w:pStyle w:val="Style16"/>
        <w:keepNext w:val="0"/>
        <w:keepLines w:val="0"/>
        <w:widowControl w:val="0"/>
        <w:shd w:val="clear" w:color="auto" w:fill="auto"/>
        <w:tabs>
          <w:tab w:pos="522" w:val="left"/>
        </w:tabs>
        <w:bidi w:val="0"/>
        <w:spacing w:before="0" w:after="200" w:line="240" w:lineRule="auto"/>
        <w:ind w:left="0" w:right="0" w:firstLine="0"/>
        <w:jc w:val="left"/>
        <w:rPr>
          <w:sz w:val="24"/>
          <w:szCs w:val="24"/>
        </w:rPr>
      </w:pPr>
      <w:bookmarkStart w:id="587" w:name="bookmark587"/>
      <w:r>
        <w:rPr>
          <w:color w:val="000000"/>
          <w:spacing w:val="0"/>
          <w:w w:val="100"/>
          <w:position w:val="0"/>
          <w:sz w:val="24"/>
          <w:szCs w:val="24"/>
        </w:rPr>
        <w:t>九</w:t>
      </w:r>
      <w:bookmarkEnd w:id="587"/>
      <w:r>
        <w:rPr>
          <w:color w:val="000000"/>
          <w:spacing w:val="0"/>
          <w:w w:val="100"/>
          <w:position w:val="0"/>
          <w:sz w:val="24"/>
          <w:szCs w:val="24"/>
        </w:rPr>
        <w:t>、</w:t>
        <w:tab/>
        <w:t>内部控制评价报告</w:t>
      </w:r>
    </w:p>
    <w:p>
      <w:pPr>
        <w:pStyle w:val="Style38"/>
        <w:keepNext/>
        <w:keepLines/>
        <w:widowControl w:val="0"/>
        <w:shd w:val="clear" w:color="auto" w:fill="auto"/>
        <w:tabs>
          <w:tab w:pos="594" w:val="left"/>
        </w:tabs>
        <w:bidi w:val="0"/>
        <w:spacing w:before="0" w:after="140" w:line="467" w:lineRule="exact"/>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color w:val="000000"/>
          <w:spacing w:val="0"/>
          <w:w w:val="100"/>
          <w:position w:val="0"/>
        </w:rPr>
        <w:t>一）</w:t>
        <w:tab/>
        <w:t>报告期内发现的内部控制重大缺陷的具体情况</w:t>
      </w:r>
      <w:bookmarkEnd w:id="588"/>
      <w:bookmarkEnd w:id="589"/>
      <w:bookmarkEnd w:id="591"/>
    </w:p>
    <w:p>
      <w:pPr>
        <w:pStyle w:val="Style29"/>
        <w:keepNext w:val="0"/>
        <w:keepLines w:val="0"/>
        <w:widowControl w:val="0"/>
        <w:shd w:val="clear" w:color="auto" w:fill="auto"/>
        <w:bidi w:val="0"/>
        <w:spacing w:before="0" w:line="46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594" w:val="left"/>
        </w:tabs>
        <w:bidi w:val="0"/>
        <w:spacing w:before="0" w:after="320" w:line="467" w:lineRule="exact"/>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color w:val="000000"/>
          <w:spacing w:val="0"/>
          <w:w w:val="100"/>
          <w:position w:val="0"/>
        </w:rPr>
        <w:t>二）</w:t>
        <w:tab/>
        <w:t>内控自我评价报告</w:t>
      </w:r>
      <w:bookmarkEnd w:id="592"/>
      <w:bookmarkEnd w:id="593"/>
      <w:bookmarkEnd w:id="595"/>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纳入评价范围单位营业收入占公司合并</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财务报表营业收入的比例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22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在内部控制缺陷不直接对财务报表造成影 响或间接造成影响，数额很难确定的情况 下，通过分析该控制缺陷所涉及业务性质 的严重程度、直接或潜在负面影响的性质、 影响的范围等因素认定缺陷等级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在非财务报告相关内部控制缺陷内容 不直接对财务报表造成影响并且间接 造成的影响额很难确定的情况下，通过 分析该控制缺陷所涉及业务性质的严 重程度、其直接或潜在负面影响的性 质、影响的范围等因素认定其缺陷等 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缺陷类型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财务报表潜在的错报金额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绝对损失金额</w:t>
            </w:r>
          </w:p>
        </w:tc>
      </w:tr>
      <w:tr>
        <w:trPr>
          <w:trHeight w:val="270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一般缺陷</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94" w:val="left"/>
              </w:tabs>
              <w:bidi w:val="0"/>
              <w:spacing w:before="0" w:after="0" w:line="30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涉及总资产的错报金额小于最近一个 会计年度经审计资产总额的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r>
          </w:p>
          <w:p>
            <w:pPr>
              <w:pStyle w:val="Style22"/>
              <w:keepNext w:val="0"/>
              <w:keepLines w:val="0"/>
              <w:widowControl w:val="0"/>
              <w:shd w:val="clear" w:color="auto" w:fill="auto"/>
              <w:tabs>
                <w:tab w:pos="394" w:val="left"/>
              </w:tabs>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涉及净资产的错报金额小于最近一个 会计年度公司合并报表净资产的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22"/>
              <w:keepNext w:val="0"/>
              <w:keepLines w:val="0"/>
              <w:widowControl w:val="0"/>
              <w:shd w:val="clear" w:color="auto" w:fill="auto"/>
              <w:tabs>
                <w:tab w:pos="389" w:val="left"/>
              </w:tabs>
              <w:bidi w:val="0"/>
              <w:spacing w:before="0" w:after="0" w:line="317"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涉及收入的错报金额占最近一个会计 年度经审计收入总额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以下；</w:t>
            </w:r>
          </w:p>
          <w:p>
            <w:pPr>
              <w:pStyle w:val="Style22"/>
              <w:keepNext w:val="0"/>
              <w:keepLines w:val="0"/>
              <w:widowControl w:val="0"/>
              <w:shd w:val="clear" w:color="auto" w:fill="auto"/>
              <w:tabs>
                <w:tab w:pos="389" w:val="left"/>
              </w:tabs>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涉及利润的错报金额占最近一个会计 年度经审计净利润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缺陷导致绝对损失金额占本企业资产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以上。</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重要缺陷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财务报表潜在错报金额介于一般缺陷和重 大缺陷之间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缺陷导致绝对损失金额在本企业资产 总额</w:t>
            </w:r>
            <w:r>
              <w:rPr>
                <w:rFonts w:ascii="Times New Roman" w:eastAsia="Times New Roman" w:hAnsi="Times New Roman" w:cs="Times New Roman"/>
                <w:color w:val="000000"/>
                <w:spacing w:val="0"/>
                <w:w w:val="100"/>
                <w:position w:val="0"/>
                <w:sz w:val="18"/>
                <w:szCs w:val="18"/>
              </w:rPr>
              <w:t>0.5%-1%</w:t>
            </w:r>
            <w:r>
              <w:rPr>
                <w:color w:val="000000"/>
                <w:spacing w:val="0"/>
                <w:w w:val="100"/>
                <w:position w:val="0"/>
                <w:sz w:val="17"/>
                <w:szCs w:val="17"/>
              </w:rPr>
              <w:t>之间。</w:t>
            </w:r>
          </w:p>
        </w:tc>
      </w:tr>
      <w:tr>
        <w:trPr>
          <w:trHeight w:val="270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重大缺陷</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89" w:val="left"/>
              </w:tabs>
              <w:bidi w:val="0"/>
              <w:spacing w:before="0" w:after="4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涉及总资产的错报金额占最近一个会 计年度经审计资产总额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以上；</w:t>
            </w:r>
          </w:p>
          <w:p>
            <w:pPr>
              <w:pStyle w:val="Style22"/>
              <w:keepNext w:val="0"/>
              <w:keepLines w:val="0"/>
              <w:widowControl w:val="0"/>
              <w:shd w:val="clear" w:color="auto" w:fill="auto"/>
              <w:tabs>
                <w:tab w:pos="389" w:val="left"/>
              </w:tabs>
              <w:bidi w:val="0"/>
              <w:spacing w:before="0" w:after="4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涉及净资产的错报金额占最近一个会 计年度经审计净资产总额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以上；</w:t>
            </w:r>
          </w:p>
          <w:p>
            <w:pPr>
              <w:pStyle w:val="Style22"/>
              <w:keepNext w:val="0"/>
              <w:keepLines w:val="0"/>
              <w:widowControl w:val="0"/>
              <w:shd w:val="clear" w:color="auto" w:fill="auto"/>
              <w:tabs>
                <w:tab w:pos="389" w:val="left"/>
              </w:tabs>
              <w:bidi w:val="0"/>
              <w:spacing w:before="0" w:after="4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涉及收入的错报金额占最近一个会计 年度经审计收入总额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以上；</w:t>
            </w:r>
          </w:p>
          <w:p>
            <w:pPr>
              <w:pStyle w:val="Style22"/>
              <w:keepNext w:val="0"/>
              <w:keepLines w:val="0"/>
              <w:widowControl w:val="0"/>
              <w:shd w:val="clear" w:color="auto" w:fill="auto"/>
              <w:tabs>
                <w:tab w:pos="389" w:val="left"/>
              </w:tabs>
              <w:bidi w:val="0"/>
              <w:spacing w:before="0" w:after="4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涉及利润的错报金额占最近一个会计 年度经审计净利润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缺陷导致绝对损失金额占本企业资产 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以下。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599" w:line="1" w:lineRule="exact"/>
      </w:pPr>
    </w:p>
    <w:p>
      <w:pPr>
        <w:pStyle w:val="Style27"/>
        <w:keepNext/>
        <w:keepLines/>
        <w:widowControl w:val="0"/>
        <w:shd w:val="clear" w:color="auto" w:fill="auto"/>
        <w:bidi w:val="0"/>
        <w:spacing w:before="0" w:after="520" w:line="240" w:lineRule="auto"/>
        <w:ind w:left="0" w:right="0" w:firstLine="0"/>
        <w:jc w:val="left"/>
      </w:pPr>
      <w:bookmarkStart w:id="596" w:name="bookmark596"/>
      <w:bookmarkStart w:id="597" w:name="bookmark597"/>
      <w:bookmarkStart w:id="598" w:name="bookmark598"/>
      <w:r>
        <w:rPr>
          <w:color w:val="000000"/>
          <w:spacing w:val="0"/>
          <w:w w:val="100"/>
          <w:position w:val="0"/>
          <w:sz w:val="24"/>
          <w:szCs w:val="24"/>
        </w:rPr>
        <w:t>十、内部控制审计报告或鉴证报告</w:t>
      </w:r>
      <w:bookmarkEnd w:id="596"/>
      <w:bookmarkEnd w:id="597"/>
      <w:bookmarkEnd w:id="598"/>
    </w:p>
    <w:p>
      <w:pPr>
        <w:pStyle w:val="Style29"/>
        <w:keepNext w:val="0"/>
        <w:keepLines w:val="0"/>
        <w:widowControl w:val="0"/>
        <w:shd w:val="clear" w:color="auto" w:fill="auto"/>
        <w:bidi w:val="0"/>
        <w:spacing w:before="0" w:after="560" w:line="240" w:lineRule="auto"/>
        <w:ind w:left="0" w:right="0" w:firstLine="0"/>
        <w:jc w:val="left"/>
      </w:pPr>
      <w:r>
        <w:rPr>
          <w:color w:val="000000"/>
          <w:spacing w:val="0"/>
          <w:w w:val="100"/>
          <w:position w:val="0"/>
        </w:rPr>
        <w:t>不适用</w:t>
      </w:r>
    </w:p>
    <w:p>
      <w:pPr>
        <w:pStyle w:val="Style14"/>
        <w:keepNext/>
        <w:keepLines/>
        <w:widowControl w:val="0"/>
        <w:shd w:val="clear" w:color="auto" w:fill="auto"/>
        <w:bidi w:val="0"/>
        <w:spacing w:before="0" w:after="660" w:line="240" w:lineRule="auto"/>
        <w:ind w:left="0" w:right="0" w:firstLine="0"/>
        <w:jc w:val="center"/>
      </w:pPr>
      <w:bookmarkStart w:id="599" w:name="bookmark599"/>
      <w:bookmarkStart w:id="600" w:name="bookmark600"/>
      <w:bookmarkStart w:id="601" w:name="bookmark601"/>
      <w:r>
        <w:rPr>
          <w:color w:val="000000"/>
          <w:spacing w:val="0"/>
          <w:w w:val="100"/>
          <w:position w:val="0"/>
        </w:rPr>
        <w:t>第十一节公司债券相关情况</w:t>
      </w:r>
      <w:bookmarkEnd w:id="599"/>
      <w:bookmarkEnd w:id="600"/>
      <w:bookmarkEnd w:id="601"/>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债券</w:t>
      </w:r>
    </w:p>
    <w:p>
      <w:pPr>
        <w:pStyle w:val="Style29"/>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16" w:right="970" w:bottom="1465" w:left="1036"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after="560" w:line="240" w:lineRule="auto"/>
        <w:ind w:left="0" w:right="0" w:firstLine="0"/>
        <w:jc w:val="center"/>
      </w:pPr>
      <w:bookmarkStart w:id="602" w:name="bookmark602"/>
      <w:bookmarkStart w:id="603" w:name="bookmark603"/>
      <w:bookmarkStart w:id="604" w:name="bookmark604"/>
      <w:r>
        <w:rPr>
          <w:color w:val="000000"/>
          <w:spacing w:val="0"/>
          <w:w w:val="100"/>
          <w:position w:val="0"/>
        </w:rPr>
        <w:t>第十二节财务报告</w:t>
      </w:r>
      <w:bookmarkEnd w:id="602"/>
      <w:bookmarkEnd w:id="603"/>
      <w:bookmarkEnd w:id="604"/>
    </w:p>
    <w:p>
      <w:pPr>
        <w:pStyle w:val="Style27"/>
        <w:keepNext/>
        <w:keepLines/>
        <w:widowControl w:val="0"/>
        <w:shd w:val="clear" w:color="auto" w:fill="auto"/>
        <w:bidi w:val="0"/>
        <w:spacing w:before="0" w:after="320" w:line="240" w:lineRule="auto"/>
        <w:ind w:left="0" w:right="0" w:firstLine="0"/>
        <w:jc w:val="both"/>
      </w:pPr>
      <w:bookmarkStart w:id="605" w:name="bookmark605"/>
      <w:bookmarkStart w:id="606" w:name="bookmark606"/>
      <w:bookmarkStart w:id="607" w:name="bookmark607"/>
      <w:r>
        <w:rPr>
          <w:color w:val="000000"/>
          <w:spacing w:val="0"/>
          <w:w w:val="100"/>
          <w:position w:val="0"/>
          <w:sz w:val="24"/>
          <w:szCs w:val="24"/>
        </w:rPr>
        <w:t>一、审计报告</w:t>
      </w:r>
      <w:bookmarkEnd w:id="605"/>
      <w:bookmarkEnd w:id="606"/>
      <w:bookmarkEnd w:id="60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付忠伟、杨艳</w:t>
            </w:r>
          </w:p>
        </w:tc>
      </w:tr>
    </w:tbl>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799" w:line="1" w:lineRule="exact"/>
      </w:pPr>
    </w:p>
    <w:p>
      <w:pPr>
        <w:pStyle w:val="Style6"/>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审计报告</w:t>
      </w:r>
    </w:p>
    <w:p>
      <w:pPr>
        <w:pStyle w:val="Style22"/>
        <w:keepNext w:val="0"/>
        <w:keepLines w:val="0"/>
        <w:widowControl w:val="0"/>
        <w:shd w:val="clear" w:color="auto" w:fill="auto"/>
        <w:bidi w:val="0"/>
        <w:spacing w:before="0" w:after="740" w:line="240" w:lineRule="auto"/>
        <w:ind w:left="0" w:right="0" w:firstLine="0"/>
        <w:jc w:val="righ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ZI10199</w:t>
      </w:r>
      <w:r>
        <w:rPr>
          <w:color w:val="000000"/>
          <w:spacing w:val="0"/>
          <w:w w:val="100"/>
          <w:position w:val="0"/>
          <w:sz w:val="17"/>
          <w:szCs w:val="17"/>
        </w:rPr>
        <w:t>号</w:t>
      </w:r>
    </w:p>
    <w:p>
      <w:pPr>
        <w:pStyle w:val="Style29"/>
        <w:keepNext w:val="0"/>
        <w:keepLines w:val="0"/>
        <w:widowControl w:val="0"/>
        <w:shd w:val="clear" w:color="auto" w:fill="auto"/>
        <w:bidi w:val="0"/>
        <w:spacing w:before="0" w:line="469" w:lineRule="exact"/>
        <w:ind w:left="0" w:right="0" w:firstLine="0"/>
        <w:jc w:val="both"/>
      </w:pPr>
      <w:r>
        <w:rPr>
          <w:b/>
          <w:bCs/>
          <w:color w:val="000000"/>
          <w:spacing w:val="0"/>
          <w:w w:val="100"/>
          <w:position w:val="0"/>
        </w:rPr>
        <w:t>南凌科技股份有限公司全体股东：</w:t>
      </w:r>
    </w:p>
    <w:p>
      <w:pPr>
        <w:pStyle w:val="Style29"/>
        <w:keepNext w:val="0"/>
        <w:keepLines w:val="0"/>
        <w:widowControl w:val="0"/>
        <w:shd w:val="clear" w:color="auto" w:fill="auto"/>
        <w:tabs>
          <w:tab w:pos="478" w:val="left"/>
        </w:tabs>
        <w:bidi w:val="0"/>
        <w:spacing w:before="0" w:line="469" w:lineRule="exact"/>
        <w:ind w:left="0" w:right="0" w:firstLine="0"/>
        <w:jc w:val="both"/>
      </w:pPr>
      <w:bookmarkStart w:id="608" w:name="bookmark608"/>
      <w:r>
        <w:rPr>
          <w:b/>
          <w:bCs/>
          <w:color w:val="000000"/>
          <w:spacing w:val="0"/>
          <w:w w:val="100"/>
          <w:position w:val="0"/>
        </w:rPr>
        <w:t>一</w:t>
      </w:r>
      <w:bookmarkEnd w:id="608"/>
      <w:r>
        <w:rPr>
          <w:b/>
          <w:bCs/>
          <w:color w:val="000000"/>
          <w:spacing w:val="0"/>
          <w:w w:val="100"/>
          <w:position w:val="0"/>
        </w:rPr>
        <w:t>、</w:t>
        <w:tab/>
        <w:t>审计意见</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我们审计了南凌科技股份有限公司（以下简称南凌科技）财务报表，包括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 变动表以及相关财务报表附注。</w:t>
      </w:r>
    </w:p>
    <w:p>
      <w:pPr>
        <w:pStyle w:val="Style29"/>
        <w:keepNext w:val="0"/>
        <w:keepLines w:val="0"/>
        <w:widowControl w:val="0"/>
        <w:shd w:val="clear" w:color="auto" w:fill="auto"/>
        <w:bidi w:val="0"/>
        <w:spacing w:before="0" w:line="456" w:lineRule="exact"/>
        <w:ind w:left="0" w:right="0" w:firstLine="440"/>
        <w:jc w:val="both"/>
      </w:pPr>
      <w:r>
        <w:rPr>
          <w:color w:val="000000"/>
          <w:spacing w:val="0"/>
          <w:w w:val="100"/>
          <w:position w:val="0"/>
        </w:rPr>
        <w:t>我们认为，后附的财务报表在所有重大方面按照企业会计准则的规定编制，公允反映了南凌科技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9"/>
        <w:keepNext w:val="0"/>
        <w:keepLines w:val="0"/>
        <w:widowControl w:val="0"/>
        <w:shd w:val="clear" w:color="auto" w:fill="auto"/>
        <w:tabs>
          <w:tab w:pos="478" w:val="left"/>
        </w:tabs>
        <w:bidi w:val="0"/>
        <w:spacing w:before="0" w:line="469" w:lineRule="exact"/>
        <w:ind w:left="0" w:right="0" w:firstLine="0"/>
        <w:jc w:val="both"/>
      </w:pPr>
      <w:bookmarkStart w:id="609" w:name="bookmark609"/>
      <w:r>
        <w:rPr>
          <w:b/>
          <w:bCs/>
          <w:color w:val="000000"/>
          <w:spacing w:val="0"/>
          <w:w w:val="100"/>
          <w:position w:val="0"/>
        </w:rPr>
        <w:t>二</w:t>
      </w:r>
      <w:bookmarkEnd w:id="609"/>
      <w:r>
        <w:rPr>
          <w:b/>
          <w:bCs/>
          <w:color w:val="000000"/>
          <w:spacing w:val="0"/>
          <w:w w:val="100"/>
          <w:position w:val="0"/>
        </w:rPr>
        <w:t>、</w:t>
        <w:tab/>
        <w:t>形成审计意见的基础</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部分进一步阐述了我们在这些准则下的责任。按照中国注册会计师职业道德守则，我们独立于南 凌科技，并履行了职业道德方面的其他责任。我们相信，我们获取的审计证据是充分、适当的，为发表审 计意见提供了基础。</w:t>
      </w:r>
    </w:p>
    <w:p>
      <w:pPr>
        <w:pStyle w:val="Style29"/>
        <w:keepNext w:val="0"/>
        <w:keepLines w:val="0"/>
        <w:widowControl w:val="0"/>
        <w:shd w:val="clear" w:color="auto" w:fill="auto"/>
        <w:tabs>
          <w:tab w:pos="483" w:val="left"/>
        </w:tabs>
        <w:bidi w:val="0"/>
        <w:spacing w:before="0" w:after="220" w:line="469" w:lineRule="exact"/>
        <w:ind w:left="0" w:right="0" w:firstLine="0"/>
        <w:jc w:val="both"/>
      </w:pPr>
      <w:bookmarkStart w:id="610" w:name="bookmark610"/>
      <w:r>
        <w:rPr>
          <w:b/>
          <w:bCs/>
          <w:color w:val="000000"/>
          <w:spacing w:val="0"/>
          <w:w w:val="100"/>
          <w:position w:val="0"/>
        </w:rPr>
        <w:t>三</w:t>
      </w:r>
      <w:bookmarkEnd w:id="610"/>
      <w:r>
        <w:rPr>
          <w:b/>
          <w:bCs/>
          <w:color w:val="000000"/>
          <w:spacing w:val="0"/>
          <w:w w:val="100"/>
          <w:position w:val="0"/>
        </w:rPr>
        <w:t>、</w:t>
        <w:tab/>
        <w:t>关键审计事项</w:t>
      </w:r>
      <w:r>
        <w:br w:type="page"/>
      </w:r>
    </w:p>
    <w:p>
      <w:pPr>
        <w:pStyle w:val="Style29"/>
        <w:keepNext w:val="0"/>
        <w:keepLines w:val="0"/>
        <w:widowControl w:val="0"/>
        <w:shd w:val="clear" w:color="auto" w:fill="auto"/>
        <w:bidi w:val="0"/>
        <w:spacing w:before="0" w:after="380" w:line="470" w:lineRule="exact"/>
        <w:ind w:left="0" w:right="0" w:firstLine="520"/>
        <w:jc w:val="both"/>
      </w:pPr>
      <w:r>
        <w:rPr>
          <w:color w:val="000000"/>
          <w:spacing w:val="0"/>
          <w:w w:val="100"/>
          <w:position w:val="0"/>
        </w:rPr>
        <w:t>关键审计事项是我们根据职业判断，认为分别对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年度财务报表审计最为重要的事项。这些事项的 应对以对财务报表整体进行审计并形成审计意见为背景，我们不对这些事项单独发表意见。</w:t>
      </w:r>
    </w:p>
    <w:p>
      <w:pPr>
        <w:pStyle w:val="Style44"/>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我们在审计中识别出的关键审计事项汇总如下:</w:t>
      </w:r>
    </w:p>
    <w:tbl>
      <w:tblPr>
        <w:tblOverlap w:val="never"/>
        <w:jc w:val="center"/>
        <w:tblLayout w:type="fixed"/>
      </w:tblPr>
      <w:tblGrid>
        <w:gridCol w:w="4776"/>
        <w:gridCol w:w="4680"/>
      </w:tblGrid>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456"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522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40" w:line="264" w:lineRule="exact"/>
              <w:ind w:left="0" w:right="0" w:firstLine="0"/>
              <w:jc w:val="both"/>
            </w:pPr>
            <w:r>
              <w:rPr>
                <w:color w:val="000000"/>
                <w:spacing w:val="0"/>
                <w:w w:val="100"/>
                <w:position w:val="0"/>
              </w:rPr>
              <w:t>南凌科技主要从事增值电信服务及相关的系统集 成业务，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年度南凌科技实现销售收入为人民 币 </w:t>
            </w:r>
            <w:r>
              <w:rPr>
                <w:rFonts w:ascii="Times New Roman" w:eastAsia="Times New Roman" w:hAnsi="Times New Roman" w:cs="Times New Roman"/>
                <w:color w:val="000000"/>
                <w:spacing w:val="0"/>
                <w:w w:val="100"/>
                <w:position w:val="0"/>
              </w:rPr>
              <w:t xml:space="preserve">49,503.75 </w:t>
            </w:r>
            <w:r>
              <w:rPr>
                <w:color w:val="000000"/>
                <w:spacing w:val="0"/>
                <w:w w:val="100"/>
                <w:position w:val="0"/>
              </w:rPr>
              <w:t>万元。</w:t>
            </w:r>
          </w:p>
          <w:p>
            <w:pPr>
              <w:pStyle w:val="Style22"/>
              <w:keepNext w:val="0"/>
              <w:keepLines w:val="0"/>
              <w:widowControl w:val="0"/>
              <w:shd w:val="clear" w:color="auto" w:fill="auto"/>
              <w:bidi w:val="0"/>
              <w:spacing w:before="0" w:after="40" w:line="272" w:lineRule="exact"/>
              <w:ind w:left="0" w:right="0" w:firstLine="0"/>
              <w:jc w:val="both"/>
            </w:pPr>
            <w:r>
              <w:rPr>
                <w:color w:val="000000"/>
                <w:spacing w:val="0"/>
                <w:w w:val="100"/>
                <w:position w:val="0"/>
              </w:rPr>
              <w:t>由于销售收入是南凌科技的关键业绩指标之一，从 而存在管理层为了达到特定目标或期望而操纵收 入确认时点的固有风险，因此，我们将南凌科技销 售收入的确认作为关键审计事项。</w:t>
            </w:r>
          </w:p>
          <w:p>
            <w:pPr>
              <w:pStyle w:val="Style22"/>
              <w:keepNext w:val="0"/>
              <w:keepLines w:val="0"/>
              <w:widowControl w:val="0"/>
              <w:shd w:val="clear" w:color="auto" w:fill="auto"/>
              <w:bidi w:val="0"/>
              <w:spacing w:before="0" w:after="40" w:line="269" w:lineRule="exact"/>
              <w:ind w:left="0" w:right="0" w:firstLine="0"/>
              <w:jc w:val="both"/>
            </w:pPr>
            <w:r>
              <w:rPr>
                <w:color w:val="000000"/>
                <w:spacing w:val="0"/>
                <w:w w:val="100"/>
                <w:position w:val="0"/>
              </w:rPr>
              <w:t>关于收入确认的会计政策见附注三、（二十）；关于 收入的披露见附注五、（二十八）。</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我们对收入确认执行了以下主要审计程序：</w:t>
            </w:r>
          </w:p>
          <w:p>
            <w:pPr>
              <w:pStyle w:val="Style22"/>
              <w:keepNext w:val="0"/>
              <w:keepLines w:val="0"/>
              <w:widowControl w:val="0"/>
              <w:shd w:val="clear" w:color="auto" w:fill="auto"/>
              <w:tabs>
                <w:tab w:pos="278" w:val="left"/>
              </w:tabs>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了解和评价管理层与收入确认相关的关键内部 控制的设计和运行有效性；</w:t>
            </w:r>
          </w:p>
          <w:p>
            <w:pPr>
              <w:pStyle w:val="Style22"/>
              <w:keepNext w:val="0"/>
              <w:keepLines w:val="0"/>
              <w:widowControl w:val="0"/>
              <w:shd w:val="clear" w:color="auto" w:fill="auto"/>
              <w:tabs>
                <w:tab w:pos="293"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检查主要客户合同相关条款，并评价公司收入 确认是否符合会计准则的要求；</w:t>
            </w:r>
          </w:p>
          <w:p>
            <w:pPr>
              <w:pStyle w:val="Style22"/>
              <w:keepNext w:val="0"/>
              <w:keepLines w:val="0"/>
              <w:widowControl w:val="0"/>
              <w:shd w:val="clear" w:color="auto" w:fill="auto"/>
              <w:tabs>
                <w:tab w:pos="293"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检查各期销售台账，对各期记录的收入交易选 取样本，核对销售合同或订单、验收单、发票等 支持性文件，评价收入确认的真实性和完整性；</w:t>
            </w:r>
          </w:p>
          <w:p>
            <w:pPr>
              <w:pStyle w:val="Style22"/>
              <w:keepNext w:val="0"/>
              <w:keepLines w:val="0"/>
              <w:widowControl w:val="0"/>
              <w:shd w:val="clear" w:color="auto" w:fill="auto"/>
              <w:tabs>
                <w:tab w:pos="269"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结合业务类型及客户情况对收入以及毛利情况 执行分析性复核程序，判断收入金额是否出现异 常波动的情况；</w:t>
            </w:r>
          </w:p>
          <w:p>
            <w:pPr>
              <w:pStyle w:val="Style22"/>
              <w:keepNext w:val="0"/>
              <w:keepLines w:val="0"/>
              <w:widowControl w:val="0"/>
              <w:shd w:val="clear" w:color="auto" w:fill="auto"/>
              <w:tabs>
                <w:tab w:pos="317" w:val="left"/>
              </w:tabs>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对主要客户选取函证样本执行函证程序；</w:t>
            </w:r>
          </w:p>
          <w:p>
            <w:pPr>
              <w:pStyle w:val="Style22"/>
              <w:keepNext w:val="0"/>
              <w:keepLines w:val="0"/>
              <w:widowControl w:val="0"/>
              <w:shd w:val="clear" w:color="auto" w:fill="auto"/>
              <w:tabs>
                <w:tab w:pos="288"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对营业收入执行截止测试，确认收入是否记入 正确的会计期间；</w:t>
            </w:r>
          </w:p>
          <w:p>
            <w:pPr>
              <w:pStyle w:val="Style22"/>
              <w:keepNext w:val="0"/>
              <w:keepLines w:val="0"/>
              <w:widowControl w:val="0"/>
              <w:shd w:val="clear" w:color="auto" w:fill="auto"/>
              <w:tabs>
                <w:tab w:pos="317"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对主要客户进行实地走访等核查程序。</w:t>
            </w:r>
          </w:p>
        </w:tc>
      </w:tr>
    </w:tbl>
    <w:p>
      <w:pPr>
        <w:pStyle w:val="Style44"/>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四、管理层和治理层对财务报表的责任</w:t>
      </w:r>
    </w:p>
    <w:p>
      <w:pPr>
        <w:widowControl w:val="0"/>
        <w:spacing w:after="139" w:line="1" w:lineRule="exact"/>
      </w:pPr>
    </w:p>
    <w:p>
      <w:pPr>
        <w:pStyle w:val="Style29"/>
        <w:keepNext w:val="0"/>
        <w:keepLines w:val="0"/>
        <w:widowControl w:val="0"/>
        <w:shd w:val="clear" w:color="auto" w:fill="auto"/>
        <w:bidi w:val="0"/>
        <w:spacing w:before="0" w:line="461" w:lineRule="exact"/>
        <w:ind w:left="0" w:right="0" w:firstLine="520"/>
        <w:jc w:val="both"/>
      </w:pPr>
      <w:r>
        <w:rPr>
          <w:color w:val="000000"/>
          <w:spacing w:val="0"/>
          <w:w w:val="100"/>
          <w:position w:val="0"/>
        </w:rPr>
        <w:t>南凌科技管理层（以下简称管理层）负责按照企业会计准则的规定编制财务报表，使其实现公允反映， 并设计、执行和维护必要的内部控制，以使财务报表不存在由于舞弊或错误导致的重大错报。</w:t>
      </w:r>
    </w:p>
    <w:p>
      <w:pPr>
        <w:pStyle w:val="Style29"/>
        <w:keepNext w:val="0"/>
        <w:keepLines w:val="0"/>
        <w:widowControl w:val="0"/>
        <w:shd w:val="clear" w:color="auto" w:fill="auto"/>
        <w:bidi w:val="0"/>
        <w:spacing w:before="0" w:line="466" w:lineRule="exact"/>
        <w:ind w:left="0" w:right="0" w:firstLine="520"/>
        <w:jc w:val="both"/>
      </w:pPr>
      <w:r>
        <w:rPr>
          <w:color w:val="000000"/>
          <w:spacing w:val="0"/>
          <w:w w:val="100"/>
          <w:position w:val="0"/>
        </w:rPr>
        <w:t>在编制财务报表时，管理层负责评估南凌科技的持续经营能力，披露与持续经营相关的事项（如适用）， 并运用持续经营假设，除非计划进行清算、终止运营或别无其他现实的选择。</w:t>
      </w:r>
    </w:p>
    <w:p>
      <w:pPr>
        <w:pStyle w:val="Style29"/>
        <w:keepNext w:val="0"/>
        <w:keepLines w:val="0"/>
        <w:widowControl w:val="0"/>
        <w:shd w:val="clear" w:color="auto" w:fill="auto"/>
        <w:bidi w:val="0"/>
        <w:spacing w:before="0" w:line="466" w:lineRule="exact"/>
        <w:ind w:left="0" w:right="0" w:firstLine="520"/>
        <w:jc w:val="both"/>
      </w:pPr>
      <w:r>
        <w:rPr>
          <w:color w:val="000000"/>
          <w:spacing w:val="0"/>
          <w:w w:val="100"/>
          <w:position w:val="0"/>
        </w:rPr>
        <w:t>治理层负责监督南凌科技的财务报告过程。</w:t>
      </w:r>
    </w:p>
    <w:p>
      <w:pPr>
        <w:pStyle w:val="Style29"/>
        <w:keepNext w:val="0"/>
        <w:keepLines w:val="0"/>
        <w:widowControl w:val="0"/>
        <w:shd w:val="clear" w:color="auto" w:fill="auto"/>
        <w:bidi w:val="0"/>
        <w:spacing w:before="0" w:line="466" w:lineRule="exact"/>
        <w:ind w:left="0" w:right="0" w:firstLine="0"/>
        <w:jc w:val="both"/>
      </w:pPr>
      <w:bookmarkStart w:id="611" w:name="bookmark611"/>
      <w:r>
        <w:rPr>
          <w:b/>
          <w:bCs/>
          <w:color w:val="000000"/>
          <w:spacing w:val="0"/>
          <w:w w:val="100"/>
          <w:position w:val="0"/>
        </w:rPr>
        <w:t>五</w:t>
      </w:r>
      <w:bookmarkEnd w:id="611"/>
      <w:r>
        <w:rPr>
          <w:b/>
          <w:bCs/>
          <w:color w:val="000000"/>
          <w:spacing w:val="0"/>
          <w:w w:val="100"/>
          <w:position w:val="0"/>
        </w:rPr>
        <w:t>、注册会计师对财务报表审计的责任</w:t>
      </w:r>
    </w:p>
    <w:p>
      <w:pPr>
        <w:pStyle w:val="Style29"/>
        <w:keepNext w:val="0"/>
        <w:keepLines w:val="0"/>
        <w:widowControl w:val="0"/>
        <w:shd w:val="clear" w:color="auto" w:fill="auto"/>
        <w:bidi w:val="0"/>
        <w:spacing w:before="0" w:line="466" w:lineRule="exact"/>
        <w:ind w:left="0" w:right="0" w:firstLine="5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29"/>
        <w:keepNext w:val="0"/>
        <w:keepLines w:val="0"/>
        <w:widowControl w:val="0"/>
        <w:shd w:val="clear" w:color="auto" w:fill="auto"/>
        <w:bidi w:val="0"/>
        <w:spacing w:before="0" w:line="467" w:lineRule="exact"/>
        <w:ind w:left="0" w:right="0" w:firstLine="44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29"/>
        <w:keepNext w:val="0"/>
        <w:keepLines w:val="0"/>
        <w:widowControl w:val="0"/>
        <w:shd w:val="clear" w:color="auto" w:fill="auto"/>
        <w:tabs>
          <w:tab w:pos="905" w:val="left"/>
        </w:tabs>
        <w:bidi w:val="0"/>
        <w:spacing w:before="0" w:line="471" w:lineRule="exact"/>
        <w:ind w:left="0" w:right="0" w:firstLine="44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29"/>
        <w:keepNext w:val="0"/>
        <w:keepLines w:val="0"/>
        <w:widowControl w:val="0"/>
        <w:shd w:val="clear" w:color="auto" w:fill="auto"/>
        <w:tabs>
          <w:tab w:pos="905" w:val="left"/>
        </w:tabs>
        <w:bidi w:val="0"/>
        <w:spacing w:before="0" w:line="471" w:lineRule="exact"/>
        <w:ind w:left="0" w:right="0" w:firstLine="44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9"/>
        <w:keepNext w:val="0"/>
        <w:keepLines w:val="0"/>
        <w:widowControl w:val="0"/>
        <w:shd w:val="clear" w:color="auto" w:fill="auto"/>
        <w:tabs>
          <w:tab w:pos="975" w:val="left"/>
        </w:tabs>
        <w:bidi w:val="0"/>
        <w:spacing w:before="0" w:line="472" w:lineRule="exact"/>
        <w:ind w:left="0" w:right="0" w:firstLine="44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对管理层使用持续经营假设的恰当性得出结论。同时，根据获取的审计证据，就可能导致对南 凌科技持续经营能力产生重大疑虑的事项或情况是否存在重大不确定性得出结论。如果我们得出结论认为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项或情况可能导致南凌科技不能持续经营。</w:t>
      </w:r>
    </w:p>
    <w:p>
      <w:pPr>
        <w:pStyle w:val="Style29"/>
        <w:keepNext w:val="0"/>
        <w:keepLines w:val="0"/>
        <w:widowControl w:val="0"/>
        <w:shd w:val="clear" w:color="auto" w:fill="auto"/>
        <w:bidi w:val="0"/>
        <w:spacing w:before="0" w:line="475" w:lineRule="exact"/>
        <w:ind w:left="0" w:right="0" w:firstLine="44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评价财务报表的总体列报（包括披露）、结构和内容，并评价财务报表是否公允反映相关交易 和事项。</w:t>
      </w:r>
    </w:p>
    <w:p>
      <w:pPr>
        <w:pStyle w:val="Style29"/>
        <w:keepNext w:val="0"/>
        <w:keepLines w:val="0"/>
        <w:widowControl w:val="0"/>
        <w:shd w:val="clear" w:color="auto" w:fill="auto"/>
        <w:tabs>
          <w:tab w:pos="971" w:val="left"/>
        </w:tabs>
        <w:bidi w:val="0"/>
        <w:spacing w:before="0" w:line="480" w:lineRule="exact"/>
        <w:ind w:left="0" w:right="0" w:firstLine="44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6</w:t>
      </w:r>
      <w:r>
        <w:rPr>
          <w:color w:val="000000"/>
          <w:spacing w:val="0"/>
          <w:w w:val="100"/>
          <w:position w:val="0"/>
        </w:rPr>
        <w:t>）</w:t>
        <w:tab/>
        <w:t>就南凌科技中实体或业务活动的财务信息获取充分、适当的审计证据，以对财务报表发表审计 意见。我们负责指导、监督和执行集团审计，并对审计意见承担全部责任。</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29"/>
        <w:keepNext w:val="0"/>
        <w:keepLines w:val="0"/>
        <w:widowControl w:val="0"/>
        <w:shd w:val="clear" w:color="auto" w:fill="auto"/>
        <w:bidi w:val="0"/>
        <w:spacing w:before="0" w:line="466" w:lineRule="exact"/>
        <w:ind w:left="0" w:right="0" w:firstLine="440"/>
        <w:jc w:val="both"/>
        <w:sectPr>
          <w:footnotePr>
            <w:pos w:val="pageBottom"/>
            <w:numFmt w:val="decimal"/>
            <w:numRestart w:val="continuous"/>
          </w:footnotePr>
          <w:pgSz w:w="11900" w:h="16840"/>
          <w:pgMar w:top="1326" w:right="1007" w:bottom="1729" w:left="1009"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04" w:header="0" w:footer="3" w:gutter="0"/>
          <w:cols w:space="720"/>
          <w:noEndnote/>
          <w:rtlGutter w:val="0"/>
          <w:docGrid w:linePitch="360"/>
        </w:sectPr>
      </w:pPr>
    </w:p>
    <w:p>
      <w:pPr>
        <w:pStyle w:val="Style29"/>
        <w:keepNext w:val="0"/>
        <w:keepLines w:val="0"/>
        <w:framePr w:w="3418" w:h="274" w:wrap="none" w:vAnchor="text" w:hAnchor="page" w:x="1105" w:y="21"/>
        <w:widowControl w:val="0"/>
        <w:shd w:val="clear" w:color="auto" w:fill="auto"/>
        <w:bidi w:val="0"/>
        <w:spacing w:before="0" w:after="0" w:line="240" w:lineRule="auto"/>
        <w:ind w:left="0" w:right="0" w:firstLine="0"/>
        <w:jc w:val="left"/>
      </w:pPr>
      <w:r>
        <w:rPr>
          <w:b/>
          <w:bCs/>
          <w:color w:val="000000"/>
          <w:spacing w:val="0"/>
          <w:w w:val="100"/>
          <w:position w:val="0"/>
        </w:rPr>
        <w:t>立信会计师事务所（特殊普通合伙）</w:t>
      </w:r>
    </w:p>
    <w:p>
      <w:pPr>
        <w:pStyle w:val="Style29"/>
        <w:keepNext w:val="0"/>
        <w:keepLines w:val="0"/>
        <w:framePr w:w="2371" w:h="898" w:wrap="none" w:vAnchor="text" w:hAnchor="page" w:x="7609" w:y="21"/>
        <w:widowControl w:val="0"/>
        <w:shd w:val="clear" w:color="auto" w:fill="auto"/>
        <w:bidi w:val="0"/>
        <w:spacing w:before="0" w:after="400" w:line="240" w:lineRule="auto"/>
        <w:ind w:left="0" w:right="0" w:firstLine="0"/>
        <w:jc w:val="left"/>
      </w:pPr>
      <w:r>
        <w:rPr>
          <w:b/>
          <w:bCs/>
          <w:color w:val="000000"/>
          <w:spacing w:val="0"/>
          <w:w w:val="100"/>
          <w:position w:val="0"/>
        </w:rPr>
        <w:t>中国注册会计师：付忠伟</w:t>
      </w:r>
    </w:p>
    <w:p>
      <w:pPr>
        <w:pStyle w:val="Style29"/>
        <w:keepNext w:val="0"/>
        <w:keepLines w:val="0"/>
        <w:framePr w:w="2371" w:h="898" w:wrap="none" w:vAnchor="text" w:hAnchor="page" w:x="7609" w:y="21"/>
        <w:widowControl w:val="0"/>
        <w:shd w:val="clear" w:color="auto" w:fill="auto"/>
        <w:bidi w:val="0"/>
        <w:spacing w:before="0" w:after="0" w:line="240" w:lineRule="auto"/>
        <w:ind w:left="0" w:right="0" w:firstLine="0"/>
        <w:jc w:val="left"/>
      </w:pPr>
      <w:r>
        <w:rPr>
          <w:b/>
          <w:bCs/>
          <w:color w:val="000000"/>
          <w:spacing w:val="0"/>
          <w:w w:val="100"/>
          <w:position w:val="0"/>
        </w:rPr>
        <w:t>（项目合伙人）</w:t>
      </w:r>
    </w:p>
    <w:p>
      <w:pPr>
        <w:pStyle w:val="Style29"/>
        <w:keepNext w:val="0"/>
        <w:keepLines w:val="0"/>
        <w:framePr w:w="2222" w:h="269" w:wrap="none" w:vAnchor="text" w:hAnchor="page" w:x="7873" w:y="3510"/>
        <w:widowControl w:val="0"/>
        <w:shd w:val="clear" w:color="auto" w:fill="auto"/>
        <w:bidi w:val="0"/>
        <w:spacing w:before="0" w:after="0" w:line="240" w:lineRule="auto"/>
        <w:ind w:left="0" w:right="0" w:firstLine="0"/>
        <w:jc w:val="left"/>
      </w:pPr>
      <w:r>
        <w:rPr>
          <w:b/>
          <w:bCs/>
          <w:color w:val="000000"/>
          <w:spacing w:val="0"/>
          <w:w w:val="100"/>
          <w:position w:val="0"/>
        </w:rPr>
        <w:t>中国注册会计师：杨艳</w:t>
      </w:r>
    </w:p>
    <w:p>
      <w:pPr>
        <w:pStyle w:val="Style29"/>
        <w:keepNext w:val="0"/>
        <w:keepLines w:val="0"/>
        <w:framePr w:w="941" w:h="278" w:wrap="none" w:vAnchor="text" w:hAnchor="page" w:x="3985" w:y="555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p>
      <w:pPr>
        <w:pStyle w:val="Style22"/>
        <w:keepNext w:val="0"/>
        <w:keepLines w:val="0"/>
        <w:framePr w:w="1426" w:h="269" w:wrap="none" w:vAnchor="text" w:hAnchor="page" w:x="6510" w:y="555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Arial" w:eastAsia="Arial" w:hAnsi="Arial" w:cs="Arial"/>
          <w:b/>
          <w:bCs/>
          <w:color w:val="000000"/>
          <w:spacing w:val="0"/>
          <w:w w:val="100"/>
          <w:position w:val="0"/>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rPr>
        <w:t>19</w:t>
      </w:r>
      <w:r>
        <w:rPr>
          <w:b/>
          <w:bCs/>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11900" w:h="16840"/>
          <w:pgMar w:top="1152" w:right="1138" w:bottom="1162" w:left="1104" w:header="0" w:footer="3" w:gutter="0"/>
          <w:cols w:space="720"/>
          <w:noEndnote/>
          <w:rtlGutter w:val="0"/>
          <w:docGrid w:linePitch="360"/>
        </w:sectPr>
      </w:pPr>
    </w:p>
    <w:p>
      <w:pPr>
        <w:pStyle w:val="Style27"/>
        <w:keepNext/>
        <w:keepLines/>
        <w:widowControl w:val="0"/>
        <w:shd w:val="clear" w:color="auto" w:fill="auto"/>
        <w:bidi w:val="0"/>
        <w:spacing w:before="380" w:after="500" w:line="240" w:lineRule="auto"/>
        <w:ind w:left="0" w:right="0" w:firstLine="0"/>
        <w:jc w:val="left"/>
      </w:pPr>
      <w:bookmarkStart w:id="618" w:name="bookmark618"/>
      <w:bookmarkStart w:id="619" w:name="bookmark619"/>
      <w:bookmarkStart w:id="620" w:name="bookmark620"/>
      <w:r>
        <w:rPr>
          <w:color w:val="000000"/>
          <w:spacing w:val="0"/>
          <w:w w:val="100"/>
          <w:position w:val="0"/>
          <w:sz w:val="24"/>
          <w:szCs w:val="24"/>
        </w:rPr>
        <w:t>二、财务报表</w:t>
      </w:r>
      <w:bookmarkEnd w:id="618"/>
      <w:bookmarkEnd w:id="619"/>
      <w:bookmarkEnd w:id="620"/>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after="360" w:line="240" w:lineRule="auto"/>
        <w:ind w:left="0" w:right="0" w:firstLine="0"/>
        <w:jc w:val="left"/>
      </w:pPr>
      <w:bookmarkStart w:id="621" w:name="bookmark621"/>
      <w:bookmarkStart w:id="622" w:name="bookmark622"/>
      <w:bookmarkStart w:id="623" w:name="bookmark623"/>
      <w:r>
        <w:rPr>
          <w:color w:val="000000"/>
          <w:spacing w:val="0"/>
          <w:w w:val="100"/>
          <w:position w:val="0"/>
        </w:rPr>
        <w:t>（一）合并资产负债表</w:t>
      </w:r>
      <w:bookmarkEnd w:id="621"/>
      <w:bookmarkEnd w:id="622"/>
      <w:bookmarkEnd w:id="623"/>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D3D3D3"/>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694,820,408.48</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94,434,391.36</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1,994,195.46</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84,789,335.44</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99,045,450.42</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9,423,240.55</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3,626,888.21</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2,359,331.63</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6,196,531.00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8,939,977.20</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7,539,315.87</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1,391,688.28</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4,810,961.06</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2,989,484.34</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807,074,942.64</w:t>
            </w:r>
          </w:p>
        </w:tc>
        <w:tc>
          <w:tcPr>
            <w:tcBorders>
              <w:top w:val="single" w:sz="4"/>
              <w:left w:val="single" w:sz="4"/>
              <w:right w:val="single" w:sz="4"/>
            </w:tcBorders>
            <w:shd w:val="clear" w:color="auto" w:fill="FFFFFF"/>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215,826,256.66</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D3D3D3"/>
            <w:vAlign w:val="top"/>
          </w:tcPr>
          <w:p>
            <w:pPr>
              <w:framePr w:w="9586" w:h="11270" w:hSpace="10" w:vSpace="307" w:wrap="notBeside" w:vAnchor="text" w:hAnchor="text" w:x="164" w:y="308"/>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framePr w:w="9586" w:h="11270" w:hSpace="10" w:vSpace="307" w:wrap="notBeside" w:vAnchor="text" w:hAnchor="text" w:x="164" w:y="308"/>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framePr w:w="9586" w:h="11270" w:hSpace="10" w:vSpace="307" w:wrap="notBeside" w:vAnchor="text" w:hAnchor="text" w:x="164" w:y="308"/>
              <w:widowControl w:val="0"/>
              <w:rPr>
                <w:sz w:val="10"/>
                <w:szCs w:val="10"/>
              </w:rPr>
            </w:pPr>
          </w:p>
        </w:tc>
        <w:tc>
          <w:tcPr>
            <w:tcBorders>
              <w:top w:val="single" w:sz="4"/>
              <w:left w:val="single" w:sz="4"/>
              <w:bottom w:val="single" w:sz="4"/>
              <w:right w:val="single" w:sz="4"/>
            </w:tcBorders>
            <w:shd w:val="clear" w:color="auto" w:fill="FFFFFF"/>
            <w:vAlign w:val="top"/>
          </w:tcPr>
          <w:p>
            <w:pPr>
              <w:framePr w:w="9586" w:h="11270" w:hSpace="10" w:vSpace="307" w:wrap="notBeside" w:vAnchor="text" w:hAnchor="text" w:x="164" w:y="308"/>
              <w:widowControl w:val="0"/>
              <w:rPr>
                <w:sz w:val="10"/>
                <w:szCs w:val="10"/>
              </w:rPr>
            </w:pPr>
          </w:p>
        </w:tc>
      </w:tr>
    </w:tbl>
    <w:p>
      <w:pPr>
        <w:pStyle w:val="Style44"/>
        <w:keepNext w:val="0"/>
        <w:keepLines w:val="0"/>
        <w:framePr w:w="2736" w:h="235" w:hSpace="153" w:wrap="notBeside" w:vAnchor="text" w:hAnchor="text" w:x="154" w:y="1"/>
        <w:widowControl w:val="0"/>
        <w:shd w:val="clear" w:color="auto" w:fill="auto"/>
        <w:bidi w:val="0"/>
        <w:spacing w:before="0" w:after="0" w:line="240" w:lineRule="auto"/>
        <w:ind w:left="0" w:right="0" w:firstLine="0"/>
        <w:jc w:val="left"/>
      </w:pPr>
      <w:r>
        <w:rPr>
          <w:color w:val="000000"/>
          <w:spacing w:val="0"/>
          <w:w w:val="100"/>
          <w:position w:val="0"/>
        </w:rPr>
        <w:t>编制单位：南凌科技股份有限公司</w:t>
      </w:r>
    </w:p>
    <w:p>
      <w:pPr>
        <w:pStyle w:val="Style44"/>
        <w:keepNext w:val="0"/>
        <w:keepLines w:val="0"/>
        <w:framePr w:w="1531" w:h="235" w:hSpace="153" w:wrap="notBeside" w:vAnchor="text" w:hAnchor="text" w:x="519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4"/>
        <w:keepNext w:val="0"/>
        <w:keepLines w:val="0"/>
        <w:framePr w:w="758" w:h="230" w:hSpace="153" w:wrap="notBeside" w:vAnchor="text" w:hAnchor="text" w:x="8938" w:y="1"/>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66,975,815.29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58,462,529.01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1,260,603.32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2,660,162.05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1,599,151.59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3,317,511.68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4,949,911.51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398,581.37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73,547,089.01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66,689,306.37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880,622,031.65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282,515,563.03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42,135,456.59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46,552,760.82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9,563,548.30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10,344,153.40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13,185,533.52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13,129,882.44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3,049,812.10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3,450,889.62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3,077,557.85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3,511,194.69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2,729,601.27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2,985,047.81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75,522,114.73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80,193,323.68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75,522,114.73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81,193,323.68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72,919,650.00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54,689,650.00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528,329,349.51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18,631,135.94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411,506.80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23,500,558.59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15,979,259.67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180,173,129.12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111,626,042.36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805,146,955.54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201,337,594.77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805,099,916.92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201,322,239.35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880,622,031.65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282,515,563.03</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699770</wp:posOffset>
                </wp:positionH>
                <wp:positionV relativeFrom="margin">
                  <wp:posOffset>1981200</wp:posOffset>
                </wp:positionV>
                <wp:extent cx="1057910" cy="149225"/>
                <wp:wrapTopAndBottom/>
                <wp:docPr id="15" name="Shape 15"/>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wps:txbx>
                      <wps:bodyPr wrap="none" lIns="0" tIns="0" rIns="0" bIns="0">
                        <a:noAutoFit/>
                      </wps:bodyPr>
                    </wps:wsp>
                  </a:graphicData>
                </a:graphic>
              </wp:anchor>
            </w:drawing>
          </mc:Choice>
          <mc:Fallback>
            <w:pict>
              <v:shape id="_x0000_s1041" type="#_x0000_t202" style="position:absolute;margin-left:55.100000000000001pt;margin-top:156.pt;width:83.299999999999997pt;height:11.75pt;z-index:-125829373;mso-wrap-distance-left:9.pt;mso-wrap-distance-top:12.pt;mso-wrap-distance-right:40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v:textbox>
                <w10:wrap type="topAndBottom" anchorx="page" anchory="margin"/>
              </v:shape>
            </w:pict>
          </mc:Fallback>
        </mc:AlternateContent>
      </w:r>
      <w:r>
        <mc:AlternateContent>
          <mc:Choice Requires="wps">
            <w:drawing>
              <wp:anchor distT="152400" distB="3175" distL="2293620" distR="2516505" simplePos="0" relativeHeight="125829382" behindDoc="0" locked="0" layoutInCell="1" allowOverlap="1">
                <wp:simplePos x="0" y="0"/>
                <wp:positionH relativeFrom="page">
                  <wp:posOffset>2879090</wp:posOffset>
                </wp:positionH>
                <wp:positionV relativeFrom="margin">
                  <wp:posOffset>1981200</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wps:txbx>
                      <wps:bodyPr wrap="none" lIns="0" tIns="0" rIns="0" bIns="0">
                        <a:noAutoFit/>
                      </wps:bodyPr>
                    </wps:wsp>
                  </a:graphicData>
                </a:graphic>
              </wp:anchor>
            </w:drawing>
          </mc:Choice>
          <mc:Fallback>
            <w:pict>
              <v:shape id="_x0000_s1043" type="#_x0000_t202" style="position:absolute;margin-left:226.70000000000002pt;margin-top:156.pt;width:118.55pt;height:11.5pt;z-index:-125829371;mso-wrap-distance-left:180.59999999999999pt;mso-wrap-distance-top:12.pt;mso-wrap-distance-right:198.15000000000001pt;mso-wrap-distance-bottom:0.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5503545</wp:posOffset>
                </wp:positionH>
                <wp:positionV relativeFrom="margin">
                  <wp:posOffset>1981200</wp:posOffset>
                </wp:positionV>
                <wp:extent cx="1283335" cy="149225"/>
                <wp:wrapTopAndBottom/>
                <wp:docPr id="19" name="Shape 1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wps:txbx>
                      <wps:bodyPr wrap="none" lIns="0" tIns="0" rIns="0" bIns="0">
                        <a:noAutoFit/>
                      </wps:bodyPr>
                    </wps:wsp>
                  </a:graphicData>
                </a:graphic>
              </wp:anchor>
            </w:drawing>
          </mc:Choice>
          <mc:Fallback>
            <w:pict>
              <v:shape id="_x0000_s1045" type="#_x0000_t202" style="position:absolute;margin-left:433.35000000000002pt;margin-top:156.pt;width:101.05pt;height:11.75pt;z-index:-125829369;mso-wrap-distance-left:387.25pt;mso-wrap-distance-top:12.pt;mso-wrap-distance-right: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v:textbox>
                <w10:wrap type="topAndBottom" anchorx="page" anchory="margin"/>
              </v:shape>
            </w:pict>
          </mc:Fallback>
        </mc:AlternateContent>
      </w:r>
      <w:bookmarkStart w:id="624" w:name="bookmark624"/>
      <w:bookmarkStart w:id="625" w:name="bookmark625"/>
      <w:bookmarkStart w:id="626" w:name="bookmark626"/>
      <w:r>
        <w:rPr>
          <w:color w:val="000000"/>
          <w:spacing w:val="0"/>
          <w:w w:val="100"/>
          <w:position w:val="0"/>
        </w:rPr>
        <w:t>（二）母公司资产负债表</w:t>
      </w:r>
      <w:bookmarkEnd w:id="624"/>
      <w:bookmarkEnd w:id="625"/>
      <w:bookmarkEnd w:id="626"/>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658,273,139.36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76,333,493.71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1,994,195.46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79,331,321.63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86,046,639.12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6,698,929.32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3,617,645.35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9,363,569.11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10,682,724.50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8,939,977.20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7,065,422.07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1,391,688.28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4,504,303.14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2,821,392.75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769,042,928.04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188,561,512.96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30,493,274.52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20,493,274.52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66,975,815.29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2,660,162.05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1,599,151.59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3,317,511.68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4,949,911.51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395,597.18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401,779.32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104,037,379.34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87,167,249.27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873,080,307.38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275,728,762.23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39,316,090.79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43,757,345.74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9,513,171.54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10,001,611.86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13,179,542.52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13,124,582.44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3,022,426.55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3,360,847.06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3,040,441.52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3,493,278.69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2,615,631.46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2,716,176.82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72,175,744.70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76,965,402.29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72,175,744.70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77,965,402.29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72,919,650.00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54,689,650.00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527,384,697.59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17,686,484.02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23,500,558.59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15,979,259.67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177,099,656.50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109,407,966.25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800,904,562.68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197,763,359.94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873,080,307.38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275,728,762.23</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三）合并利润表</w:t>
      </w:r>
      <w:bookmarkEnd w:id="627"/>
      <w:bookmarkEnd w:id="628"/>
      <w:bookmarkEnd w:id="63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495,037,518.78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502,177,650.65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495,037,518.78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502,177,650.65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415,776,631.57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426,046,082.51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308,488,420.30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317,094,579.27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352,205.23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44,220,464.78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47,390,833.21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31,105,802.77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30,193,036.90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33,303,220.25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31,942,775.75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-1,650,554.73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-927,347.85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1,978,056.04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1,150,076.98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5,737,104.33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4,722,452.68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-169,814.94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-329,959.72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85,115,792.35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80,354,246.16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1,043,311.85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1,660,547.39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85,939,344.16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81,581,994.15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9,902,576.43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9,713,432.13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76,036,767.73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71,868,562.02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76,036,767.73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71,868,562.02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76,068,385.68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71,901,205.60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-187,303.73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52,796.60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-187,303.73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-187,303.73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52,796.60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75,849,464.00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71,921,358.62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75,881,081.95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71,954,002.20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bl>
    <w:p>
      <w:pPr>
        <w:pStyle w:val="Style38"/>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43500" simplePos="0" relativeHeight="125829386" behindDoc="0" locked="0" layoutInCell="1" allowOverlap="1">
                <wp:simplePos x="0" y="0"/>
                <wp:positionH relativeFrom="page">
                  <wp:posOffset>699770</wp:posOffset>
                </wp:positionH>
                <wp:positionV relativeFrom="margin">
                  <wp:posOffset>3356610</wp:posOffset>
                </wp:positionV>
                <wp:extent cx="1057910" cy="149225"/>
                <wp:wrapTopAndBottom/>
                <wp:docPr id="21" name="Shape 2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wps:txbx>
                      <wps:bodyPr wrap="none" lIns="0" tIns="0" rIns="0" bIns="0">
                        <a:noAutoFit/>
                      </wps:bodyPr>
                    </wps:wsp>
                  </a:graphicData>
                </a:graphic>
              </wp:anchor>
            </w:drawing>
          </mc:Choice>
          <mc:Fallback>
            <w:pict>
              <v:shape id="_x0000_s1047" type="#_x0000_t202" style="position:absolute;margin-left:55.100000000000001pt;margin-top:264.30000000000001pt;width:83.299999999999997pt;height:11.75pt;z-index:-125829367;mso-wrap-distance-left:9.pt;mso-wrap-distance-top:12.pt;mso-wrap-distance-right:40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法定代表人：陈树林</w:t>
                      </w:r>
                    </w:p>
                  </w:txbxContent>
                </v:textbox>
                <w10:wrap type="topAndBottom" anchorx="page" anchory="margin"/>
              </v:shape>
            </w:pict>
          </mc:Fallback>
        </mc:AlternateContent>
      </w:r>
      <w:r>
        <mc:AlternateContent>
          <mc:Choice Requires="wps">
            <w:drawing>
              <wp:anchor distT="152400" distB="3175" distL="2293620" distR="2516505" simplePos="0" relativeHeight="125829388" behindDoc="0" locked="0" layoutInCell="1" allowOverlap="1">
                <wp:simplePos x="0" y="0"/>
                <wp:positionH relativeFrom="page">
                  <wp:posOffset>2879090</wp:posOffset>
                </wp:positionH>
                <wp:positionV relativeFrom="margin">
                  <wp:posOffset>3356610</wp:posOffset>
                </wp:positionV>
                <wp:extent cx="1505585" cy="146050"/>
                <wp:wrapTopAndBottom/>
                <wp:docPr id="23" name="Shape 2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wps:txbx>
                      <wps:bodyPr wrap="none" lIns="0" tIns="0" rIns="0" bIns="0">
                        <a:noAutoFit/>
                      </wps:bodyPr>
                    </wps:wsp>
                  </a:graphicData>
                </a:graphic>
              </wp:anchor>
            </w:drawing>
          </mc:Choice>
          <mc:Fallback>
            <w:pict>
              <v:shape id="_x0000_s1049" type="#_x0000_t202" style="position:absolute;margin-left:226.70000000000002pt;margin-top:264.30000000000001pt;width:118.55pt;height:11.5pt;z-index:-125829365;mso-wrap-distance-left:180.59999999999999pt;mso-wrap-distance-top:12.pt;mso-wrap-distance-right:198.15000000000001pt;mso-wrap-distance-bottom:0.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主管会计工作负责人：陈金标</w:t>
                      </w:r>
                    </w:p>
                  </w:txbxContent>
                </v:textbox>
                <w10:wrap type="topAndBottom" anchorx="page" anchory="margin"/>
              </v:shape>
            </w:pict>
          </mc:Fallback>
        </mc:AlternateContent>
      </w:r>
      <w:r>
        <mc:AlternateContent>
          <mc:Choice Requires="wps">
            <w:drawing>
              <wp:anchor distT="152400" distB="0" distL="4918075" distR="114300" simplePos="0" relativeHeight="125829390" behindDoc="0" locked="0" layoutInCell="1" allowOverlap="1">
                <wp:simplePos x="0" y="0"/>
                <wp:positionH relativeFrom="page">
                  <wp:posOffset>5503545</wp:posOffset>
                </wp:positionH>
                <wp:positionV relativeFrom="margin">
                  <wp:posOffset>3356610</wp:posOffset>
                </wp:positionV>
                <wp:extent cx="1283335" cy="149225"/>
                <wp:wrapTopAndBottom/>
                <wp:docPr id="25" name="Shape 2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wps:txbx>
                      <wps:bodyPr wrap="none" lIns="0" tIns="0" rIns="0" bIns="0">
                        <a:noAutoFit/>
                      </wps:bodyPr>
                    </wps:wsp>
                  </a:graphicData>
                </a:graphic>
              </wp:anchor>
            </w:drawing>
          </mc:Choice>
          <mc:Fallback>
            <w:pict>
              <v:shape id="_x0000_s1051" type="#_x0000_t202" style="position:absolute;margin-left:433.35000000000002pt;margin-top:264.30000000000001pt;width:101.05pt;height:11.75pt;z-index:-125829363;mso-wrap-distance-left:387.25pt;mso-wrap-distance-top:12.pt;mso-wrap-distance-right: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会计机构负责人：马锦培</w:t>
                      </w:r>
                    </w:p>
                  </w:txbxContent>
                </v:textbox>
                <w10:wrap type="topAndBottom" anchorx="page" anchory="margin"/>
              </v:shape>
            </w:pict>
          </mc:Fallback>
        </mc:AlternateContent>
      </w: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四）母公司利润表</w:t>
      </w:r>
      <w:bookmarkEnd w:id="631"/>
      <w:bookmarkEnd w:id="632"/>
      <w:bookmarkEnd w:id="63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484,015,685.04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480,739,859.02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301,314,881.35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301,452,906.11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305,068.40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330,064.35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42,734,060.44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46,006,837.25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29,837,769.96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28,578,471.78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33,034,636.17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31,942,775.75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-1,883,278.26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-845,604.78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1,938,582.54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1,128,758.84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5,737,104.33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4,222,452.68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100" w:right="0" w:firstLine="0"/>
              <w:jc w:val="left"/>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52,656.48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-329,959.72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84,321,685.87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77,219,558.00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949,492.25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1,660,503.17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432,650.15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85,051,418.08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78,447,411.02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9,838,428.91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9,484,338.74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75,212,989.17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68,963,072.28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75,212,989.17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68,963,072.28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75,212,989.17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68,963,072.28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五）合并现金流量表</w:t>
      </w:r>
      <w:bookmarkEnd w:id="635"/>
      <w:bookmarkEnd w:id="636"/>
      <w:bookmarkEnd w:id="63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543,945,549.02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512,759,352.01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5,672,048.50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7,075,223.43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549,637,805.68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519,834,575.44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331,120,709.99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331,376,984.85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77,038,408.02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75,119,251.70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10,949,216.39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11,637,429.10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27,179,762.32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29,923,491.63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446,288,096.72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448,057,157.28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103,349,708.96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71,777,418.16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31,597,248.03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31,705,786.81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31,597,248.03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31,705,786.81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-31,597,248.03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-31,705,786.81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550,713,885.00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550,713,885.00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40,325,629.40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54,444,229.40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528,374,905.90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-54,444,229.40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599,821,939.15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-14,252,998.71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94,398,471.36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108,651,470.07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694,220,410.51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94,398,471.36</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color w:val="000000"/>
          <w:spacing w:val="0"/>
          <w:w w:val="100"/>
          <w:position w:val="0"/>
        </w:rPr>
        <w:t>六）母公司现金流量表</w:t>
      </w:r>
      <w:bookmarkEnd w:id="639"/>
      <w:bookmarkEnd w:id="640"/>
      <w:bookmarkEnd w:id="64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505,524,456.85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478,805,297.05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27,044,350.18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13,482,624.80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532,568,807.03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492,287,921.85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307,987,367.56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300,334,357.77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76,086,725.16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74,149,327.96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10,816,138.26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11,352,565.37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43,079,754.11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27,832,427.84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437,969,985.09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413,668,678.94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94,598,821.94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78,619,242.91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31,597,248.03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31,705,786.81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41,597,248.03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50,705,786.81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-41,597,248.03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-50,705,786.81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550,713,885.00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550,713,885.00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40,325,629.40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54,444,229.40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528,374,905.90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-54,444,229.40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40,515.09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581,375,567.68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-26,490,258.21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76,297,573.71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102,787,831.92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657,673,141.39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76,297,573.71</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color w:val="000000"/>
          <w:spacing w:val="0"/>
          <w:w w:val="100"/>
          <w:position w:val="0"/>
        </w:rPr>
        <w:t>七）合并所有者权益变动表</w:t>
      </w:r>
      <w:bookmarkEnd w:id="643"/>
      <w:bookmarkEnd w:id="644"/>
      <w:bookmarkEnd w:id="64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7,594.</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left"/>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7,594.</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509,69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68,547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603,80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9,360.</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76,068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75,881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509,69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509,69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权益合</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加：会计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358,71</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,239.35</w:t>
            </w:r>
          </w:p>
        </w:tc>
      </w:tr>
    </w:tbl>
    <w:p>
      <w:pPr>
        <w:widowControl w:val="0"/>
        <w:spacing w:after="319" w:line="1" w:lineRule="exact"/>
      </w:pPr>
    </w:p>
    <w:p>
      <w:pPr>
        <w:pStyle w:val="Style38"/>
        <w:keepNext/>
        <w:keepLines/>
        <w:widowControl w:val="0"/>
        <w:shd w:val="clear" w:color="auto" w:fill="auto"/>
        <w:bidi w:val="0"/>
        <w:spacing w:before="0" w:after="72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color w:val="000000"/>
          <w:spacing w:val="0"/>
          <w:w w:val="100"/>
          <w:position w:val="0"/>
        </w:rPr>
        <w:t>八）母公司所有者权益变动表</w:t>
      </w:r>
      <w:bookmarkEnd w:id="647"/>
      <w:bookmarkEnd w:id="648"/>
      <w:bookmarkEnd w:id="65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17,686,4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509,698,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603,141,2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509,698,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527,928,2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509,698,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527,928,2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7,521,37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72,919,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800,904,5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9,082,9</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72,425,78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153,884,87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-84,584.91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17,686,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9,082,9</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72,341,20</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41" w:lineRule="exact"/>
              <w:ind w:left="0" w:right="0" w:firstLine="0"/>
              <w:jc w:val="left"/>
              <w:rPr>
                <w:sz w:val="17"/>
                <w:szCs w:val="17"/>
              </w:rPr>
            </w:pPr>
            <w:r>
              <w:rPr>
                <w:color w:val="000000"/>
                <w:spacing w:val="0"/>
                <w:w w:val="100"/>
                <w:position w:val="0"/>
                <w:sz w:val="17"/>
                <w:szCs w:val="17"/>
              </w:rPr>
              <w:t>三、本期增减变 动金额（减少以</w:t>
            </w:r>
          </w:p>
          <w:p>
            <w:pPr>
              <w:pStyle w:val="Style22"/>
              <w:keepNext w:val="0"/>
              <w:keepLines w:val="0"/>
              <w:widowControl w:val="0"/>
              <w:shd w:val="clear" w:color="auto" w:fill="auto"/>
              <w:bidi w:val="0"/>
              <w:spacing w:before="0" w:after="0" w:line="396"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37,066,76</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43,963,072.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68,963,07</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-31,896,3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-6,896,30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54,689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197,763,35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bl>
    <w:p>
      <w:pPr>
        <w:widowControl w:val="0"/>
        <w:spacing w:after="299" w:line="1" w:lineRule="exact"/>
      </w:pPr>
    </w:p>
    <w:p>
      <w:pPr>
        <w:pStyle w:val="Style27"/>
        <w:keepNext/>
        <w:keepLines/>
        <w:widowControl w:val="0"/>
        <w:shd w:val="clear" w:color="auto" w:fill="auto"/>
        <w:bidi w:val="0"/>
        <w:spacing w:before="0" w:after="20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三</w:t>
      </w:r>
      <w:bookmarkEnd w:id="653"/>
      <w:r>
        <w:rPr>
          <w:color w:val="000000"/>
          <w:spacing w:val="0"/>
          <w:w w:val="100"/>
          <w:position w:val="0"/>
          <w:sz w:val="24"/>
          <w:szCs w:val="24"/>
        </w:rPr>
        <w:t>、公司基本情况</w:t>
      </w:r>
      <w:bookmarkEnd w:id="651"/>
      <w:bookmarkEnd w:id="652"/>
      <w:bookmarkEnd w:id="654"/>
    </w:p>
    <w:p>
      <w:pPr>
        <w:pStyle w:val="Style29"/>
        <w:keepNext w:val="0"/>
        <w:keepLines w:val="0"/>
        <w:widowControl w:val="0"/>
        <w:shd w:val="clear" w:color="auto" w:fill="auto"/>
        <w:bidi w:val="0"/>
        <w:spacing w:before="0" w:line="466" w:lineRule="exact"/>
        <w:ind w:left="0" w:right="0" w:firstLine="0"/>
        <w:jc w:val="left"/>
      </w:pPr>
      <w:r>
        <w:rPr>
          <w:b/>
          <w:bCs/>
          <w:color w:val="000000"/>
          <w:spacing w:val="0"/>
          <w:w w:val="100"/>
          <w:position w:val="0"/>
        </w:rPr>
        <w:t>（一）公司概况</w:t>
      </w:r>
    </w:p>
    <w:p>
      <w:pPr>
        <w:pStyle w:val="Style29"/>
        <w:keepNext w:val="0"/>
        <w:keepLines w:val="0"/>
        <w:widowControl w:val="0"/>
        <w:shd w:val="clear" w:color="auto" w:fill="auto"/>
        <w:bidi w:val="0"/>
        <w:spacing w:before="0" w:line="466" w:lineRule="exact"/>
        <w:ind w:left="0" w:right="0" w:firstLine="0"/>
        <w:jc w:val="left"/>
      </w:pPr>
      <w:r>
        <w:rPr>
          <w:color w:val="000000"/>
          <w:spacing w:val="0"/>
          <w:w w:val="100"/>
          <w:position w:val="0"/>
        </w:rPr>
        <w:t>名称：南凌科技股份有限公司</w:t>
      </w:r>
    </w:p>
    <w:p>
      <w:pPr>
        <w:pStyle w:val="Style29"/>
        <w:keepNext w:val="0"/>
        <w:keepLines w:val="0"/>
        <w:widowControl w:val="0"/>
        <w:shd w:val="clear" w:color="auto" w:fill="auto"/>
        <w:bidi w:val="0"/>
        <w:spacing w:before="0" w:line="466" w:lineRule="exact"/>
        <w:ind w:left="0" w:right="0" w:firstLine="0"/>
        <w:jc w:val="left"/>
      </w:pPr>
      <w:r>
        <w:rPr>
          <w:color w:val="000000"/>
          <w:spacing w:val="0"/>
          <w:w w:val="100"/>
          <w:position w:val="0"/>
        </w:rPr>
        <w:t>注册住所：深圳市福田区深南大道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层</w:t>
      </w:r>
    </w:p>
    <w:p>
      <w:pPr>
        <w:pStyle w:val="Style22"/>
        <w:keepNext w:val="0"/>
        <w:keepLines w:val="0"/>
        <w:widowControl w:val="0"/>
        <w:shd w:val="clear" w:color="auto" w:fill="auto"/>
        <w:bidi w:val="0"/>
        <w:spacing w:before="0" w:after="380" w:line="466"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sz w:val="20"/>
          <w:szCs w:val="20"/>
        </w:rPr>
        <w:t>0</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7,291.965</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9"/>
        <w:keepNext w:val="0"/>
        <w:keepLines w:val="0"/>
        <w:widowControl w:val="0"/>
        <w:shd w:val="clear" w:color="auto" w:fill="auto"/>
        <w:bidi w:val="0"/>
        <w:spacing w:before="0" w:line="466" w:lineRule="exact"/>
        <w:ind w:left="0" w:right="0" w:firstLine="0"/>
        <w:jc w:val="left"/>
      </w:pPr>
      <w:r>
        <w:rPr>
          <w:color w:val="000000"/>
          <w:spacing w:val="0"/>
          <w:w w:val="100"/>
          <w:position w:val="0"/>
        </w:rPr>
        <w:t>法人代表：陈树林</w:t>
      </w:r>
    </w:p>
    <w:p>
      <w:pPr>
        <w:pStyle w:val="Style29"/>
        <w:keepNext w:val="0"/>
        <w:keepLines w:val="0"/>
        <w:widowControl w:val="0"/>
        <w:shd w:val="clear" w:color="auto" w:fill="auto"/>
        <w:bidi w:val="0"/>
        <w:spacing w:before="0" w:after="380" w:line="466" w:lineRule="exact"/>
        <w:ind w:left="0" w:right="0" w:firstLine="0"/>
        <w:jc w:val="left"/>
      </w:pPr>
      <w:r>
        <w:rPr>
          <w:color w:val="000000"/>
          <w:spacing w:val="0"/>
          <w:w w:val="100"/>
          <w:position w:val="0"/>
        </w:rPr>
        <w:t>企业类型：非上市股份有限公司</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统一信用代码：</w:t>
      </w:r>
      <w:r>
        <w:rPr>
          <w:rFonts w:ascii="Times New Roman" w:eastAsia="Times New Roman" w:hAnsi="Times New Roman" w:cs="Times New Roman"/>
          <w:color w:val="000000"/>
          <w:spacing w:val="0"/>
          <w:w w:val="100"/>
          <w:position w:val="0"/>
        </w:rPr>
        <w:t>91440300279303761R</w:t>
      </w:r>
    </w:p>
    <w:p>
      <w:pPr>
        <w:pStyle w:val="Style29"/>
        <w:keepNext w:val="0"/>
        <w:keepLines w:val="0"/>
        <w:widowControl w:val="0"/>
        <w:shd w:val="clear" w:color="auto" w:fill="auto"/>
        <w:bidi w:val="0"/>
        <w:spacing w:before="0" w:line="463" w:lineRule="exact"/>
        <w:ind w:left="0" w:right="0" w:firstLine="440"/>
        <w:jc w:val="both"/>
      </w:pPr>
      <w:r>
        <w:rPr>
          <w:color w:val="000000"/>
          <w:spacing w:val="0"/>
          <w:w w:val="100"/>
          <w:position w:val="0"/>
        </w:rPr>
        <w:t>根据中国证券监督管理委员会下发的《关于同意南凌科技股份有限公司首次公开发行股票注册的批复》 （证监许可</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3154</w:t>
      </w:r>
      <w:r>
        <w:rPr>
          <w:color w:val="000000"/>
          <w:spacing w:val="0"/>
          <w:w w:val="100"/>
          <w:position w:val="0"/>
        </w:rPr>
        <w:t>号）文件之规定，公司向社会公众投资者发行人民币普通股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1,823</w:t>
      </w:r>
      <w:r>
        <w:rPr>
          <w:color w:val="000000"/>
          <w:spacing w:val="0"/>
          <w:w w:val="100"/>
          <w:position w:val="0"/>
        </w:rPr>
        <w:t>万股，增加注 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,823.00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7,291.9650</w:t>
      </w:r>
      <w:r>
        <w:rPr>
          <w:color w:val="000000"/>
          <w:spacing w:val="0"/>
          <w:w w:val="100"/>
          <w:position w:val="0"/>
        </w:rPr>
        <w:t>万元。</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经营范围：一般经营项目：电子网络系统的技术开发；兴办实业（具体项目另行申报）；通讯器材、 电子产品的购销（不含专营、专控、专卖商品）；经营进出口业务（具体按</w:t>
      </w:r>
      <w:r>
        <w:rPr>
          <w:rFonts w:ascii="Times New Roman" w:eastAsia="Times New Roman" w:hAnsi="Times New Roman" w:cs="Times New Roman"/>
          <w:color w:val="000000"/>
          <w:spacing w:val="0"/>
          <w:w w:val="100"/>
          <w:position w:val="0"/>
        </w:rPr>
        <w:t>“</w:t>
      </w:r>
      <w:r>
        <w:rPr>
          <w:color w:val="000000"/>
          <w:spacing w:val="0"/>
          <w:w w:val="100"/>
          <w:position w:val="0"/>
        </w:rPr>
        <w:t>深贸进准字第（</w:t>
      </w:r>
      <w:r>
        <w:rPr>
          <w:rFonts w:ascii="Times New Roman" w:eastAsia="Times New Roman" w:hAnsi="Times New Roman" w:cs="Times New Roman"/>
          <w:color w:val="000000"/>
          <w:spacing w:val="0"/>
          <w:w w:val="100"/>
          <w:position w:val="0"/>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1450 </w:t>
      </w:r>
      <w:r>
        <w:rPr>
          <w:color w:val="000000"/>
          <w:spacing w:val="0"/>
          <w:w w:val="100"/>
          <w:position w:val="0"/>
        </w:rPr>
        <w:t xml:space="preserve">号资格证书''执行）；计算机系统集成；国内商业、物资供销业（不含专营、专控、专卖商品）。许可经 营项目：经营增值电信服务：包括第二类基础电信业务中的固定网国内数据传送业务（比照增值电信业务 管理），第一类增值电信业务中的互联网数据中心业务、国内互联网虚拟专用网业务和互联网接入服务业 务，第二类增值电信业务中的国内多方通信服务业务和信息服务业务（不含互联网信息服务），凭 </w:t>
      </w:r>
      <w:r>
        <w:rPr>
          <w:color w:val="000000"/>
          <w:spacing w:val="0"/>
          <w:w w:val="100"/>
          <w:position w:val="0"/>
          <w:sz w:val="20"/>
          <w:szCs w:val="20"/>
        </w:rPr>
        <w:t>A2.B1. B2</w:t>
      </w:r>
      <w:r>
        <w:rPr>
          <w:color w:val="000000"/>
          <w:spacing w:val="0"/>
          <w:w w:val="100"/>
          <w:position w:val="0"/>
          <w:sz w:val="20"/>
          <w:szCs w:val="20"/>
        </w:rPr>
        <w:t>——20070058</w:t>
      </w:r>
      <w:r>
        <w:rPr>
          <w:color w:val="000000"/>
          <w:spacing w:val="0"/>
          <w:w w:val="100"/>
          <w:position w:val="0"/>
        </w:rPr>
        <w:t>号增值电信业务经营许可证经营，有效期至</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150；</w:t>
      </w:r>
      <w:r>
        <w:rPr>
          <w:color w:val="000000"/>
          <w:spacing w:val="0"/>
          <w:w w:val="100"/>
          <w:position w:val="0"/>
        </w:rPr>
        <w:t>信息系统集成及服务。</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主要产品：增值电信业务</w:t>
      </w:r>
      <w:r>
        <w:rPr>
          <w:color w:val="000000"/>
          <w:spacing w:val="0"/>
          <w:w w:val="100"/>
          <w:position w:val="0"/>
          <w:sz w:val="20"/>
          <w:szCs w:val="20"/>
        </w:rPr>
        <w:t>（IP VPN</w:t>
      </w:r>
      <w:r>
        <w:rPr>
          <w:color w:val="000000"/>
          <w:spacing w:val="0"/>
          <w:w w:val="100"/>
          <w:position w:val="0"/>
        </w:rPr>
        <w:t>）经营、第二类增值电信业务（因特网接入）经营、计算机信息系 统集成。</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sz w:val="20"/>
          <w:szCs w:val="20"/>
        </w:rPr>
        <w:t>0</w:t>
      </w:r>
      <w:r>
        <w:rPr>
          <w:color w:val="000000"/>
          <w:spacing w:val="0"/>
          <w:w w:val="100"/>
          <w:position w:val="0"/>
        </w:rPr>
        <w:t>批准报出。</w:t>
      </w: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（二）合并财务报表范围</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5957"/>
        <w:gridCol w:w="3086"/>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是否纳入合并财务报表范围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深圳南凌信息技术有限公司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left"/>
              <w:rPr>
                <w:sz w:val="17"/>
                <w:szCs w:val="17"/>
              </w:rPr>
            </w:pPr>
            <w:r>
              <w:rPr>
                <w:color w:val="000000"/>
                <w:spacing w:val="0"/>
                <w:w w:val="100"/>
                <w:position w:val="0"/>
                <w:sz w:val="17"/>
                <w:szCs w:val="17"/>
              </w:rPr>
              <w:t>是</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left"/>
              <w:rPr>
                <w:sz w:val="17"/>
                <w:szCs w:val="17"/>
              </w:rPr>
            </w:pPr>
            <w:r>
              <w:rPr>
                <w:color w:val="000000"/>
                <w:spacing w:val="0"/>
                <w:w w:val="100"/>
                <w:position w:val="0"/>
                <w:sz w:val="17"/>
                <w:szCs w:val="17"/>
              </w:rPr>
              <w:t>是</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深圳市南凌云计算有限公司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left"/>
              <w:rPr>
                <w:sz w:val="17"/>
                <w:szCs w:val="17"/>
              </w:rPr>
            </w:pPr>
            <w:r>
              <w:rPr>
                <w:color w:val="000000"/>
                <w:spacing w:val="0"/>
                <w:w w:val="100"/>
                <w:position w:val="0"/>
                <w:sz w:val="17"/>
                <w:szCs w:val="17"/>
              </w:rPr>
              <w:t>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南凌科技发展（香港）有限公司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left"/>
              <w:rPr>
                <w:sz w:val="17"/>
                <w:szCs w:val="17"/>
              </w:rPr>
            </w:pPr>
            <w:r>
              <w:rPr>
                <w:color w:val="000000"/>
                <w:spacing w:val="0"/>
                <w:w w:val="100"/>
                <w:position w:val="0"/>
                <w:sz w:val="17"/>
                <w:szCs w:val="17"/>
              </w:rPr>
              <w:t>是</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浙江凌聚云计算有限公司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left"/>
              <w:rPr>
                <w:sz w:val="17"/>
                <w:szCs w:val="17"/>
              </w:rPr>
            </w:pPr>
            <w:r>
              <w:rPr>
                <w:color w:val="000000"/>
                <w:spacing w:val="0"/>
                <w:w w:val="100"/>
                <w:position w:val="0"/>
                <w:sz w:val="17"/>
                <w:szCs w:val="17"/>
              </w:rPr>
              <w:t>是</w:t>
            </w:r>
          </w:p>
        </w:tc>
      </w:tr>
    </w:tbl>
    <w:p>
      <w:pPr>
        <w:pStyle w:val="Style4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本期合并财务报表范围及其变化情况详见本附注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六、在其他主体中的权益</w:t>
      </w:r>
    </w:p>
    <w:p>
      <w:pPr>
        <w:widowControl w:val="0"/>
        <w:spacing w:after="279" w:line="1" w:lineRule="exact"/>
      </w:pPr>
    </w:p>
    <w:p>
      <w:pPr>
        <w:pStyle w:val="Style27"/>
        <w:keepNext/>
        <w:keepLines/>
        <w:widowControl w:val="0"/>
        <w:shd w:val="clear" w:color="auto" w:fill="auto"/>
        <w:bidi w:val="0"/>
        <w:spacing w:before="0" w:after="50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四</w:t>
      </w:r>
      <w:bookmarkEnd w:id="657"/>
      <w:r>
        <w:rPr>
          <w:color w:val="000000"/>
          <w:spacing w:val="0"/>
          <w:w w:val="100"/>
          <w:position w:val="0"/>
          <w:sz w:val="24"/>
          <w:szCs w:val="24"/>
        </w:rPr>
        <w:t>、财务报表的编制基础</w:t>
      </w:r>
      <w:bookmarkEnd w:id="655"/>
      <w:bookmarkEnd w:id="656"/>
      <w:bookmarkEnd w:id="658"/>
    </w:p>
    <w:p>
      <w:pPr>
        <w:pStyle w:val="Style38"/>
        <w:keepNext/>
        <w:keepLines/>
        <w:widowControl w:val="0"/>
        <w:shd w:val="clear" w:color="auto" w:fill="auto"/>
        <w:bidi w:val="0"/>
        <w:spacing w:before="0" w:after="280" w:line="240" w:lineRule="auto"/>
        <w:ind w:left="0" w:right="0" w:firstLine="0"/>
        <w:jc w:val="left"/>
      </w:pPr>
      <w:bookmarkStart w:id="659" w:name="bookmark659"/>
      <w:bookmarkStart w:id="660" w:name="bookmark660"/>
      <w:bookmarkStart w:id="661" w:name="bookmark661"/>
      <w:r>
        <w:rPr>
          <w:color w:val="000000"/>
          <w:spacing w:val="0"/>
          <w:w w:val="100"/>
          <w:position w:val="0"/>
        </w:rPr>
        <w:t>（一）编制基础</w:t>
      </w:r>
      <w:bookmarkEnd w:id="659"/>
      <w:bookmarkEnd w:id="660"/>
      <w:bookmarkEnd w:id="661"/>
    </w:p>
    <w:p>
      <w:pPr>
        <w:pStyle w:val="Style29"/>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 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 告的一般规定》的披露规定编制财务报表。</w:t>
      </w:r>
    </w:p>
    <w:p>
      <w:pPr>
        <w:pStyle w:val="Style38"/>
        <w:keepNext/>
        <w:keepLines/>
        <w:widowControl w:val="0"/>
        <w:shd w:val="clear" w:color="auto" w:fill="auto"/>
        <w:bidi w:val="0"/>
        <w:spacing w:before="0" w:after="280" w:line="470" w:lineRule="exact"/>
        <w:ind w:left="0" w:right="0" w:firstLine="0"/>
        <w:jc w:val="left"/>
      </w:pPr>
      <w:bookmarkStart w:id="662" w:name="bookmark662"/>
      <w:bookmarkStart w:id="663" w:name="bookmark663"/>
      <w:bookmarkStart w:id="664" w:name="bookmark664"/>
      <w:r>
        <w:rPr>
          <w:color w:val="000000"/>
          <w:spacing w:val="0"/>
          <w:w w:val="100"/>
          <w:position w:val="0"/>
        </w:rPr>
        <w:t>（二）持续经营</w:t>
      </w:r>
      <w:bookmarkEnd w:id="662"/>
      <w:bookmarkEnd w:id="663"/>
      <w:bookmarkEnd w:id="664"/>
    </w:p>
    <w:p>
      <w:pPr>
        <w:pStyle w:val="Style29"/>
        <w:keepNext w:val="0"/>
        <w:keepLines w:val="0"/>
        <w:widowControl w:val="0"/>
        <w:shd w:val="clear" w:color="auto" w:fill="auto"/>
        <w:bidi w:val="0"/>
        <w:spacing w:before="0" w:after="360" w:line="470" w:lineRule="exact"/>
        <w:ind w:left="0" w:right="0" w:firstLine="0"/>
        <w:jc w:val="left"/>
      </w:pPr>
      <w:r>
        <w:rPr>
          <w:color w:val="000000"/>
          <w:spacing w:val="0"/>
          <w:w w:val="100"/>
          <w:position w:val="0"/>
        </w:rPr>
        <w:t>本财务报表以持续经营为基础编制。</w:t>
      </w:r>
    </w:p>
    <w:p>
      <w:pPr>
        <w:pStyle w:val="Style27"/>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、重要会计政策及会计估计</w:t>
      </w:r>
      <w:bookmarkEnd w:id="665"/>
      <w:bookmarkEnd w:id="666"/>
      <w:bookmarkEnd w:id="668"/>
    </w:p>
    <w:p>
      <w:pPr>
        <w:pStyle w:val="Style29"/>
        <w:keepNext w:val="0"/>
        <w:keepLines w:val="0"/>
        <w:widowControl w:val="0"/>
        <w:shd w:val="clear" w:color="auto" w:fill="auto"/>
        <w:bidi w:val="0"/>
        <w:spacing w:before="0" w:line="470" w:lineRule="exact"/>
        <w:ind w:left="0" w:right="0" w:firstLine="0"/>
        <w:jc w:val="left"/>
      </w:pPr>
      <w:r>
        <w:rPr>
          <w:b/>
          <w:bCs/>
          <w:color w:val="000000"/>
          <w:spacing w:val="0"/>
          <w:w w:val="100"/>
          <w:position w:val="0"/>
        </w:rPr>
        <w:t>具体会计政策和会计估计提示：</w:t>
      </w:r>
    </w:p>
    <w:p>
      <w:pPr>
        <w:pStyle w:val="Style29"/>
        <w:keepNext w:val="0"/>
        <w:keepLines w:val="0"/>
        <w:widowControl w:val="0"/>
        <w:shd w:val="clear" w:color="auto" w:fill="auto"/>
        <w:bidi w:val="0"/>
        <w:spacing w:before="0" w:after="40" w:line="470" w:lineRule="exact"/>
        <w:ind w:left="0" w:right="0" w:firstLine="0"/>
        <w:jc w:val="left"/>
      </w:pPr>
      <w:r>
        <w:rPr>
          <w:color w:val="000000"/>
          <w:spacing w:val="0"/>
          <w:w w:val="100"/>
          <w:position w:val="0"/>
        </w:rPr>
        <w:t>以下披露内容已涵盖了本公司根据实际生产经营特点制定的具体会计政策和会计估计。</w:t>
      </w:r>
    </w:p>
    <w:p>
      <w:pPr>
        <w:pStyle w:val="Style38"/>
        <w:keepNext/>
        <w:keepLines/>
        <w:widowControl w:val="0"/>
        <w:shd w:val="clear" w:color="auto" w:fill="auto"/>
        <w:tabs>
          <w:tab w:pos="594" w:val="left"/>
        </w:tabs>
        <w:bidi w:val="0"/>
        <w:spacing w:before="0" w:after="280" w:line="470" w:lineRule="exact"/>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color w:val="000000"/>
          <w:spacing w:val="0"/>
          <w:w w:val="100"/>
          <w:position w:val="0"/>
        </w:rPr>
        <w:t>一）</w:t>
        <w:tab/>
        <w:t>遵循企业会计准则的声明</w:t>
      </w:r>
      <w:bookmarkEnd w:id="669"/>
      <w:bookmarkEnd w:id="670"/>
      <w:bookmarkEnd w:id="672"/>
    </w:p>
    <w:p>
      <w:pPr>
        <w:pStyle w:val="Style29"/>
        <w:keepNext w:val="0"/>
        <w:keepLines w:val="0"/>
        <w:widowControl w:val="0"/>
        <w:shd w:val="clear" w:color="auto" w:fill="auto"/>
        <w:bidi w:val="0"/>
        <w:spacing w:before="0" w:line="461"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8"/>
        <w:keepNext/>
        <w:keepLines/>
        <w:widowControl w:val="0"/>
        <w:shd w:val="clear" w:color="auto" w:fill="auto"/>
        <w:tabs>
          <w:tab w:pos="594" w:val="left"/>
        </w:tabs>
        <w:bidi w:val="0"/>
        <w:spacing w:before="0" w:after="280" w:line="470" w:lineRule="exact"/>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color w:val="000000"/>
          <w:spacing w:val="0"/>
          <w:w w:val="100"/>
          <w:position w:val="0"/>
        </w:rPr>
        <w:t>二）</w:t>
        <w:tab/>
        <w:t>会计期间</w:t>
      </w:r>
      <w:bookmarkEnd w:id="673"/>
      <w:bookmarkEnd w:id="674"/>
      <w:bookmarkEnd w:id="676"/>
    </w:p>
    <w:p>
      <w:pPr>
        <w:pStyle w:val="Style29"/>
        <w:keepNext w:val="0"/>
        <w:keepLines w:val="0"/>
        <w:widowControl w:val="0"/>
        <w:shd w:val="clear" w:color="auto" w:fill="auto"/>
        <w:bidi w:val="0"/>
        <w:spacing w:before="0" w:after="280" w:line="470"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9"/>
        <w:keepNext w:val="0"/>
        <w:keepLines w:val="0"/>
        <w:widowControl w:val="0"/>
        <w:shd w:val="clear" w:color="auto" w:fill="auto"/>
        <w:bidi w:val="0"/>
        <w:spacing w:before="0" w:after="200" w:line="469" w:lineRule="exact"/>
        <w:ind w:left="0" w:right="0" w:firstLine="0"/>
        <w:jc w:val="left"/>
      </w:pPr>
      <w:r>
        <w:rPr>
          <w:color w:val="000000"/>
          <w:spacing w:val="0"/>
          <w:w w:val="100"/>
          <w:position w:val="0"/>
        </w:rPr>
        <w:t>本次报告期间为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8"/>
        <w:keepNext/>
        <w:keepLines/>
        <w:widowControl w:val="0"/>
        <w:shd w:val="clear" w:color="auto" w:fill="auto"/>
        <w:tabs>
          <w:tab w:pos="614" w:val="left"/>
        </w:tabs>
        <w:bidi w:val="0"/>
        <w:spacing w:before="0" w:after="140" w:line="469" w:lineRule="exact"/>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color w:val="000000"/>
          <w:spacing w:val="0"/>
          <w:w w:val="100"/>
          <w:position w:val="0"/>
        </w:rPr>
        <w:t>三）</w:t>
        <w:tab/>
        <w:t>营业周期</w:t>
      </w:r>
      <w:bookmarkEnd w:id="677"/>
      <w:bookmarkEnd w:id="678"/>
      <w:bookmarkEnd w:id="680"/>
    </w:p>
    <w:p>
      <w:pPr>
        <w:pStyle w:val="Style29"/>
        <w:keepNext w:val="0"/>
        <w:keepLines w:val="0"/>
        <w:widowControl w:val="0"/>
        <w:shd w:val="clear" w:color="auto" w:fill="auto"/>
        <w:bidi w:val="0"/>
        <w:spacing w:before="0" w:line="469"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8"/>
        <w:keepNext/>
        <w:keepLines/>
        <w:widowControl w:val="0"/>
        <w:shd w:val="clear" w:color="auto" w:fill="auto"/>
        <w:tabs>
          <w:tab w:pos="614" w:val="left"/>
        </w:tabs>
        <w:bidi w:val="0"/>
        <w:spacing w:before="0" w:after="140" w:line="469"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color w:val="000000"/>
          <w:spacing w:val="0"/>
          <w:w w:val="100"/>
          <w:position w:val="0"/>
        </w:rPr>
        <w:t>四）</w:t>
        <w:tab/>
        <w:t>记账本位币</w:t>
      </w:r>
      <w:bookmarkEnd w:id="681"/>
      <w:bookmarkEnd w:id="682"/>
      <w:bookmarkEnd w:id="684"/>
    </w:p>
    <w:p>
      <w:pPr>
        <w:pStyle w:val="Style29"/>
        <w:keepNext w:val="0"/>
        <w:keepLines w:val="0"/>
        <w:widowControl w:val="0"/>
        <w:shd w:val="clear" w:color="auto" w:fill="auto"/>
        <w:bidi w:val="0"/>
        <w:spacing w:before="0" w:line="469" w:lineRule="exact"/>
        <w:ind w:left="0" w:right="0" w:firstLine="0"/>
        <w:jc w:val="left"/>
      </w:pPr>
      <w:r>
        <w:rPr>
          <w:color w:val="000000"/>
          <w:spacing w:val="0"/>
          <w:w w:val="100"/>
          <w:position w:val="0"/>
        </w:rPr>
        <w:t>本公司采用人民币为记账本位币。</w:t>
      </w:r>
    </w:p>
    <w:p>
      <w:pPr>
        <w:pStyle w:val="Style38"/>
        <w:keepNext/>
        <w:keepLines/>
        <w:widowControl w:val="0"/>
        <w:shd w:val="clear" w:color="auto" w:fill="auto"/>
        <w:tabs>
          <w:tab w:pos="614" w:val="left"/>
        </w:tabs>
        <w:bidi w:val="0"/>
        <w:spacing w:before="0" w:after="200" w:line="469"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color w:val="000000"/>
          <w:spacing w:val="0"/>
          <w:w w:val="100"/>
          <w:position w:val="0"/>
        </w:rPr>
        <w:t>五）</w:t>
        <w:tab/>
        <w:t>同一控制下和非同一控制下企业合并的会计处理方法</w:t>
      </w:r>
      <w:bookmarkEnd w:id="685"/>
      <w:bookmarkEnd w:id="686"/>
      <w:bookmarkEnd w:id="688"/>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同一控制下企业合并：合并方在企业合并中取得的资产和负债，按照合并日被合并方资产、负债（包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非同一控制下企业合并：购买方在购买日对作为企业合并对价付出的资产、发生或承担的负债按照公 允价值计量，公允价值与其账面价值的差额，计入当期损益。合并成本大于合并中取得的被购买方可辨认 净资产公允价值份额的差额，确认为商誉；合并成本小于合并中取得的被购买方可辨认净资产公允价值份 额的差额，计入当期损益。</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8"/>
        <w:keepNext/>
        <w:keepLines/>
        <w:widowControl w:val="0"/>
        <w:shd w:val="clear" w:color="auto" w:fill="auto"/>
        <w:tabs>
          <w:tab w:pos="614" w:val="left"/>
        </w:tabs>
        <w:bidi w:val="0"/>
        <w:spacing w:before="0" w:after="280" w:line="469"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六）</w:t>
        <w:tab/>
        <w:t>合并财务报表的编制方法</w:t>
      </w:r>
      <w:bookmarkEnd w:id="689"/>
      <w:bookmarkEnd w:id="690"/>
      <w:bookmarkEnd w:id="692"/>
    </w:p>
    <w:p>
      <w:pPr>
        <w:pStyle w:val="Style38"/>
        <w:keepNext/>
        <w:keepLines/>
        <w:widowControl w:val="0"/>
        <w:shd w:val="clear" w:color="auto" w:fill="auto"/>
        <w:tabs>
          <w:tab w:pos="798" w:val="left"/>
        </w:tabs>
        <w:bidi w:val="0"/>
        <w:spacing w:before="0" w:after="140" w:line="469" w:lineRule="exact"/>
        <w:ind w:left="0" w:right="0" w:firstLine="440"/>
        <w:jc w:val="both"/>
      </w:pPr>
      <w:bookmarkStart w:id="689" w:name="bookmark689"/>
      <w:bookmarkStart w:id="690" w:name="bookmark690"/>
      <w:bookmarkStart w:id="693" w:name="bookmark693"/>
      <w:r>
        <w:rPr>
          <w:color w:val="000000"/>
          <w:spacing w:val="0"/>
          <w:w w:val="100"/>
          <w:position w:val="0"/>
        </w:rPr>
        <w:t>1</w:t>
      </w:r>
      <w:bookmarkEnd w:id="693"/>
      <w:r>
        <w:rPr>
          <w:color w:val="000000"/>
          <w:spacing w:val="0"/>
          <w:w w:val="100"/>
          <w:position w:val="0"/>
        </w:rPr>
        <w:t>、</w:t>
        <w:tab/>
        <w:t>合并范围</w:t>
      </w:r>
      <w:bookmarkEnd w:id="689"/>
      <w:bookmarkEnd w:id="690"/>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合并财务报表的合并范围以控制为基础确定，合并范围包括本公司及全部子公司。</w:t>
      </w:r>
    </w:p>
    <w:p>
      <w:pPr>
        <w:pStyle w:val="Style29"/>
        <w:keepNext w:val="0"/>
        <w:keepLines w:val="0"/>
        <w:widowControl w:val="0"/>
        <w:shd w:val="clear" w:color="auto" w:fill="auto"/>
        <w:tabs>
          <w:tab w:pos="813" w:val="left"/>
        </w:tabs>
        <w:bidi w:val="0"/>
        <w:spacing w:before="0" w:line="469" w:lineRule="exact"/>
        <w:ind w:left="0" w:right="0" w:firstLine="440"/>
        <w:jc w:val="both"/>
      </w:pPr>
      <w:bookmarkStart w:id="694" w:name="bookmark694"/>
      <w:r>
        <w:rPr>
          <w:b/>
          <w:bCs/>
          <w:color w:val="000000"/>
          <w:spacing w:val="0"/>
          <w:w w:val="100"/>
          <w:position w:val="0"/>
        </w:rPr>
        <w:t>2</w:t>
      </w:r>
      <w:bookmarkEnd w:id="694"/>
      <w:r>
        <w:rPr>
          <w:b/>
          <w:bCs/>
          <w:color w:val="000000"/>
          <w:spacing w:val="0"/>
          <w:w w:val="100"/>
          <w:position w:val="0"/>
        </w:rPr>
        <w:t>、</w:t>
        <w:tab/>
        <w:t>合并程序</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 xml:space="preserve">所有纳入合并财务报表合并范围的子公司所采用的会计政策、会计期间与本公司一致，如子公司采用 </w:t>
      </w:r>
      <w:r>
        <w:rPr>
          <w:color w:val="000000"/>
          <w:spacing w:val="0"/>
          <w:w w:val="100"/>
          <w:position w:val="0"/>
        </w:rPr>
        <w:t>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29"/>
        <w:keepNext w:val="0"/>
        <w:keepLines w:val="0"/>
        <w:widowControl w:val="0"/>
        <w:shd w:val="clear" w:color="auto" w:fill="auto"/>
        <w:tabs>
          <w:tab w:pos="876" w:val="left"/>
        </w:tabs>
        <w:bidi w:val="0"/>
        <w:spacing w:before="0" w:line="468" w:lineRule="exact"/>
        <w:ind w:left="0" w:right="0" w:firstLine="440"/>
        <w:jc w:val="both"/>
      </w:pPr>
      <w:bookmarkStart w:id="695" w:name="bookmark695"/>
      <w:r>
        <w:rPr>
          <w:b/>
          <w:bCs/>
          <w:color w:val="000000"/>
          <w:spacing w:val="0"/>
          <w:w w:val="100"/>
          <w:position w:val="0"/>
        </w:rPr>
        <w:t>（</w:t>
      </w:r>
      <w:bookmarkEnd w:id="695"/>
      <w:r>
        <w:rPr>
          <w:b/>
          <w:bCs/>
          <w:color w:val="000000"/>
          <w:spacing w:val="0"/>
          <w:w w:val="100"/>
          <w:position w:val="0"/>
        </w:rPr>
        <w:t>1）</w:t>
        <w:tab/>
        <w:t>增加子公司或业务</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29"/>
        <w:keepNext w:val="0"/>
        <w:keepLines w:val="0"/>
        <w:widowControl w:val="0"/>
        <w:shd w:val="clear" w:color="auto" w:fill="auto"/>
        <w:bidi w:val="0"/>
        <w:spacing w:before="0" w:line="472"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当期投资收益，不能重分类进损益的其他综合收益除外。</w:t>
      </w:r>
    </w:p>
    <w:p>
      <w:pPr>
        <w:pStyle w:val="Style29"/>
        <w:keepNext w:val="0"/>
        <w:keepLines w:val="0"/>
        <w:widowControl w:val="0"/>
        <w:shd w:val="clear" w:color="auto" w:fill="auto"/>
        <w:tabs>
          <w:tab w:pos="876" w:val="left"/>
        </w:tabs>
        <w:bidi w:val="0"/>
        <w:spacing w:before="0" w:line="468" w:lineRule="exact"/>
        <w:ind w:left="0" w:right="0" w:firstLine="440"/>
        <w:jc w:val="both"/>
      </w:pPr>
      <w:bookmarkStart w:id="696" w:name="bookmark696"/>
      <w:r>
        <w:rPr>
          <w:b/>
          <w:bCs/>
          <w:color w:val="000000"/>
          <w:spacing w:val="0"/>
          <w:w w:val="100"/>
          <w:position w:val="0"/>
        </w:rPr>
        <w:t>（</w:t>
      </w:r>
      <w:bookmarkEnd w:id="696"/>
      <w:r>
        <w:rPr>
          <w:b/>
          <w:bCs/>
          <w:color w:val="000000"/>
          <w:spacing w:val="0"/>
          <w:w w:val="100"/>
          <w:position w:val="0"/>
        </w:rPr>
        <w:t>2）</w:t>
        <w:tab/>
        <w:t>处置子公司或业务</w:t>
      </w:r>
    </w:p>
    <w:p>
      <w:pPr>
        <w:pStyle w:val="Style29"/>
        <w:keepNext w:val="0"/>
        <w:keepLines w:val="0"/>
        <w:widowControl w:val="0"/>
        <w:shd w:val="clear" w:color="auto" w:fill="auto"/>
        <w:bidi w:val="0"/>
        <w:spacing w:before="0" w:line="468" w:lineRule="exact"/>
        <w:ind w:left="0" w:right="0" w:firstLine="440"/>
        <w:jc w:val="both"/>
      </w:pPr>
      <w:r>
        <w:rPr>
          <w:b/>
          <w:bCs/>
          <w:color w:val="000000"/>
          <w:spacing w:val="0"/>
          <w:w w:val="100"/>
          <w:position w:val="0"/>
        </w:rPr>
        <w:t>①一般处理方法</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 xml:space="preserve">在报告期内，本公司处置子公司或业务，则该子公司或业务期初至处置日的收入、费用、利润纳入合 </w:t>
      </w:r>
      <w:r>
        <w:rPr>
          <w:color w:val="000000"/>
          <w:spacing w:val="0"/>
          <w:w w:val="100"/>
          <w:position w:val="0"/>
        </w:rPr>
        <w:t>并利润表；该子公司或业务期初至处置日的现金流量纳入合并现金流量表。</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润分配之外的其他所有者权益变动，在丧失控制权时转为当期投资收益，不能重分类进损益的其他综合收 益除外。</w:t>
      </w:r>
    </w:p>
    <w:p>
      <w:pPr>
        <w:pStyle w:val="Style29"/>
        <w:keepNext w:val="0"/>
        <w:keepLines w:val="0"/>
        <w:widowControl w:val="0"/>
        <w:shd w:val="clear" w:color="auto" w:fill="auto"/>
        <w:bidi w:val="0"/>
        <w:spacing w:before="0" w:line="461"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29"/>
        <w:keepNext w:val="0"/>
        <w:keepLines w:val="0"/>
        <w:widowControl w:val="0"/>
        <w:shd w:val="clear" w:color="auto" w:fill="auto"/>
        <w:bidi w:val="0"/>
        <w:spacing w:before="0" w:line="466" w:lineRule="exact"/>
        <w:ind w:left="0" w:right="0" w:firstLine="440"/>
        <w:jc w:val="both"/>
      </w:pPr>
      <w:r>
        <w:rPr>
          <w:b/>
          <w:bCs/>
          <w:color w:val="000000"/>
          <w:spacing w:val="0"/>
          <w:w w:val="100"/>
          <w:position w:val="0"/>
        </w:rPr>
        <w:t>②分步处置子公司</w:t>
      </w:r>
    </w:p>
    <w:p>
      <w:pPr>
        <w:pStyle w:val="Style29"/>
        <w:keepNext w:val="0"/>
        <w:keepLines w:val="0"/>
        <w:widowControl w:val="0"/>
        <w:shd w:val="clear" w:color="auto" w:fill="auto"/>
        <w:bidi w:val="0"/>
        <w:spacing w:before="0" w:line="46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29"/>
        <w:keepNext w:val="0"/>
        <w:keepLines w:val="0"/>
        <w:widowControl w:val="0"/>
        <w:numPr>
          <w:ilvl w:val="0"/>
          <w:numId w:val="99"/>
        </w:numPr>
        <w:shd w:val="clear" w:color="auto" w:fill="auto"/>
        <w:tabs>
          <w:tab w:pos="820" w:val="left"/>
        </w:tabs>
        <w:bidi w:val="0"/>
        <w:spacing w:before="0" w:line="466" w:lineRule="exact"/>
        <w:ind w:left="0" w:right="0" w:firstLine="440"/>
        <w:jc w:val="left"/>
      </w:pPr>
      <w:bookmarkStart w:id="697" w:name="bookmark697"/>
      <w:bookmarkEnd w:id="697"/>
      <w:r>
        <w:rPr>
          <w:color w:val="000000"/>
          <w:spacing w:val="0"/>
          <w:w w:val="100"/>
          <w:position w:val="0"/>
        </w:rPr>
        <w:t>这些交易是同时或者在考虑了彼此影响的情况下订立的；</w:t>
      </w:r>
    </w:p>
    <w:p>
      <w:pPr>
        <w:pStyle w:val="Style29"/>
        <w:keepNext w:val="0"/>
        <w:keepLines w:val="0"/>
        <w:widowControl w:val="0"/>
        <w:numPr>
          <w:ilvl w:val="0"/>
          <w:numId w:val="99"/>
        </w:numPr>
        <w:shd w:val="clear" w:color="auto" w:fill="auto"/>
        <w:tabs>
          <w:tab w:pos="854" w:val="left"/>
        </w:tabs>
        <w:bidi w:val="0"/>
        <w:spacing w:before="0" w:line="466" w:lineRule="exact"/>
        <w:ind w:left="0" w:right="0" w:firstLine="440"/>
        <w:jc w:val="both"/>
      </w:pPr>
      <w:bookmarkStart w:id="698" w:name="bookmark698"/>
      <w:bookmarkEnd w:id="698"/>
      <w:r>
        <w:rPr>
          <w:color w:val="000000"/>
          <w:spacing w:val="0"/>
          <w:w w:val="100"/>
          <w:position w:val="0"/>
        </w:rPr>
        <w:t>这些交易整体才能达成一项完整的商业结果；</w:t>
      </w:r>
    </w:p>
    <w:p>
      <w:pPr>
        <w:pStyle w:val="Style29"/>
        <w:keepNext w:val="0"/>
        <w:keepLines w:val="0"/>
        <w:widowControl w:val="0"/>
        <w:shd w:val="clear" w:color="auto" w:fill="auto"/>
        <w:bidi w:val="0"/>
        <w:spacing w:before="0" w:line="466" w:lineRule="exact"/>
        <w:ind w:left="0" w:right="0" w:firstLine="440"/>
        <w:jc w:val="left"/>
      </w:pPr>
      <w:r>
        <w:rPr>
          <w:color w:val="000000"/>
          <w:spacing w:val="0"/>
          <w:w w:val="100"/>
          <w:position w:val="0"/>
        </w:rPr>
        <w:t>宙.一项交易的发生取决于其他至少一项交易的发生；</w:t>
      </w:r>
    </w:p>
    <w:p>
      <w:pPr>
        <w:pStyle w:val="Style29"/>
        <w:keepNext w:val="0"/>
        <w:keepLines w:val="0"/>
        <w:widowControl w:val="0"/>
        <w:shd w:val="clear" w:color="auto" w:fill="auto"/>
        <w:bidi w:val="0"/>
        <w:spacing w:before="0" w:line="466" w:lineRule="exact"/>
        <w:ind w:left="0" w:right="0" w:firstLine="440"/>
        <w:jc w:val="left"/>
      </w:pPr>
      <w:r>
        <w:rPr>
          <w:color w:val="000000"/>
          <w:spacing w:val="0"/>
          <w:w w:val="100"/>
          <w:position w:val="0"/>
          <w:sz w:val="20"/>
          <w:szCs w:val="20"/>
        </w:rPr>
        <w:t xml:space="preserve">iv. </w:t>
      </w:r>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29"/>
        <w:keepNext w:val="0"/>
        <w:keepLines w:val="0"/>
        <w:widowControl w:val="0"/>
        <w:numPr>
          <w:ilvl w:val="0"/>
          <w:numId w:val="101"/>
        </w:numPr>
        <w:shd w:val="clear" w:color="auto" w:fill="auto"/>
        <w:bidi w:val="0"/>
        <w:spacing w:before="0" w:line="466" w:lineRule="exact"/>
        <w:ind w:left="0" w:right="0" w:firstLine="440"/>
        <w:jc w:val="both"/>
      </w:pPr>
      <w:bookmarkStart w:id="699" w:name="bookmark699"/>
      <w:bookmarkEnd w:id="699"/>
      <w:r>
        <w:rPr>
          <w:b/>
          <w:bCs/>
          <w:color w:val="000000"/>
          <w:spacing w:val="0"/>
          <w:w w:val="100"/>
          <w:position w:val="0"/>
        </w:rPr>
        <w:t>购买子公司少数股权</w:t>
      </w:r>
    </w:p>
    <w:p>
      <w:pPr>
        <w:pStyle w:val="Style29"/>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 xml:space="preserve">本公司因购买少数股权新取得的长期股权投资与按照新增持股比例计算应享有子公司自购买日(或合 </w:t>
      </w:r>
      <w:r>
        <w:rPr>
          <w:color w:val="000000"/>
          <w:spacing w:val="0"/>
          <w:w w:val="100"/>
          <w:position w:val="0"/>
        </w:rPr>
        <w:t>并日）开始持续计算的净资产份额之间的差额，调整合并资产负债表中的资本公积中的股本溢价，资本公 积中的股本溢价不足冲减的，调整留存收益。</w:t>
      </w:r>
    </w:p>
    <w:p>
      <w:pPr>
        <w:pStyle w:val="Style29"/>
        <w:keepNext w:val="0"/>
        <w:keepLines w:val="0"/>
        <w:widowControl w:val="0"/>
        <w:shd w:val="clear" w:color="auto" w:fill="auto"/>
        <w:bidi w:val="0"/>
        <w:spacing w:before="0" w:after="160" w:line="468" w:lineRule="exact"/>
        <w:ind w:left="0" w:right="0" w:firstLine="440"/>
        <w:jc w:val="both"/>
      </w:pPr>
      <w:bookmarkStart w:id="700" w:name="bookmark700"/>
      <w:r>
        <w:rPr>
          <w:b/>
          <w:bCs/>
          <w:color w:val="000000"/>
          <w:spacing w:val="0"/>
          <w:w w:val="100"/>
          <w:position w:val="0"/>
        </w:rPr>
        <w:t>（</w:t>
      </w:r>
      <w:bookmarkEnd w:id="700"/>
      <w:r>
        <w:rPr>
          <w:b/>
          <w:bCs/>
          <w:color w:val="000000"/>
          <w:spacing w:val="0"/>
          <w:w w:val="100"/>
          <w:position w:val="0"/>
        </w:rPr>
        <w:t>4）不丧失控制权的情况下部分处置对子公司的股权投资</w:t>
      </w:r>
    </w:p>
    <w:p>
      <w:pPr>
        <w:pStyle w:val="Style29"/>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8"/>
        <w:keepNext/>
        <w:keepLines/>
        <w:widowControl w:val="0"/>
        <w:shd w:val="clear" w:color="auto" w:fill="auto"/>
        <w:tabs>
          <w:tab w:pos="598" w:val="left"/>
        </w:tabs>
        <w:bidi w:val="0"/>
        <w:spacing w:before="0" w:after="280" w:line="468" w:lineRule="exact"/>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w:t>
      </w:r>
      <w:bookmarkEnd w:id="703"/>
      <w:r>
        <w:rPr>
          <w:color w:val="000000"/>
          <w:spacing w:val="0"/>
          <w:w w:val="100"/>
          <w:position w:val="0"/>
        </w:rPr>
        <w:t>七）</w:t>
        <w:tab/>
        <w:t>现金及现金等价物的确定标准</w:t>
      </w:r>
      <w:bookmarkEnd w:id="701"/>
      <w:bookmarkEnd w:id="702"/>
      <w:bookmarkEnd w:id="704"/>
    </w:p>
    <w:p>
      <w:pPr>
        <w:pStyle w:val="Style29"/>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8"/>
        <w:keepNext/>
        <w:keepLines/>
        <w:widowControl w:val="0"/>
        <w:shd w:val="clear" w:color="auto" w:fill="auto"/>
        <w:tabs>
          <w:tab w:pos="598" w:val="left"/>
        </w:tabs>
        <w:bidi w:val="0"/>
        <w:spacing w:before="0" w:after="280" w:line="468" w:lineRule="exact"/>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color w:val="000000"/>
          <w:spacing w:val="0"/>
          <w:w w:val="100"/>
          <w:position w:val="0"/>
        </w:rPr>
        <w:t>八）</w:t>
        <w:tab/>
        <w:t>外币业务和外币报表折算</w:t>
      </w:r>
      <w:bookmarkEnd w:id="705"/>
      <w:bookmarkEnd w:id="706"/>
      <w:bookmarkEnd w:id="708"/>
    </w:p>
    <w:p>
      <w:pPr>
        <w:pStyle w:val="Style38"/>
        <w:keepNext/>
        <w:keepLines/>
        <w:widowControl w:val="0"/>
        <w:shd w:val="clear" w:color="auto" w:fill="auto"/>
        <w:tabs>
          <w:tab w:pos="798" w:val="left"/>
        </w:tabs>
        <w:bidi w:val="0"/>
        <w:spacing w:before="0" w:after="40" w:line="468" w:lineRule="exact"/>
        <w:ind w:left="0" w:right="0" w:firstLine="440"/>
        <w:jc w:val="both"/>
      </w:pPr>
      <w:bookmarkStart w:id="705" w:name="bookmark705"/>
      <w:bookmarkStart w:id="706" w:name="bookmark706"/>
      <w:bookmarkStart w:id="709" w:name="bookmark709"/>
      <w:r>
        <w:rPr>
          <w:color w:val="000000"/>
          <w:spacing w:val="0"/>
          <w:w w:val="100"/>
          <w:position w:val="0"/>
        </w:rPr>
        <w:t>1</w:t>
      </w:r>
      <w:bookmarkEnd w:id="709"/>
      <w:r>
        <w:rPr>
          <w:color w:val="000000"/>
          <w:spacing w:val="0"/>
          <w:w w:val="100"/>
          <w:position w:val="0"/>
        </w:rPr>
        <w:t>、</w:t>
        <w:tab/>
        <w:t>外币业务</w:t>
      </w:r>
      <w:bookmarkEnd w:id="705"/>
      <w:bookmarkEnd w:id="706"/>
    </w:p>
    <w:p>
      <w:pPr>
        <w:pStyle w:val="Style29"/>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29"/>
        <w:keepNext w:val="0"/>
        <w:keepLines w:val="0"/>
        <w:widowControl w:val="0"/>
        <w:shd w:val="clear" w:color="auto" w:fill="auto"/>
        <w:tabs>
          <w:tab w:pos="813" w:val="left"/>
        </w:tabs>
        <w:bidi w:val="0"/>
        <w:spacing w:before="0" w:after="40" w:line="468" w:lineRule="exact"/>
        <w:ind w:left="0" w:right="0" w:firstLine="440"/>
        <w:jc w:val="both"/>
      </w:pPr>
      <w:bookmarkStart w:id="710" w:name="bookmark710"/>
      <w:r>
        <w:rPr>
          <w:b/>
          <w:bCs/>
          <w:color w:val="000000"/>
          <w:spacing w:val="0"/>
          <w:w w:val="100"/>
          <w:position w:val="0"/>
        </w:rPr>
        <w:t>2</w:t>
      </w:r>
      <w:bookmarkEnd w:id="710"/>
      <w:r>
        <w:rPr>
          <w:b/>
          <w:bCs/>
          <w:color w:val="000000"/>
          <w:spacing w:val="0"/>
          <w:w w:val="100"/>
          <w:position w:val="0"/>
        </w:rPr>
        <w:t>、</w:t>
        <w:tab/>
        <w:t>外币财务报表的折算</w:t>
      </w:r>
    </w:p>
    <w:p>
      <w:pPr>
        <w:pStyle w:val="Style29"/>
        <w:keepNext w:val="0"/>
        <w:keepLines w:val="0"/>
        <w:widowControl w:val="0"/>
        <w:shd w:val="clear" w:color="auto" w:fill="auto"/>
        <w:bidi w:val="0"/>
        <w:spacing w:before="0" w:after="200" w:line="463"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29"/>
        <w:keepNext w:val="0"/>
        <w:keepLines w:val="0"/>
        <w:widowControl w:val="0"/>
        <w:shd w:val="clear" w:color="auto" w:fill="auto"/>
        <w:bidi w:val="0"/>
        <w:spacing w:before="0" w:after="0" w:line="331"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益。</w:t>
      </w:r>
    </w:p>
    <w:p>
      <w:pPr>
        <w:pStyle w:val="Style38"/>
        <w:keepNext/>
        <w:keepLines/>
        <w:widowControl w:val="0"/>
        <w:shd w:val="clear" w:color="auto" w:fill="auto"/>
        <w:tabs>
          <w:tab w:pos="598" w:val="left"/>
        </w:tabs>
        <w:bidi w:val="0"/>
        <w:spacing w:before="0" w:after="200" w:line="468" w:lineRule="exact"/>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九）</w:t>
        <w:tab/>
        <w:t>金融工具</w:t>
      </w:r>
      <w:bookmarkEnd w:id="711"/>
      <w:bookmarkEnd w:id="712"/>
      <w:bookmarkEnd w:id="714"/>
    </w:p>
    <w:p>
      <w:pPr>
        <w:pStyle w:val="Style29"/>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金融工具包括金融资产、金融负债和权益工具。</w:t>
      </w:r>
    </w:p>
    <w:p>
      <w:pPr>
        <w:pStyle w:val="Style29"/>
        <w:keepNext w:val="0"/>
        <w:keepLines w:val="0"/>
        <w:widowControl w:val="0"/>
        <w:shd w:val="clear" w:color="auto" w:fill="auto"/>
        <w:bidi w:val="0"/>
        <w:spacing w:before="0" w:after="160" w:line="468" w:lineRule="exact"/>
        <w:ind w:left="0" w:right="0" w:firstLine="440"/>
        <w:jc w:val="both"/>
      </w:pPr>
      <w:bookmarkStart w:id="715" w:name="bookmark715"/>
      <w:r>
        <w:rPr>
          <w:b/>
          <w:bCs/>
          <w:color w:val="000000"/>
          <w:spacing w:val="0"/>
          <w:w w:val="100"/>
          <w:position w:val="0"/>
        </w:rPr>
        <w:t>1</w:t>
      </w:r>
      <w:bookmarkEnd w:id="715"/>
      <w:r>
        <w:rPr>
          <w:b/>
          <w:bCs/>
          <w:color w:val="000000"/>
          <w:spacing w:val="0"/>
          <w:w w:val="100"/>
          <w:position w:val="0"/>
        </w:rPr>
        <w:t>、金融工具的分类</w:t>
      </w:r>
    </w:p>
    <w:p>
      <w:pPr>
        <w:pStyle w:val="Style29"/>
        <w:keepNext w:val="0"/>
        <w:keepLines w:val="0"/>
        <w:widowControl w:val="0"/>
        <w:shd w:val="clear" w:color="auto" w:fill="auto"/>
        <w:bidi w:val="0"/>
        <w:spacing w:before="0" w:line="473" w:lineRule="exact"/>
        <w:ind w:left="0" w:right="0" w:firstLine="440"/>
        <w:jc w:val="both"/>
      </w:pPr>
      <w:r>
        <w:rPr>
          <w:color w:val="000000"/>
          <w:spacing w:val="0"/>
          <w:w w:val="100"/>
          <w:position w:val="0"/>
        </w:rPr>
        <w:t>根据本公司管理金融资产的业务模式和金融资产的合同现金流量特征，金融资产于初始确认时分类为: 以摊余成本计量的金融资产、以公允价值计量且其变动计入其他综合收益的金融资产（债务工具）和以公 允价值计量且其变动计入当期损益的金融资产。</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业务模式是以收取合同现金流量为目标且合同现金流量仅为对本金和以未偿付本金金额为基础的利 息的支付的，分类为以摊余成本计量的金融资产；业务模式既以收取合同现金流量又以出售该金融资产为 目标且合同现金流量仅为对本金和以未偿付本金金额为基础的利息的支付的，分类为以公允价值计量且其 变动计入其他综合收益的金融资产（债务工具）；除此之外的其他金融资产，分类为以公允价值计量且其 变动计入当期损益的金融资产。</w:t>
      </w:r>
    </w:p>
    <w:p>
      <w:pPr>
        <w:pStyle w:val="Style29"/>
        <w:keepNext w:val="0"/>
        <w:keepLines w:val="0"/>
        <w:widowControl w:val="0"/>
        <w:shd w:val="clear" w:color="auto" w:fill="auto"/>
        <w:bidi w:val="0"/>
        <w:spacing w:before="0" w:line="456" w:lineRule="exact"/>
        <w:ind w:left="0" w:right="0" w:firstLine="440"/>
        <w:jc w:val="both"/>
      </w:pPr>
      <w:r>
        <w:rPr>
          <w:color w:val="000000"/>
          <w:spacing w:val="0"/>
          <w:w w:val="100"/>
          <w:position w:val="0"/>
        </w:rPr>
        <w:t>对于非交易性权益工具投资，本公司在初始确认时确定是否将其指定为以公允价值计量且其变动计入 其他综合收益的金融资产（权益工具）。</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29"/>
        <w:keepNext w:val="0"/>
        <w:keepLines w:val="0"/>
        <w:widowControl w:val="0"/>
        <w:shd w:val="clear" w:color="auto" w:fill="auto"/>
        <w:tabs>
          <w:tab w:pos="928" w:val="left"/>
        </w:tabs>
        <w:bidi w:val="0"/>
        <w:spacing w:before="0" w:line="470" w:lineRule="exact"/>
        <w:ind w:left="0" w:right="0" w:firstLine="440"/>
        <w:jc w:val="both"/>
      </w:pPr>
      <w:bookmarkStart w:id="716" w:name="bookmark716"/>
      <w:r>
        <w:rPr>
          <w:color w:val="000000"/>
          <w:spacing w:val="0"/>
          <w:w w:val="100"/>
          <w:position w:val="0"/>
          <w:sz w:val="20"/>
          <w:szCs w:val="20"/>
        </w:rPr>
        <w:t>（</w:t>
      </w:r>
      <w:bookmarkEnd w:id="716"/>
      <w:r>
        <w:rPr>
          <w:color w:val="000000"/>
          <w:spacing w:val="0"/>
          <w:w w:val="100"/>
          <w:position w:val="0"/>
          <w:sz w:val="20"/>
          <w:szCs w:val="20"/>
        </w:rPr>
        <w:t>1）</w:t>
        <w:tab/>
      </w:r>
      <w:r>
        <w:rPr>
          <w:color w:val="000000"/>
          <w:spacing w:val="0"/>
          <w:w w:val="100"/>
          <w:position w:val="0"/>
        </w:rPr>
        <w:t>该项指定能够消除或显著减少会计错配。</w:t>
      </w:r>
    </w:p>
    <w:p>
      <w:pPr>
        <w:pStyle w:val="Style29"/>
        <w:keepNext w:val="0"/>
        <w:keepLines w:val="0"/>
        <w:widowControl w:val="0"/>
        <w:shd w:val="clear" w:color="auto" w:fill="auto"/>
        <w:tabs>
          <w:tab w:pos="1011" w:val="left"/>
        </w:tabs>
        <w:bidi w:val="0"/>
        <w:spacing w:before="0" w:line="485" w:lineRule="exact"/>
        <w:ind w:left="0" w:right="0" w:firstLine="440"/>
        <w:jc w:val="both"/>
      </w:pPr>
      <w:bookmarkStart w:id="717" w:name="bookmark717"/>
      <w:r>
        <w:rPr>
          <w:color w:val="000000"/>
          <w:spacing w:val="0"/>
          <w:w w:val="100"/>
          <w:position w:val="0"/>
          <w:sz w:val="20"/>
          <w:szCs w:val="20"/>
        </w:rPr>
        <w:t>（</w:t>
      </w:r>
      <w:bookmarkEnd w:id="717"/>
      <w:r>
        <w:rPr>
          <w:color w:val="000000"/>
          <w:spacing w:val="0"/>
          <w:w w:val="100"/>
          <w:position w:val="0"/>
          <w:sz w:val="20"/>
          <w:szCs w:val="20"/>
        </w:rPr>
        <w:t>2）</w:t>
        <w:tab/>
      </w:r>
      <w:r>
        <w:rPr>
          <w:color w:val="000000"/>
          <w:spacing w:val="0"/>
          <w:w w:val="100"/>
          <w:position w:val="0"/>
        </w:rPr>
        <w:t>根据正式书面文件载明的企业风险管理或投资策略，以公允价值为基础对金融负债组合或金融 资产和金融负债组合进行管理和业绩评价，并在企业内部以此为基础向关键管理人员报告。</w:t>
      </w:r>
    </w:p>
    <w:p>
      <w:pPr>
        <w:pStyle w:val="Style29"/>
        <w:keepNext w:val="0"/>
        <w:keepLines w:val="0"/>
        <w:widowControl w:val="0"/>
        <w:shd w:val="clear" w:color="auto" w:fill="auto"/>
        <w:bidi w:val="0"/>
        <w:spacing w:before="0" w:line="470" w:lineRule="exact"/>
        <w:ind w:left="0" w:right="0" w:firstLine="440"/>
        <w:jc w:val="both"/>
      </w:pPr>
      <w:bookmarkStart w:id="718" w:name="bookmark718"/>
      <w:r>
        <w:rPr>
          <w:b/>
          <w:bCs/>
          <w:color w:val="000000"/>
          <w:spacing w:val="0"/>
          <w:w w:val="100"/>
          <w:position w:val="0"/>
        </w:rPr>
        <w:t>2</w:t>
      </w:r>
      <w:bookmarkEnd w:id="718"/>
      <w:r>
        <w:rPr>
          <w:b/>
          <w:bCs/>
          <w:color w:val="000000"/>
          <w:spacing w:val="0"/>
          <w:w w:val="100"/>
          <w:position w:val="0"/>
        </w:rPr>
        <w:t>、金融工具的确认依据和计量方法</w:t>
      </w:r>
    </w:p>
    <w:p>
      <w:pPr>
        <w:pStyle w:val="Style29"/>
        <w:keepNext w:val="0"/>
        <w:keepLines w:val="0"/>
        <w:widowControl w:val="0"/>
        <w:shd w:val="clear" w:color="auto" w:fill="auto"/>
        <w:tabs>
          <w:tab w:pos="928" w:val="left"/>
        </w:tabs>
        <w:bidi w:val="0"/>
        <w:spacing w:before="0" w:line="470" w:lineRule="exact"/>
        <w:ind w:left="0" w:right="0" w:firstLine="4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9"/>
        <w:keepNext w:val="0"/>
        <w:keepLines w:val="0"/>
        <w:widowControl w:val="0"/>
        <w:shd w:val="clear" w:color="auto" w:fill="auto"/>
        <w:bidi w:val="0"/>
        <w:spacing w:before="0" w:line="473"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持有期间采用实际利率法计算的利息计入当期损益。</w:t>
      </w:r>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收回或处置时，将取得的价款与该金融资产账面价值之间的差额计入当期损益。</w:t>
      </w:r>
    </w:p>
    <w:p>
      <w:pPr>
        <w:pStyle w:val="Style29"/>
        <w:keepNext w:val="0"/>
        <w:keepLines w:val="0"/>
        <w:widowControl w:val="0"/>
        <w:shd w:val="clear" w:color="auto" w:fill="auto"/>
        <w:tabs>
          <w:tab w:pos="928" w:val="left"/>
        </w:tabs>
        <w:bidi w:val="0"/>
        <w:spacing w:before="0" w:line="470" w:lineRule="exact"/>
        <w:ind w:left="0" w:right="0" w:firstLine="44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29"/>
        <w:keepNext w:val="0"/>
        <w:keepLines w:val="0"/>
        <w:widowControl w:val="0"/>
        <w:shd w:val="clear" w:color="auto" w:fill="auto"/>
        <w:tabs>
          <w:tab w:pos="928" w:val="left"/>
        </w:tabs>
        <w:bidi w:val="0"/>
        <w:spacing w:before="0" w:line="468" w:lineRule="exact"/>
        <w:ind w:left="0" w:right="0" w:firstLine="44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29"/>
        <w:keepNext w:val="0"/>
        <w:keepLines w:val="0"/>
        <w:widowControl w:val="0"/>
        <w:shd w:val="clear" w:color="auto" w:fill="auto"/>
        <w:tabs>
          <w:tab w:pos="928" w:val="left"/>
        </w:tabs>
        <w:bidi w:val="0"/>
        <w:spacing w:before="0" w:line="468" w:lineRule="exact"/>
        <w:ind w:left="0" w:right="0" w:firstLine="440"/>
        <w:jc w:val="left"/>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29"/>
        <w:keepNext w:val="0"/>
        <w:keepLines w:val="0"/>
        <w:widowControl w:val="0"/>
        <w:shd w:val="clear" w:color="auto" w:fill="auto"/>
        <w:tabs>
          <w:tab w:pos="928" w:val="left"/>
        </w:tabs>
        <w:bidi w:val="0"/>
        <w:spacing w:before="0" w:line="468" w:lineRule="exact"/>
        <w:ind w:left="0" w:right="0" w:firstLine="44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终止确认时，其账面价值与支付的对价之间的差额计入当期损益。</w:t>
      </w:r>
    </w:p>
    <w:p>
      <w:pPr>
        <w:pStyle w:val="Style29"/>
        <w:keepNext w:val="0"/>
        <w:keepLines w:val="0"/>
        <w:widowControl w:val="0"/>
        <w:shd w:val="clear" w:color="auto" w:fill="auto"/>
        <w:tabs>
          <w:tab w:pos="928" w:val="left"/>
        </w:tabs>
        <w:bidi w:val="0"/>
        <w:spacing w:before="0" w:line="468" w:lineRule="exact"/>
        <w:ind w:left="0" w:right="0" w:firstLine="44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29"/>
        <w:keepNext w:val="0"/>
        <w:keepLines w:val="0"/>
        <w:widowControl w:val="0"/>
        <w:shd w:val="clear" w:color="auto" w:fill="auto"/>
        <w:bidi w:val="0"/>
        <w:spacing w:before="0" w:line="461"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持有期间采用实际利率法计算的利息计入当期损益。</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终止确认时，将支付的对价与该金融负债账面价值之间的差额计入当期损益。</w:t>
      </w:r>
    </w:p>
    <w:p>
      <w:pPr>
        <w:pStyle w:val="Style29"/>
        <w:keepNext w:val="0"/>
        <w:keepLines w:val="0"/>
        <w:widowControl w:val="0"/>
        <w:shd w:val="clear" w:color="auto" w:fill="auto"/>
        <w:bidi w:val="0"/>
        <w:spacing w:before="0" w:line="468" w:lineRule="exact"/>
        <w:ind w:left="0" w:right="0" w:firstLine="440"/>
        <w:jc w:val="left"/>
      </w:pPr>
      <w:bookmarkStart w:id="725" w:name="bookmark725"/>
      <w:r>
        <w:rPr>
          <w:b/>
          <w:bCs/>
          <w:color w:val="000000"/>
          <w:spacing w:val="0"/>
          <w:w w:val="100"/>
          <w:position w:val="0"/>
        </w:rPr>
        <w:t>3</w:t>
      </w:r>
      <w:bookmarkEnd w:id="725"/>
      <w:r>
        <w:rPr>
          <w:b/>
          <w:bCs/>
          <w:color w:val="000000"/>
          <w:spacing w:val="0"/>
          <w:w w:val="100"/>
          <w:position w:val="0"/>
        </w:rPr>
        <w:t>、金融资产转移的确认依据和计量方法</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 xml:space="preserve">公司发生金融资产转移时，如已将金融资产所有权上几乎所有的风险和报酬转移给转入方，则终止确 </w:t>
      </w:r>
      <w:r>
        <w:rPr>
          <w:color w:val="000000"/>
          <w:spacing w:val="0"/>
          <w:w w:val="100"/>
          <w:position w:val="0"/>
        </w:rPr>
        <w:t>认该金融资产；如保留了金融资产所有权上几乎所有的风险和报酬的，则不终止确认该金融资产。</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29"/>
        <w:keepNext w:val="0"/>
        <w:keepLines w:val="0"/>
        <w:widowControl w:val="0"/>
        <w:shd w:val="clear" w:color="auto" w:fill="auto"/>
        <w:tabs>
          <w:tab w:pos="928" w:val="left"/>
        </w:tabs>
        <w:bidi w:val="0"/>
        <w:spacing w:before="0" w:line="470"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9"/>
        <w:keepNext w:val="0"/>
        <w:keepLines w:val="0"/>
        <w:widowControl w:val="0"/>
        <w:shd w:val="clear" w:color="auto" w:fill="auto"/>
        <w:tabs>
          <w:tab w:pos="1021" w:val="left"/>
        </w:tabs>
        <w:bidi w:val="0"/>
        <w:spacing w:before="0" w:line="490" w:lineRule="exact"/>
        <w:ind w:left="0" w:right="0" w:firstLine="4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为以公允价值计量且其变动计入其他综合收益的金融资产（债务工具））之和。</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9"/>
        <w:keepNext w:val="0"/>
        <w:keepLines w:val="0"/>
        <w:widowControl w:val="0"/>
        <w:shd w:val="clear" w:color="auto" w:fill="auto"/>
        <w:tabs>
          <w:tab w:pos="928" w:val="left"/>
        </w:tabs>
        <w:bidi w:val="0"/>
        <w:spacing w:before="0" w:line="470" w:lineRule="exact"/>
        <w:ind w:left="0" w:right="0" w:firstLine="44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9"/>
        <w:keepNext w:val="0"/>
        <w:keepLines w:val="0"/>
        <w:widowControl w:val="0"/>
        <w:shd w:val="clear" w:color="auto" w:fill="auto"/>
        <w:tabs>
          <w:tab w:pos="1021" w:val="left"/>
        </w:tabs>
        <w:bidi w:val="0"/>
        <w:spacing w:before="0" w:line="485" w:lineRule="exact"/>
        <w:ind w:left="0" w:right="0" w:firstLine="44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金额（涉及转移的金融资产为以公允价值计量且其变动计入其他综合收益的金融资产（债务工具））之和。</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bidi w:val="0"/>
        <w:spacing w:before="0" w:line="470" w:lineRule="exact"/>
        <w:ind w:left="0" w:right="0" w:firstLine="440"/>
        <w:jc w:val="both"/>
      </w:pPr>
      <w:bookmarkStart w:id="730" w:name="bookmark730"/>
      <w:r>
        <w:rPr>
          <w:b/>
          <w:bCs/>
          <w:color w:val="000000"/>
          <w:spacing w:val="0"/>
          <w:w w:val="100"/>
          <w:position w:val="0"/>
        </w:rPr>
        <w:t>4</w:t>
      </w:r>
      <w:bookmarkEnd w:id="730"/>
      <w:r>
        <w:rPr>
          <w:b/>
          <w:bCs/>
          <w:color w:val="000000"/>
          <w:spacing w:val="0"/>
          <w:w w:val="100"/>
          <w:position w:val="0"/>
        </w:rPr>
        <w:t>、金融负债终止确认条件</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9"/>
        <w:keepNext w:val="0"/>
        <w:keepLines w:val="0"/>
        <w:widowControl w:val="0"/>
        <w:shd w:val="clear" w:color="auto" w:fill="auto"/>
        <w:bidi w:val="0"/>
        <w:spacing w:before="0" w:after="380" w:line="473"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9"/>
        <w:keepNext w:val="0"/>
        <w:keepLines w:val="0"/>
        <w:widowControl w:val="0"/>
        <w:shd w:val="clear" w:color="auto" w:fill="auto"/>
        <w:bidi w:val="0"/>
        <w:spacing w:before="0" w:line="240" w:lineRule="auto"/>
        <w:ind w:left="0" w:right="0" w:firstLine="440"/>
        <w:jc w:val="both"/>
      </w:pPr>
      <w:bookmarkStart w:id="731" w:name="bookmark731"/>
      <w:r>
        <w:rPr>
          <w:b/>
          <w:bCs/>
          <w:color w:val="000000"/>
          <w:spacing w:val="0"/>
          <w:w w:val="100"/>
          <w:position w:val="0"/>
        </w:rPr>
        <w:t>5</w:t>
      </w:r>
      <w:bookmarkEnd w:id="731"/>
      <w:r>
        <w:rPr>
          <w:b/>
          <w:bCs/>
          <w:color w:val="000000"/>
          <w:spacing w:val="0"/>
          <w:w w:val="100"/>
          <w:position w:val="0"/>
        </w:rPr>
        <w:t>、金融资产和金融负债的公允价值的确定方法</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9"/>
        <w:keepNext w:val="0"/>
        <w:keepLines w:val="0"/>
        <w:widowControl w:val="0"/>
        <w:shd w:val="clear" w:color="auto" w:fill="auto"/>
        <w:bidi w:val="0"/>
        <w:spacing w:before="0" w:line="470" w:lineRule="exact"/>
        <w:ind w:left="0" w:right="0" w:firstLine="440"/>
        <w:jc w:val="both"/>
      </w:pPr>
      <w:bookmarkStart w:id="732" w:name="bookmark732"/>
      <w:r>
        <w:rPr>
          <w:b/>
          <w:bCs/>
          <w:color w:val="000000"/>
          <w:spacing w:val="0"/>
          <w:w w:val="100"/>
          <w:position w:val="0"/>
        </w:rPr>
        <w:t>6</w:t>
      </w:r>
      <w:bookmarkEnd w:id="732"/>
      <w:r>
        <w:rPr>
          <w:b/>
          <w:bCs/>
          <w:color w:val="000000"/>
          <w:spacing w:val="0"/>
          <w:w w:val="100"/>
          <w:position w:val="0"/>
        </w:rPr>
        <w:t>、金融资产减值的测试方法及会计处理方法</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本公司对于以摊余成本计量的金融资产、以公允价值计量且其变动计入其他综合收益的债务工具投资 等，以预期信用损失为基础确认损失准备。</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本公司考虑有关过去事项、当前状况以及对未来经济状况的预测等合理且有依据的信息，计算并确认 预期信用损失。</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于每个资产负债表日，本公司对于处于不同阶段的金融工具的预期信用损失分别进行计量。金融工具 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29"/>
        <w:keepNext w:val="0"/>
        <w:keepLines w:val="0"/>
        <w:widowControl w:val="0"/>
        <w:shd w:val="clear" w:color="auto" w:fill="auto"/>
        <w:bidi w:val="0"/>
        <w:spacing w:before="0" w:line="451"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29"/>
        <w:keepNext w:val="0"/>
        <w:keepLines w:val="0"/>
        <w:widowControl w:val="0"/>
        <w:shd w:val="clear" w:color="auto" w:fill="auto"/>
        <w:bidi w:val="0"/>
        <w:spacing w:before="0" w:line="480" w:lineRule="exact"/>
        <w:ind w:left="0" w:right="0" w:firstLine="440"/>
        <w:jc w:val="both"/>
      </w:pPr>
      <w:r>
        <w:rPr>
          <w:color w:val="000000"/>
          <w:spacing w:val="0"/>
          <w:w w:val="100"/>
          <w:position w:val="0"/>
        </w:rPr>
        <w:t>对于应收票据及应收账款，无论是否存在重大融资成分，本公司均按照整个存续期的预期信用损失计 量损失准备。</w:t>
      </w:r>
    </w:p>
    <w:p>
      <w:pPr>
        <w:pStyle w:val="Style29"/>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当单项金融资产无法以合理成本评估预期信用损失的信息时，本公司依据信用风险特征对应收票据和 应收账款划分组合，在组合基础上计算预期信用损失，确定组合的依据如下：</w:t>
      </w:r>
    </w:p>
    <w:p>
      <w:pPr>
        <w:pStyle w:val="Style29"/>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应收票据</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9"/>
        <w:keepNext w:val="0"/>
        <w:keepLines w:val="0"/>
        <w:widowControl w:val="0"/>
        <w:shd w:val="clear" w:color="auto" w:fill="auto"/>
        <w:bidi w:val="0"/>
        <w:spacing w:before="0" w:line="469" w:lineRule="exact"/>
        <w:ind w:left="0" w:right="0" w:firstLine="44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9"/>
        <w:keepNext w:val="0"/>
        <w:keepLines w:val="0"/>
        <w:widowControl w:val="0"/>
        <w:shd w:val="clear" w:color="auto" w:fill="auto"/>
        <w:bidi w:val="0"/>
        <w:spacing w:before="0" w:line="469" w:lineRule="exact"/>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应收账款</w:t>
      </w:r>
    </w:p>
    <w:p>
      <w:pPr>
        <w:pStyle w:val="Style29"/>
        <w:keepNext w:val="0"/>
        <w:keepLines w:val="0"/>
        <w:widowControl w:val="0"/>
        <w:shd w:val="clear" w:color="auto" w:fill="auto"/>
        <w:bidi w:val="0"/>
        <w:spacing w:before="0" w:line="469" w:lineRule="exact"/>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：应收增值电信业务客户</w:t>
      </w:r>
    </w:p>
    <w:p>
      <w:pPr>
        <w:pStyle w:val="Style29"/>
        <w:keepNext w:val="0"/>
        <w:keepLines w:val="0"/>
        <w:widowControl w:val="0"/>
        <w:shd w:val="clear" w:color="auto" w:fill="auto"/>
        <w:bidi w:val="0"/>
        <w:spacing w:before="0" w:line="469" w:lineRule="exact"/>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：应收系统集成业务客户</w:t>
      </w:r>
    </w:p>
    <w:p>
      <w:pPr>
        <w:pStyle w:val="Style29"/>
        <w:keepNext w:val="0"/>
        <w:keepLines w:val="0"/>
        <w:widowControl w:val="0"/>
        <w:shd w:val="clear" w:color="auto" w:fill="auto"/>
        <w:bidi w:val="0"/>
        <w:spacing w:before="0" w:line="461" w:lineRule="exact"/>
        <w:ind w:left="0" w:right="0" w:firstLine="44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对于划分为组合的应收账款，本公司参考历史信用损失经验，结合当前状况以及对未来经济状况的预 测，编制应收账款账龄</w:t>
      </w:r>
      <w:r>
        <w:rPr>
          <w:rFonts w:ascii="Times New Roman" w:eastAsia="Times New Roman" w:hAnsi="Times New Roman" w:cs="Times New Roman"/>
          <w:color w:val="000000"/>
          <w:spacing w:val="0"/>
          <w:w w:val="100"/>
          <w:position w:val="0"/>
        </w:rPr>
        <w:t>/</w:t>
      </w:r>
      <w:r>
        <w:rPr>
          <w:color w:val="000000"/>
          <w:spacing w:val="0"/>
          <w:w w:val="100"/>
          <w:position w:val="0"/>
        </w:rPr>
        <w:t>客户性质与整个存续期预期信用损失率对照表，计算预期信用损失。</w:t>
      </w:r>
    </w:p>
    <w:p>
      <w:pPr>
        <w:pStyle w:val="Style29"/>
        <w:keepNext w:val="0"/>
        <w:keepLines w:val="0"/>
        <w:widowControl w:val="0"/>
        <w:shd w:val="clear" w:color="auto" w:fill="auto"/>
        <w:bidi w:val="0"/>
        <w:spacing w:before="0" w:line="456" w:lineRule="exact"/>
        <w:ind w:left="0" w:right="0" w:firstLine="440"/>
        <w:jc w:val="both"/>
      </w:pPr>
      <w:r>
        <w:rPr>
          <w:color w:val="000000"/>
          <w:spacing w:val="0"/>
          <w:w w:val="100"/>
          <w:position w:val="0"/>
        </w:rPr>
        <w:t>对于其他应收款，本公司参考历史信用损失经验，结合当前状况以及对未来经济状况的预测，通过违 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本公司将计提或转回的损失准备计入当期损益。对于持有的以公允价值计量且其变动计入其他综合收 益的债务工具，本公司在将减值损失或利得计入当期损益的同时调整其他综合收益。</w:t>
      </w:r>
    </w:p>
    <w:p>
      <w:pPr>
        <w:pStyle w:val="Style29"/>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号——上市公司从事通信相关业务》的 披露要求</w:t>
      </w:r>
    </w:p>
    <w:p>
      <w:pPr>
        <w:pStyle w:val="Style38"/>
        <w:keepNext/>
        <w:keepLines/>
        <w:widowControl w:val="0"/>
        <w:shd w:val="clear" w:color="auto" w:fill="auto"/>
        <w:bidi w:val="0"/>
        <w:spacing w:before="0" w:after="220" w:line="469" w:lineRule="exact"/>
        <w:ind w:left="0" w:right="0" w:firstLine="0"/>
        <w:jc w:val="both"/>
      </w:pPr>
      <w:bookmarkStart w:id="733" w:name="bookmark733"/>
      <w:bookmarkStart w:id="734" w:name="bookmark734"/>
      <w:bookmarkStart w:id="735" w:name="bookmark735"/>
      <w:r>
        <w:rPr>
          <w:color w:val="000000"/>
          <w:spacing w:val="0"/>
          <w:w w:val="100"/>
          <w:position w:val="0"/>
        </w:rPr>
        <w:t>（十）存货</w:t>
      </w:r>
      <w:bookmarkEnd w:id="733"/>
      <w:bookmarkEnd w:id="734"/>
      <w:bookmarkEnd w:id="735"/>
    </w:p>
    <w:p>
      <w:pPr>
        <w:pStyle w:val="Style38"/>
        <w:keepNext/>
        <w:keepLines/>
        <w:widowControl w:val="0"/>
        <w:shd w:val="clear" w:color="auto" w:fill="auto"/>
        <w:tabs>
          <w:tab w:pos="798" w:val="left"/>
        </w:tabs>
        <w:bidi w:val="0"/>
        <w:spacing w:before="0" w:after="40" w:line="469" w:lineRule="exact"/>
        <w:ind w:left="0" w:right="0" w:firstLine="440"/>
        <w:jc w:val="left"/>
      </w:pPr>
      <w:bookmarkStart w:id="733" w:name="bookmark733"/>
      <w:bookmarkStart w:id="734" w:name="bookmark734"/>
      <w:bookmarkStart w:id="736" w:name="bookmark736"/>
      <w:r>
        <w:rPr>
          <w:color w:val="000000"/>
          <w:spacing w:val="0"/>
          <w:w w:val="100"/>
          <w:position w:val="0"/>
        </w:rPr>
        <w:t>1</w:t>
      </w:r>
      <w:bookmarkEnd w:id="736"/>
      <w:r>
        <w:rPr>
          <w:color w:val="000000"/>
          <w:spacing w:val="0"/>
          <w:w w:val="100"/>
          <w:position w:val="0"/>
        </w:rPr>
        <w:t>、</w:t>
        <w:tab/>
        <w:t>存货的分类</w:t>
      </w:r>
      <w:bookmarkEnd w:id="733"/>
      <w:bookmarkEnd w:id="734"/>
    </w:p>
    <w:p>
      <w:pPr>
        <w:pStyle w:val="Style29"/>
        <w:keepNext w:val="0"/>
        <w:keepLines w:val="0"/>
        <w:widowControl w:val="0"/>
        <w:shd w:val="clear" w:color="auto" w:fill="auto"/>
        <w:bidi w:val="0"/>
        <w:spacing w:before="0" w:after="40" w:line="469" w:lineRule="exact"/>
        <w:ind w:left="0" w:right="0" w:firstLine="440"/>
        <w:jc w:val="left"/>
      </w:pPr>
      <w:r>
        <w:rPr>
          <w:color w:val="000000"/>
          <w:spacing w:val="0"/>
          <w:w w:val="100"/>
          <w:position w:val="0"/>
        </w:rPr>
        <w:t>存货分类为：库存商品和网络工程实施成本。</w:t>
      </w:r>
    </w:p>
    <w:p>
      <w:pPr>
        <w:pStyle w:val="Style29"/>
        <w:keepNext w:val="0"/>
        <w:keepLines w:val="0"/>
        <w:widowControl w:val="0"/>
        <w:shd w:val="clear" w:color="auto" w:fill="auto"/>
        <w:tabs>
          <w:tab w:pos="813" w:val="left"/>
        </w:tabs>
        <w:bidi w:val="0"/>
        <w:spacing w:before="0" w:after="40" w:line="469" w:lineRule="exact"/>
        <w:ind w:left="0" w:right="0" w:firstLine="440"/>
        <w:jc w:val="left"/>
      </w:pPr>
      <w:bookmarkStart w:id="737" w:name="bookmark737"/>
      <w:r>
        <w:rPr>
          <w:b/>
          <w:bCs/>
          <w:color w:val="000000"/>
          <w:spacing w:val="0"/>
          <w:w w:val="100"/>
          <w:position w:val="0"/>
        </w:rPr>
        <w:t>2</w:t>
      </w:r>
      <w:bookmarkEnd w:id="737"/>
      <w:r>
        <w:rPr>
          <w:b/>
          <w:bCs/>
          <w:color w:val="000000"/>
          <w:spacing w:val="0"/>
          <w:w w:val="100"/>
          <w:position w:val="0"/>
        </w:rPr>
        <w:t>、</w:t>
        <w:tab/>
        <w:t>发出存货的计价方法</w:t>
      </w:r>
    </w:p>
    <w:p>
      <w:pPr>
        <w:pStyle w:val="Style29"/>
        <w:keepNext w:val="0"/>
        <w:keepLines w:val="0"/>
        <w:widowControl w:val="0"/>
        <w:shd w:val="clear" w:color="auto" w:fill="auto"/>
        <w:bidi w:val="0"/>
        <w:spacing w:before="0" w:after="40" w:line="469" w:lineRule="exact"/>
        <w:ind w:left="0" w:right="0" w:firstLine="440"/>
        <w:jc w:val="left"/>
      </w:pPr>
      <w:r>
        <w:rPr>
          <w:color w:val="000000"/>
          <w:spacing w:val="0"/>
          <w:w w:val="100"/>
          <w:position w:val="0"/>
        </w:rPr>
        <w:t>存货发出时按个别认定计价法计价。</w:t>
      </w:r>
    </w:p>
    <w:p>
      <w:pPr>
        <w:pStyle w:val="Style29"/>
        <w:keepNext w:val="0"/>
        <w:keepLines w:val="0"/>
        <w:widowControl w:val="0"/>
        <w:shd w:val="clear" w:color="auto" w:fill="auto"/>
        <w:tabs>
          <w:tab w:pos="813" w:val="left"/>
        </w:tabs>
        <w:bidi w:val="0"/>
        <w:spacing w:before="0" w:after="40" w:line="469" w:lineRule="exact"/>
        <w:ind w:left="0" w:right="0" w:firstLine="440"/>
        <w:jc w:val="left"/>
      </w:pPr>
      <w:bookmarkStart w:id="738" w:name="bookmark738"/>
      <w:r>
        <w:rPr>
          <w:b/>
          <w:bCs/>
          <w:color w:val="000000"/>
          <w:spacing w:val="0"/>
          <w:w w:val="100"/>
          <w:position w:val="0"/>
        </w:rPr>
        <w:t>3</w:t>
      </w:r>
      <w:bookmarkEnd w:id="738"/>
      <w:r>
        <w:rPr>
          <w:b/>
          <w:bCs/>
          <w:color w:val="000000"/>
          <w:spacing w:val="0"/>
          <w:w w:val="100"/>
          <w:position w:val="0"/>
        </w:rPr>
        <w:t>、</w:t>
        <w:tab/>
        <w:t>不同类别存货可变现净值的确定依据</w:t>
      </w:r>
    </w:p>
    <w:p>
      <w:pPr>
        <w:pStyle w:val="Style29"/>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 xml:space="preserve">库存商品和用于出售的材料等直接用于出售的商品存货，在正常生产经营过程中，以该存货的估计售 价减去估计的销售费用和相关税费后的金额，确定其可变现净值；需要经过加工的材料存货，在正常生产 经营过程中，以所生产的产成品的估计售价减去至完工时估计将要发生的成本、估计的销售费用和相关税 费后的金额，确定其可变现净值；为执行销售合同或者劳务合同而持有的存货，其可变现净值以合同价格 为基础计算，若持有存货的数量多于销售合同订购数量的，超出部分的存货的可变现净值以一般销售价格 </w:t>
      </w:r>
      <w:r>
        <w:rPr>
          <w:color w:val="000000"/>
          <w:spacing w:val="0"/>
          <w:w w:val="100"/>
          <w:position w:val="0"/>
        </w:rPr>
        <w:t>为基础计算。</w:t>
      </w:r>
    </w:p>
    <w:p>
      <w:pPr>
        <w:pStyle w:val="Style29"/>
        <w:keepNext w:val="0"/>
        <w:keepLines w:val="0"/>
        <w:widowControl w:val="0"/>
        <w:shd w:val="clear" w:color="auto" w:fill="auto"/>
        <w:bidi w:val="0"/>
        <w:spacing w:before="0" w:after="40" w:line="470" w:lineRule="exact"/>
        <w:ind w:left="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29"/>
        <w:keepNext w:val="0"/>
        <w:keepLines w:val="0"/>
        <w:widowControl w:val="0"/>
        <w:shd w:val="clear" w:color="auto" w:fill="auto"/>
        <w:bidi w:val="0"/>
        <w:spacing w:before="0" w:after="40" w:line="470" w:lineRule="exact"/>
        <w:ind w:left="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29"/>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本期期末存货项目的可变现净值以资产负债表日市场价格为基础确定。</w:t>
      </w:r>
    </w:p>
    <w:p>
      <w:pPr>
        <w:pStyle w:val="Style29"/>
        <w:keepNext w:val="0"/>
        <w:keepLines w:val="0"/>
        <w:widowControl w:val="0"/>
        <w:shd w:val="clear" w:color="auto" w:fill="auto"/>
        <w:tabs>
          <w:tab w:pos="738" w:val="left"/>
        </w:tabs>
        <w:bidi w:val="0"/>
        <w:spacing w:before="0" w:after="40" w:line="470" w:lineRule="exact"/>
        <w:ind w:left="0" w:right="0" w:firstLine="360"/>
        <w:jc w:val="both"/>
      </w:pPr>
      <w:bookmarkStart w:id="739" w:name="bookmark739"/>
      <w:r>
        <w:rPr>
          <w:b/>
          <w:bCs/>
          <w:color w:val="000000"/>
          <w:spacing w:val="0"/>
          <w:w w:val="100"/>
          <w:position w:val="0"/>
        </w:rPr>
        <w:t>4</w:t>
      </w:r>
      <w:bookmarkEnd w:id="739"/>
      <w:r>
        <w:rPr>
          <w:b/>
          <w:bCs/>
          <w:color w:val="000000"/>
          <w:spacing w:val="0"/>
          <w:w w:val="100"/>
          <w:position w:val="0"/>
        </w:rPr>
        <w:t>、</w:t>
        <w:tab/>
        <w:t>存货的盘存制度</w:t>
      </w:r>
    </w:p>
    <w:p>
      <w:pPr>
        <w:pStyle w:val="Style29"/>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采用永续盘存制。</w:t>
      </w:r>
    </w:p>
    <w:p>
      <w:pPr>
        <w:pStyle w:val="Style29"/>
        <w:keepNext w:val="0"/>
        <w:keepLines w:val="0"/>
        <w:widowControl w:val="0"/>
        <w:shd w:val="clear" w:color="auto" w:fill="auto"/>
        <w:tabs>
          <w:tab w:pos="738" w:val="left"/>
        </w:tabs>
        <w:bidi w:val="0"/>
        <w:spacing w:before="0" w:after="40" w:line="470" w:lineRule="exact"/>
        <w:ind w:left="0" w:right="0" w:firstLine="360"/>
        <w:jc w:val="both"/>
      </w:pPr>
      <w:bookmarkStart w:id="740" w:name="bookmark740"/>
      <w:r>
        <w:rPr>
          <w:b/>
          <w:bCs/>
          <w:color w:val="000000"/>
          <w:spacing w:val="0"/>
          <w:w w:val="100"/>
          <w:position w:val="0"/>
        </w:rPr>
        <w:t>5</w:t>
      </w:r>
      <w:bookmarkEnd w:id="740"/>
      <w:r>
        <w:rPr>
          <w:b/>
          <w:bCs/>
          <w:color w:val="000000"/>
          <w:spacing w:val="0"/>
          <w:w w:val="100"/>
          <w:position w:val="0"/>
        </w:rPr>
        <w:t>、</w:t>
        <w:tab/>
        <w:t>低值易耗品的摊销方法</w:t>
      </w:r>
    </w:p>
    <w:p>
      <w:pPr>
        <w:pStyle w:val="Style29"/>
        <w:keepNext w:val="0"/>
        <w:keepLines w:val="0"/>
        <w:widowControl w:val="0"/>
        <w:shd w:val="clear" w:color="auto" w:fill="auto"/>
        <w:bidi w:val="0"/>
        <w:spacing w:before="0" w:after="200" w:line="470" w:lineRule="exact"/>
        <w:ind w:left="0" w:right="0" w:firstLine="360"/>
        <w:jc w:val="both"/>
      </w:pPr>
      <w:r>
        <w:rPr>
          <w:color w:val="000000"/>
          <w:spacing w:val="0"/>
          <w:w w:val="100"/>
          <w:position w:val="0"/>
        </w:rPr>
        <w:t>低值易耗品采用一次转销法。</w:t>
      </w:r>
    </w:p>
    <w:p>
      <w:pPr>
        <w:pStyle w:val="Style38"/>
        <w:keepNext/>
        <w:keepLines/>
        <w:widowControl w:val="0"/>
        <w:shd w:val="clear" w:color="auto" w:fill="auto"/>
        <w:bidi w:val="0"/>
        <w:spacing w:before="0" w:after="200" w:line="470" w:lineRule="exact"/>
        <w:ind w:left="0" w:right="0" w:firstLine="0"/>
        <w:jc w:val="both"/>
      </w:pPr>
      <w:bookmarkStart w:id="741" w:name="bookmark741"/>
      <w:bookmarkStart w:id="742" w:name="bookmark742"/>
      <w:bookmarkStart w:id="743" w:name="bookmark743"/>
      <w:r>
        <w:rPr>
          <w:color w:val="000000"/>
          <w:spacing w:val="0"/>
          <w:w w:val="100"/>
          <w:position w:val="0"/>
        </w:rPr>
        <w:t>（十一）合同资产</w:t>
      </w:r>
      <w:bookmarkEnd w:id="741"/>
      <w:bookmarkEnd w:id="742"/>
      <w:bookmarkEnd w:id="743"/>
    </w:p>
    <w:p>
      <w:pPr>
        <w:pStyle w:val="Style29"/>
        <w:keepNext w:val="0"/>
        <w:keepLines w:val="0"/>
        <w:widowControl w:val="0"/>
        <w:shd w:val="clear" w:color="auto" w:fill="auto"/>
        <w:bidi w:val="0"/>
        <w:spacing w:before="0" w:line="470" w:lineRule="exact"/>
        <w:ind w:left="0" w:right="0" w:firstLine="360"/>
        <w:jc w:val="both"/>
      </w:pPr>
      <w:r>
        <w:rPr>
          <w:color w:val="000000"/>
          <w:spacing w:val="0"/>
          <w:w w:val="100"/>
          <w:position w:val="0"/>
        </w:rPr>
        <w:t>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日起的会计政策</w:t>
      </w:r>
    </w:p>
    <w:p>
      <w:pPr>
        <w:pStyle w:val="Style29"/>
        <w:keepNext w:val="0"/>
        <w:keepLines w:val="0"/>
        <w:widowControl w:val="0"/>
        <w:shd w:val="clear" w:color="auto" w:fill="auto"/>
        <w:tabs>
          <w:tab w:pos="718" w:val="left"/>
        </w:tabs>
        <w:bidi w:val="0"/>
        <w:spacing w:before="0" w:line="470" w:lineRule="exact"/>
        <w:ind w:left="0" w:right="0" w:firstLine="360"/>
        <w:jc w:val="both"/>
      </w:pPr>
      <w:bookmarkStart w:id="744" w:name="bookmark744"/>
      <w:r>
        <w:rPr>
          <w:b/>
          <w:bCs/>
          <w:color w:val="000000"/>
          <w:spacing w:val="0"/>
          <w:w w:val="100"/>
          <w:position w:val="0"/>
        </w:rPr>
        <w:t>1</w:t>
      </w:r>
      <w:bookmarkEnd w:id="744"/>
      <w:r>
        <w:rPr>
          <w:b/>
          <w:bCs/>
          <w:color w:val="000000"/>
          <w:spacing w:val="0"/>
          <w:w w:val="100"/>
          <w:position w:val="0"/>
        </w:rPr>
        <w:t>、</w:t>
        <w:tab/>
        <w:t>合同资产的确认方法及标准</w:t>
      </w:r>
    </w:p>
    <w:p>
      <w:pPr>
        <w:pStyle w:val="Style29"/>
        <w:keepNext w:val="0"/>
        <w:keepLines w:val="0"/>
        <w:widowControl w:val="0"/>
        <w:shd w:val="clear" w:color="auto" w:fill="auto"/>
        <w:bidi w:val="0"/>
        <w:spacing w:before="0" w:line="470" w:lineRule="exact"/>
        <w:ind w:left="0" w:right="0" w:firstLine="42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29"/>
        <w:keepNext w:val="0"/>
        <w:keepLines w:val="0"/>
        <w:widowControl w:val="0"/>
        <w:shd w:val="clear" w:color="auto" w:fill="auto"/>
        <w:tabs>
          <w:tab w:pos="733" w:val="left"/>
        </w:tabs>
        <w:bidi w:val="0"/>
        <w:spacing w:before="0" w:line="470" w:lineRule="exact"/>
        <w:ind w:left="0" w:right="0" w:firstLine="360"/>
        <w:jc w:val="both"/>
      </w:pPr>
      <w:bookmarkStart w:id="745" w:name="bookmark745"/>
      <w:r>
        <w:rPr>
          <w:b/>
          <w:bCs/>
          <w:color w:val="000000"/>
          <w:spacing w:val="0"/>
          <w:w w:val="100"/>
          <w:position w:val="0"/>
        </w:rPr>
        <w:t>2</w:t>
      </w:r>
      <w:bookmarkEnd w:id="745"/>
      <w:r>
        <w:rPr>
          <w:b/>
          <w:bCs/>
          <w:color w:val="000000"/>
          <w:spacing w:val="0"/>
          <w:w w:val="100"/>
          <w:position w:val="0"/>
        </w:rPr>
        <w:t>、</w:t>
        <w:tab/>
        <w:t>合同资产预期信用损失的确定方法及会计处理方法</w:t>
      </w:r>
    </w:p>
    <w:p>
      <w:pPr>
        <w:pStyle w:val="Style29"/>
        <w:keepNext w:val="0"/>
        <w:keepLines w:val="0"/>
        <w:widowControl w:val="0"/>
        <w:shd w:val="clear" w:color="auto" w:fill="auto"/>
        <w:bidi w:val="0"/>
        <w:spacing w:before="0" w:line="470" w:lineRule="exact"/>
        <w:ind w:left="0" w:right="0" w:firstLine="420"/>
        <w:jc w:val="both"/>
      </w:pPr>
      <w:r>
        <w:rPr>
          <w:color w:val="000000"/>
          <w:spacing w:val="0"/>
          <w:w w:val="100"/>
          <w:position w:val="0"/>
        </w:rPr>
        <w:t>合同资产的预期信用损失的确定方法及会计处理方法详见本附注“（九）</w:t>
      </w:r>
      <w:r>
        <w:rPr>
          <w:color w:val="000000"/>
          <w:spacing w:val="0"/>
          <w:w w:val="100"/>
          <w:position w:val="0"/>
          <w:sz w:val="20"/>
          <w:szCs w:val="20"/>
        </w:rPr>
        <w:t>6</w:t>
      </w:r>
      <w:r>
        <w:rPr>
          <w:color w:val="000000"/>
          <w:spacing w:val="0"/>
          <w:w w:val="100"/>
          <w:position w:val="0"/>
        </w:rPr>
        <w:t>、金融资产减值的测试方 法及会计处理方法”。</w:t>
      </w:r>
    </w:p>
    <w:p>
      <w:pPr>
        <w:pStyle w:val="Style29"/>
        <w:keepNext w:val="0"/>
        <w:keepLines w:val="0"/>
        <w:widowControl w:val="0"/>
        <w:shd w:val="clear" w:color="auto" w:fill="auto"/>
        <w:bidi w:val="0"/>
        <w:spacing w:before="0" w:after="200" w:line="485" w:lineRule="exact"/>
        <w:ind w:left="0" w:right="0" w:firstLine="420"/>
        <w:jc w:val="both"/>
      </w:pPr>
      <w:r>
        <w:rPr>
          <w:color w:val="000000"/>
          <w:spacing w:val="0"/>
          <w:w w:val="100"/>
          <w:position w:val="0"/>
        </w:rPr>
        <w:t>公司需遵守《深圳证券交易所创业板行业信息披露指引第</w:t>
      </w:r>
      <w:r>
        <w:rPr>
          <w:color w:val="000000"/>
          <w:spacing w:val="0"/>
          <w:w w:val="100"/>
          <w:position w:val="0"/>
          <w:sz w:val="20"/>
          <w:szCs w:val="20"/>
        </w:rPr>
        <w:t>14</w:t>
      </w:r>
      <w:r>
        <w:rPr>
          <w:color w:val="000000"/>
          <w:spacing w:val="0"/>
          <w:w w:val="100"/>
          <w:position w:val="0"/>
        </w:rPr>
        <w:t>号一一上市公司从事通信相关业务》的 披露要求</w:t>
      </w:r>
    </w:p>
    <w:p>
      <w:pPr>
        <w:pStyle w:val="Style38"/>
        <w:keepNext/>
        <w:keepLines/>
        <w:widowControl w:val="0"/>
        <w:shd w:val="clear" w:color="auto" w:fill="auto"/>
        <w:bidi w:val="0"/>
        <w:spacing w:before="0" w:after="200" w:line="470" w:lineRule="exact"/>
        <w:ind w:left="0" w:right="0" w:firstLine="0"/>
        <w:jc w:val="both"/>
      </w:pPr>
      <w:bookmarkStart w:id="746" w:name="bookmark746"/>
      <w:bookmarkStart w:id="747" w:name="bookmark747"/>
      <w:bookmarkStart w:id="748" w:name="bookmark748"/>
      <w:r>
        <w:rPr>
          <w:color w:val="000000"/>
          <w:spacing w:val="0"/>
          <w:w w:val="100"/>
          <w:position w:val="0"/>
        </w:rPr>
        <w:t>（十二）长期股权投资</w:t>
      </w:r>
      <w:bookmarkEnd w:id="746"/>
      <w:bookmarkEnd w:id="747"/>
      <w:bookmarkEnd w:id="748"/>
    </w:p>
    <w:p>
      <w:pPr>
        <w:pStyle w:val="Style38"/>
        <w:keepNext/>
        <w:keepLines/>
        <w:widowControl w:val="0"/>
        <w:shd w:val="clear" w:color="auto" w:fill="auto"/>
        <w:bidi w:val="0"/>
        <w:spacing w:before="0" w:after="140" w:line="470" w:lineRule="exact"/>
        <w:ind w:left="0" w:right="0" w:firstLine="360"/>
        <w:jc w:val="left"/>
      </w:pPr>
      <w:bookmarkStart w:id="746" w:name="bookmark746"/>
      <w:bookmarkStart w:id="747" w:name="bookmark747"/>
      <w:bookmarkStart w:id="749" w:name="bookmark749"/>
      <w:r>
        <w:rPr>
          <w:color w:val="000000"/>
          <w:spacing w:val="0"/>
          <w:w w:val="100"/>
          <w:position w:val="0"/>
          <w:sz w:val="17"/>
          <w:szCs w:val="17"/>
        </w:rPr>
        <w:t>1</w:t>
      </w:r>
      <w:bookmarkEnd w:id="749"/>
      <w:r>
        <w:rPr>
          <w:color w:val="000000"/>
          <w:spacing w:val="0"/>
          <w:w w:val="100"/>
          <w:position w:val="0"/>
        </w:rPr>
        <w:t>、共同控制、重大影响的判断标准</w:t>
      </w:r>
      <w:bookmarkEnd w:id="746"/>
      <w:bookmarkEnd w:id="747"/>
    </w:p>
    <w:p>
      <w:pPr>
        <w:pStyle w:val="Style29"/>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9"/>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29"/>
        <w:keepNext w:val="0"/>
        <w:keepLines w:val="0"/>
        <w:widowControl w:val="0"/>
        <w:shd w:val="clear" w:color="auto" w:fill="auto"/>
        <w:bidi w:val="0"/>
        <w:spacing w:before="0" w:after="160" w:line="468" w:lineRule="exact"/>
        <w:ind w:left="0" w:right="0" w:firstLine="440"/>
        <w:jc w:val="left"/>
      </w:pPr>
      <w:bookmarkStart w:id="750" w:name="bookmark750"/>
      <w:r>
        <w:rPr>
          <w:b/>
          <w:bCs/>
          <w:color w:val="000000"/>
          <w:spacing w:val="0"/>
          <w:w w:val="100"/>
          <w:position w:val="0"/>
        </w:rPr>
        <w:t>2</w:t>
      </w:r>
      <w:bookmarkEnd w:id="750"/>
      <w:r>
        <w:rPr>
          <w:b/>
          <w:bCs/>
          <w:color w:val="000000"/>
          <w:spacing w:val="0"/>
          <w:w w:val="100"/>
          <w:position w:val="0"/>
        </w:rPr>
        <w:t>、初始投资成本的确定</w:t>
      </w:r>
    </w:p>
    <w:p>
      <w:pPr>
        <w:pStyle w:val="Style29"/>
        <w:keepNext w:val="0"/>
        <w:keepLines w:val="0"/>
        <w:widowControl w:val="0"/>
        <w:shd w:val="clear" w:color="auto" w:fill="auto"/>
        <w:tabs>
          <w:tab w:pos="890" w:val="left"/>
        </w:tabs>
        <w:bidi w:val="0"/>
        <w:spacing w:before="0" w:after="160" w:line="468" w:lineRule="exact"/>
        <w:ind w:left="0" w:right="0" w:firstLine="440"/>
        <w:jc w:val="left"/>
      </w:pPr>
      <w:bookmarkStart w:id="751" w:name="bookmark751"/>
      <w:r>
        <w:rPr>
          <w:b/>
          <w:bCs/>
          <w:color w:val="000000"/>
          <w:spacing w:val="0"/>
          <w:w w:val="100"/>
          <w:position w:val="0"/>
        </w:rPr>
        <w:t>（</w:t>
      </w:r>
      <w:bookmarkEnd w:id="751"/>
      <w:r>
        <w:rPr>
          <w:b/>
          <w:bCs/>
          <w:color w:val="000000"/>
          <w:spacing w:val="0"/>
          <w:w w:val="100"/>
          <w:position w:val="0"/>
        </w:rPr>
        <w:t>1）</w:t>
        <w:tab/>
        <w:t>企业合并形成的长期股权投资</w:t>
      </w:r>
    </w:p>
    <w:p>
      <w:pPr>
        <w:pStyle w:val="Style29"/>
        <w:keepNext w:val="0"/>
        <w:keepLines w:val="0"/>
        <w:widowControl w:val="0"/>
        <w:shd w:val="clear" w:color="auto" w:fill="auto"/>
        <w:bidi w:val="0"/>
        <w:spacing w:before="0" w:after="0" w:line="446" w:lineRule="exact"/>
        <w:ind w:left="0" w:right="0" w:firstLine="440"/>
        <w:jc w:val="both"/>
      </w:pPr>
      <w:r>
        <w:rPr>
          <w:color w:val="000000"/>
          <w:spacing w:val="0"/>
          <w:w w:val="100"/>
          <w:position w:val="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益。</w:t>
      </w:r>
    </w:p>
    <w:p>
      <w:pPr>
        <w:pStyle w:val="Style29"/>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29"/>
        <w:keepNext w:val="0"/>
        <w:keepLines w:val="0"/>
        <w:widowControl w:val="0"/>
        <w:shd w:val="clear" w:color="auto" w:fill="auto"/>
        <w:tabs>
          <w:tab w:pos="890" w:val="left"/>
        </w:tabs>
        <w:bidi w:val="0"/>
        <w:spacing w:before="0" w:after="160" w:line="468" w:lineRule="exact"/>
        <w:ind w:left="0" w:right="0" w:firstLine="440"/>
        <w:jc w:val="both"/>
      </w:pPr>
      <w:bookmarkStart w:id="752" w:name="bookmark752"/>
      <w:r>
        <w:rPr>
          <w:b/>
          <w:bCs/>
          <w:color w:val="000000"/>
          <w:spacing w:val="0"/>
          <w:w w:val="100"/>
          <w:position w:val="0"/>
        </w:rPr>
        <w:t>（</w:t>
      </w:r>
      <w:bookmarkEnd w:id="752"/>
      <w:r>
        <w:rPr>
          <w:b/>
          <w:bCs/>
          <w:color w:val="000000"/>
          <w:spacing w:val="0"/>
          <w:w w:val="100"/>
          <w:position w:val="0"/>
        </w:rPr>
        <w:t>2）</w:t>
        <w:tab/>
        <w:t>其他方式取得的长期股权投资</w:t>
      </w:r>
    </w:p>
    <w:p>
      <w:pPr>
        <w:pStyle w:val="Style29"/>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在非货币性资产交换具有商业实质，且换入资产或换出资产的公允价值能够可靠计量时，以公允价值 为基础计量。如换入资产和换出资产的公允价值均能可靠计量的，对于换入的长期股权投资，以换出资产 的公允价值和应支付的相关税费作为换入的长期股权投资的初始投资成本，除非有确凿证据表明换入资产 的公允价值更加可靠。非货币性资产交换不具有商业实质，或换入资产和换出资产的公允价值均不能可靠 计量的，对于换入的长期股权投资，以换出资产的账面价值和应支付的相关税费作为换入长期股权投资的 初始投资成本。</w:t>
      </w:r>
    </w:p>
    <w:p>
      <w:pPr>
        <w:pStyle w:val="Style29"/>
        <w:keepNext w:val="0"/>
        <w:keepLines w:val="0"/>
        <w:widowControl w:val="0"/>
        <w:shd w:val="clear" w:color="auto" w:fill="auto"/>
        <w:bidi w:val="0"/>
        <w:spacing w:before="0" w:line="466" w:lineRule="exact"/>
        <w:ind w:left="0" w:right="0" w:firstLine="440"/>
        <w:jc w:val="left"/>
      </w:pPr>
      <w:r>
        <w:rPr>
          <w:color w:val="000000"/>
          <w:spacing w:val="0"/>
          <w:w w:val="100"/>
          <w:position w:val="0"/>
        </w:rPr>
        <w:t>通过债务重组取得的长期股权投资，以所放弃债权的公允价值和可直接归属于该资产的税金等其他成 本确定其入账价值，并将所放弃债权的公允价值与账面价值之间的差额，计入当期损益。</w:t>
      </w:r>
    </w:p>
    <w:p>
      <w:pPr>
        <w:pStyle w:val="Style29"/>
        <w:keepNext w:val="0"/>
        <w:keepLines w:val="0"/>
        <w:widowControl w:val="0"/>
        <w:shd w:val="clear" w:color="auto" w:fill="auto"/>
        <w:bidi w:val="0"/>
        <w:spacing w:before="0" w:line="468" w:lineRule="exact"/>
        <w:ind w:left="0" w:right="0" w:firstLine="440"/>
        <w:jc w:val="left"/>
      </w:pPr>
      <w:bookmarkStart w:id="753" w:name="bookmark753"/>
      <w:r>
        <w:rPr>
          <w:b/>
          <w:bCs/>
          <w:color w:val="000000"/>
          <w:spacing w:val="0"/>
          <w:w w:val="100"/>
          <w:position w:val="0"/>
        </w:rPr>
        <w:t>3</w:t>
      </w:r>
      <w:bookmarkEnd w:id="753"/>
      <w:r>
        <w:rPr>
          <w:b/>
          <w:bCs/>
          <w:color w:val="000000"/>
          <w:spacing w:val="0"/>
          <w:w w:val="100"/>
          <w:position w:val="0"/>
        </w:rPr>
        <w:t>、后续计量及损益确认方法</w:t>
      </w:r>
    </w:p>
    <w:p>
      <w:pPr>
        <w:pStyle w:val="Style29"/>
        <w:keepNext w:val="0"/>
        <w:keepLines w:val="0"/>
        <w:widowControl w:val="0"/>
        <w:shd w:val="clear" w:color="auto" w:fill="auto"/>
        <w:tabs>
          <w:tab w:pos="882" w:val="left"/>
        </w:tabs>
        <w:bidi w:val="0"/>
        <w:spacing w:before="0" w:after="200" w:line="468" w:lineRule="exact"/>
        <w:ind w:left="0" w:right="0" w:firstLine="440"/>
        <w:jc w:val="left"/>
      </w:pPr>
      <w:bookmarkStart w:id="754" w:name="bookmark754"/>
      <w:r>
        <w:rPr>
          <w:b/>
          <w:bCs/>
          <w:color w:val="000000"/>
          <w:spacing w:val="0"/>
          <w:w w:val="100"/>
          <w:position w:val="0"/>
        </w:rPr>
        <w:t>（</w:t>
      </w:r>
      <w:bookmarkEnd w:id="754"/>
      <w:r>
        <w:rPr>
          <w:b/>
          <w:bCs/>
          <w:color w:val="000000"/>
          <w:spacing w:val="0"/>
          <w:w w:val="100"/>
          <w:position w:val="0"/>
        </w:rPr>
        <w:t>1）</w:t>
        <w:tab/>
        <w:t>成本法核算的长期股权投资</w:t>
      </w:r>
    </w:p>
    <w:p>
      <w:pPr>
        <w:pStyle w:val="Style29"/>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益。</w:t>
      </w:r>
    </w:p>
    <w:p>
      <w:pPr>
        <w:pStyle w:val="Style29"/>
        <w:keepNext w:val="0"/>
        <w:keepLines w:val="0"/>
        <w:widowControl w:val="0"/>
        <w:shd w:val="clear" w:color="auto" w:fill="auto"/>
        <w:tabs>
          <w:tab w:pos="882" w:val="left"/>
        </w:tabs>
        <w:bidi w:val="0"/>
        <w:spacing w:before="0" w:line="468" w:lineRule="exact"/>
        <w:ind w:left="0" w:right="0" w:firstLine="440"/>
        <w:jc w:val="left"/>
      </w:pPr>
      <w:bookmarkStart w:id="755" w:name="bookmark755"/>
      <w:r>
        <w:rPr>
          <w:b/>
          <w:bCs/>
          <w:color w:val="000000"/>
          <w:spacing w:val="0"/>
          <w:w w:val="100"/>
          <w:position w:val="0"/>
        </w:rPr>
        <w:t>（</w:t>
      </w:r>
      <w:bookmarkEnd w:id="755"/>
      <w:r>
        <w:rPr>
          <w:b/>
          <w:bCs/>
          <w:color w:val="000000"/>
          <w:spacing w:val="0"/>
          <w:w w:val="100"/>
          <w:position w:val="0"/>
        </w:rPr>
        <w:t>2）</w:t>
        <w:tab/>
        <w:t>权益法核算的长期股权投资</w:t>
      </w:r>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29"/>
        <w:keepNext w:val="0"/>
        <w:keepLines w:val="0"/>
        <w:widowControl w:val="0"/>
        <w:shd w:val="clear" w:color="auto" w:fill="auto"/>
        <w:bidi w:val="0"/>
        <w:spacing w:before="0" w:line="467" w:lineRule="exact"/>
        <w:ind w:left="0" w:right="0" w:firstLine="440"/>
        <w:jc w:val="left"/>
      </w:pPr>
      <w:r>
        <w:rPr>
          <w:color w:val="000000"/>
          <w:spacing w:val="0"/>
          <w:w w:val="100"/>
          <w:position w:val="0"/>
        </w:rPr>
        <w:t>在确认应享有被投资单位净损益的份额时，以取得投资时被投资单位可辨认净资产的公允价值为基础,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Style29"/>
        <w:keepNext w:val="0"/>
        <w:keepLines w:val="0"/>
        <w:widowControl w:val="0"/>
        <w:shd w:val="clear" w:color="auto" w:fill="auto"/>
        <w:bidi w:val="0"/>
        <w:spacing w:before="0" w:line="468" w:lineRule="exact"/>
        <w:ind w:left="0" w:right="0" w:firstLine="440"/>
        <w:jc w:val="left"/>
      </w:pPr>
      <w:r>
        <w:rPr>
          <w:color w:val="000000"/>
          <w:spacing w:val="0"/>
          <w:w w:val="100"/>
          <w:position w:val="0"/>
        </w:rPr>
        <w:t>公司与联营企业、合营企业之间发生的未实现内部交易损益按照应享有的比例计算归属于公司的部分, 予以抵销，在此基础上确认投资收益。与被投资单位发生的未实现内部交易损失，属于资产减值损失的， 全额确认。公司与联营企业、合营企业之间发生投出或出售资产的交易，该资产构成业务的，按照本附注 “五、同一控制下和非同一控制下企业合并的会计处理方法”和“六、合并财务报表的编制方法”中披露 的相关政策进行会计处理。</w:t>
      </w:r>
    </w:p>
    <w:p>
      <w:pPr>
        <w:pStyle w:val="Style29"/>
        <w:keepNext w:val="0"/>
        <w:keepLines w:val="0"/>
        <w:widowControl w:val="0"/>
        <w:shd w:val="clear" w:color="auto" w:fill="auto"/>
        <w:bidi w:val="0"/>
        <w:spacing w:before="0" w:line="470" w:lineRule="exact"/>
        <w:ind w:left="0" w:right="0" w:firstLine="440"/>
        <w:jc w:val="left"/>
      </w:pPr>
      <w:r>
        <w:rPr>
          <w:color w:val="000000"/>
          <w:spacing w:val="0"/>
          <w:w w:val="100"/>
          <w:position w:val="0"/>
        </w:rPr>
        <w:t xml:space="preserve">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w:t>
      </w:r>
      <w:r>
        <w:rPr>
          <w:color w:val="000000"/>
          <w:spacing w:val="0"/>
          <w:w w:val="100"/>
          <w:position w:val="0"/>
        </w:rPr>
        <w:t>同或协议约定企业仍承担额外义务的，按预计承担的义务确认预计负债，计入当期投资损失。</w:t>
      </w:r>
    </w:p>
    <w:p>
      <w:pPr>
        <w:pStyle w:val="Style29"/>
        <w:keepNext w:val="0"/>
        <w:keepLines w:val="0"/>
        <w:widowControl w:val="0"/>
        <w:shd w:val="clear" w:color="auto" w:fill="auto"/>
        <w:bidi w:val="0"/>
        <w:spacing w:before="0" w:line="469" w:lineRule="exact"/>
        <w:ind w:left="0" w:right="0" w:firstLine="440"/>
        <w:jc w:val="left"/>
      </w:pPr>
      <w:bookmarkStart w:id="756" w:name="bookmark756"/>
      <w:r>
        <w:rPr>
          <w:b/>
          <w:bCs/>
          <w:color w:val="000000"/>
          <w:spacing w:val="0"/>
          <w:w w:val="100"/>
          <w:position w:val="0"/>
        </w:rPr>
        <w:t>（</w:t>
      </w:r>
      <w:bookmarkEnd w:id="756"/>
      <w:r>
        <w:rPr>
          <w:b/>
          <w:bCs/>
          <w:color w:val="000000"/>
          <w:spacing w:val="0"/>
          <w:w w:val="100"/>
          <w:position w:val="0"/>
        </w:rPr>
        <w:t>3）长期股权投资的处置</w:t>
      </w:r>
    </w:p>
    <w:p>
      <w:pPr>
        <w:pStyle w:val="Style29"/>
        <w:keepNext w:val="0"/>
        <w:keepLines w:val="0"/>
        <w:widowControl w:val="0"/>
        <w:shd w:val="clear" w:color="auto" w:fill="auto"/>
        <w:bidi w:val="0"/>
        <w:spacing w:before="0" w:line="469" w:lineRule="exact"/>
        <w:ind w:left="0" w:right="0" w:firstLine="440"/>
        <w:jc w:val="left"/>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9"/>
        <w:keepNext w:val="0"/>
        <w:keepLines w:val="0"/>
        <w:widowControl w:val="0"/>
        <w:shd w:val="clear" w:color="auto" w:fill="auto"/>
        <w:bidi w:val="0"/>
        <w:spacing w:before="0" w:after="200" w:line="485" w:lineRule="exact"/>
        <w:ind w:left="0" w:right="0" w:firstLine="440"/>
        <w:jc w:val="both"/>
      </w:pPr>
      <w:r>
        <w:rPr>
          <w:color w:val="000000"/>
          <w:spacing w:val="0"/>
          <w:w w:val="100"/>
          <w:position w:val="0"/>
        </w:rPr>
        <w:t>需遵守《深圳证券交易所创业板行业信息披露指引第</w:t>
      </w:r>
      <w:r>
        <w:rPr>
          <w:color w:val="000000"/>
          <w:spacing w:val="0"/>
          <w:w w:val="100"/>
          <w:position w:val="0"/>
          <w:sz w:val="20"/>
          <w:szCs w:val="20"/>
        </w:rPr>
        <w:t>14</w:t>
      </w:r>
      <w:r>
        <w:rPr>
          <w:color w:val="000000"/>
          <w:spacing w:val="0"/>
          <w:w w:val="100"/>
          <w:position w:val="0"/>
        </w:rPr>
        <w:t>号一一上市公司从事通信相关业务》的披露 要求</w:t>
      </w:r>
    </w:p>
    <w:p>
      <w:pPr>
        <w:pStyle w:val="Style38"/>
        <w:keepNext/>
        <w:keepLines/>
        <w:widowControl w:val="0"/>
        <w:shd w:val="clear" w:color="auto" w:fill="auto"/>
        <w:bidi w:val="0"/>
        <w:spacing w:before="0" w:after="200" w:line="469" w:lineRule="exact"/>
        <w:ind w:left="0" w:right="0" w:firstLine="0"/>
        <w:jc w:val="left"/>
      </w:pPr>
      <w:bookmarkStart w:id="757" w:name="bookmark757"/>
      <w:bookmarkStart w:id="758" w:name="bookmark758"/>
      <w:bookmarkStart w:id="759" w:name="bookmark759"/>
      <w:r>
        <w:rPr>
          <w:color w:val="000000"/>
          <w:spacing w:val="0"/>
          <w:w w:val="100"/>
          <w:position w:val="0"/>
        </w:rPr>
        <w:t>（十三）投资性房地产</w:t>
      </w:r>
      <w:bookmarkEnd w:id="757"/>
      <w:bookmarkEnd w:id="758"/>
      <w:bookmarkEnd w:id="759"/>
    </w:p>
    <w:p>
      <w:pPr>
        <w:pStyle w:val="Style38"/>
        <w:keepNext/>
        <w:keepLines/>
        <w:widowControl w:val="0"/>
        <w:shd w:val="clear" w:color="auto" w:fill="auto"/>
        <w:bidi w:val="0"/>
        <w:spacing w:before="0" w:after="140" w:line="469" w:lineRule="exact"/>
        <w:ind w:left="0" w:right="0" w:firstLine="0"/>
        <w:jc w:val="left"/>
      </w:pPr>
      <w:bookmarkStart w:id="757" w:name="bookmark757"/>
      <w:bookmarkStart w:id="758" w:name="bookmark758"/>
      <w:r>
        <w:rPr>
          <w:color w:val="000000"/>
          <w:spacing w:val="0"/>
          <w:w w:val="100"/>
          <w:position w:val="0"/>
        </w:rPr>
        <w:t>投资性房地产计量模式</w:t>
      </w:r>
      <w:bookmarkEnd w:id="757"/>
      <w:bookmarkEnd w:id="758"/>
    </w:p>
    <w:p>
      <w:pPr>
        <w:pStyle w:val="Style29"/>
        <w:keepNext w:val="0"/>
        <w:keepLines w:val="0"/>
        <w:widowControl w:val="0"/>
        <w:shd w:val="clear" w:color="auto" w:fill="auto"/>
        <w:bidi w:val="0"/>
        <w:spacing w:before="0" w:line="469" w:lineRule="exact"/>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380" w:line="470" w:lineRule="exact"/>
        <w:ind w:left="0" w:right="0" w:firstLine="0"/>
        <w:jc w:val="both"/>
      </w:pPr>
      <w:bookmarkStart w:id="760" w:name="bookmark760"/>
      <w:bookmarkStart w:id="761" w:name="bookmark761"/>
      <w:bookmarkStart w:id="762" w:name="bookmark762"/>
      <w:r>
        <w:rPr>
          <w:color w:val="000000"/>
          <w:spacing w:val="0"/>
          <w:w w:val="100"/>
          <w:position w:val="0"/>
        </w:rPr>
        <w:t>（十四）固定资产</w:t>
      </w:r>
      <w:bookmarkEnd w:id="760"/>
      <w:bookmarkEnd w:id="761"/>
      <w:bookmarkEnd w:id="762"/>
    </w:p>
    <w:p>
      <w:pPr>
        <w:pStyle w:val="Style47"/>
        <w:keepNext/>
        <w:keepLines/>
        <w:widowControl w:val="0"/>
        <w:shd w:val="clear" w:color="auto" w:fill="auto"/>
        <w:tabs>
          <w:tab w:pos="808" w:val="left"/>
        </w:tabs>
        <w:bidi w:val="0"/>
        <w:spacing w:before="0" w:after="0" w:line="492" w:lineRule="auto"/>
        <w:ind w:left="0" w:right="0" w:firstLine="44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color w:val="000000"/>
          <w:spacing w:val="0"/>
          <w:w w:val="100"/>
          <w:position w:val="0"/>
        </w:rPr>
        <w:t>、</w:t>
        <w:tab/>
        <w:t>确认条件</w:t>
      </w:r>
      <w:bookmarkEnd w:id="763"/>
      <w:bookmarkEnd w:id="764"/>
      <w:bookmarkEnd w:id="766"/>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固定资产确认条件固定资产指为生产商品、提供劳务、出租或经营管理而持有，并且使用寿命超过一 个会计年度的有形资产。固定资产在同时满足下列条件时予以确认：</w:t>
      </w:r>
    </w:p>
    <w:p>
      <w:pPr>
        <w:pStyle w:val="Style29"/>
        <w:keepNext w:val="0"/>
        <w:keepLines w:val="0"/>
        <w:widowControl w:val="0"/>
        <w:shd w:val="clear" w:color="auto" w:fill="auto"/>
        <w:tabs>
          <w:tab w:pos="928" w:val="left"/>
        </w:tabs>
        <w:bidi w:val="0"/>
        <w:spacing w:before="0" w:line="470" w:lineRule="exact"/>
        <w:ind w:left="0" w:right="0" w:firstLine="4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29"/>
        <w:keepNext w:val="0"/>
        <w:keepLines w:val="0"/>
        <w:widowControl w:val="0"/>
        <w:shd w:val="clear" w:color="auto" w:fill="auto"/>
        <w:tabs>
          <w:tab w:pos="928" w:val="left"/>
        </w:tabs>
        <w:bidi w:val="0"/>
        <w:spacing w:before="0" w:after="480" w:line="470" w:lineRule="exact"/>
        <w:ind w:left="0" w:right="0" w:firstLine="44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47"/>
        <w:keepNext/>
        <w:keepLines/>
        <w:widowControl w:val="0"/>
        <w:shd w:val="clear" w:color="auto" w:fill="auto"/>
        <w:tabs>
          <w:tab w:pos="818" w:val="left"/>
        </w:tabs>
        <w:bidi w:val="0"/>
        <w:spacing w:before="0" w:after="80" w:line="492" w:lineRule="auto"/>
        <w:ind w:left="0" w:right="0" w:firstLine="44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折旧方法</w:t>
      </w:r>
      <w:bookmarkEnd w:id="769"/>
      <w:bookmarkEnd w:id="770"/>
      <w:bookmarkEnd w:id="772"/>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专用网络设备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29"/>
        <w:keepNext w:val="0"/>
        <w:keepLines w:val="0"/>
        <w:widowControl w:val="0"/>
        <w:shd w:val="clear" w:color="auto" w:fill="auto"/>
        <w:bidi w:val="0"/>
        <w:spacing w:before="0" w:line="480" w:lineRule="exact"/>
        <w:ind w:left="0" w:right="0" w:firstLine="44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rPr>
        <w:t>14</w:t>
      </w:r>
      <w:r>
        <w:rPr>
          <w:color w:val="000000"/>
          <w:spacing w:val="0"/>
          <w:w w:val="100"/>
          <w:position w:val="0"/>
        </w:rPr>
        <w:t>号——上市公司从事通信相关业务》的 披露要求</w:t>
      </w:r>
    </w:p>
    <w:p>
      <w:pPr>
        <w:pStyle w:val="Style38"/>
        <w:keepNext/>
        <w:keepLines/>
        <w:widowControl w:val="0"/>
        <w:shd w:val="clear" w:color="auto" w:fill="auto"/>
        <w:bidi w:val="0"/>
        <w:spacing w:before="0" w:after="280" w:line="470" w:lineRule="exact"/>
        <w:ind w:left="0" w:right="0" w:firstLine="0"/>
        <w:jc w:val="both"/>
      </w:pPr>
      <w:bookmarkStart w:id="773" w:name="bookmark773"/>
      <w:bookmarkStart w:id="774" w:name="bookmark774"/>
      <w:bookmarkStart w:id="775" w:name="bookmark775"/>
      <w:r>
        <w:rPr>
          <w:color w:val="000000"/>
          <w:spacing w:val="0"/>
          <w:w w:val="100"/>
          <w:position w:val="0"/>
        </w:rPr>
        <w:t>（十五）在建工程</w:t>
      </w:r>
      <w:bookmarkEnd w:id="773"/>
      <w:bookmarkEnd w:id="774"/>
      <w:bookmarkEnd w:id="775"/>
    </w:p>
    <w:p>
      <w:pPr>
        <w:pStyle w:val="Style29"/>
        <w:keepNext w:val="0"/>
        <w:keepLines w:val="0"/>
        <w:widowControl w:val="0"/>
        <w:shd w:val="clear" w:color="auto" w:fill="auto"/>
        <w:bidi w:val="0"/>
        <w:spacing w:before="0" w:line="467" w:lineRule="exact"/>
        <w:ind w:left="0" w:right="0" w:firstLine="44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8"/>
        <w:keepNext/>
        <w:keepLines/>
        <w:widowControl w:val="0"/>
        <w:shd w:val="clear" w:color="auto" w:fill="auto"/>
        <w:bidi w:val="0"/>
        <w:spacing w:before="0" w:after="300" w:line="468" w:lineRule="exact"/>
        <w:ind w:left="0" w:right="0" w:firstLine="0"/>
        <w:jc w:val="both"/>
      </w:pPr>
      <w:bookmarkStart w:id="776" w:name="bookmark776"/>
      <w:bookmarkStart w:id="777" w:name="bookmark777"/>
      <w:bookmarkStart w:id="778" w:name="bookmark778"/>
      <w:r>
        <w:rPr>
          <w:color w:val="000000"/>
          <w:spacing w:val="0"/>
          <w:w w:val="100"/>
          <w:position w:val="0"/>
        </w:rPr>
        <w:t>（十六）无形资产</w:t>
      </w:r>
      <w:bookmarkEnd w:id="776"/>
      <w:bookmarkEnd w:id="777"/>
      <w:bookmarkEnd w:id="778"/>
    </w:p>
    <w:p>
      <w:pPr>
        <w:pStyle w:val="Style47"/>
        <w:keepNext/>
        <w:keepLines/>
        <w:widowControl w:val="0"/>
        <w:shd w:val="clear" w:color="auto" w:fill="auto"/>
        <w:bidi w:val="0"/>
        <w:spacing w:before="0" w:after="300" w:line="468" w:lineRule="exact"/>
        <w:ind w:left="0" w:right="0" w:firstLine="44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color w:val="000000"/>
          <w:spacing w:val="0"/>
          <w:w w:val="100"/>
          <w:position w:val="0"/>
        </w:rPr>
        <w:t>、计价方法、使用寿命、减值测试</w:t>
      </w:r>
      <w:bookmarkEnd w:id="779"/>
      <w:bookmarkEnd w:id="780"/>
      <w:bookmarkEnd w:id="782"/>
    </w:p>
    <w:p>
      <w:pPr>
        <w:pStyle w:val="Style47"/>
        <w:keepNext/>
        <w:keepLines/>
        <w:widowControl w:val="0"/>
        <w:shd w:val="clear" w:color="auto" w:fill="auto"/>
        <w:bidi w:val="0"/>
        <w:spacing w:before="0" w:after="140" w:line="468" w:lineRule="exact"/>
        <w:ind w:left="0" w:right="0" w:firstLine="220"/>
        <w:jc w:val="both"/>
      </w:pPr>
      <w:bookmarkStart w:id="779" w:name="bookmark779"/>
      <w:bookmarkStart w:id="780" w:name="bookmark780"/>
      <w:bookmarkStart w:id="783" w:name="bookmark783"/>
      <w:r>
        <w:rPr>
          <w:color w:val="000000"/>
          <w:spacing w:val="0"/>
          <w:w w:val="100"/>
          <w:position w:val="0"/>
        </w:rPr>
        <w:t>（</w:t>
      </w:r>
      <w:bookmarkEnd w:id="783"/>
      <w:r>
        <w:rPr>
          <w:color w:val="000000"/>
          <w:spacing w:val="0"/>
          <w:w w:val="100"/>
          <w:position w:val="0"/>
        </w:rPr>
        <w:t>1）无形资产的计价方法</w:t>
      </w:r>
      <w:bookmarkEnd w:id="779"/>
      <w:bookmarkEnd w:id="780"/>
    </w:p>
    <w:p>
      <w:pPr>
        <w:pStyle w:val="Style29"/>
        <w:keepNext w:val="0"/>
        <w:keepLines w:val="0"/>
        <w:widowControl w:val="0"/>
        <w:numPr>
          <w:ilvl w:val="0"/>
          <w:numId w:val="103"/>
        </w:numPr>
        <w:shd w:val="clear" w:color="auto" w:fill="auto"/>
        <w:tabs>
          <w:tab w:pos="862" w:val="left"/>
        </w:tabs>
        <w:bidi w:val="0"/>
        <w:spacing w:before="0" w:line="468" w:lineRule="exact"/>
        <w:ind w:left="0" w:right="0" w:firstLine="440"/>
        <w:jc w:val="both"/>
      </w:pPr>
      <w:bookmarkStart w:id="784" w:name="bookmark784"/>
      <w:bookmarkEnd w:id="784"/>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债务重组取得债务人用以抵债的无形资产，以所放弃债权的公允价值和可直接归属于使该资产达到预 定用途所发生的税金等其他成本确定其入账价值，并将所放弃债权的公允价值与账面价值之间的差额，计 入当期损益。</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在非货币性资产交换具有商业实质，且换入资产或换出资产的公允价值能够可靠计量时，以公允价值 为基础计量。如换入资产和换出资产的公允价值均能可靠计量的，对于换入的无形资产，以换出资产的公 允价值和应支付的相关税费作为换入的无形资产的初始投资成本，除非有确凿证据表明换入资产的公允价 值更加可靠。非货币性资产交换不具有商业实质，或换入资产和换出资产的公允价值均不能可靠计量的， 对于换入的无形资产，以换出资产的账面价值和应支付的相关税费作为换入无形资产的初始投资成本。</w:t>
      </w:r>
    </w:p>
    <w:p>
      <w:pPr>
        <w:pStyle w:val="Style29"/>
        <w:keepNext w:val="0"/>
        <w:keepLines w:val="0"/>
        <w:widowControl w:val="0"/>
        <w:numPr>
          <w:ilvl w:val="0"/>
          <w:numId w:val="103"/>
        </w:numPr>
        <w:shd w:val="clear" w:color="auto" w:fill="auto"/>
        <w:tabs>
          <w:tab w:pos="862" w:val="left"/>
        </w:tabs>
        <w:bidi w:val="0"/>
        <w:spacing w:before="0" w:line="468" w:lineRule="exact"/>
        <w:ind w:left="0" w:right="0" w:firstLine="440"/>
        <w:jc w:val="both"/>
      </w:pPr>
      <w:bookmarkStart w:id="785" w:name="bookmark785"/>
      <w:bookmarkEnd w:id="785"/>
      <w:r>
        <w:rPr>
          <w:color w:val="000000"/>
          <w:spacing w:val="0"/>
          <w:w w:val="100"/>
          <w:position w:val="0"/>
        </w:rPr>
        <w:t>后续计量</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380" w:line="456"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4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（2）使用寿命有限的无形资产的使用寿命估计情况</w:t>
      </w:r>
    </w:p>
    <w:tbl>
      <w:tblPr>
        <w:tblOverlap w:val="never"/>
        <w:jc w:val="center"/>
        <w:tblLayout w:type="fixed"/>
      </w:tblPr>
      <w:tblGrid>
        <w:gridCol w:w="3360"/>
        <w:gridCol w:w="2102"/>
        <w:gridCol w:w="3139"/>
      </w:tblGrid>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财务及办公软件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36-6</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预计给企业带来经济利益的期限</w:t>
            </w:r>
          </w:p>
        </w:tc>
      </w:tr>
    </w:tbl>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（3）使用寿命不确定的无形资产的判断依据以及对其使用寿命进行复核的程序</w:t>
      </w:r>
    </w:p>
    <w:p>
      <w:pPr>
        <w:widowControl w:val="0"/>
        <w:spacing w:after="379" w:line="1" w:lineRule="exact"/>
      </w:pPr>
    </w:p>
    <w:p>
      <w:pPr>
        <w:pStyle w:val="Style29"/>
        <w:keepNext w:val="0"/>
        <w:keepLines w:val="0"/>
        <w:widowControl w:val="0"/>
        <w:shd w:val="clear" w:color="auto" w:fill="auto"/>
        <w:bidi w:val="0"/>
        <w:spacing w:before="0" w:line="240" w:lineRule="auto"/>
        <w:ind w:left="0" w:right="0" w:firstLine="440"/>
        <w:jc w:val="both"/>
      </w:pPr>
      <w:r>
        <w:rPr>
          <w:color w:val="000000"/>
          <w:spacing w:val="0"/>
          <w:w w:val="100"/>
          <w:position w:val="0"/>
        </w:rPr>
        <w:t>截至资产负债表日，本公司没有使用寿命不确定的无形资产。</w:t>
      </w:r>
    </w:p>
    <w:p>
      <w:pPr>
        <w:pStyle w:val="Style47"/>
        <w:keepNext/>
        <w:keepLines/>
        <w:widowControl w:val="0"/>
        <w:shd w:val="clear" w:color="auto" w:fill="auto"/>
        <w:bidi w:val="0"/>
        <w:spacing w:before="0" w:after="200" w:line="470" w:lineRule="exact"/>
        <w:ind w:left="0" w:right="0" w:firstLine="44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、内部研究开发支出会计政策</w:t>
      </w:r>
      <w:bookmarkEnd w:id="786"/>
      <w:bookmarkEnd w:id="787"/>
      <w:bookmarkEnd w:id="789"/>
    </w:p>
    <w:p>
      <w:pPr>
        <w:pStyle w:val="Style38"/>
        <w:keepNext/>
        <w:keepLines/>
        <w:widowControl w:val="0"/>
        <w:shd w:val="clear" w:color="auto" w:fill="auto"/>
        <w:bidi w:val="0"/>
        <w:spacing w:before="0" w:after="200" w:line="470" w:lineRule="exact"/>
        <w:ind w:left="0" w:right="0" w:firstLine="0"/>
        <w:jc w:val="left"/>
      </w:pPr>
      <w:bookmarkStart w:id="790" w:name="bookmark790"/>
      <w:bookmarkStart w:id="791" w:name="bookmark791"/>
      <w:bookmarkStart w:id="792" w:name="bookmark792"/>
      <w:r>
        <w:rPr>
          <w:color w:val="000000"/>
          <w:spacing w:val="0"/>
          <w:w w:val="100"/>
          <w:position w:val="0"/>
        </w:rPr>
        <w:t>（十七）长期资产减值</w:t>
      </w:r>
      <w:bookmarkEnd w:id="790"/>
      <w:bookmarkEnd w:id="791"/>
      <w:bookmarkEnd w:id="792"/>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长期股权投资、固定资产、在建工程、使用寿命有限的无形资产等长期资产，于资产负债表日存在减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w:t>
      </w:r>
    </w:p>
    <w:p>
      <w:pPr>
        <w:pStyle w:val="Style38"/>
        <w:keepNext/>
        <w:keepLines/>
        <w:widowControl w:val="0"/>
        <w:shd w:val="clear" w:color="auto" w:fill="auto"/>
        <w:bidi w:val="0"/>
        <w:spacing w:before="0" w:after="280" w:line="470" w:lineRule="exact"/>
        <w:ind w:left="0" w:right="0" w:firstLine="0"/>
        <w:jc w:val="left"/>
      </w:pPr>
      <w:bookmarkStart w:id="793" w:name="bookmark793"/>
      <w:bookmarkStart w:id="794" w:name="bookmark794"/>
      <w:bookmarkStart w:id="795" w:name="bookmark795"/>
      <w:r>
        <w:rPr>
          <w:color w:val="000000"/>
          <w:spacing w:val="0"/>
          <w:w w:val="100"/>
          <w:position w:val="0"/>
        </w:rPr>
        <w:t>（十八）长期待摊费用</w:t>
      </w:r>
      <w:bookmarkEnd w:id="793"/>
      <w:bookmarkEnd w:id="794"/>
      <w:bookmarkEnd w:id="795"/>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待摊费用包括装修费。</w:t>
      </w:r>
    </w:p>
    <w:p>
      <w:pPr>
        <w:pStyle w:val="Style29"/>
        <w:keepNext w:val="0"/>
        <w:keepLines w:val="0"/>
        <w:widowControl w:val="0"/>
        <w:shd w:val="clear" w:color="auto" w:fill="auto"/>
        <w:tabs>
          <w:tab w:pos="798" w:val="left"/>
        </w:tabs>
        <w:bidi w:val="0"/>
        <w:spacing w:before="0" w:line="470" w:lineRule="exact"/>
        <w:ind w:left="0" w:right="0" w:firstLine="440"/>
        <w:jc w:val="both"/>
      </w:pPr>
      <w:bookmarkStart w:id="796" w:name="bookmark796"/>
      <w:r>
        <w:rPr>
          <w:b/>
          <w:bCs/>
          <w:color w:val="000000"/>
          <w:spacing w:val="0"/>
          <w:w w:val="100"/>
          <w:position w:val="0"/>
        </w:rPr>
        <w:t>1</w:t>
      </w:r>
      <w:bookmarkEnd w:id="796"/>
      <w:r>
        <w:rPr>
          <w:b/>
          <w:bCs/>
          <w:color w:val="000000"/>
          <w:spacing w:val="0"/>
          <w:w w:val="100"/>
          <w:position w:val="0"/>
        </w:rPr>
        <w:t>、</w:t>
        <w:tab/>
        <w:t>摊销方法</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长期待摊费用在受益期内平均摊销。</w:t>
      </w:r>
    </w:p>
    <w:p>
      <w:pPr>
        <w:pStyle w:val="Style29"/>
        <w:keepNext w:val="0"/>
        <w:keepLines w:val="0"/>
        <w:widowControl w:val="0"/>
        <w:shd w:val="clear" w:color="auto" w:fill="auto"/>
        <w:tabs>
          <w:tab w:pos="813" w:val="left"/>
        </w:tabs>
        <w:bidi w:val="0"/>
        <w:spacing w:before="0" w:line="470" w:lineRule="exact"/>
        <w:ind w:left="0" w:right="0" w:firstLine="440"/>
        <w:jc w:val="both"/>
      </w:pPr>
      <w:bookmarkStart w:id="797" w:name="bookmark797"/>
      <w:r>
        <w:rPr>
          <w:b/>
          <w:bCs/>
          <w:color w:val="000000"/>
          <w:spacing w:val="0"/>
          <w:w w:val="100"/>
          <w:position w:val="0"/>
        </w:rPr>
        <w:t>2</w:t>
      </w:r>
      <w:bookmarkEnd w:id="797"/>
      <w:r>
        <w:rPr>
          <w:b/>
          <w:bCs/>
          <w:color w:val="000000"/>
          <w:spacing w:val="0"/>
          <w:w w:val="100"/>
          <w:position w:val="0"/>
        </w:rPr>
        <w:t>、</w:t>
        <w:tab/>
        <w:t>摊销年限</w:t>
      </w:r>
    </w:p>
    <w:p>
      <w:pPr>
        <w:pStyle w:val="Style29"/>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本公司长期待摊费用的摊销年限为：</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38"/>
        <w:keepNext/>
        <w:keepLines/>
        <w:widowControl w:val="0"/>
        <w:shd w:val="clear" w:color="auto" w:fill="auto"/>
        <w:bidi w:val="0"/>
        <w:spacing w:before="0" w:after="280" w:line="470" w:lineRule="exact"/>
        <w:ind w:left="0" w:right="0" w:firstLine="0"/>
        <w:jc w:val="both"/>
      </w:pPr>
      <w:bookmarkStart w:id="798" w:name="bookmark798"/>
      <w:bookmarkStart w:id="799" w:name="bookmark799"/>
      <w:bookmarkStart w:id="800" w:name="bookmark800"/>
      <w:r>
        <w:rPr>
          <w:color w:val="000000"/>
          <w:spacing w:val="0"/>
          <w:w w:val="100"/>
          <w:position w:val="0"/>
        </w:rPr>
        <w:t>（十九）合同负债</w:t>
      </w:r>
      <w:bookmarkEnd w:id="798"/>
      <w:bookmarkEnd w:id="799"/>
      <w:bookmarkEnd w:id="800"/>
    </w:p>
    <w:p>
      <w:pPr>
        <w:pStyle w:val="Style38"/>
        <w:keepNext/>
        <w:keepLines/>
        <w:widowControl w:val="0"/>
        <w:shd w:val="clear" w:color="auto" w:fill="auto"/>
        <w:bidi w:val="0"/>
        <w:spacing w:before="0" w:after="40" w:line="470" w:lineRule="exact"/>
        <w:ind w:left="0" w:right="0" w:firstLine="440"/>
        <w:jc w:val="both"/>
      </w:pPr>
      <w:bookmarkStart w:id="798" w:name="bookmark798"/>
      <w:bookmarkStart w:id="799" w:name="bookmark799"/>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798"/>
      <w:bookmarkEnd w:id="799"/>
    </w:p>
    <w:p>
      <w:pPr>
        <w:pStyle w:val="Style29"/>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8"/>
        <w:keepNext/>
        <w:keepLines/>
        <w:widowControl w:val="0"/>
        <w:shd w:val="clear" w:color="auto" w:fill="auto"/>
        <w:bidi w:val="0"/>
        <w:spacing w:before="0" w:after="140" w:line="470" w:lineRule="exact"/>
        <w:ind w:left="0" w:right="0" w:firstLine="0"/>
        <w:jc w:val="left"/>
      </w:pPr>
      <w:bookmarkStart w:id="801" w:name="bookmark801"/>
      <w:bookmarkStart w:id="802" w:name="bookmark802"/>
      <w:bookmarkStart w:id="803" w:name="bookmark803"/>
      <w:r>
        <w:rPr>
          <w:color w:val="000000"/>
          <w:spacing w:val="0"/>
          <w:w w:val="100"/>
          <w:position w:val="0"/>
        </w:rPr>
        <w:t>（二十）职工薪酬</w:t>
      </w:r>
      <w:bookmarkEnd w:id="801"/>
      <w:bookmarkEnd w:id="802"/>
      <w:bookmarkEnd w:id="803"/>
    </w:p>
    <w:p>
      <w:pPr>
        <w:pStyle w:val="Style47"/>
        <w:keepNext/>
        <w:keepLines/>
        <w:widowControl w:val="0"/>
        <w:shd w:val="clear" w:color="auto" w:fill="auto"/>
        <w:bidi w:val="0"/>
        <w:spacing w:before="0" w:after="200" w:line="470" w:lineRule="exact"/>
        <w:ind w:left="0" w:right="0" w:firstLine="44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color w:val="000000"/>
          <w:spacing w:val="0"/>
          <w:w w:val="100"/>
          <w:position w:val="0"/>
        </w:rPr>
        <w:t>、短期薪酬的会计处理方法</w:t>
      </w:r>
      <w:bookmarkEnd w:id="804"/>
      <w:bookmarkEnd w:id="805"/>
      <w:bookmarkEnd w:id="807"/>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29"/>
        <w:keepNext w:val="0"/>
        <w:keepLines w:val="0"/>
        <w:widowControl w:val="0"/>
        <w:shd w:val="clear" w:color="auto" w:fill="auto"/>
        <w:bidi w:val="0"/>
        <w:spacing w:before="0" w:after="40" w:line="470" w:lineRule="exact"/>
        <w:ind w:left="0" w:right="0" w:firstLine="42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9"/>
        <w:keepNext w:val="0"/>
        <w:keepLines w:val="0"/>
        <w:widowControl w:val="0"/>
        <w:shd w:val="clear" w:color="auto" w:fill="auto"/>
        <w:bidi w:val="0"/>
        <w:spacing w:before="0" w:after="460" w:line="468" w:lineRule="exact"/>
        <w:ind w:left="0" w:right="0" w:firstLine="360"/>
        <w:jc w:val="both"/>
      </w:pPr>
      <w:r>
        <w:rPr>
          <w:color w:val="000000"/>
          <w:spacing w:val="0"/>
          <w:w w:val="100"/>
          <w:position w:val="0"/>
        </w:rPr>
        <w:t>职工福利费为非货币性福利的，如能够可靠计量的，按照公允价值计量。</w:t>
      </w:r>
    </w:p>
    <w:p>
      <w:pPr>
        <w:pStyle w:val="Style47"/>
        <w:keepNext/>
        <w:keepLines/>
        <w:widowControl w:val="0"/>
        <w:shd w:val="clear" w:color="auto" w:fill="auto"/>
        <w:tabs>
          <w:tab w:pos="738" w:val="left"/>
        </w:tabs>
        <w:bidi w:val="0"/>
        <w:spacing w:before="0" w:after="0" w:line="480" w:lineRule="auto"/>
        <w:ind w:left="0" w:right="0" w:firstLine="36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color w:val="000000"/>
          <w:spacing w:val="0"/>
          <w:w w:val="100"/>
          <w:position w:val="0"/>
        </w:rPr>
        <w:t>、</w:t>
        <w:tab/>
        <w:t>离职后福利的会计处理方法</w:t>
      </w:r>
      <w:bookmarkEnd w:id="808"/>
      <w:bookmarkEnd w:id="809"/>
      <w:bookmarkEnd w:id="811"/>
    </w:p>
    <w:p>
      <w:pPr>
        <w:pStyle w:val="Style47"/>
        <w:keepNext/>
        <w:keepLines/>
        <w:widowControl w:val="0"/>
        <w:shd w:val="clear" w:color="auto" w:fill="auto"/>
        <w:bidi w:val="0"/>
        <w:spacing w:before="0" w:after="140" w:line="468" w:lineRule="exact"/>
        <w:ind w:left="0" w:right="0" w:firstLine="360"/>
        <w:jc w:val="both"/>
      </w:pPr>
      <w:bookmarkStart w:id="808" w:name="bookmark808"/>
      <w:bookmarkStart w:id="809" w:name="bookmark809"/>
      <w:bookmarkStart w:id="812" w:name="bookmark812"/>
      <w:r>
        <w:rPr>
          <w:b w:val="0"/>
          <w:bCs w:val="0"/>
          <w:color w:val="000000"/>
          <w:spacing w:val="0"/>
          <w:w w:val="100"/>
          <w:position w:val="0"/>
          <w:sz w:val="17"/>
          <w:szCs w:val="17"/>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）设定提存计划</w:t>
      </w:r>
      <w:bookmarkEnd w:id="808"/>
      <w:bookmarkEnd w:id="809"/>
    </w:p>
    <w:p>
      <w:pPr>
        <w:pStyle w:val="Style29"/>
        <w:keepNext w:val="0"/>
        <w:keepLines w:val="0"/>
        <w:widowControl w:val="0"/>
        <w:shd w:val="clear" w:color="auto" w:fill="auto"/>
        <w:bidi w:val="0"/>
        <w:spacing w:before="0" w:line="466" w:lineRule="exact"/>
        <w:ind w:left="0" w:right="0" w:firstLine="42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29"/>
        <w:keepNext w:val="0"/>
        <w:keepLines w:val="0"/>
        <w:widowControl w:val="0"/>
        <w:shd w:val="clear" w:color="auto" w:fill="auto"/>
        <w:bidi w:val="0"/>
        <w:spacing w:before="0" w:line="468" w:lineRule="exact"/>
        <w:ind w:left="0" w:right="0" w:firstLine="360"/>
        <w:jc w:val="both"/>
      </w:pPr>
      <w:bookmarkStart w:id="813" w:name="bookmark813"/>
      <w:r>
        <w:rPr>
          <w:b/>
          <w:bCs/>
          <w:color w:val="000000"/>
          <w:spacing w:val="0"/>
          <w:w w:val="100"/>
          <w:position w:val="0"/>
        </w:rPr>
        <w:t>（</w:t>
      </w:r>
      <w:bookmarkEnd w:id="813"/>
      <w:r>
        <w:rPr>
          <w:rFonts w:ascii="Times New Roman" w:eastAsia="Times New Roman" w:hAnsi="Times New Roman" w:cs="Times New Roman"/>
          <w:b/>
          <w:bCs/>
          <w:color w:val="000000"/>
          <w:spacing w:val="0"/>
          <w:w w:val="100"/>
          <w:position w:val="0"/>
        </w:rPr>
        <w:t>2</w:t>
      </w:r>
      <w:r>
        <w:rPr>
          <w:b/>
          <w:bCs/>
          <w:color w:val="000000"/>
          <w:spacing w:val="0"/>
          <w:w w:val="100"/>
          <w:position w:val="0"/>
        </w:rPr>
        <w:t>）设定受益计划</w:t>
      </w:r>
    </w:p>
    <w:p>
      <w:pPr>
        <w:pStyle w:val="Style29"/>
        <w:keepNext w:val="0"/>
        <w:keepLines w:val="0"/>
        <w:widowControl w:val="0"/>
        <w:shd w:val="clear" w:color="auto" w:fill="auto"/>
        <w:bidi w:val="0"/>
        <w:spacing w:before="0" w:line="475" w:lineRule="exact"/>
        <w:ind w:left="0" w:right="0" w:firstLine="42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9"/>
        <w:keepNext w:val="0"/>
        <w:keepLines w:val="0"/>
        <w:widowControl w:val="0"/>
        <w:shd w:val="clear" w:color="auto" w:fill="auto"/>
        <w:bidi w:val="0"/>
        <w:spacing w:before="0" w:line="468" w:lineRule="exact"/>
        <w:ind w:left="0" w:right="0" w:firstLine="42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29"/>
        <w:keepNext w:val="0"/>
        <w:keepLines w:val="0"/>
        <w:widowControl w:val="0"/>
        <w:shd w:val="clear" w:color="auto" w:fill="auto"/>
        <w:bidi w:val="0"/>
        <w:spacing w:before="0" w:line="468" w:lineRule="exact"/>
        <w:ind w:left="0" w:right="0" w:firstLine="42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9"/>
        <w:keepNext w:val="0"/>
        <w:keepLines w:val="0"/>
        <w:widowControl w:val="0"/>
        <w:shd w:val="clear" w:color="auto" w:fill="auto"/>
        <w:bidi w:val="0"/>
        <w:spacing w:before="0" w:line="466" w:lineRule="exact"/>
        <w:ind w:left="0" w:right="0" w:firstLine="42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29"/>
        <w:keepNext w:val="0"/>
        <w:keepLines w:val="0"/>
        <w:widowControl w:val="0"/>
        <w:shd w:val="clear" w:color="auto" w:fill="auto"/>
        <w:bidi w:val="0"/>
        <w:spacing w:before="0" w:after="460" w:line="470" w:lineRule="exact"/>
        <w:ind w:left="0" w:right="0" w:firstLine="420"/>
        <w:jc w:val="both"/>
      </w:pPr>
      <w:r>
        <w:rPr>
          <w:color w:val="000000"/>
          <w:spacing w:val="0"/>
          <w:w w:val="100"/>
          <w:position w:val="0"/>
        </w:rPr>
        <w:t>在设定受益计划结算时，按在结算日确定的设定受益计划义务现值和结算价格两者的差额，确认结算 利得或损失。</w:t>
      </w:r>
    </w:p>
    <w:p>
      <w:pPr>
        <w:pStyle w:val="Style47"/>
        <w:keepNext/>
        <w:keepLines/>
        <w:widowControl w:val="0"/>
        <w:shd w:val="clear" w:color="auto" w:fill="auto"/>
        <w:tabs>
          <w:tab w:pos="738" w:val="left"/>
        </w:tabs>
        <w:bidi w:val="0"/>
        <w:spacing w:before="0" w:after="0" w:line="480" w:lineRule="auto"/>
        <w:ind w:left="0" w:right="0" w:firstLine="36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3</w:t>
      </w:r>
      <w:bookmarkEnd w:id="816"/>
      <w:r>
        <w:rPr>
          <w:color w:val="000000"/>
          <w:spacing w:val="0"/>
          <w:w w:val="100"/>
          <w:position w:val="0"/>
        </w:rPr>
        <w:t>、</w:t>
        <w:tab/>
        <w:t>辞退福利的会计处理方法</w:t>
      </w:r>
      <w:bookmarkEnd w:id="814"/>
      <w:bookmarkEnd w:id="815"/>
      <w:bookmarkEnd w:id="817"/>
    </w:p>
    <w:p>
      <w:pPr>
        <w:pStyle w:val="Style29"/>
        <w:keepNext w:val="0"/>
        <w:keepLines w:val="0"/>
        <w:widowControl w:val="0"/>
        <w:shd w:val="clear" w:color="auto" w:fill="auto"/>
        <w:bidi w:val="0"/>
        <w:spacing w:before="0" w:line="470" w:lineRule="exact"/>
        <w:ind w:left="0" w:right="0" w:firstLine="42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8"/>
        <w:keepNext/>
        <w:keepLines/>
        <w:widowControl w:val="0"/>
        <w:shd w:val="clear" w:color="auto" w:fill="auto"/>
        <w:bidi w:val="0"/>
        <w:spacing w:before="0" w:after="220" w:line="468" w:lineRule="exact"/>
        <w:ind w:left="0" w:right="0" w:firstLine="0"/>
        <w:jc w:val="both"/>
      </w:pPr>
      <w:bookmarkStart w:id="818" w:name="bookmark818"/>
      <w:bookmarkStart w:id="819" w:name="bookmark819"/>
      <w:bookmarkStart w:id="820" w:name="bookmark820"/>
      <w:r>
        <w:rPr>
          <w:color w:val="000000"/>
          <w:spacing w:val="0"/>
          <w:w w:val="100"/>
          <w:position w:val="0"/>
        </w:rPr>
        <w:t>（二^一）收入</w:t>
      </w:r>
      <w:bookmarkEnd w:id="818"/>
      <w:bookmarkEnd w:id="819"/>
      <w:bookmarkEnd w:id="820"/>
    </w:p>
    <w:p>
      <w:pPr>
        <w:pStyle w:val="Style38"/>
        <w:keepNext/>
        <w:keepLines/>
        <w:widowControl w:val="0"/>
        <w:shd w:val="clear" w:color="auto" w:fill="auto"/>
        <w:bidi w:val="0"/>
        <w:spacing w:before="0" w:after="140" w:line="468" w:lineRule="exact"/>
        <w:ind w:left="0" w:right="0" w:firstLine="440"/>
        <w:jc w:val="both"/>
      </w:pPr>
      <w:bookmarkStart w:id="818" w:name="bookmark818"/>
      <w:bookmarkStart w:id="819" w:name="bookmark819"/>
      <w:bookmarkStart w:id="821" w:name="bookmark821"/>
      <w:r>
        <w:rPr>
          <w:color w:val="000000"/>
          <w:spacing w:val="0"/>
          <w:w w:val="100"/>
          <w:position w:val="0"/>
        </w:rPr>
        <w:t>1</w:t>
      </w:r>
      <w:bookmarkEnd w:id="821"/>
      <w:r>
        <w:rPr>
          <w:color w:val="000000"/>
          <w:spacing w:val="0"/>
          <w:w w:val="100"/>
          <w:position w:val="0"/>
        </w:rPr>
        <w:t>、收入确认和计量所采用的会计政策</w:t>
      </w:r>
      <w:bookmarkEnd w:id="818"/>
      <w:bookmarkEnd w:id="819"/>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的应付金额确定交易价格，并在合同期间内采用实际利率法摊销该交易价格与合同对价之间的差额。满足 下列条件之一的，属于在某一时段内履行履约义务，否则，属于在某一时点履行履约义务：</w:t>
      </w:r>
    </w:p>
    <w:p>
      <w:pPr>
        <w:pStyle w:val="Style29"/>
        <w:keepNext w:val="0"/>
        <w:keepLines w:val="0"/>
        <w:widowControl w:val="0"/>
        <w:shd w:val="clear" w:color="auto" w:fill="auto"/>
        <w:tabs>
          <w:tab w:pos="907" w:val="left"/>
        </w:tabs>
        <w:bidi w:val="0"/>
        <w:spacing w:before="0" w:line="468" w:lineRule="exact"/>
        <w:ind w:left="0" w:right="0" w:firstLine="440"/>
        <w:jc w:val="both"/>
      </w:pPr>
      <w:bookmarkStart w:id="822" w:name="bookmark822"/>
      <w:r>
        <w:rPr>
          <w:color w:val="000000"/>
          <w:spacing w:val="0"/>
          <w:w w:val="100"/>
          <w:position w:val="0"/>
          <w:sz w:val="20"/>
          <w:szCs w:val="20"/>
        </w:rPr>
        <w:t>（</w:t>
      </w:r>
      <w:bookmarkEnd w:id="822"/>
      <w:r>
        <w:rPr>
          <w:color w:val="000000"/>
          <w:spacing w:val="0"/>
          <w:w w:val="100"/>
          <w:position w:val="0"/>
          <w:sz w:val="20"/>
          <w:szCs w:val="20"/>
        </w:rPr>
        <w:t>1）</w:t>
        <w:tab/>
      </w:r>
      <w:r>
        <w:rPr>
          <w:color w:val="000000"/>
          <w:spacing w:val="0"/>
          <w:w w:val="100"/>
          <w:position w:val="0"/>
        </w:rPr>
        <w:t>客户在本公司履约的同时即取得并消耗本公司履约所带来的经济利益。</w:t>
      </w:r>
    </w:p>
    <w:p>
      <w:pPr>
        <w:pStyle w:val="Style29"/>
        <w:keepNext w:val="0"/>
        <w:keepLines w:val="0"/>
        <w:widowControl w:val="0"/>
        <w:shd w:val="clear" w:color="auto" w:fill="auto"/>
        <w:tabs>
          <w:tab w:pos="907" w:val="left"/>
        </w:tabs>
        <w:bidi w:val="0"/>
        <w:spacing w:before="0" w:line="468" w:lineRule="exact"/>
        <w:ind w:left="0" w:right="0" w:firstLine="440"/>
        <w:jc w:val="both"/>
      </w:pPr>
      <w:bookmarkStart w:id="823" w:name="bookmark823"/>
      <w:r>
        <w:rPr>
          <w:color w:val="000000"/>
          <w:spacing w:val="0"/>
          <w:w w:val="100"/>
          <w:position w:val="0"/>
          <w:sz w:val="20"/>
          <w:szCs w:val="20"/>
        </w:rPr>
        <w:t>（</w:t>
      </w:r>
      <w:bookmarkEnd w:id="823"/>
      <w:r>
        <w:rPr>
          <w:color w:val="000000"/>
          <w:spacing w:val="0"/>
          <w:w w:val="100"/>
          <w:position w:val="0"/>
          <w:sz w:val="20"/>
          <w:szCs w:val="20"/>
        </w:rPr>
        <w:t>2）</w:t>
        <w:tab/>
      </w:r>
      <w:r>
        <w:rPr>
          <w:color w:val="000000"/>
          <w:spacing w:val="0"/>
          <w:w w:val="100"/>
          <w:position w:val="0"/>
        </w:rPr>
        <w:t>客户能够控制本公司履约过程中在建的商品。</w:t>
      </w:r>
    </w:p>
    <w:p>
      <w:pPr>
        <w:pStyle w:val="Style29"/>
        <w:keepNext w:val="0"/>
        <w:keepLines w:val="0"/>
        <w:widowControl w:val="0"/>
        <w:shd w:val="clear" w:color="auto" w:fill="auto"/>
        <w:tabs>
          <w:tab w:pos="976" w:val="left"/>
        </w:tabs>
        <w:bidi w:val="0"/>
        <w:spacing w:before="0" w:line="485" w:lineRule="exact"/>
        <w:ind w:left="0" w:right="0" w:firstLine="440"/>
        <w:jc w:val="both"/>
      </w:pPr>
      <w:bookmarkStart w:id="824" w:name="bookmark824"/>
      <w:r>
        <w:rPr>
          <w:color w:val="000000"/>
          <w:spacing w:val="0"/>
          <w:w w:val="100"/>
          <w:position w:val="0"/>
          <w:sz w:val="20"/>
          <w:szCs w:val="20"/>
        </w:rPr>
        <w:t>（</w:t>
      </w:r>
      <w:bookmarkEnd w:id="824"/>
      <w:r>
        <w:rPr>
          <w:color w:val="000000"/>
          <w:spacing w:val="0"/>
          <w:w w:val="100"/>
          <w:position w:val="0"/>
          <w:sz w:val="20"/>
          <w:szCs w:val="20"/>
        </w:rPr>
        <w:t>3）</w:t>
        <w:tab/>
      </w:r>
      <w:r>
        <w:rPr>
          <w:color w:val="000000"/>
          <w:spacing w:val="0"/>
          <w:w w:val="100"/>
          <w:position w:val="0"/>
        </w:rPr>
        <w:t>本公司履约过程中所产出的商品具有不可替代用途，且本公司在整个合同期内有权就累计至今 已完成的履约部分收取款项。</w:t>
      </w:r>
    </w:p>
    <w:p>
      <w:pPr>
        <w:pStyle w:val="Style29"/>
        <w:keepNext w:val="0"/>
        <w:keepLines w:val="0"/>
        <w:widowControl w:val="0"/>
        <w:shd w:val="clear" w:color="auto" w:fill="auto"/>
        <w:bidi w:val="0"/>
        <w:spacing w:before="0" w:line="472"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29"/>
        <w:keepNext w:val="0"/>
        <w:keepLines w:val="0"/>
        <w:widowControl w:val="0"/>
        <w:shd w:val="clear" w:color="auto" w:fill="auto"/>
        <w:bidi w:val="0"/>
        <w:spacing w:before="0" w:after="360" w:line="468" w:lineRule="exact"/>
        <w:ind w:left="0" w:right="0" w:firstLine="440"/>
        <w:jc w:val="both"/>
      </w:pPr>
      <w:bookmarkStart w:id="825" w:name="bookmark825"/>
      <w:r>
        <w:rPr>
          <w:color w:val="000000"/>
          <w:spacing w:val="0"/>
          <w:w w:val="100"/>
          <w:position w:val="0"/>
          <w:sz w:val="20"/>
          <w:szCs w:val="20"/>
        </w:rPr>
        <w:t>（</w:t>
      </w:r>
      <w:bookmarkEnd w:id="825"/>
      <w:r>
        <w:rPr>
          <w:color w:val="000000"/>
          <w:spacing w:val="0"/>
          <w:w w:val="100"/>
          <w:position w:val="0"/>
          <w:sz w:val="20"/>
          <w:szCs w:val="20"/>
        </w:rPr>
        <w:t>1）</w:t>
      </w:r>
      <w:r>
        <w:rPr>
          <w:color w:val="000000"/>
          <w:spacing w:val="0"/>
          <w:w w:val="100"/>
          <w:position w:val="0"/>
        </w:rPr>
        <w:t>本公司就该商品或服务享有现时收款权利，即客户就该商品或服务负有现时付款义务。</w:t>
      </w:r>
    </w:p>
    <w:p>
      <w:pPr>
        <w:pStyle w:val="Style29"/>
        <w:keepNext w:val="0"/>
        <w:keepLines w:val="0"/>
        <w:widowControl w:val="0"/>
        <w:shd w:val="clear" w:color="auto" w:fill="auto"/>
        <w:bidi w:val="0"/>
        <w:spacing w:before="0" w:line="240" w:lineRule="auto"/>
        <w:ind w:left="0" w:right="0" w:firstLine="560"/>
        <w:jc w:val="both"/>
      </w:pPr>
      <w:bookmarkStart w:id="826" w:name="bookmark826"/>
      <w:r>
        <w:rPr>
          <w:color w:val="000000"/>
          <w:spacing w:val="0"/>
          <w:w w:val="100"/>
          <w:position w:val="0"/>
          <w:sz w:val="20"/>
          <w:szCs w:val="20"/>
        </w:rPr>
        <w:t>（</w:t>
      </w:r>
      <w:bookmarkEnd w:id="826"/>
      <w:r>
        <w:rPr>
          <w:color w:val="000000"/>
          <w:spacing w:val="0"/>
          <w:w w:val="100"/>
          <w:position w:val="0"/>
          <w:sz w:val="20"/>
          <w:szCs w:val="20"/>
        </w:rPr>
        <w:t>2）</w:t>
      </w:r>
      <w:r>
        <w:rPr>
          <w:color w:val="000000"/>
          <w:spacing w:val="0"/>
          <w:w w:val="100"/>
          <w:position w:val="0"/>
        </w:rPr>
        <w:t>本公司已将该商品的法定所有权转移给客户，即客户已拥有该商品的法定所有权。</w:t>
      </w:r>
    </w:p>
    <w:p>
      <w:pPr>
        <w:pStyle w:val="Style29"/>
        <w:keepNext w:val="0"/>
        <w:keepLines w:val="0"/>
        <w:widowControl w:val="0"/>
        <w:numPr>
          <w:ilvl w:val="0"/>
          <w:numId w:val="105"/>
        </w:numPr>
        <w:shd w:val="clear" w:color="auto" w:fill="auto"/>
        <w:tabs>
          <w:tab w:pos="848" w:val="left"/>
        </w:tabs>
        <w:bidi w:val="0"/>
        <w:spacing w:before="0" w:line="467" w:lineRule="exact"/>
        <w:ind w:left="0" w:right="0" w:firstLine="360"/>
        <w:jc w:val="left"/>
      </w:pPr>
      <w:bookmarkStart w:id="827" w:name="bookmark827"/>
      <w:bookmarkEnd w:id="827"/>
      <w:r>
        <w:rPr>
          <w:color w:val="000000"/>
          <w:spacing w:val="0"/>
          <w:w w:val="100"/>
          <w:position w:val="0"/>
        </w:rPr>
        <w:t>本公司已将该商品实物转移给客户，即客户已实物占有该商品。</w:t>
      </w:r>
    </w:p>
    <w:p>
      <w:pPr>
        <w:pStyle w:val="Style29"/>
        <w:keepNext w:val="0"/>
        <w:keepLines w:val="0"/>
        <w:widowControl w:val="0"/>
        <w:numPr>
          <w:ilvl w:val="0"/>
          <w:numId w:val="105"/>
        </w:numPr>
        <w:shd w:val="clear" w:color="auto" w:fill="auto"/>
        <w:tabs>
          <w:tab w:pos="1016" w:val="left"/>
        </w:tabs>
        <w:bidi w:val="0"/>
        <w:spacing w:before="0" w:line="480" w:lineRule="exact"/>
        <w:ind w:left="0" w:right="0" w:firstLine="420"/>
        <w:jc w:val="both"/>
      </w:pPr>
      <w:bookmarkStart w:id="828" w:name="bookmark828"/>
      <w:bookmarkEnd w:id="828"/>
      <w:r>
        <w:rPr>
          <w:color w:val="000000"/>
          <w:spacing w:val="0"/>
          <w:w w:val="100"/>
          <w:position w:val="0"/>
        </w:rPr>
        <w:t>本公司已将该商品所有权上的主要风险和报酬转移给客户，即客户已取得该商品所有权上的主 要风险和报酬。</w:t>
      </w:r>
    </w:p>
    <w:p>
      <w:pPr>
        <w:pStyle w:val="Style29"/>
        <w:keepNext w:val="0"/>
        <w:keepLines w:val="0"/>
        <w:widowControl w:val="0"/>
        <w:numPr>
          <w:ilvl w:val="0"/>
          <w:numId w:val="105"/>
        </w:numPr>
        <w:shd w:val="clear" w:color="auto" w:fill="auto"/>
        <w:tabs>
          <w:tab w:pos="848" w:val="left"/>
        </w:tabs>
        <w:bidi w:val="0"/>
        <w:spacing w:before="0" w:line="467" w:lineRule="exact"/>
        <w:ind w:left="0" w:right="0" w:firstLine="360"/>
        <w:jc w:val="both"/>
      </w:pPr>
      <w:bookmarkStart w:id="829" w:name="bookmark829"/>
      <w:bookmarkEnd w:id="829"/>
      <w:r>
        <w:rPr>
          <w:color w:val="000000"/>
          <w:spacing w:val="0"/>
          <w:w w:val="100"/>
          <w:position w:val="0"/>
        </w:rPr>
        <w:t>客户已接受该商品或服务等。</w:t>
      </w:r>
    </w:p>
    <w:p>
      <w:pPr>
        <w:pStyle w:val="Style29"/>
        <w:keepNext w:val="0"/>
        <w:keepLines w:val="0"/>
        <w:widowControl w:val="0"/>
        <w:shd w:val="clear" w:color="auto" w:fill="auto"/>
        <w:bidi w:val="0"/>
        <w:spacing w:before="0" w:line="467" w:lineRule="exact"/>
        <w:ind w:left="0" w:right="0" w:firstLine="360"/>
        <w:jc w:val="both"/>
      </w:pPr>
      <w:bookmarkStart w:id="830" w:name="bookmark830"/>
      <w:r>
        <w:rPr>
          <w:b/>
          <w:bCs/>
          <w:color w:val="000000"/>
          <w:spacing w:val="0"/>
          <w:w w:val="100"/>
          <w:position w:val="0"/>
        </w:rPr>
        <w:t>2</w:t>
      </w:r>
      <w:bookmarkEnd w:id="830"/>
      <w:r>
        <w:rPr>
          <w:b/>
          <w:bCs/>
          <w:color w:val="000000"/>
          <w:spacing w:val="0"/>
          <w:w w:val="100"/>
          <w:position w:val="0"/>
        </w:rPr>
        <w:t>、本公司各类业务的收入具体确认方法：</w:t>
      </w:r>
    </w:p>
    <w:p>
      <w:pPr>
        <w:pStyle w:val="Style29"/>
        <w:keepNext w:val="0"/>
        <w:keepLines w:val="0"/>
        <w:widowControl w:val="0"/>
        <w:shd w:val="clear" w:color="auto" w:fill="auto"/>
        <w:bidi w:val="0"/>
        <w:spacing w:before="0" w:line="467" w:lineRule="exact"/>
        <w:ind w:left="0" w:right="0" w:firstLine="360"/>
        <w:jc w:val="both"/>
      </w:pPr>
      <w:r>
        <w:rPr>
          <w:color w:val="000000"/>
          <w:spacing w:val="0"/>
          <w:w w:val="100"/>
          <w:position w:val="0"/>
        </w:rPr>
        <w:t>增值电信业务：</w:t>
      </w:r>
    </w:p>
    <w:p>
      <w:pPr>
        <w:pStyle w:val="Style29"/>
        <w:keepNext w:val="0"/>
        <w:keepLines w:val="0"/>
        <w:widowControl w:val="0"/>
        <w:shd w:val="clear" w:color="auto" w:fill="auto"/>
        <w:bidi w:val="0"/>
        <w:spacing w:before="0" w:line="467" w:lineRule="exact"/>
        <w:ind w:left="0" w:right="0" w:firstLine="420"/>
        <w:jc w:val="both"/>
      </w:pPr>
      <w:r>
        <w:rPr>
          <w:color w:val="000000"/>
          <w:spacing w:val="0"/>
          <w:w w:val="100"/>
          <w:position w:val="0"/>
        </w:rPr>
        <w:t>公司增值电信类业务主要是为客户提供虚拟专用网、企业级互联网接入等服务，通常与客户签订固定 金额的服务合同，根据合同相关约定，公司在提供相关服务后，确认收入。具体包括：通常在线路安装调 试完毕并经客户验收后开始计费，后续每月按固定金额确认收入；部分合同存在初始调试费或其他单项服 务，在线路安装调试完毕或服务完成并经客户验收后一次性确认收入。</w:t>
      </w:r>
    </w:p>
    <w:p>
      <w:pPr>
        <w:pStyle w:val="Style29"/>
        <w:keepNext w:val="0"/>
        <w:keepLines w:val="0"/>
        <w:widowControl w:val="0"/>
        <w:shd w:val="clear" w:color="auto" w:fill="auto"/>
        <w:bidi w:val="0"/>
        <w:spacing w:before="0" w:line="467" w:lineRule="exact"/>
        <w:ind w:left="0" w:right="0" w:firstLine="360"/>
        <w:jc w:val="both"/>
      </w:pPr>
      <w:r>
        <w:rPr>
          <w:color w:val="000000"/>
          <w:spacing w:val="0"/>
          <w:w w:val="100"/>
          <w:position w:val="0"/>
        </w:rPr>
        <w:t>系统集成业务：</w:t>
      </w:r>
    </w:p>
    <w:p>
      <w:pPr>
        <w:pStyle w:val="Style29"/>
        <w:keepNext w:val="0"/>
        <w:keepLines w:val="0"/>
        <w:widowControl w:val="0"/>
        <w:shd w:val="clear" w:color="auto" w:fill="auto"/>
        <w:bidi w:val="0"/>
        <w:spacing w:before="0" w:line="461" w:lineRule="exact"/>
        <w:ind w:left="0" w:right="0" w:firstLine="420"/>
        <w:jc w:val="both"/>
      </w:pPr>
      <w:r>
        <w:rPr>
          <w:color w:val="000000"/>
          <w:spacing w:val="0"/>
          <w:w w:val="100"/>
          <w:position w:val="0"/>
        </w:rPr>
        <w:t>公司系统集成类业务主要是为客户提供定制化技术方案、设备及配套软件系统的采购及安装、调试等 服务，根据合同约定，当项目完成实施并经客户验收合格，取得客户的完工验收单后一次性确认收入。</w:t>
      </w:r>
    </w:p>
    <w:p>
      <w:pPr>
        <w:pStyle w:val="Style29"/>
        <w:keepNext w:val="0"/>
        <w:keepLines w:val="0"/>
        <w:widowControl w:val="0"/>
        <w:shd w:val="clear" w:color="auto" w:fill="auto"/>
        <w:bidi w:val="0"/>
        <w:spacing w:before="0" w:after="200" w:line="467" w:lineRule="exact"/>
        <w:ind w:left="0" w:right="0" w:firstLine="360"/>
        <w:jc w:val="left"/>
      </w:pPr>
      <w:r>
        <w:rPr>
          <w:color w:val="000000"/>
          <w:spacing w:val="0"/>
          <w:w w:val="100"/>
          <w:position w:val="0"/>
        </w:rPr>
        <w:t>同类业务采用不同经营模式导致收入确认会计政策存在差异的情况</w:t>
      </w:r>
    </w:p>
    <w:p>
      <w:pPr>
        <w:pStyle w:val="Style38"/>
        <w:keepNext/>
        <w:keepLines/>
        <w:widowControl w:val="0"/>
        <w:shd w:val="clear" w:color="auto" w:fill="auto"/>
        <w:bidi w:val="0"/>
        <w:spacing w:before="0" w:after="200" w:line="467" w:lineRule="exact"/>
        <w:ind w:left="0" w:right="0" w:firstLine="0"/>
        <w:jc w:val="both"/>
      </w:pPr>
      <w:bookmarkStart w:id="831" w:name="bookmark831"/>
      <w:bookmarkStart w:id="832" w:name="bookmark832"/>
      <w:bookmarkStart w:id="833" w:name="bookmark833"/>
      <w:r>
        <w:rPr>
          <w:color w:val="000000"/>
          <w:spacing w:val="0"/>
          <w:w w:val="100"/>
          <w:position w:val="0"/>
        </w:rPr>
        <w:t>(二十二)政府补助</w:t>
      </w:r>
      <w:bookmarkEnd w:id="831"/>
      <w:bookmarkEnd w:id="832"/>
      <w:bookmarkEnd w:id="833"/>
    </w:p>
    <w:p>
      <w:pPr>
        <w:pStyle w:val="Style38"/>
        <w:keepNext/>
        <w:keepLines/>
        <w:widowControl w:val="0"/>
        <w:shd w:val="clear" w:color="auto" w:fill="auto"/>
        <w:bidi w:val="0"/>
        <w:spacing w:before="0" w:after="140" w:line="467" w:lineRule="exact"/>
        <w:ind w:left="0" w:right="0" w:firstLine="360"/>
        <w:jc w:val="both"/>
      </w:pPr>
      <w:bookmarkStart w:id="831" w:name="bookmark831"/>
      <w:bookmarkStart w:id="832" w:name="bookmark832"/>
      <w:bookmarkStart w:id="834" w:name="bookmark834"/>
      <w:r>
        <w:rPr>
          <w:color w:val="000000"/>
          <w:spacing w:val="0"/>
          <w:w w:val="100"/>
          <w:position w:val="0"/>
          <w:sz w:val="17"/>
          <w:szCs w:val="17"/>
        </w:rPr>
        <w:t>1</w:t>
      </w:r>
      <w:bookmarkEnd w:id="834"/>
      <w:r>
        <w:rPr>
          <w:color w:val="000000"/>
          <w:spacing w:val="0"/>
          <w:w w:val="100"/>
          <w:position w:val="0"/>
        </w:rPr>
        <w:t>、类型</w:t>
      </w:r>
      <w:bookmarkEnd w:id="831"/>
      <w:bookmarkEnd w:id="832"/>
    </w:p>
    <w:p>
      <w:pPr>
        <w:pStyle w:val="Style29"/>
        <w:keepNext w:val="0"/>
        <w:keepLines w:val="0"/>
        <w:widowControl w:val="0"/>
        <w:shd w:val="clear" w:color="auto" w:fill="auto"/>
        <w:bidi w:val="0"/>
        <w:spacing w:before="0" w:line="466" w:lineRule="exact"/>
        <w:ind w:left="0" w:right="0" w:firstLine="42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29"/>
        <w:keepNext w:val="0"/>
        <w:keepLines w:val="0"/>
        <w:widowControl w:val="0"/>
        <w:shd w:val="clear" w:color="auto" w:fill="auto"/>
        <w:bidi w:val="0"/>
        <w:spacing w:before="0" w:line="470" w:lineRule="exact"/>
        <w:ind w:left="0" w:right="0" w:firstLine="42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29"/>
        <w:keepNext w:val="0"/>
        <w:keepLines w:val="0"/>
        <w:widowControl w:val="0"/>
        <w:shd w:val="clear" w:color="auto" w:fill="auto"/>
        <w:bidi w:val="0"/>
        <w:spacing w:before="0" w:line="470" w:lineRule="exact"/>
        <w:ind w:left="0" w:right="0" w:firstLine="420"/>
        <w:jc w:val="both"/>
      </w:pPr>
      <w:r>
        <w:rPr>
          <w:color w:val="000000"/>
          <w:spacing w:val="0"/>
          <w:w w:val="100"/>
          <w:position w:val="0"/>
        </w:rPr>
        <w:t>本公司将政府补助划分为与资产相关的具体标准为：公司取得的、用于购建或以其他方式形成长期资 产的政府补助。</w:t>
      </w:r>
    </w:p>
    <w:p>
      <w:pPr>
        <w:pStyle w:val="Style29"/>
        <w:keepNext w:val="0"/>
        <w:keepLines w:val="0"/>
        <w:widowControl w:val="0"/>
        <w:shd w:val="clear" w:color="auto" w:fill="auto"/>
        <w:bidi w:val="0"/>
        <w:spacing w:before="0" w:line="467" w:lineRule="exact"/>
        <w:ind w:left="0" w:right="0" w:firstLine="360"/>
        <w:jc w:val="left"/>
      </w:pPr>
      <w:r>
        <w:rPr>
          <w:color w:val="000000"/>
          <w:spacing w:val="0"/>
          <w:w w:val="100"/>
          <w:position w:val="0"/>
        </w:rPr>
        <w:t>本公司将政府补助划分为与收益相关的具体标准为：除与资产相关的政府补助之外的政府补助。</w:t>
      </w:r>
    </w:p>
    <w:p>
      <w:pPr>
        <w:pStyle w:val="Style29"/>
        <w:keepNext w:val="0"/>
        <w:keepLines w:val="0"/>
        <w:widowControl w:val="0"/>
        <w:shd w:val="clear" w:color="auto" w:fill="auto"/>
        <w:bidi w:val="0"/>
        <w:spacing w:before="0" w:line="467" w:lineRule="exact"/>
        <w:ind w:left="0" w:right="0" w:firstLine="360"/>
        <w:jc w:val="both"/>
      </w:pPr>
      <w:bookmarkStart w:id="835" w:name="bookmark835"/>
      <w:r>
        <w:rPr>
          <w:b/>
          <w:bCs/>
          <w:color w:val="000000"/>
          <w:spacing w:val="0"/>
          <w:w w:val="100"/>
          <w:position w:val="0"/>
        </w:rPr>
        <w:t>2</w:t>
      </w:r>
      <w:bookmarkEnd w:id="835"/>
      <w:r>
        <w:rPr>
          <w:b/>
          <w:bCs/>
          <w:color w:val="000000"/>
          <w:spacing w:val="0"/>
          <w:w w:val="100"/>
          <w:position w:val="0"/>
        </w:rPr>
        <w:t>、确认时点</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政府补助在本公司能够满足其所附的条件以及能够收到时予以确认。</w:t>
      </w:r>
    </w:p>
    <w:p>
      <w:pPr>
        <w:pStyle w:val="Style29"/>
        <w:keepNext w:val="0"/>
        <w:keepLines w:val="0"/>
        <w:widowControl w:val="0"/>
        <w:shd w:val="clear" w:color="auto" w:fill="auto"/>
        <w:bidi w:val="0"/>
        <w:spacing w:before="0" w:line="467" w:lineRule="exact"/>
        <w:ind w:left="0" w:right="0" w:firstLine="440"/>
        <w:jc w:val="both"/>
      </w:pPr>
      <w:bookmarkStart w:id="836" w:name="bookmark836"/>
      <w:r>
        <w:rPr>
          <w:b/>
          <w:bCs/>
          <w:color w:val="000000"/>
          <w:spacing w:val="0"/>
          <w:w w:val="100"/>
          <w:position w:val="0"/>
        </w:rPr>
        <w:t>3</w:t>
      </w:r>
      <w:bookmarkEnd w:id="836"/>
      <w:r>
        <w:rPr>
          <w:b/>
          <w:bCs/>
          <w:color w:val="000000"/>
          <w:spacing w:val="0"/>
          <w:w w:val="100"/>
          <w:position w:val="0"/>
        </w:rPr>
        <w:t>、会计处理</w:t>
      </w:r>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本公司取得的政策性优惠贷款贴息，区分以下两种情况，分别进行会计处理：</w:t>
      </w:r>
    </w:p>
    <w:p>
      <w:pPr>
        <w:pStyle w:val="Style29"/>
        <w:keepNext w:val="0"/>
        <w:keepLines w:val="0"/>
        <w:widowControl w:val="0"/>
        <w:shd w:val="clear" w:color="auto" w:fill="auto"/>
        <w:tabs>
          <w:tab w:pos="997" w:val="left"/>
        </w:tabs>
        <w:bidi w:val="0"/>
        <w:spacing w:before="0" w:line="466" w:lineRule="exact"/>
        <w:ind w:left="0" w:right="0" w:firstLine="440"/>
        <w:jc w:val="both"/>
      </w:pPr>
      <w:bookmarkStart w:id="837" w:name="bookmark837"/>
      <w:r>
        <w:rPr>
          <w:color w:val="000000"/>
          <w:spacing w:val="0"/>
          <w:w w:val="100"/>
          <w:position w:val="0"/>
          <w:sz w:val="20"/>
          <w:szCs w:val="20"/>
        </w:rPr>
        <w:t>（</w:t>
      </w:r>
      <w:bookmarkEnd w:id="837"/>
      <w:r>
        <w:rPr>
          <w:color w:val="000000"/>
          <w:spacing w:val="0"/>
          <w:w w:val="100"/>
          <w:position w:val="0"/>
          <w:sz w:val="20"/>
          <w:szCs w:val="20"/>
        </w:rPr>
        <w:t>1）</w:t>
        <w:tab/>
      </w:r>
      <w:r>
        <w:rPr>
          <w:color w:val="000000"/>
          <w:spacing w:val="0"/>
          <w:w w:val="100"/>
          <w:position w:val="0"/>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29"/>
        <w:keepNext w:val="0"/>
        <w:keepLines w:val="0"/>
        <w:widowControl w:val="0"/>
        <w:shd w:val="clear" w:color="auto" w:fill="auto"/>
        <w:tabs>
          <w:tab w:pos="928" w:val="left"/>
        </w:tabs>
        <w:bidi w:val="0"/>
        <w:spacing w:before="0" w:after="220" w:line="467" w:lineRule="exact"/>
        <w:ind w:left="0" w:right="0" w:firstLine="440"/>
        <w:jc w:val="both"/>
      </w:pPr>
      <w:bookmarkStart w:id="838" w:name="bookmark838"/>
      <w:r>
        <w:rPr>
          <w:color w:val="000000"/>
          <w:spacing w:val="0"/>
          <w:w w:val="100"/>
          <w:position w:val="0"/>
          <w:sz w:val="20"/>
          <w:szCs w:val="20"/>
        </w:rPr>
        <w:t>（</w:t>
      </w:r>
      <w:bookmarkEnd w:id="838"/>
      <w:r>
        <w:rPr>
          <w:color w:val="000000"/>
          <w:spacing w:val="0"/>
          <w:w w:val="100"/>
          <w:position w:val="0"/>
          <w:sz w:val="20"/>
          <w:szCs w:val="20"/>
        </w:rPr>
        <w:t>2）</w:t>
        <w:tab/>
      </w:r>
      <w:r>
        <w:rPr>
          <w:color w:val="000000"/>
          <w:spacing w:val="0"/>
          <w:w w:val="100"/>
          <w:position w:val="0"/>
        </w:rPr>
        <w:t>财政将贴息资金直接拨付给本公司的，本公司将对应的贴息冲减相关借款费用。</w:t>
      </w:r>
    </w:p>
    <w:p>
      <w:pPr>
        <w:pStyle w:val="Style38"/>
        <w:keepNext/>
        <w:keepLines/>
        <w:widowControl w:val="0"/>
        <w:shd w:val="clear" w:color="auto" w:fill="auto"/>
        <w:bidi w:val="0"/>
        <w:spacing w:before="0" w:after="220" w:line="467" w:lineRule="exact"/>
        <w:ind w:left="0" w:right="0" w:firstLine="0"/>
        <w:jc w:val="left"/>
      </w:pPr>
      <w:bookmarkStart w:id="839" w:name="bookmark839"/>
      <w:bookmarkStart w:id="840" w:name="bookmark840"/>
      <w:bookmarkStart w:id="841" w:name="bookmark841"/>
      <w:r>
        <w:rPr>
          <w:color w:val="000000"/>
          <w:spacing w:val="0"/>
          <w:w w:val="100"/>
          <w:position w:val="0"/>
        </w:rPr>
        <w:t>（二十三）递延所得税资产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39"/>
      <w:bookmarkEnd w:id="840"/>
      <w:bookmarkEnd w:id="841"/>
    </w:p>
    <w:p>
      <w:pPr>
        <w:pStyle w:val="Style29"/>
        <w:keepNext w:val="0"/>
        <w:keepLines w:val="0"/>
        <w:widowControl w:val="0"/>
        <w:shd w:val="clear" w:color="auto" w:fill="auto"/>
        <w:bidi w:val="0"/>
        <w:spacing w:before="0" w:line="46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29"/>
        <w:keepNext w:val="0"/>
        <w:keepLines w:val="0"/>
        <w:widowControl w:val="0"/>
        <w:shd w:val="clear" w:color="auto" w:fill="auto"/>
        <w:bidi w:val="0"/>
        <w:spacing w:before="0" w:line="467" w:lineRule="exact"/>
        <w:ind w:left="0" w:right="0" w:firstLine="440"/>
        <w:jc w:val="both"/>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line="466"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29"/>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 xml:space="preserve">当拥有以净额结算当期所得税资产及当期所得税负债的法定权利，且递延所得税资产及递延所得税负 债是与同一税收征管部门对同一纳税主体征收的所得税相关或者是对不同的纳税主体相关，但在未来每一 </w:t>
      </w:r>
      <w:r>
        <w:rPr>
          <w:color w:val="000000"/>
          <w:spacing w:val="0"/>
          <w:w w:val="100"/>
          <w:position w:val="0"/>
        </w:rPr>
        <w:t>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8"/>
        <w:keepNext/>
        <w:keepLines/>
        <w:widowControl w:val="0"/>
        <w:shd w:val="clear" w:color="auto" w:fill="auto"/>
        <w:bidi w:val="0"/>
        <w:spacing w:before="0" w:after="140" w:line="470" w:lineRule="exact"/>
        <w:ind w:left="0" w:right="0" w:firstLine="0"/>
        <w:jc w:val="both"/>
      </w:pPr>
      <w:bookmarkStart w:id="842" w:name="bookmark842"/>
      <w:bookmarkStart w:id="843" w:name="bookmark843"/>
      <w:bookmarkStart w:id="844" w:name="bookmark844"/>
      <w:r>
        <w:rPr>
          <w:color w:val="000000"/>
          <w:spacing w:val="0"/>
          <w:w w:val="100"/>
          <w:position w:val="0"/>
        </w:rPr>
        <w:t>（二十四）其他重要的会计政策和会计估计</w:t>
      </w:r>
      <w:bookmarkEnd w:id="842"/>
      <w:bookmarkEnd w:id="843"/>
      <w:bookmarkEnd w:id="844"/>
    </w:p>
    <w:p>
      <w:pPr>
        <w:pStyle w:val="Style38"/>
        <w:keepNext/>
        <w:keepLines/>
        <w:widowControl w:val="0"/>
        <w:shd w:val="clear" w:color="auto" w:fill="auto"/>
        <w:bidi w:val="0"/>
        <w:spacing w:before="0" w:after="60" w:line="470" w:lineRule="exact"/>
        <w:ind w:left="0" w:right="0" w:firstLine="440"/>
        <w:jc w:val="both"/>
      </w:pPr>
      <w:bookmarkStart w:id="842" w:name="bookmark842"/>
      <w:bookmarkStart w:id="843" w:name="bookmark843"/>
      <w:r>
        <w:rPr>
          <w:color w:val="000000"/>
          <w:spacing w:val="0"/>
          <w:w w:val="100"/>
          <w:position w:val="0"/>
        </w:rPr>
        <w:t>其他重要会计政策和会计估计变更情况</w:t>
      </w:r>
      <w:r>
        <w:rPr>
          <w:rFonts w:ascii="Times New Roman" w:eastAsia="Times New Roman" w:hAnsi="Times New Roman" w:cs="Times New Roman"/>
          <w:color w:val="000000"/>
          <w:spacing w:val="0"/>
          <w:w w:val="100"/>
          <w:position w:val="0"/>
        </w:rPr>
        <w:t>•</w:t>
      </w:r>
      <w:bookmarkEnd w:id="842"/>
      <w:bookmarkEnd w:id="843"/>
    </w:p>
    <w:p>
      <w:pPr>
        <w:pStyle w:val="Style38"/>
        <w:keepNext/>
        <w:keepLines/>
        <w:widowControl w:val="0"/>
        <w:shd w:val="clear" w:color="auto" w:fill="auto"/>
        <w:tabs>
          <w:tab w:pos="798" w:val="left"/>
        </w:tabs>
        <w:bidi w:val="0"/>
        <w:spacing w:before="0" w:after="140" w:line="470" w:lineRule="exact"/>
        <w:ind w:left="0" w:right="0" w:firstLine="440"/>
        <w:jc w:val="both"/>
      </w:pPr>
      <w:bookmarkStart w:id="842" w:name="bookmark842"/>
      <w:bookmarkStart w:id="843" w:name="bookmark843"/>
      <w:bookmarkStart w:id="845" w:name="bookmark845"/>
      <w:r>
        <w:rPr>
          <w:color w:val="000000"/>
          <w:spacing w:val="0"/>
          <w:w w:val="100"/>
          <w:position w:val="0"/>
        </w:rPr>
        <w:t>1</w:t>
      </w:r>
      <w:bookmarkEnd w:id="845"/>
      <w:r>
        <w:rPr>
          <w:color w:val="000000"/>
          <w:spacing w:val="0"/>
          <w:w w:val="100"/>
          <w:position w:val="0"/>
        </w:rPr>
        <w:t>、</w:t>
        <w:tab/>
        <w:t>会计政策变更</w:t>
      </w:r>
      <w:bookmarkEnd w:id="842"/>
      <w:bookmarkEnd w:id="843"/>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sz w:val="20"/>
          <w:szCs w:val="20"/>
        </w:rPr>
        <w:t>A</w:t>
      </w:r>
      <w:r>
        <w:rPr>
          <w:color w:val="000000"/>
          <w:spacing w:val="0"/>
          <w:w w:val="100"/>
          <w:position w:val="0"/>
        </w:rPr>
        <w:t>、</w:t>
      </w:r>
      <w:r>
        <w:rPr>
          <w:color w:val="000000"/>
          <w:spacing w:val="0"/>
          <w:w w:val="100"/>
          <w:position w:val="0"/>
        </w:rPr>
        <w:t>执行《新冠肺炎疫情相关租金减让会计处理规定》</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财政部于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19</w:t>
      </w:r>
      <w:r>
        <w:rPr>
          <w:color w:val="000000"/>
          <w:spacing w:val="0"/>
          <w:w w:val="100"/>
          <w:position w:val="0"/>
        </w:rPr>
        <w:t>日发布了《新冠肺炎疫情相关租金减让会计处理规定》（财会〔</w:t>
      </w:r>
      <w:r>
        <w:rPr>
          <w:color w:val="000000"/>
          <w:spacing w:val="0"/>
          <w:w w:val="100"/>
          <w:position w:val="0"/>
          <w:sz w:val="20"/>
          <w:szCs w:val="20"/>
        </w:rPr>
        <w:t>2020） 10</w:t>
      </w:r>
      <w:r>
        <w:rPr>
          <w:color w:val="000000"/>
          <w:spacing w:val="0"/>
          <w:w w:val="100"/>
          <w:position w:val="0"/>
        </w:rPr>
        <w:t>号）</w:t>
      </w:r>
      <w:r>
        <w:rPr>
          <w:color w:val="000000"/>
          <w:spacing w:val="0"/>
          <w:w w:val="100"/>
          <w:position w:val="0"/>
          <w:sz w:val="20"/>
          <w:szCs w:val="20"/>
        </w:rPr>
        <w:t xml:space="preserve">， </w:t>
      </w:r>
      <w:r>
        <w:rPr>
          <w:color w:val="000000"/>
          <w:spacing w:val="0"/>
          <w:w w:val="100"/>
          <w:position w:val="0"/>
        </w:rPr>
        <w:t>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19</w:t>
      </w:r>
      <w:r>
        <w:rPr>
          <w:color w:val="000000"/>
          <w:spacing w:val="0"/>
          <w:w w:val="100"/>
          <w:position w:val="0"/>
        </w:rPr>
        <w:t>日起施行，允许企业对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日至该规定施行日之间发生的相关租金减让进行调整。 按照该规定，对于满足条件的由新冠肺炎疫情直接引发的租金减免、延期支付租金等租金减让，企业可以 选择采用简化方法进行会计处理。</w:t>
      </w:r>
    </w:p>
    <w:p>
      <w:pPr>
        <w:pStyle w:val="Style29"/>
        <w:keepNext w:val="0"/>
        <w:keepLines w:val="0"/>
        <w:widowControl w:val="0"/>
        <w:shd w:val="clear" w:color="auto" w:fill="auto"/>
        <w:bidi w:val="0"/>
        <w:spacing w:before="0" w:line="480" w:lineRule="exact"/>
        <w:ind w:left="0" w:right="0" w:firstLine="44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 至该规定施行日之间发生的相关租金减让根据该规定进行相应调整。</w:t>
      </w:r>
    </w:p>
    <w:p>
      <w:pPr>
        <w:pStyle w:val="Style29"/>
        <w:keepNext w:val="0"/>
        <w:keepLines w:val="0"/>
        <w:widowControl w:val="0"/>
        <w:shd w:val="clear" w:color="auto" w:fill="auto"/>
        <w:bidi w:val="0"/>
        <w:spacing w:before="0" w:line="451" w:lineRule="exact"/>
        <w:ind w:left="0" w:right="0" w:firstLine="440"/>
        <w:jc w:val="both"/>
      </w:pPr>
      <w:r>
        <w:rPr>
          <w:color w:val="000000"/>
          <w:spacing w:val="0"/>
          <w:w w:val="100"/>
          <w:position w:val="0"/>
        </w:rPr>
        <w:t xml:space="preserve">本公司作为承租人采用简化方法处理相关租金减让冲减本期管理费用、销售费用、研发费用合计人民 币 </w:t>
      </w:r>
      <w:r>
        <w:rPr>
          <w:color w:val="000000"/>
          <w:spacing w:val="0"/>
          <w:w w:val="100"/>
          <w:position w:val="0"/>
          <w:sz w:val="20"/>
          <w:szCs w:val="20"/>
        </w:rPr>
        <w:t xml:space="preserve">1,404,913.71 </w:t>
      </w:r>
      <w:r>
        <w:rPr>
          <w:color w:val="000000"/>
          <w:spacing w:val="0"/>
          <w:w w:val="100"/>
          <w:position w:val="0"/>
        </w:rPr>
        <w:t>元。</w:t>
      </w:r>
    </w:p>
    <w:p>
      <w:pPr>
        <w:pStyle w:val="Style29"/>
        <w:keepNext w:val="0"/>
        <w:keepLines w:val="0"/>
        <w:widowControl w:val="0"/>
        <w:shd w:val="clear" w:color="auto" w:fill="auto"/>
        <w:tabs>
          <w:tab w:pos="813" w:val="left"/>
        </w:tabs>
        <w:bidi w:val="0"/>
        <w:spacing w:before="0" w:line="470" w:lineRule="exact"/>
        <w:ind w:left="0" w:right="0" w:firstLine="440"/>
        <w:jc w:val="both"/>
      </w:pPr>
      <w:bookmarkStart w:id="846" w:name="bookmark846"/>
      <w:r>
        <w:rPr>
          <w:b/>
          <w:bCs/>
          <w:color w:val="000000"/>
          <w:spacing w:val="0"/>
          <w:w w:val="100"/>
          <w:position w:val="0"/>
        </w:rPr>
        <w:t>2</w:t>
      </w:r>
      <w:bookmarkEnd w:id="846"/>
      <w:r>
        <w:rPr>
          <w:b/>
          <w:bCs/>
          <w:color w:val="000000"/>
          <w:spacing w:val="0"/>
          <w:w w:val="100"/>
          <w:position w:val="0"/>
        </w:rPr>
        <w:t>、</w:t>
        <w:tab/>
        <w:t>重要会计估计变更</w:t>
      </w:r>
    </w:p>
    <w:p>
      <w:pPr>
        <w:pStyle w:val="Style2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本报告期公司主要会计估计未发生变更。</w:t>
      </w:r>
    </w:p>
    <w:p>
      <w:pPr>
        <w:pStyle w:val="Style38"/>
        <w:keepNext/>
        <w:keepLines/>
        <w:widowControl w:val="0"/>
        <w:shd w:val="clear" w:color="auto" w:fill="auto"/>
        <w:bidi w:val="0"/>
        <w:spacing w:before="0" w:after="380" w:line="470" w:lineRule="exact"/>
        <w:ind w:left="0" w:right="0" w:firstLine="0"/>
        <w:jc w:val="both"/>
      </w:pPr>
      <w:bookmarkStart w:id="847" w:name="bookmark847"/>
      <w:bookmarkStart w:id="848" w:name="bookmark848"/>
      <w:bookmarkStart w:id="849" w:name="bookmark849"/>
      <w:r>
        <w:rPr>
          <w:color w:val="000000"/>
          <w:spacing w:val="0"/>
          <w:w w:val="100"/>
          <w:position w:val="0"/>
        </w:rPr>
        <w:t>（二十五）重要会计政策和会计估计变更</w:t>
      </w:r>
      <w:bookmarkEnd w:id="847"/>
      <w:bookmarkEnd w:id="848"/>
      <w:bookmarkEnd w:id="849"/>
    </w:p>
    <w:p>
      <w:pPr>
        <w:pStyle w:val="Style47"/>
        <w:keepNext/>
        <w:keepLines/>
        <w:widowControl w:val="0"/>
        <w:shd w:val="clear" w:color="auto" w:fill="auto"/>
        <w:bidi w:val="0"/>
        <w:spacing w:before="0" w:after="140" w:line="492"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color w:val="000000"/>
          <w:spacing w:val="0"/>
          <w:w w:val="100"/>
          <w:position w:val="0"/>
        </w:rPr>
        <w:t>、重要会计政策变更</w:t>
      </w:r>
      <w:bookmarkEnd w:id="850"/>
      <w:bookmarkEnd w:id="851"/>
      <w:bookmarkEnd w:id="853"/>
    </w:p>
    <w:p>
      <w:pPr>
        <w:pStyle w:val="Style44"/>
        <w:keepNext w:val="0"/>
        <w:keepLines w:val="0"/>
        <w:widowControl w:val="0"/>
        <w:shd w:val="clear" w:color="auto" w:fill="auto"/>
        <w:bidi w:val="0"/>
        <w:spacing w:before="0" w:after="0" w:line="545" w:lineRule="auto"/>
        <w:ind w:left="0" w:right="0" w:firstLine="0"/>
        <w:jc w:val="distribute"/>
        <w:rPr>
          <w:sz w:val="20"/>
          <w:szCs w:val="20"/>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将预收款项重分类至合同负债及其他流 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第二届董事会第四次会议</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将应收账款中质保期内的质保金重分类 至合同资产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第二届董事会第四次会议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2、重要会计政策变更</w:t>
      </w:r>
    </w:p>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left"/>
      </w:pPr>
      <w:bookmarkStart w:id="854" w:name="bookmark854"/>
      <w:r>
        <w:rPr>
          <w:rFonts w:ascii="Times New Roman" w:eastAsia="Times New Roman" w:hAnsi="Times New Roman" w:cs="Times New Roman"/>
          <w:b/>
          <w:bCs/>
          <w:color w:val="000000"/>
          <w:spacing w:val="0"/>
          <w:w w:val="100"/>
          <w:position w:val="0"/>
        </w:rPr>
        <w:t>（</w:t>
      </w:r>
      <w:bookmarkEnd w:id="854"/>
      <w:r>
        <w:rPr>
          <w:rFonts w:ascii="Times New Roman" w:eastAsia="Times New Roman" w:hAnsi="Times New Roman" w:cs="Times New Roman"/>
          <w:b/>
          <w:bCs/>
          <w:color w:val="000000"/>
          <w:spacing w:val="0"/>
          <w:w w:val="100"/>
          <w:position w:val="0"/>
        </w:rPr>
        <w:t>1</w:t>
      </w:r>
      <w:r>
        <w:rPr>
          <w:b/>
          <w:bCs/>
          <w:color w:val="000000"/>
          <w:spacing w:val="0"/>
          <w:w w:val="100"/>
          <w:position w:val="0"/>
        </w:rPr>
        <w:t>）执行《企业会计准则第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号——收入》（</w:t>
      </w:r>
      <w:r>
        <w:rPr>
          <w:rFonts w:ascii="Times New Roman" w:eastAsia="Times New Roman" w:hAnsi="Times New Roman" w:cs="Times New Roman"/>
          <w:b/>
          <w:bCs/>
          <w:color w:val="000000"/>
          <w:spacing w:val="0"/>
          <w:w w:val="100"/>
          <w:position w:val="0"/>
        </w:rPr>
        <w:t>2017</w:t>
      </w:r>
      <w:r>
        <w:rPr>
          <w:b/>
          <w:bCs/>
          <w:color w:val="000000"/>
          <w:spacing w:val="0"/>
          <w:w w:val="100"/>
          <w:position w:val="0"/>
        </w:rPr>
        <w:t>年修订）（以下简称</w:t>
      </w:r>
      <w:r>
        <w:rPr>
          <w:rFonts w:ascii="Times New Roman" w:eastAsia="Times New Roman" w:hAnsi="Times New Roman" w:cs="Times New Roman"/>
          <w:b/>
          <w:bCs/>
          <w:color w:val="000000"/>
          <w:spacing w:val="0"/>
          <w:w w:val="100"/>
          <w:position w:val="0"/>
        </w:rPr>
        <w:t>“</w:t>
      </w:r>
      <w:r>
        <w:rPr>
          <w:b/>
          <w:bCs/>
          <w:color w:val="000000"/>
          <w:spacing w:val="0"/>
          <w:w w:val="100"/>
          <w:position w:val="0"/>
        </w:rPr>
        <w:t>新收入准则</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当根据累积影响数调整当年年初留存收益及财务报表其他相关项目金额，对可比期间信息不予调整。</w:t>
      </w:r>
    </w:p>
    <w:p>
      <w:pPr>
        <w:pStyle w:val="Style29"/>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 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 该准则的主要影响如下：</w:t>
      </w:r>
    </w:p>
    <w:tbl>
      <w:tblPr>
        <w:tblOverlap w:val="never"/>
        <w:jc w:val="center"/>
        <w:tblLayout w:type="fixed"/>
      </w:tblPr>
      <w:tblGrid>
        <w:gridCol w:w="2822"/>
        <w:gridCol w:w="1205"/>
        <w:gridCol w:w="1608"/>
        <w:gridCol w:w="2050"/>
        <w:gridCol w:w="2131"/>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会计政策变更 的内容和原因</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母公司</w:t>
            </w:r>
          </w:p>
        </w:tc>
      </w:tr>
      <w:tr>
        <w:trPr>
          <w:trHeight w:val="341"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将预收款项重分类至合同负债及其 他流动负债。</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第二届董事会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9,563,548.3</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 xml:space="preserve">9,513,171.54 </w:t>
            </w:r>
            <w:r>
              <w:rPr>
                <w:color w:val="000000"/>
                <w:spacing w:val="0"/>
                <w:w w:val="100"/>
                <w:position w:val="0"/>
                <w:sz w:val="17"/>
                <w:szCs w:val="17"/>
              </w:rPr>
              <w:t>元</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8,933,674.98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8,883,298.22</w:t>
            </w:r>
            <w:r>
              <w:rPr>
                <w:color w:val="000000"/>
                <w:spacing w:val="0"/>
                <w:w w:val="100"/>
                <w:position w:val="0"/>
                <w:sz w:val="17"/>
                <w:szCs w:val="17"/>
              </w:rPr>
              <w:t>元</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629,873.3</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629,873.3</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p>
        </w:tc>
      </w:tr>
      <w:tr>
        <w:trPr>
          <w:trHeight w:val="34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将应收账款中质保期内的质保金重 分类至合同资产</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3,249,928.4</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3,249,928.42</w:t>
            </w:r>
            <w:r>
              <w:rPr>
                <w:color w:val="000000"/>
                <w:spacing w:val="0"/>
                <w:w w:val="100"/>
                <w:position w:val="0"/>
                <w:sz w:val="17"/>
                <w:szCs w:val="17"/>
              </w:rPr>
              <w:t>元</w:t>
            </w:r>
          </w:p>
        </w:tc>
      </w:tr>
      <w:tr>
        <w:trPr>
          <w:trHeight w:val="3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3,249,928.42</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3,249,928.42</w:t>
            </w:r>
            <w:r>
              <w:rPr>
                <w:color w:val="000000"/>
                <w:spacing w:val="0"/>
                <w:w w:val="100"/>
                <w:position w:val="0"/>
                <w:sz w:val="17"/>
                <w:szCs w:val="17"/>
              </w:rPr>
              <w:t>元</w:t>
            </w:r>
          </w:p>
        </w:tc>
      </w:tr>
    </w:tbl>
    <w:p>
      <w:pPr>
        <w:widowControl w:val="0"/>
        <w:spacing w:after="359" w:line="1" w:lineRule="exact"/>
      </w:pP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日财务报表相关项目的影响如下:</w:t>
      </w:r>
    </w:p>
    <w:tbl>
      <w:tblPr>
        <w:tblOverlap w:val="never"/>
        <w:jc w:val="center"/>
        <w:tblLayout w:type="fixed"/>
      </w:tblPr>
      <w:tblGrid>
        <w:gridCol w:w="3250"/>
        <w:gridCol w:w="3398"/>
        <w:gridCol w:w="3115"/>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40"/>
              <w:jc w:val="left"/>
              <w:rPr>
                <w:sz w:val="17"/>
                <w:szCs w:val="17"/>
              </w:rPr>
            </w:pPr>
            <w:r>
              <w:rPr>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11,100,124.68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10,757,583.14</w:t>
            </w:r>
            <w:r>
              <w:rPr>
                <w:color w:val="000000"/>
                <w:spacing w:val="0"/>
                <w:w w:val="100"/>
                <w:position w:val="0"/>
                <w:sz w:val="17"/>
                <w:szCs w:val="17"/>
              </w:rPr>
              <w:t>元</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10,344,153.4</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10,001,611.86</w:t>
            </w:r>
            <w:r>
              <w:rPr>
                <w:color w:val="000000"/>
                <w:spacing w:val="0"/>
                <w:w w:val="100"/>
                <w:position w:val="0"/>
                <w:sz w:val="17"/>
                <w:szCs w:val="17"/>
              </w:rPr>
              <w:t>元</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755,971.28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755,971.28</w:t>
            </w:r>
            <w:r>
              <w:rPr>
                <w:color w:val="000000"/>
                <w:spacing w:val="0"/>
                <w:w w:val="100"/>
                <w:position w:val="0"/>
                <w:sz w:val="17"/>
                <w:szCs w:val="17"/>
              </w:rPr>
              <w:t>元</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减少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增加 </w:t>
            </w:r>
            <w:r>
              <w:rPr>
                <w:rFonts w:ascii="Times New Roman" w:eastAsia="Times New Roman" w:hAnsi="Times New Roman" w:cs="Times New Roman"/>
                <w:color w:val="000000"/>
                <w:spacing w:val="0"/>
                <w:w w:val="100"/>
                <w:position w:val="0"/>
                <w:sz w:val="18"/>
                <w:szCs w:val="18"/>
              </w:rPr>
              <w:t>1,391,688.28</w:t>
            </w:r>
            <w:r>
              <w:rPr>
                <w:color w:val="000000"/>
                <w:spacing w:val="0"/>
                <w:w w:val="100"/>
                <w:position w:val="0"/>
                <w:sz w:val="17"/>
                <w:szCs w:val="17"/>
              </w:rPr>
              <w:t>元</w:t>
            </w:r>
          </w:p>
        </w:tc>
      </w:tr>
    </w:tbl>
    <w:p>
      <w:pPr>
        <w:widowControl w:val="0"/>
        <w:spacing w:after="219" w:line="1" w:lineRule="exact"/>
      </w:pPr>
    </w:p>
    <w:p>
      <w:pPr>
        <w:pStyle w:val="Style47"/>
        <w:keepNext/>
        <w:keepLines/>
        <w:widowControl w:val="0"/>
        <w:numPr>
          <w:ilvl w:val="0"/>
          <w:numId w:val="107"/>
        </w:numPr>
        <w:shd w:val="clear" w:color="auto" w:fill="auto"/>
        <w:bidi w:val="0"/>
        <w:spacing w:before="0" w:after="360" w:line="240" w:lineRule="auto"/>
        <w:ind w:left="0" w:right="0" w:firstLine="140"/>
        <w:jc w:val="both"/>
      </w:pPr>
      <w:bookmarkStart w:id="855" w:name="bookmark855"/>
      <w:bookmarkStart w:id="856" w:name="bookmark856"/>
      <w:bookmarkStart w:id="857" w:name="bookmark857"/>
      <w:bookmarkStart w:id="858" w:name="bookmark858"/>
      <w:bookmarkEnd w:id="857"/>
      <w:r>
        <w:rPr>
          <w:color w:val="000000"/>
          <w:spacing w:val="0"/>
          <w:w w:val="100"/>
          <w:position w:val="0"/>
        </w:rPr>
        <w:t>重要会计估计变更</w:t>
      </w:r>
      <w:bookmarkEnd w:id="855"/>
      <w:bookmarkEnd w:id="856"/>
      <w:bookmarkEnd w:id="858"/>
      <w:r>
        <w:rPr>
          <w:color w:val="000000"/>
          <w:spacing w:val="0"/>
          <w:w w:val="100"/>
          <w:position w:val="0"/>
        </w:rPr>
        <w:t xml:space="preserve"> </w:t>
      </w:r>
      <w:r>
        <w:rPr>
          <w:rStyle w:val="CharStyle30"/>
          <w:rFonts w:ascii="Times New Roman" w:eastAsia="Times New Roman" w:hAnsi="Times New Roman" w:cs="Times New Roman"/>
          <w:b w:val="0"/>
          <w:bCs w:val="0"/>
        </w:rPr>
        <w:t>□</w:t>
      </w:r>
      <w:r>
        <w:rPr>
          <w:rStyle w:val="CharStyle30"/>
          <w:b w:val="0"/>
          <w:bCs w:val="0"/>
        </w:rPr>
        <w:t>适用</w:t>
      </w:r>
      <w:r>
        <w:rPr>
          <w:rStyle w:val="CharStyle30"/>
          <w:rFonts w:ascii="Times New Roman" w:eastAsia="Times New Roman" w:hAnsi="Times New Roman" w:cs="Times New Roman"/>
          <w:b w:val="0"/>
          <w:bCs w:val="0"/>
        </w:rPr>
        <w:t>q</w:t>
      </w:r>
      <w:r>
        <w:rPr>
          <w:rStyle w:val="CharStyle30"/>
          <w:b w:val="0"/>
          <w:bCs w:val="0"/>
        </w:rPr>
        <w:t>不适用</w:t>
      </w:r>
    </w:p>
    <w:p>
      <w:pPr>
        <w:pStyle w:val="Style47"/>
        <w:keepNext/>
        <w:keepLines/>
        <w:widowControl w:val="0"/>
        <w:numPr>
          <w:ilvl w:val="0"/>
          <w:numId w:val="107"/>
        </w:numPr>
        <w:shd w:val="clear" w:color="auto" w:fill="auto"/>
        <w:bidi w:val="0"/>
        <w:spacing w:before="0" w:line="240" w:lineRule="auto"/>
        <w:ind w:left="0" w:right="0" w:firstLine="0"/>
        <w:jc w:val="left"/>
      </w:pPr>
      <w:bookmarkStart w:id="859" w:name="bookmark859"/>
      <w:bookmarkStart w:id="860" w:name="bookmark860"/>
      <w:bookmarkStart w:id="861" w:name="bookmark861"/>
      <w:bookmarkStart w:id="862" w:name="bookmark862"/>
      <w:bookmarkEnd w:id="86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859"/>
      <w:bookmarkEnd w:id="860"/>
      <w:bookmarkEnd w:id="862"/>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是否需要调整年初资产负债表科目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合并资产负债表</w:t>
      </w:r>
    </w:p>
    <w:p>
      <w:pPr>
        <w:pStyle w:val="Style36"/>
        <w:keepNext w:val="0"/>
        <w:keepLines w:val="0"/>
        <w:widowControl w:val="0"/>
        <w:shd w:val="clear" w:color="auto" w:fill="auto"/>
        <w:bidi w:val="0"/>
        <w:spacing w:before="0" w:line="240" w:lineRule="auto"/>
        <w:ind w:left="0" w:right="16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94,434,391.36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94,434,391.36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1,994,195.46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1,994,195.46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99,045,450.42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95,795,522.00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3,626,888.21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3,626,888.21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6,196,531.00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6,196,531.00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7,539,315.87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7,539,315.87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2,989,484.34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2,989,484.34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215,826,256.66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215,826,256.66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1,599,151.59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1,599,151.59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4,949,911.51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4,949,911.51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417,110.94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66,689,306.37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66,689,306.37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282,515,563.03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282,515,563.03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46,552,760.82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46,552,760.82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9,563,548.30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-9,563,548.30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8,933,674.98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8,933,674.98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13,129,882.44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13,129,882.44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3,450,889.62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3,450,889.62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3,511,194.69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3,511,194.69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2,985,047.81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3,614,921.13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629,873.32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80,193,323.68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80,193,323.68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81,193,323.68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81,193,323.68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54,689,650.00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54,689,650.00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18,631,135.94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18,631,135.94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15,979,259.67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15,979,259.67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111,626,042.36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111,626,042.36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201,337,594.77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201,337,594.77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201,322,239.35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201,322,239.35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282,515,563.03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282,515,563.03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76,333,493.71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76,333,493.71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1,994,195.46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1,994,195.46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86,046,639.12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82,796,710.70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3,617,645.35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3,617,645.35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10,682,724.50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10,682,724.50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7,065,422.07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7,065,422.07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2,821,392.75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2,821,392.75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188,561,512.96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188,561,512.96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20,493,274.52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20,493,274.52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58,462,529.01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1,599,151.59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1,599,151.59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4,949,911.51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4,949,911.51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401,779.32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401,779.32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87,167,249.27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87,167,249.27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275,728,762.23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275,728,762.23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43,757,345.74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43,757,345.74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9,513,171.54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-9,513,171.54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8,883,298.22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8,883,298.22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13,124,582.44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13,124,582.44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3,360,847.06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3,360,847.06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3,493,278.69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3,493,278.69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2,716,176.82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3,346,050.14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629,873.32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76,965,402.29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76,965,402.29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77,965,402.29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77,965,402.29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54,689,650.00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54,689,650.00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17,686,484.02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17,686,484.02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15,979,259.67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15,979,259.67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109,407,966.25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109,407,966.25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197,763,359.94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197,763,359.94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275,728,762.23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275,728,762.23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220" w:line="240" w:lineRule="auto"/>
        <w:ind w:left="0" w:right="0" w:firstLine="440"/>
        <w:jc w:val="left"/>
      </w:pPr>
      <w:r>
        <w:rPr>
          <w:b/>
          <w:bCs/>
          <w:color w:val="000000"/>
          <w:spacing w:val="0"/>
          <w:w w:val="100"/>
          <w:position w:val="0"/>
        </w:rPr>
        <w:t>各项目调整情况的说明：</w:t>
      </w:r>
    </w:p>
    <w:p>
      <w:pPr>
        <w:pStyle w:val="Style2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日起开始执行新收入准则，将预收款项不含税部分重分类至合同负债，将预收款项 </w:t>
      </w:r>
      <w:r>
        <w:rPr>
          <w:color w:val="000000"/>
          <w:spacing w:val="0"/>
          <w:w w:val="100"/>
          <w:position w:val="0"/>
        </w:rPr>
        <w:t>中的税金重分类至其他流动负债列示；将应收账款中还在质保期内的质保金重分类至合同资产列示。</w:t>
      </w:r>
    </w:p>
    <w:p>
      <w:pPr>
        <w:pStyle w:val="Style47"/>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863"/>
      <w:bookmarkEnd w:id="864"/>
      <w:bookmarkEnd w:id="86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sz w:val="24"/>
          <w:szCs w:val="24"/>
        </w:rPr>
        <w:t>六</w:t>
      </w:r>
      <w:bookmarkEnd w:id="869"/>
      <w:r>
        <w:rPr>
          <w:color w:val="000000"/>
          <w:spacing w:val="0"/>
          <w:w w:val="100"/>
          <w:position w:val="0"/>
          <w:sz w:val="24"/>
          <w:szCs w:val="24"/>
        </w:rPr>
        <w:t>、税项</w:t>
      </w:r>
      <w:bookmarkEnd w:id="867"/>
      <w:bookmarkEnd w:id="868"/>
      <w:bookmarkEnd w:id="870"/>
    </w:p>
    <w:p>
      <w:pPr>
        <w:pStyle w:val="Style38"/>
        <w:keepNext/>
        <w:keepLines/>
        <w:widowControl w:val="0"/>
        <w:shd w:val="clear" w:color="auto" w:fill="auto"/>
        <w:bidi w:val="0"/>
        <w:spacing w:before="0" w:after="340" w:line="240" w:lineRule="auto"/>
        <w:ind w:left="0" w:right="0" w:firstLine="0"/>
        <w:jc w:val="left"/>
      </w:pPr>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71"/>
      <w:bookmarkEnd w:id="872"/>
      <w:bookmarkEnd w:id="87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按实际缴纳的营业税、增值税及消费税 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r>
    </w:tbl>
    <w:p>
      <w:pPr>
        <w:widowControl w:val="0"/>
        <w:spacing w:after="3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存在不同企业所得税税率纳税主体的，披露情况说明</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深圳南凌信息技术有限公司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青岛南凌信息技术有限公司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深圳市南凌云计算有限公司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南凌科技发展（香港）有限公司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浙江凌聚云计算有限公司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99" w:line="1" w:lineRule="exact"/>
      </w:pPr>
    </w:p>
    <w:p>
      <w:pPr>
        <w:pStyle w:val="Style38"/>
        <w:keepNext/>
        <w:keepLines/>
        <w:widowControl w:val="0"/>
        <w:shd w:val="clear" w:color="auto" w:fill="auto"/>
        <w:bidi w:val="0"/>
        <w:spacing w:before="0" w:after="220" w:line="466" w:lineRule="exact"/>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color w:val="000000"/>
          <w:spacing w:val="0"/>
          <w:w w:val="100"/>
          <w:position w:val="0"/>
        </w:rPr>
        <w:t>、税收优惠</w:t>
      </w:r>
      <w:bookmarkEnd w:id="874"/>
      <w:bookmarkEnd w:id="875"/>
      <w:bookmarkEnd w:id="877"/>
    </w:p>
    <w:p>
      <w:pPr>
        <w:pStyle w:val="Style29"/>
        <w:keepNext w:val="0"/>
        <w:keepLines w:val="0"/>
        <w:widowControl w:val="0"/>
        <w:shd w:val="clear" w:color="auto" w:fill="auto"/>
        <w:tabs>
          <w:tab w:pos="1009" w:val="left"/>
        </w:tabs>
        <w:bidi w:val="0"/>
        <w:spacing w:before="0" w:after="0" w:line="466" w:lineRule="exact"/>
        <w:ind w:left="0" w:right="0" w:firstLine="44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日，本公司通过高新技术资格认定，取得的高新技术企业证书编号为： </w:t>
      </w:r>
      <w:r>
        <w:rPr>
          <w:rFonts w:ascii="Times New Roman" w:eastAsia="Times New Roman" w:hAnsi="Times New Roman" w:cs="Times New Roman"/>
          <w:color w:val="000000"/>
          <w:spacing w:val="0"/>
          <w:w w:val="100"/>
          <w:position w:val="0"/>
        </w:rPr>
        <w:t>GR201844201599</w:t>
      </w:r>
      <w:r>
        <w:rPr>
          <w:color w:val="000000"/>
          <w:spacing w:val="0"/>
          <w:w w:val="100"/>
          <w:position w:val="0"/>
        </w:rPr>
        <w:t>，</w:t>
      </w:r>
      <w:r>
        <w:rPr>
          <w:color w:val="000000"/>
          <w:spacing w:val="0"/>
          <w:w w:val="100"/>
          <w:position w:val="0"/>
        </w:rPr>
        <w:t>有效期三年，报告期内本公司企业所得税税率为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9"/>
        <w:keepNext w:val="0"/>
        <w:keepLines w:val="0"/>
        <w:widowControl w:val="0"/>
        <w:shd w:val="clear" w:color="auto" w:fill="auto"/>
        <w:tabs>
          <w:tab w:pos="1009" w:val="left"/>
        </w:tabs>
        <w:bidi w:val="0"/>
        <w:spacing w:before="0" w:after="0" w:line="466" w:lineRule="exact"/>
        <w:ind w:left="0" w:right="0" w:firstLine="44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根据《财政部、国家税务总局关于小型微利企业所得税优惠政策的通知》（财税〔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34</w:t>
      </w:r>
      <w:r>
        <w:rPr>
          <w:color w:val="000000"/>
          <w:spacing w:val="0"/>
          <w:w w:val="100"/>
          <w:position w:val="0"/>
        </w:rPr>
        <w:t>号） 第一条规定，自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rPr>
        <w:t>20</w:t>
      </w:r>
      <w:r>
        <w:rPr>
          <w:color w:val="000000"/>
          <w:spacing w:val="0"/>
          <w:w w:val="100"/>
          <w:position w:val="0"/>
        </w:rPr>
        <w:t>万元的小型微利企业，其所得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《财政部、国家税务总局关于进一步扩大小型微利企业所得税优惠政策范围的通知》（财税〔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号）第一条规定，自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日，对年应纳税所得额在</w:t>
      </w:r>
      <w:r>
        <w:rPr>
          <w:rFonts w:ascii="Times New Roman" w:eastAsia="Times New Roman" w:hAnsi="Times New Roman" w:cs="Times New Roman"/>
          <w:color w:val="000000"/>
          <w:spacing w:val="0"/>
          <w:w w:val="100"/>
          <w:position w:val="0"/>
        </w:rPr>
        <w:t>20</w:t>
      </w:r>
      <w:r>
        <w:rPr>
          <w:color w:val="000000"/>
          <w:spacing w:val="0"/>
          <w:w w:val="100"/>
          <w:position w:val="0"/>
        </w:rPr>
        <w:t>万元到</w:t>
      </w:r>
      <w:r>
        <w:rPr>
          <w:rFonts w:ascii="Times New Roman" w:eastAsia="Times New Roman" w:hAnsi="Times New Roman" w:cs="Times New Roman"/>
          <w:color w:val="000000"/>
          <w:spacing w:val="0"/>
          <w:w w:val="100"/>
          <w:position w:val="0"/>
        </w:rPr>
        <w:t>30</w:t>
      </w:r>
      <w:r>
        <w:rPr>
          <w:color w:val="000000"/>
          <w:spacing w:val="0"/>
          <w:w w:val="100"/>
          <w:position w:val="0"/>
        </w:rPr>
        <w:t>万元之间的 小型微利企业，其所得减按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财政部、税务总局发布《关于实施小微企业普惠性税收减免政策的通知》（财税〔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号），进 一步加大企业所得税优惠力度，放宽小型微利企业标准。《通知》规定，自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日，从事国家非限制和禁止行业，且同时符合年度应纳税所得额不超过</w:t>
      </w:r>
      <w:r>
        <w:rPr>
          <w:rFonts w:ascii="Times New Roman" w:eastAsia="Times New Roman" w:hAnsi="Times New Roman" w:cs="Times New Roman"/>
          <w:color w:val="000000"/>
          <w:spacing w:val="0"/>
          <w:w w:val="100"/>
          <w:position w:val="0"/>
        </w:rPr>
        <w:t>300</w:t>
      </w:r>
      <w:r>
        <w:rPr>
          <w:color w:val="000000"/>
          <w:spacing w:val="0"/>
          <w:w w:val="100"/>
          <w:position w:val="0"/>
        </w:rPr>
        <w:t>万元、从业人数不超过</w:t>
      </w:r>
      <w:r>
        <w:rPr>
          <w:rFonts w:ascii="Times New Roman" w:eastAsia="Times New Roman" w:hAnsi="Times New Roman" w:cs="Times New Roman"/>
          <w:color w:val="000000"/>
          <w:spacing w:val="0"/>
          <w:w w:val="100"/>
          <w:position w:val="0"/>
        </w:rPr>
        <w:t>300</w:t>
      </w:r>
      <w:r>
        <w:rPr>
          <w:color w:val="000000"/>
          <w:spacing w:val="0"/>
          <w:w w:val="100"/>
          <w:position w:val="0"/>
        </w:rPr>
        <w:t>人、 资产总额不超过</w:t>
      </w:r>
      <w:r>
        <w:rPr>
          <w:rFonts w:ascii="Times New Roman" w:eastAsia="Times New Roman" w:hAnsi="Times New Roman" w:cs="Times New Roman"/>
          <w:color w:val="000000"/>
          <w:spacing w:val="0"/>
          <w:w w:val="100"/>
          <w:position w:val="0"/>
        </w:rPr>
        <w:t>5000</w:t>
      </w:r>
      <w:r>
        <w:rPr>
          <w:color w:val="000000"/>
          <w:spacing w:val="0"/>
          <w:w w:val="100"/>
          <w:position w:val="0"/>
        </w:rPr>
        <w:t>万元等三个条件的企业，对其年应纳税所得额不超过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 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 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9"/>
        <w:keepNext w:val="0"/>
        <w:keepLines w:val="0"/>
        <w:widowControl w:val="0"/>
        <w:shd w:val="clear" w:color="auto" w:fill="auto"/>
        <w:bidi w:val="0"/>
        <w:spacing w:before="0" w:after="160" w:line="466" w:lineRule="exact"/>
        <w:ind w:left="0" w:right="0" w:firstLine="440"/>
        <w:jc w:val="left"/>
      </w:pPr>
      <w:r>
        <w:rPr>
          <w:color w:val="000000"/>
          <w:spacing w:val="0"/>
          <w:w w:val="100"/>
          <w:position w:val="0"/>
        </w:rPr>
        <w:t>根据以上政策规定，本公司之子公司深圳南凌信息技术有限公司、青岛南凌信息技术有限公司、深圳 市南凌云计算有限公司、浙江凌聚云计算有限公司符合小型微利企业标准，故上述公司在本报告期内适用 的企业所得税税率为</w:t>
      </w:r>
      <w:r>
        <w:rPr>
          <w:rFonts w:ascii="Times New Roman" w:eastAsia="Times New Roman" w:hAnsi="Times New Roman" w:cs="Times New Roman"/>
          <w:color w:val="000000"/>
          <w:spacing w:val="0"/>
          <w:w w:val="100"/>
          <w:position w:val="0"/>
        </w:rPr>
        <w:t>20%</w:t>
      </w:r>
      <w:r>
        <w:rPr>
          <w:color w:val="000000"/>
          <w:spacing w:val="0"/>
          <w:w w:val="100"/>
          <w:position w:val="0"/>
        </w:rPr>
        <w:t>，并按具体的营业收入水平适用对应的应纳税所得额减按标准。</w:t>
      </w:r>
    </w:p>
    <w:p>
      <w:pPr>
        <w:pStyle w:val="Style38"/>
        <w:keepNext/>
        <w:keepLines/>
        <w:widowControl w:val="0"/>
        <w:shd w:val="clear" w:color="auto" w:fill="auto"/>
        <w:bidi w:val="0"/>
        <w:spacing w:before="0" w:after="200" w:line="468" w:lineRule="exact"/>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3</w:t>
      </w:r>
      <w:bookmarkEnd w:id="882"/>
      <w:r>
        <w:rPr>
          <w:color w:val="000000"/>
          <w:spacing w:val="0"/>
          <w:w w:val="100"/>
          <w:position w:val="0"/>
        </w:rPr>
        <w:t>、其他</w:t>
      </w:r>
      <w:bookmarkEnd w:id="880"/>
      <w:bookmarkEnd w:id="881"/>
      <w:bookmarkEnd w:id="883"/>
    </w:p>
    <w:p>
      <w:pPr>
        <w:pStyle w:val="Style2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香港利得税存在两档税率，不超过</w:t>
      </w:r>
      <w:r>
        <w:rPr>
          <w:rFonts w:ascii="Times New Roman" w:eastAsia="Times New Roman" w:hAnsi="Times New Roman" w:cs="Times New Roman"/>
          <w:color w:val="000000"/>
          <w:spacing w:val="0"/>
          <w:w w:val="100"/>
          <w:position w:val="0"/>
        </w:rPr>
        <w:t>$2,000,000</w:t>
      </w:r>
      <w:r>
        <w:rPr>
          <w:color w:val="000000"/>
          <w:spacing w:val="0"/>
          <w:w w:val="100"/>
          <w:position w:val="0"/>
        </w:rPr>
        <w:t>的应评税利润，适用</w:t>
      </w:r>
      <w:r>
        <w:rPr>
          <w:rFonts w:ascii="Times New Roman" w:eastAsia="Times New Roman" w:hAnsi="Times New Roman" w:cs="Times New Roman"/>
          <w:color w:val="000000"/>
          <w:spacing w:val="0"/>
          <w:w w:val="100"/>
          <w:position w:val="0"/>
        </w:rPr>
        <w:t>8.25%</w:t>
      </w:r>
      <w:r>
        <w:rPr>
          <w:color w:val="000000"/>
          <w:spacing w:val="0"/>
          <w:w w:val="100"/>
          <w:position w:val="0"/>
        </w:rPr>
        <w:t xml:space="preserve">,及应评税利润中超过 </w:t>
      </w:r>
      <w:r>
        <w:rPr>
          <w:rFonts w:ascii="Times New Roman" w:eastAsia="Times New Roman" w:hAnsi="Times New Roman" w:cs="Times New Roman"/>
          <w:color w:val="000000"/>
          <w:spacing w:val="0"/>
          <w:w w:val="100"/>
          <w:position w:val="0"/>
        </w:rPr>
        <w:t>$2,000,000</w:t>
      </w:r>
      <w:r>
        <w:rPr>
          <w:color w:val="000000"/>
          <w:spacing w:val="0"/>
          <w:w w:val="100"/>
          <w:position w:val="0"/>
        </w:rPr>
        <w:t>的部分适用</w:t>
      </w:r>
      <w:r>
        <w:rPr>
          <w:rFonts w:ascii="Times New Roman" w:eastAsia="Times New Roman" w:hAnsi="Times New Roman" w:cs="Times New Roman"/>
          <w:color w:val="000000"/>
          <w:spacing w:val="0"/>
          <w:w w:val="100"/>
          <w:position w:val="0"/>
        </w:rPr>
        <w:t>16.5%</w:t>
      </w:r>
      <w:r>
        <w:rPr>
          <w:color w:val="000000"/>
          <w:spacing w:val="0"/>
          <w:w w:val="100"/>
          <w:position w:val="0"/>
        </w:rPr>
        <w:t>，本公司之香港子公司应评税利润未超过</w:t>
      </w:r>
      <w:r>
        <w:rPr>
          <w:rFonts w:ascii="Times New Roman" w:eastAsia="Times New Roman" w:hAnsi="Times New Roman" w:cs="Times New Roman"/>
          <w:color w:val="000000"/>
          <w:spacing w:val="0"/>
          <w:w w:val="100"/>
          <w:position w:val="0"/>
        </w:rPr>
        <w:t>$2,000,000</w:t>
      </w:r>
      <w:r>
        <w:rPr>
          <w:color w:val="000000"/>
          <w:spacing w:val="0"/>
          <w:w w:val="100"/>
          <w:position w:val="0"/>
        </w:rPr>
        <w:t xml:space="preserve">元，故适用的利得税税率 为 </w:t>
      </w:r>
      <w:r>
        <w:rPr>
          <w:rFonts w:ascii="Times New Roman" w:eastAsia="Times New Roman" w:hAnsi="Times New Roman" w:cs="Times New Roman"/>
          <w:color w:val="000000"/>
          <w:spacing w:val="0"/>
          <w:w w:val="100"/>
          <w:position w:val="0"/>
        </w:rPr>
        <w:t>8.25%</w:t>
      </w:r>
      <w:r>
        <w:rPr>
          <w:color w:val="000000"/>
          <w:spacing w:val="0"/>
          <w:w w:val="100"/>
          <w:position w:val="0"/>
        </w:rPr>
        <w:t>。</w:t>
      </w:r>
    </w:p>
    <w:p>
      <w:pPr>
        <w:pStyle w:val="Style27"/>
        <w:keepNext/>
        <w:keepLines/>
        <w:widowControl w:val="0"/>
        <w:shd w:val="clear" w:color="auto" w:fill="auto"/>
        <w:bidi w:val="0"/>
        <w:spacing w:before="0" w:after="12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sz w:val="24"/>
          <w:szCs w:val="24"/>
        </w:rPr>
        <w:t>七</w:t>
      </w:r>
      <w:bookmarkEnd w:id="886"/>
      <w:r>
        <w:rPr>
          <w:color w:val="000000"/>
          <w:spacing w:val="0"/>
          <w:w w:val="100"/>
          <w:position w:val="0"/>
          <w:sz w:val="24"/>
          <w:szCs w:val="24"/>
        </w:rPr>
        <w:t>、合并财务报表项目注释</w:t>
      </w:r>
      <w:bookmarkEnd w:id="884"/>
      <w:bookmarkEnd w:id="885"/>
      <w:bookmarkEnd w:id="887"/>
    </w:p>
    <w:p>
      <w:pPr>
        <w:pStyle w:val="Style38"/>
        <w:keepNext/>
        <w:keepLines/>
        <w:widowControl w:val="0"/>
        <w:shd w:val="clear" w:color="auto" w:fill="auto"/>
        <w:bidi w:val="0"/>
        <w:spacing w:before="0" w:after="380" w:line="468" w:lineRule="exact"/>
        <w:ind w:left="0" w:right="0" w:firstLine="0"/>
        <w:jc w:val="left"/>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88"/>
      <w:bookmarkEnd w:id="889"/>
      <w:bookmarkEnd w:id="890"/>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694,170,261.98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94,317,218.59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694,820,408.48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94,434,391.36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6,887,904.19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6,143,639.99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因抵押、质押或冻结等对使用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599,997.97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、交易性金融资产</w:t>
      </w:r>
      <w:bookmarkEnd w:id="891"/>
      <w:bookmarkEnd w:id="892"/>
      <w:bookmarkEnd w:id="894"/>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8"/>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、衍生金融资产</w:t>
      </w:r>
      <w:bookmarkEnd w:id="895"/>
      <w:bookmarkEnd w:id="896"/>
      <w:bookmarkEnd w:id="89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4</w:t>
      </w:r>
      <w:bookmarkEnd w:id="901"/>
      <w:r>
        <w:rPr>
          <w:color w:val="000000"/>
          <w:spacing w:val="0"/>
          <w:w w:val="100"/>
          <w:position w:val="0"/>
        </w:rPr>
        <w:t>、应收票据</w:t>
      </w:r>
      <w:bookmarkEnd w:id="899"/>
      <w:bookmarkEnd w:id="900"/>
      <w:bookmarkEnd w:id="902"/>
    </w:p>
    <w:p>
      <w:pPr>
        <w:pStyle w:val="Style47"/>
        <w:keepNext/>
        <w:keepLines/>
        <w:widowControl w:val="0"/>
        <w:numPr>
          <w:ilvl w:val="0"/>
          <w:numId w:val="109"/>
        </w:numPr>
        <w:shd w:val="clear" w:color="auto" w:fill="auto"/>
        <w:bidi w:val="0"/>
        <w:spacing w:before="0" w:after="38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应收票据分类列示</w:t>
      </w:r>
      <w:bookmarkEnd w:id="903"/>
      <w:bookmarkEnd w:id="904"/>
      <w:bookmarkEnd w:id="906"/>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1,994,195.46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1,994,195.46</w:t>
            </w:r>
          </w:p>
        </w:tc>
      </w:tr>
    </w:tbl>
    <w:p>
      <w:pPr>
        <w:widowControl w:val="0"/>
        <w:spacing w:after="99" w:line="1" w:lineRule="exact"/>
      </w:pP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9"/>
        <w:keepNext w:val="0"/>
        <w:keepLines w:val="0"/>
        <w:widowControl w:val="0"/>
        <w:shd w:val="clear" w:color="auto" w:fill="auto"/>
        <w:bidi w:val="0"/>
        <w:spacing w:before="0" w:after="100" w:line="312" w:lineRule="exact"/>
        <w:ind w:left="0" w:right="0" w:firstLine="0"/>
        <w:jc w:val="both"/>
      </w:pPr>
      <w:r>
        <w:rPr>
          <w:b/>
          <w:bCs/>
          <w:color w:val="000000"/>
          <w:spacing w:val="0"/>
          <w:w w:val="100"/>
          <w:position w:val="0"/>
        </w:rPr>
        <w:t>如是按照预期信用损失一般模型计提应收票据坏账准备，请参照其他应收款的披露方式披露坏账准备的相 关信息：</w:t>
      </w:r>
    </w:p>
    <w:p>
      <w:pPr>
        <w:pStyle w:val="Style29"/>
        <w:keepNext w:val="0"/>
        <w:keepLines w:val="0"/>
        <w:widowControl w:val="0"/>
        <w:shd w:val="clear" w:color="auto" w:fill="auto"/>
        <w:bidi w:val="0"/>
        <w:spacing w:before="0" w:after="18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numPr>
          <w:ilvl w:val="0"/>
          <w:numId w:val="109"/>
        </w:numPr>
        <w:shd w:val="clear" w:color="auto" w:fill="auto"/>
        <w:bidi w:val="0"/>
        <w:spacing w:before="0" w:after="300" w:line="312"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本期计提、收回或转回的坏账准备情况</w:t>
      </w:r>
      <w:bookmarkEnd w:id="907"/>
      <w:bookmarkEnd w:id="908"/>
      <w:bookmarkEnd w:id="910"/>
    </w:p>
    <w:p>
      <w:pPr>
        <w:pStyle w:val="Style2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本期计提坏账准备情况：</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2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r>
        <w:br w:type="page"/>
      </w:r>
    </w:p>
    <w:p>
      <w:pPr>
        <w:pStyle w:val="Style47"/>
        <w:keepNext/>
        <w:keepLines/>
        <w:widowControl w:val="0"/>
        <w:numPr>
          <w:ilvl w:val="0"/>
          <w:numId w:val="109"/>
        </w:numPr>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期末公司已质押的应收票据</w:t>
      </w:r>
      <w:bookmarkEnd w:id="911"/>
      <w:bookmarkEnd w:id="912"/>
      <w:bookmarkEnd w:id="91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19" w:line="1" w:lineRule="exact"/>
      </w:pPr>
    </w:p>
    <w:p>
      <w:pPr>
        <w:pStyle w:val="Style47"/>
        <w:keepNext/>
        <w:keepLines/>
        <w:widowControl w:val="0"/>
        <w:numPr>
          <w:ilvl w:val="0"/>
          <w:numId w:val="109"/>
        </w:numPr>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期末公司已背书或贴现且在资产负债表日尚未到期的应收票据</w:t>
      </w:r>
      <w:bookmarkEnd w:id="915"/>
      <w:bookmarkEnd w:id="916"/>
      <w:bookmarkEnd w:id="91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widowControl w:val="0"/>
        <w:spacing w:after="319" w:line="1" w:lineRule="exact"/>
      </w:pPr>
    </w:p>
    <w:p>
      <w:pPr>
        <w:pStyle w:val="Style47"/>
        <w:keepNext/>
        <w:keepLines/>
        <w:widowControl w:val="0"/>
        <w:numPr>
          <w:ilvl w:val="0"/>
          <w:numId w:val="109"/>
        </w:numPr>
        <w:shd w:val="clear" w:color="auto" w:fill="auto"/>
        <w:bidi w:val="0"/>
        <w:spacing w:before="0" w:after="38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期末公司因出票人未履约而将其转应收账款的票据</w:t>
      </w:r>
      <w:bookmarkEnd w:id="919"/>
      <w:bookmarkEnd w:id="920"/>
      <w:bookmarkEnd w:id="92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319" w:line="1" w:lineRule="exact"/>
      </w:pPr>
    </w:p>
    <w:p>
      <w:pPr>
        <w:pStyle w:val="Style47"/>
        <w:keepNext/>
        <w:keepLines/>
        <w:widowControl w:val="0"/>
        <w:numPr>
          <w:ilvl w:val="0"/>
          <w:numId w:val="109"/>
        </w:numPr>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本期实际核销的应收票据情况</w:t>
      </w:r>
      <w:bookmarkEnd w:id="923"/>
      <w:bookmarkEnd w:id="924"/>
      <w:bookmarkEnd w:id="92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5</w:t>
      </w:r>
      <w:bookmarkEnd w:id="929"/>
      <w:r>
        <w:rPr>
          <w:color w:val="000000"/>
          <w:spacing w:val="0"/>
          <w:w w:val="100"/>
          <w:position w:val="0"/>
        </w:rPr>
        <w:t>、应收账款</w:t>
      </w:r>
      <w:bookmarkEnd w:id="927"/>
      <w:bookmarkEnd w:id="928"/>
      <w:bookmarkEnd w:id="930"/>
    </w:p>
    <w:p>
      <w:pPr>
        <w:pStyle w:val="Style47"/>
        <w:keepNext/>
        <w:keepLines/>
        <w:widowControl w:val="0"/>
        <w:numPr>
          <w:ilvl w:val="0"/>
          <w:numId w:val="111"/>
        </w:numPr>
        <w:shd w:val="clear" w:color="auto" w:fill="auto"/>
        <w:bidi w:val="0"/>
        <w:spacing w:before="0" w:after="38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应收账款分类披露</w:t>
      </w:r>
      <w:bookmarkEnd w:id="931"/>
      <w:bookmarkEnd w:id="932"/>
      <w:bookmarkEnd w:id="93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2,083,63</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364,377.6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220"/>
              <w:jc w:val="left"/>
              <w:rPr>
                <w:sz w:val="17"/>
                <w:szCs w:val="17"/>
              </w:rPr>
            </w:pPr>
            <w:r>
              <w:rPr>
                <w:color w:val="000000"/>
                <w:spacing w:val="0"/>
                <w:w w:val="100"/>
                <w:position w:val="0"/>
                <w:sz w:val="17"/>
                <w:szCs w:val="17"/>
              </w:rPr>
              <w:t>单项金额重大并 单项计提坏账准备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单项金额虽不重大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2,064,806.4</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但单项计提坏账准 备的应收账款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84,376,7</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1,045,95</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83,330,78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94,799,04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93,730,715.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增值电信业务客 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72,049,1</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751,333.</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71,297,79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54,035,71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497,762.9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53,537,949.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系统集成业务客 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12,327,6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294,625.</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40,763,33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570,566.7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40,192,766.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86,460,3</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1,671,05</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84,789,33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97,228,22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1,432,707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95,795,522.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2,083,639.00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625,091.70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逾期时间较长</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2,083,639.00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625,091.70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组合一：增值电信业务客户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72,049,132.21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751,333.13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72,049,132.21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751,333.13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组合二：系统集成业务客户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其中：银行及保险业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728,302.22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1480" w:right="0" w:firstLine="0"/>
              <w:jc w:val="left"/>
              <w:rPr>
                <w:sz w:val="17"/>
                <w:szCs w:val="17"/>
              </w:rPr>
            </w:pPr>
            <w:r>
              <w:rPr>
                <w:color w:val="000000"/>
                <w:spacing w:val="0"/>
                <w:w w:val="100"/>
                <w:position w:val="0"/>
                <w:sz w:val="17"/>
                <w:szCs w:val="17"/>
              </w:rPr>
              <w:t>政府企事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业单位、上市公司及知名外企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8,772,053.29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2,827,258.82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12,327,614.33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294,625.27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bl>
    <w:p>
      <w:pPr>
        <w:widowControl w:val="0"/>
        <w:spacing w:line="1" w:lineRule="exact"/>
      </w:pPr>
      <w:r>
        <w:br w:type="page"/>
      </w:r>
    </w:p>
    <w:tbl>
      <w:tblPr>
        <w:tblOverlap w:val="never"/>
        <w:jc w:val="center"/>
        <w:tblLayout w:type="fixed"/>
      </w:tblPr>
      <w:tblGrid>
        <w:gridCol w:w="2424"/>
        <w:gridCol w:w="2390"/>
        <w:gridCol w:w="2395"/>
        <w:gridCol w:w="2496"/>
      </w:tblGrid>
      <w:tr>
        <w:trPr>
          <w:trHeight w:val="360"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84,376,746.54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1,045,958.40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9"/>
        <w:keepNext w:val="0"/>
        <w:keepLines w:val="0"/>
        <w:widowControl w:val="0"/>
        <w:shd w:val="clear" w:color="auto" w:fill="auto"/>
        <w:bidi w:val="0"/>
        <w:spacing w:before="0" w:after="80" w:line="312" w:lineRule="exact"/>
        <w:ind w:left="0" w:right="0" w:firstLine="0"/>
        <w:jc w:val="both"/>
      </w:pPr>
      <w:r>
        <w:rPr>
          <w:b/>
          <w:bCs/>
          <w:color w:val="000000"/>
          <w:spacing w:val="0"/>
          <w:w w:val="100"/>
          <w:position w:val="0"/>
        </w:rPr>
        <w:t>如是按照预期信用损失一般模型计提应收账款坏账准备，请参照其他应收款的披露方式披露坏账准备的相 关信息：</w:t>
      </w:r>
    </w:p>
    <w:p>
      <w:pPr>
        <w:pStyle w:val="Style29"/>
        <w:keepNext w:val="0"/>
        <w:keepLines w:val="0"/>
        <w:widowControl w:val="0"/>
        <w:shd w:val="clear" w:color="auto" w:fill="auto"/>
        <w:bidi w:val="0"/>
        <w:spacing w:before="0" w:after="38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按账龄披露</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80,705,898.46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64,615,184.00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7"/>
                <w:szCs w:val="17"/>
              </w:rPr>
            </w:pP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16,090,714.46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3,844,225.51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1,601,005.97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86,460,385.54</w:t>
            </w:r>
          </w:p>
        </w:tc>
      </w:tr>
    </w:tbl>
    <w:p>
      <w:pPr>
        <w:widowControl w:val="0"/>
        <w:spacing w:after="319" w:line="1" w:lineRule="exact"/>
      </w:pPr>
    </w:p>
    <w:p>
      <w:pPr>
        <w:pStyle w:val="Style47"/>
        <w:keepNext/>
        <w:keepLines/>
        <w:widowControl w:val="0"/>
        <w:numPr>
          <w:ilvl w:val="0"/>
          <w:numId w:val="111"/>
        </w:numPr>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本期计提、收回或转回的坏账准备情况</w:t>
      </w:r>
      <w:bookmarkEnd w:id="935"/>
      <w:bookmarkEnd w:id="936"/>
      <w:bookmarkEnd w:id="938"/>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364,377.60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260,714.10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625,091.70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1,282,406.46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-222,392.67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1,045,958.40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1,646,784.06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1,671,050.10</w:t>
            </w:r>
          </w:p>
        </w:tc>
      </w:tr>
    </w:tbl>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7"/>
        <w:keepNext/>
        <w:keepLines/>
        <w:widowControl w:val="0"/>
        <w:numPr>
          <w:ilvl w:val="0"/>
          <w:numId w:val="111"/>
        </w:numPr>
        <w:shd w:val="clear" w:color="auto" w:fill="auto"/>
        <w:bidi w:val="0"/>
        <w:spacing w:before="0" w:after="380" w:line="240" w:lineRule="auto"/>
        <w:ind w:left="0" w:right="0" w:firstLine="140"/>
        <w:jc w:val="left"/>
      </w:pPr>
      <w:bookmarkStart w:id="939" w:name="bookmark939"/>
      <w:bookmarkStart w:id="940" w:name="bookmark940"/>
      <w:bookmarkStart w:id="941" w:name="bookmark941"/>
      <w:bookmarkStart w:id="942" w:name="bookmark942"/>
      <w:bookmarkEnd w:id="941"/>
      <w:r>
        <w:rPr>
          <w:color w:val="000000"/>
          <w:spacing w:val="0"/>
          <w:w w:val="100"/>
          <w:position w:val="0"/>
        </w:rPr>
        <w:t>本期实际核销的应收账款情况</w:t>
      </w:r>
      <w:bookmarkEnd w:id="939"/>
      <w:bookmarkEnd w:id="940"/>
      <w:bookmarkEnd w:id="942"/>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14,055.39</w:t>
            </w:r>
          </w:p>
        </w:tc>
      </w:tr>
    </w:tbl>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319" w:line="1" w:lineRule="exact"/>
      </w:pPr>
    </w:p>
    <w:p>
      <w:pPr>
        <w:pStyle w:val="Style47"/>
        <w:keepNext/>
        <w:keepLines/>
        <w:widowControl w:val="0"/>
        <w:numPr>
          <w:ilvl w:val="0"/>
          <w:numId w:val="111"/>
        </w:numPr>
        <w:shd w:val="clear" w:color="auto" w:fill="auto"/>
        <w:bidi w:val="0"/>
        <w:spacing w:before="0" w:after="380" w:line="240" w:lineRule="auto"/>
        <w:ind w:left="0" w:right="0" w:firstLine="140"/>
        <w:jc w:val="left"/>
      </w:pPr>
      <w:bookmarkStart w:id="943" w:name="bookmark943"/>
      <w:bookmarkStart w:id="944" w:name="bookmark944"/>
      <w:bookmarkStart w:id="945" w:name="bookmark945"/>
      <w:bookmarkStart w:id="946" w:name="bookmark946"/>
      <w:bookmarkEnd w:id="945"/>
      <w:r>
        <w:rPr>
          <w:color w:val="000000"/>
          <w:spacing w:val="0"/>
          <w:w w:val="100"/>
          <w:position w:val="0"/>
        </w:rPr>
        <w:t>按欠款方归集的期末余额前五名的应收账款情况</w:t>
      </w:r>
      <w:bookmarkEnd w:id="943"/>
      <w:bookmarkEnd w:id="944"/>
      <w:bookmarkEnd w:id="94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9,692,376.00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195,691.85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4,823,835.00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3,838,880.72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3,692,033.17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2,489,045.60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43,347.08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24,536,170.49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11"/>
        </w:numPr>
        <w:shd w:val="clear" w:color="auto" w:fill="auto"/>
        <w:tabs>
          <w:tab w:pos="633" w:val="left"/>
        </w:tabs>
        <w:bidi w:val="0"/>
        <w:spacing w:before="0" w:after="380" w:line="240" w:lineRule="auto"/>
        <w:ind w:left="0" w:right="0" w:firstLine="140"/>
        <w:jc w:val="left"/>
      </w:pPr>
      <w:bookmarkStart w:id="947" w:name="bookmark947"/>
      <w:bookmarkStart w:id="948" w:name="bookmark948"/>
      <w:bookmarkStart w:id="949" w:name="bookmark949"/>
      <w:bookmarkStart w:id="950" w:name="bookmark950"/>
      <w:bookmarkEnd w:id="949"/>
      <w:r>
        <w:rPr>
          <w:color w:val="000000"/>
          <w:spacing w:val="0"/>
          <w:w w:val="100"/>
          <w:position w:val="0"/>
        </w:rPr>
        <w:t>因金融资产转移而终止确认的应收账款</w:t>
      </w:r>
      <w:bookmarkEnd w:id="947"/>
      <w:bookmarkEnd w:id="948"/>
      <w:bookmarkEnd w:id="950"/>
    </w:p>
    <w:p>
      <w:pPr>
        <w:pStyle w:val="Style47"/>
        <w:keepNext/>
        <w:keepLines/>
        <w:widowControl w:val="0"/>
        <w:numPr>
          <w:ilvl w:val="0"/>
          <w:numId w:val="111"/>
        </w:numPr>
        <w:shd w:val="clear" w:color="auto" w:fill="auto"/>
        <w:tabs>
          <w:tab w:pos="633" w:val="left"/>
        </w:tabs>
        <w:bidi w:val="0"/>
        <w:spacing w:before="0" w:after="380" w:line="240" w:lineRule="auto"/>
        <w:ind w:left="0" w:right="0" w:firstLine="140"/>
        <w:jc w:val="left"/>
      </w:pPr>
      <w:bookmarkStart w:id="951" w:name="bookmark951"/>
      <w:bookmarkStart w:id="952" w:name="bookmark952"/>
      <w:bookmarkStart w:id="953" w:name="bookmark953"/>
      <w:bookmarkStart w:id="954" w:name="bookmark954"/>
      <w:bookmarkEnd w:id="953"/>
      <w:r>
        <w:rPr>
          <w:color w:val="000000"/>
          <w:spacing w:val="0"/>
          <w:w w:val="100"/>
          <w:position w:val="0"/>
        </w:rPr>
        <w:t>转移应收账款且继续涉入形成的资产、负债金额</w:t>
      </w:r>
      <w:bookmarkEnd w:id="951"/>
      <w:bookmarkEnd w:id="952"/>
      <w:bookmarkEnd w:id="954"/>
    </w:p>
    <w:p>
      <w:pPr>
        <w:pStyle w:val="Style38"/>
        <w:keepNext/>
        <w:keepLines/>
        <w:widowControl w:val="0"/>
        <w:shd w:val="clear" w:color="auto" w:fill="auto"/>
        <w:bidi w:val="0"/>
        <w:spacing w:before="0" w:after="3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6</w:t>
      </w:r>
      <w:bookmarkEnd w:id="957"/>
      <w:r>
        <w:rPr>
          <w:color w:val="000000"/>
          <w:spacing w:val="0"/>
          <w:w w:val="100"/>
          <w:position w:val="0"/>
        </w:rPr>
        <w:t>、应收款项融资</w:t>
      </w:r>
      <w:bookmarkEnd w:id="955"/>
      <w:bookmarkEnd w:id="956"/>
      <w:bookmarkEnd w:id="95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619" w:line="1" w:lineRule="exact"/>
      </w:pPr>
    </w:p>
    <w:p>
      <w:pPr>
        <w:pStyle w:val="Style2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如是按照预期信用损失一般模型计提应收款项融资减值准备，请参照其他应收款的披露方式披露减值准备</w:t>
      </w:r>
      <w:r>
        <w:br w:type="page"/>
      </w:r>
    </w:p>
    <w:p>
      <w:pPr>
        <w:pStyle w:val="Style2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的相关信息：</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7</w:t>
      </w:r>
      <w:bookmarkEnd w:id="961"/>
      <w:r>
        <w:rPr>
          <w:color w:val="000000"/>
          <w:spacing w:val="0"/>
          <w:w w:val="100"/>
          <w:position w:val="0"/>
        </w:rPr>
        <w:t>、预付款项</w:t>
      </w:r>
      <w:bookmarkEnd w:id="959"/>
      <w:bookmarkEnd w:id="960"/>
      <w:bookmarkEnd w:id="962"/>
    </w:p>
    <w:p>
      <w:pPr>
        <w:pStyle w:val="Style47"/>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63"/>
      <w:bookmarkEnd w:id="964"/>
      <w:bookmarkEnd w:id="96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9,423,240.55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3,626,888.21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9,423,240.55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3,626,888.21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67"/>
      <w:bookmarkEnd w:id="968"/>
      <w:bookmarkEnd w:id="970"/>
    </w:p>
    <w:tbl>
      <w:tblPr>
        <w:tblOverlap w:val="never"/>
        <w:jc w:val="center"/>
        <w:tblLayout w:type="fixed"/>
      </w:tblPr>
      <w:tblGrid>
        <w:gridCol w:w="3538"/>
        <w:gridCol w:w="2506"/>
        <w:gridCol w:w="360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2,714,898.33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1,203,430.00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529,173.63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6,368,801.96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8</w:t>
      </w:r>
      <w:bookmarkEnd w:id="973"/>
      <w:r>
        <w:rPr>
          <w:color w:val="000000"/>
          <w:spacing w:val="0"/>
          <w:w w:val="100"/>
          <w:position w:val="0"/>
        </w:rPr>
        <w:t>、其他应收款</w:t>
      </w:r>
      <w:bookmarkEnd w:id="971"/>
      <w:bookmarkEnd w:id="972"/>
      <w:bookmarkEnd w:id="97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2,359,331.63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6,196,531.00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2,359,331.63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6,196,531.00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75"/>
      <w:bookmarkEnd w:id="976"/>
      <w:bookmarkEnd w:id="978"/>
    </w:p>
    <w:p>
      <w:pPr>
        <w:pStyle w:val="Style75"/>
        <w:keepNext/>
        <w:keepLines/>
        <w:widowControl w:val="0"/>
        <w:shd w:val="clear" w:color="auto" w:fill="auto"/>
        <w:bidi w:val="0"/>
        <w:spacing w:before="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color w:val="000000"/>
          <w:spacing w:val="0"/>
          <w:w w:val="100"/>
          <w:position w:val="0"/>
        </w:rPr>
        <w:t>）应收利息分类</w:t>
      </w:r>
      <w:bookmarkEnd w:id="979"/>
      <w:bookmarkEnd w:id="980"/>
      <w:bookmarkEnd w:id="98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keepLines/>
        <w:widowControl w:val="0"/>
        <w:shd w:val="clear" w:color="auto" w:fill="auto"/>
        <w:bidi w:val="0"/>
        <w:spacing w:before="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color w:val="000000"/>
          <w:spacing w:val="0"/>
          <w:w w:val="100"/>
          <w:position w:val="0"/>
        </w:rPr>
        <w:t>）重要逾期利息</w:t>
      </w:r>
      <w:bookmarkEnd w:id="983"/>
      <w:bookmarkEnd w:id="984"/>
      <w:bookmarkEnd w:id="98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color w:val="000000"/>
          <w:spacing w:val="0"/>
          <w:w w:val="100"/>
          <w:position w:val="0"/>
        </w:rPr>
        <w:t>）坏账准备计提情况</w:t>
      </w:r>
      <w:bookmarkEnd w:id="987"/>
      <w:bookmarkEnd w:id="988"/>
      <w:bookmarkEnd w:id="99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991"/>
      <w:bookmarkEnd w:id="992"/>
      <w:bookmarkEnd w:id="994"/>
    </w:p>
    <w:p>
      <w:pPr>
        <w:pStyle w:val="Style75"/>
        <w:keepNext/>
        <w:keepLines/>
        <w:widowControl w:val="0"/>
        <w:shd w:val="clear" w:color="auto" w:fill="auto"/>
        <w:bidi w:val="0"/>
        <w:spacing w:before="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color w:val="000000"/>
          <w:spacing w:val="0"/>
          <w:w w:val="100"/>
          <w:position w:val="0"/>
        </w:rPr>
        <w:t>）应收股利分类</w:t>
      </w:r>
      <w:bookmarkEnd w:id="995"/>
      <w:bookmarkEnd w:id="996"/>
      <w:bookmarkEnd w:id="99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00"/>
      <w:bookmarkEnd w:id="1002"/>
      <w:bookmarkEnd w:id="999"/>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color w:val="000000"/>
          <w:spacing w:val="0"/>
          <w:w w:val="100"/>
          <w:position w:val="0"/>
        </w:rPr>
        <w:t>）坏账准备计提情况</w:t>
      </w:r>
      <w:bookmarkEnd w:id="1003"/>
      <w:bookmarkEnd w:id="1004"/>
      <w:bookmarkEnd w:id="100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07"/>
      <w:bookmarkEnd w:id="1008"/>
      <w:bookmarkEnd w:id="1010"/>
    </w:p>
    <w:p>
      <w:pPr>
        <w:pStyle w:val="Style75"/>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color w:val="000000"/>
          <w:spacing w:val="0"/>
          <w:w w:val="100"/>
          <w:position w:val="0"/>
        </w:rPr>
        <w:t>）其他应收款按款项性质分类情况</w:t>
      </w:r>
      <w:bookmarkEnd w:id="1011"/>
      <w:bookmarkEnd w:id="1012"/>
      <w:bookmarkEnd w:id="1014"/>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374,641.28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126,846.20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2,082,369.99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2,497,157.10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3,913,692.50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2,483,506.98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6,537,695.80</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color w:val="000000"/>
          <w:spacing w:val="0"/>
          <w:w w:val="100"/>
          <w:position w:val="0"/>
        </w:rPr>
        <w:t>）坏账准备计提情况</w:t>
      </w:r>
      <w:bookmarkEnd w:id="1015"/>
      <w:bookmarkEnd w:id="1016"/>
      <w:bookmarkEnd w:id="1018"/>
    </w:p>
    <w:p>
      <w:pPr>
        <w:pStyle w:val="Style3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310,039.80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341,164.80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-184,089.45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124,175.35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124,175.35</w:t>
            </w:r>
          </w:p>
        </w:tc>
      </w:tr>
    </w:tbl>
    <w:p>
      <w:pPr>
        <w:widowControl w:val="0"/>
        <w:spacing w:after="619" w:line="1" w:lineRule="exact"/>
      </w:pPr>
    </w:p>
    <w:p>
      <w:pPr>
        <w:pStyle w:val="Style29"/>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1,170,711.15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621,767.55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27,290.82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663,737.46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658,154.14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2,483,506.98</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color w:val="000000"/>
          <w:spacing w:val="0"/>
          <w:w w:val="100"/>
          <w:position w:val="0"/>
        </w:rPr>
        <w:t>）本期计提、收回或转回的坏账准备情况</w:t>
      </w:r>
      <w:bookmarkEnd w:id="1019"/>
      <w:bookmarkEnd w:id="1020"/>
      <w:bookmarkEnd w:id="1022"/>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310,039.80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-165,864.45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124,175.35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341,164.80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-184,089.45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124,175.35</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color w:val="000000"/>
          <w:spacing w:val="0"/>
          <w:w w:val="100"/>
          <w:position w:val="0"/>
        </w:rPr>
        <w:t>）本期实际核销的其他应收款情况</w:t>
      </w:r>
      <w:bookmarkEnd w:id="1023"/>
      <w:bookmarkEnd w:id="1024"/>
      <w:bookmarkEnd w:id="1026"/>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w:t>
            </w:r>
          </w:p>
        </w:tc>
      </w:tr>
    </w:tbl>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1277"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360" w:line="240" w:lineRule="auto"/>
              <w:ind w:left="0" w:right="0" w:firstLine="0"/>
              <w:jc w:val="left"/>
            </w:pPr>
            <w:bookmarkStart w:id="1027" w:name="bookmark1027"/>
            <w:r>
              <w:rPr>
                <w:rFonts w:ascii="Times New Roman" w:eastAsia="Times New Roman" w:hAnsi="Times New Roman" w:cs="Times New Roman"/>
                <w:b/>
                <w:bCs/>
                <w:color w:val="000000"/>
                <w:spacing w:val="0"/>
                <w:w w:val="100"/>
                <w:position w:val="0"/>
              </w:rPr>
              <w:t>5</w:t>
            </w:r>
            <w:r>
              <w:rPr>
                <w:b/>
                <w:bCs/>
                <w:color w:val="000000"/>
                <w:spacing w:val="0"/>
                <w:w w:val="100"/>
                <w:position w:val="0"/>
              </w:rPr>
              <w:t>）按欠款方归集的期末余额前五名的其他应收款情况</w:t>
            </w:r>
            <w:bookmarkEnd w:id="1027"/>
          </w:p>
          <w:p>
            <w:pPr>
              <w:pStyle w:val="Style2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700,261.20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35,013.06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313,542.30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15,677.12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14,880.00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271,216.00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13,560.80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1,682,619.50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84,130.98</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6</w:t>
      </w:r>
      <w:bookmarkEnd w:id="1030"/>
      <w:r>
        <w:rPr>
          <w:color w:val="000000"/>
          <w:spacing w:val="0"/>
          <w:w w:val="100"/>
          <w:position w:val="0"/>
        </w:rPr>
        <w:t>）涉及政府补助的应收款项</w:t>
      </w:r>
      <w:bookmarkEnd w:id="1028"/>
      <w:bookmarkEnd w:id="1029"/>
      <w:bookmarkEnd w:id="1031"/>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bl>
    <w:p>
      <w:pPr>
        <w:pStyle w:val="Style75"/>
        <w:keepNext/>
        <w:keepLines/>
        <w:widowControl w:val="0"/>
        <w:shd w:val="clear" w:color="auto" w:fill="auto"/>
        <w:tabs>
          <w:tab w:pos="387" w:val="left"/>
        </w:tabs>
        <w:bidi w:val="0"/>
        <w:spacing w:before="0" w:line="240" w:lineRule="auto"/>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7</w:t>
      </w:r>
      <w:bookmarkEnd w:id="1034"/>
      <w:r>
        <w:rPr>
          <w:color w:val="000000"/>
          <w:spacing w:val="0"/>
          <w:w w:val="100"/>
          <w:position w:val="0"/>
        </w:rPr>
        <w:t>）</w:t>
        <w:tab/>
        <w:t>因金融资产转移而终止确认的其他应收款</w:t>
      </w:r>
      <w:bookmarkEnd w:id="1032"/>
      <w:bookmarkEnd w:id="1033"/>
      <w:bookmarkEnd w:id="1035"/>
    </w:p>
    <w:p>
      <w:pPr>
        <w:pStyle w:val="Style75"/>
        <w:keepNext/>
        <w:keepLines/>
        <w:widowControl w:val="0"/>
        <w:shd w:val="clear" w:color="auto" w:fill="auto"/>
        <w:tabs>
          <w:tab w:pos="392" w:val="left"/>
        </w:tabs>
        <w:bidi w:val="0"/>
        <w:spacing w:before="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8</w:t>
      </w:r>
      <w:bookmarkEnd w:id="1038"/>
      <w:r>
        <w:rPr>
          <w:color w:val="000000"/>
          <w:spacing w:val="0"/>
          <w:w w:val="100"/>
          <w:position w:val="0"/>
        </w:rPr>
        <w:t>）</w:t>
        <w:tab/>
        <w:t>转移其他应收款且继续涉入形成的资产、负债金额</w:t>
      </w:r>
      <w:bookmarkEnd w:id="1036"/>
      <w:bookmarkEnd w:id="1037"/>
      <w:bookmarkEnd w:id="1039"/>
    </w:p>
    <w:p>
      <w:pPr>
        <w:pStyle w:val="Style38"/>
        <w:keepNext/>
        <w:keepLines/>
        <w:widowControl w:val="0"/>
        <w:shd w:val="clear" w:color="auto" w:fill="auto"/>
        <w:bidi w:val="0"/>
        <w:spacing w:before="0" w:after="36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9</w:t>
      </w:r>
      <w:bookmarkEnd w:id="1042"/>
      <w:r>
        <w:rPr>
          <w:color w:val="000000"/>
          <w:spacing w:val="0"/>
          <w:w w:val="100"/>
          <w:position w:val="0"/>
        </w:rPr>
        <w:t>、存货</w:t>
      </w:r>
      <w:bookmarkEnd w:id="1040"/>
      <w:bookmarkEnd w:id="1041"/>
      <w:bookmarkEnd w:id="1043"/>
    </w:p>
    <w:p>
      <w:pPr>
        <w:pStyle w:val="Style38"/>
        <w:keepNext/>
        <w:keepLines/>
        <w:widowControl w:val="0"/>
        <w:shd w:val="clear" w:color="auto" w:fill="auto"/>
        <w:bidi w:val="0"/>
        <w:spacing w:before="0" w:after="100" w:line="240" w:lineRule="auto"/>
        <w:ind w:left="0" w:right="0" w:firstLine="0"/>
        <w:jc w:val="both"/>
      </w:pPr>
      <w:bookmarkStart w:id="1040" w:name="bookmark1040"/>
      <w:bookmarkStart w:id="1041" w:name="bookmark1041"/>
      <w:r>
        <w:rPr>
          <w:color w:val="000000"/>
          <w:spacing w:val="0"/>
          <w:w w:val="100"/>
          <w:position w:val="0"/>
        </w:rPr>
        <w:t>公司是否需要遵守房地产行业的披露要求</w:t>
      </w:r>
      <w:bookmarkEnd w:id="1040"/>
      <w:bookmarkEnd w:id="1041"/>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both"/>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4"/>
      <w:bookmarkEnd w:id="1045"/>
      <w:bookmarkEnd w:id="104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964,618.06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854,582.00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110,036.06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1,160,985.75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950,861.74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210,124.01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网络工程施工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8,829,941.14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8,829,941.14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7,329,191.86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7,329,191.86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9,794,559.20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854,582.00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8,939,977.20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8,490,177.61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950,861.74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7,539,315.87</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48"/>
      <w:bookmarkEnd w:id="1049"/>
      <w:bookmarkEnd w:id="105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950,861.74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854,582.00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950,861.74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854,582.00</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52"/>
      <w:bookmarkEnd w:id="1053"/>
      <w:bookmarkEnd w:id="1055"/>
    </w:p>
    <w:p>
      <w:pPr>
        <w:pStyle w:val="Style47"/>
        <w:keepNext/>
        <w:keepLines/>
        <w:widowControl w:val="0"/>
        <w:shd w:val="clear" w:color="auto" w:fill="auto"/>
        <w:tabs>
          <w:tab w:pos="493" w:val="left"/>
        </w:tabs>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056"/>
      <w:bookmarkEnd w:id="1057"/>
      <w:bookmarkEnd w:id="1059"/>
    </w:p>
    <w:p>
      <w:pPr>
        <w:pStyle w:val="Style38"/>
        <w:keepNext/>
        <w:keepLines/>
        <w:widowControl w:val="0"/>
        <w:shd w:val="clear" w:color="auto" w:fill="auto"/>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bookmarkEnd w:id="106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060"/>
      <w:bookmarkEnd w:id="1061"/>
      <w:bookmarkEnd w:id="1063"/>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1,419,655.49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1,391,688.28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3,464,005.21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214,076.79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1,419,655.49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1,391,688.28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3,464,005.21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214,076.79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3,249,928.42</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合同资产的账面价值在本期内发生的重大变动金额和原因：</w:t>
      </w:r>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pStyle w:val="Style29"/>
        <w:keepNext w:val="0"/>
        <w:keepLines w:val="0"/>
        <w:widowControl w:val="0"/>
        <w:shd w:val="clear" w:color="auto" w:fill="auto"/>
        <w:bidi w:val="0"/>
        <w:spacing w:before="0" w:after="340" w:line="470" w:lineRule="exact"/>
        <w:ind w:left="0" w:right="0" w:firstLine="0"/>
        <w:jc w:val="both"/>
      </w:pPr>
      <w:r>
        <w:rPr>
          <w:b/>
          <w:bCs/>
          <w:color w:val="000000"/>
          <w:spacing w:val="0"/>
          <w:w w:val="100"/>
          <w:position w:val="0"/>
        </w:rPr>
        <w:t>如是按照预期信用损失一般模型计提合同资产坏账准备，请参照其他应收款的披露方式披露坏账准备的相 关信息：</w:t>
      </w:r>
    </w:p>
    <w:p>
      <w:pPr>
        <w:pStyle w:val="Style29"/>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180" w:line="470" w:lineRule="exact"/>
        <w:ind w:left="0" w:right="0" w:firstLine="0"/>
        <w:jc w:val="both"/>
      </w:pPr>
      <w:r>
        <w:rPr>
          <w:color w:val="000000"/>
          <w:spacing w:val="0"/>
          <w:w w:val="100"/>
          <w:position w:val="0"/>
        </w:rPr>
        <w:t>本期合同资产计提减值准备情况</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064"/>
      <w:bookmarkEnd w:id="1065"/>
      <w:bookmarkEnd w:id="1067"/>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68"/>
      <w:bookmarkEnd w:id="1069"/>
      <w:bookmarkEnd w:id="1071"/>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72"/>
      <w:bookmarkEnd w:id="1073"/>
      <w:bookmarkEnd w:id="1075"/>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2,409,150.54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2,611,636.62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620,043.17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377,847.72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1,781,767.35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4,810,961.06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2,989,484.34</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076"/>
      <w:bookmarkEnd w:id="1077"/>
      <w:bookmarkEnd w:id="107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重要的债权投资</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3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减值准备计提情况</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619" w:line="1" w:lineRule="exact"/>
      </w:pPr>
    </w:p>
    <w:p>
      <w:pPr>
        <w:pStyle w:val="Style29"/>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080"/>
      <w:bookmarkEnd w:id="1081"/>
      <w:bookmarkEnd w:id="108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累计在其他 综合收益中 确认的损失</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重要的其他债权投资</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3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减值准备计提情况</w:t>
      </w:r>
    </w:p>
    <w:p>
      <w:pPr>
        <w:pStyle w:val="Style36"/>
        <w:keepNext w:val="0"/>
        <w:keepLines w:val="0"/>
        <w:widowControl w:val="0"/>
        <w:shd w:val="clear" w:color="auto" w:fill="auto"/>
        <w:bidi w:val="0"/>
        <w:spacing w:before="0" w:after="4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25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适用</w:t>
      </w:r>
      <w:r>
        <w:rPr>
          <w:rFonts w:ascii="Times New Roman" w:eastAsia="Times New Roman" w:hAnsi="Times New Roman" w:cs="Times New Roman"/>
          <w:b/>
          <w:bCs/>
          <w:color w:val="000000"/>
          <w:spacing w:val="0"/>
          <w:w w:val="100"/>
          <w:position w:val="0"/>
        </w:rPr>
        <w:t>7</w:t>
      </w:r>
      <w:r>
        <w:rPr>
          <w:b/>
          <w:bCs/>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084"/>
      <w:bookmarkEnd w:id="1085"/>
      <w:bookmarkEnd w:id="1087"/>
    </w:p>
    <w:p>
      <w:pPr>
        <w:pStyle w:val="Style47"/>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88"/>
      <w:bookmarkEnd w:id="1089"/>
      <w:bookmarkEnd w:id="1091"/>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坏账准备减值情况</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b/>
          <w:bCs/>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tabs>
          <w:tab w:pos="493" w:val="left"/>
        </w:tabs>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092"/>
      <w:bookmarkEnd w:id="1093"/>
      <w:bookmarkEnd w:id="1095"/>
    </w:p>
    <w:p>
      <w:pPr>
        <w:pStyle w:val="Style47"/>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096"/>
      <w:bookmarkEnd w:id="1097"/>
      <w:bookmarkEnd w:id="1099"/>
    </w:p>
    <w:p>
      <w:pPr>
        <w:pStyle w:val="Style38"/>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00"/>
      <w:bookmarkEnd w:id="1101"/>
      <w:bookmarkEnd w:id="1103"/>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pStyle w:val="Style36"/>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430" w:val="left"/>
        </w:tabs>
        <w:bidi w:val="0"/>
        <w:spacing w:before="0" w:after="37" w:line="240" w:lineRule="auto"/>
        <w:ind w:left="0" w:right="0" w:firstLine="0"/>
        <w:jc w:val="left"/>
      </w:pPr>
      <w:bookmarkStart w:id="1104" w:name="bookmark1104"/>
      <w:r>
        <w:rPr>
          <w:color w:val="000000"/>
          <w:spacing w:val="0"/>
          <w:w w:val="100"/>
          <w:position w:val="0"/>
        </w:rPr>
        <w:t>一</w:t>
      </w:r>
      <w:bookmarkEnd w:id="1104"/>
      <w:r>
        <w:rPr>
          <w:color w:val="000000"/>
          <w:spacing w:val="0"/>
          <w:w w:val="100"/>
          <w:position w:val="0"/>
        </w:rPr>
        <w:t>、</w:t>
        <w:tab/>
        <w:t>合营企业</w:t>
      </w:r>
    </w:p>
    <w:p>
      <w:pPr>
        <w:pStyle w:val="Style36"/>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30" w:val="left"/>
        </w:tabs>
        <w:bidi w:val="0"/>
        <w:spacing w:before="0" w:after="281" w:line="240" w:lineRule="auto"/>
        <w:ind w:left="0" w:right="0" w:firstLine="0"/>
        <w:jc w:val="left"/>
      </w:pPr>
      <w:bookmarkStart w:id="1105" w:name="bookmark1105"/>
      <w:r>
        <w:rPr>
          <w:color w:val="000000"/>
          <w:spacing w:val="0"/>
          <w:w w:val="100"/>
          <w:position w:val="0"/>
        </w:rPr>
        <w:t>二</w:t>
      </w:r>
      <w:bookmarkEnd w:id="1105"/>
      <w:r>
        <w:rPr>
          <w:color w:val="000000"/>
          <w:spacing w:val="0"/>
          <w:w w:val="100"/>
          <w:position w:val="0"/>
        </w:rPr>
        <w:t>、</w:t>
        <w:tab/>
        <w:t>联营企业</w:t>
      </w:r>
    </w:p>
    <w:p>
      <w:pPr>
        <w:pStyle w:val="Style38"/>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06"/>
      <w:bookmarkEnd w:id="1107"/>
      <w:bookmarkEnd w:id="1109"/>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分项披露本期非交易性权益工具投资</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其他综合收益转</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入留存收益的金</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110"/>
      <w:bookmarkEnd w:id="1111"/>
      <w:bookmarkEnd w:id="111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14"/>
      <w:bookmarkEnd w:id="1115"/>
      <w:bookmarkEnd w:id="1117"/>
    </w:p>
    <w:p>
      <w:pPr>
        <w:pStyle w:val="Style47"/>
        <w:keepNext/>
        <w:keepLines/>
        <w:widowControl w:val="0"/>
        <w:shd w:val="clear" w:color="auto" w:fill="auto"/>
        <w:tabs>
          <w:tab w:pos="493" w:val="left"/>
        </w:tabs>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18"/>
      <w:bookmarkEnd w:id="1119"/>
      <w:bookmarkEnd w:id="112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22"/>
      <w:bookmarkEnd w:id="1123"/>
      <w:bookmarkEnd w:id="112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26"/>
      <w:bookmarkEnd w:id="1127"/>
      <w:bookmarkEnd w:id="1129"/>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30"/>
      <w:bookmarkEnd w:id="1131"/>
      <w:bookmarkEnd w:id="113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66,975,815.29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固定资产清理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66,975,815.29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34"/>
      <w:bookmarkEnd w:id="1135"/>
      <w:bookmarkEnd w:id="11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专用网络设备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5,361,811.80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4,704,106.68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96,815,010.38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106,880,928.86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26,024,308.70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26,107,567.11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26,024,308.70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26,024,308.70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834,143.33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834,143.33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5,361,811.80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4,542,952.05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122,249,588.79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132,154,352.64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1,189,688.52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2,992,284.58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44,236,426.75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48,418,399.85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254,793.36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16,611,204.24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17,492,250.49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254,793.36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16,611,204.24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17,492,250.49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525,478.77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732,112.99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525,478.77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732,112.99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1,444,481.88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3,411,903.25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60,322,152.22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65,178,537.35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3,917,329.92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1,131,048.80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61,927,436.57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66,975,815.29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4,172,123.28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1,711,822.10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52,578,583.63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58,462,529.01</w:t>
            </w:r>
          </w:p>
        </w:tc>
      </w:tr>
    </w:tbl>
    <w:p>
      <w:pPr>
        <w:widowControl w:val="0"/>
        <w:spacing w:after="319" w:line="1" w:lineRule="exact"/>
      </w:pPr>
    </w:p>
    <w:p>
      <w:pPr>
        <w:pStyle w:val="Style47"/>
        <w:keepNext/>
        <w:keepLines/>
        <w:widowControl w:val="0"/>
        <w:numPr>
          <w:ilvl w:val="0"/>
          <w:numId w:val="113"/>
        </w:numPr>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暂时闲置的固定资产情况</w:t>
      </w:r>
      <w:bookmarkEnd w:id="1138"/>
      <w:bookmarkEnd w:id="1139"/>
      <w:bookmarkEnd w:id="1141"/>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47"/>
        <w:keepNext/>
        <w:keepLines/>
        <w:widowControl w:val="0"/>
        <w:numPr>
          <w:ilvl w:val="0"/>
          <w:numId w:val="113"/>
        </w:numPr>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通过融资租赁租入的固定资产情况</w:t>
      </w:r>
      <w:bookmarkEnd w:id="1142"/>
      <w:bookmarkEnd w:id="1143"/>
      <w:bookmarkEnd w:id="1145"/>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账面价值</w:t>
            </w:r>
          </w:p>
        </w:tc>
      </w:tr>
    </w:tbl>
    <w:p>
      <w:pPr>
        <w:widowControl w:val="0"/>
        <w:spacing w:after="319" w:line="1" w:lineRule="exact"/>
      </w:pPr>
    </w:p>
    <w:p>
      <w:pPr>
        <w:pStyle w:val="Style47"/>
        <w:keepNext/>
        <w:keepLines/>
        <w:widowControl w:val="0"/>
        <w:numPr>
          <w:ilvl w:val="0"/>
          <w:numId w:val="113"/>
        </w:numPr>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通过经营租赁租出的固定资产</w:t>
      </w:r>
      <w:bookmarkEnd w:id="1146"/>
      <w:bookmarkEnd w:id="1147"/>
      <w:bookmarkEnd w:id="114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47"/>
        <w:keepNext/>
        <w:keepLines/>
        <w:widowControl w:val="0"/>
        <w:numPr>
          <w:ilvl w:val="0"/>
          <w:numId w:val="113"/>
        </w:numPr>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未办妥产权证书的固定资产情况</w:t>
      </w:r>
      <w:bookmarkEnd w:id="1150"/>
      <w:bookmarkEnd w:id="1151"/>
      <w:bookmarkEnd w:id="1153"/>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未办妥产权证书的原因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梅林颂德花园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346,657.00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人才住房、无产权证书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龙岗平湖坤宜福苑</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1209</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369,759.84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人才住房、无产权证书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龙岗平湖坤宜福苑</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1210</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369,802.08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人才住房、无产权证书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龙岗平湖坤宜福苑</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1208</w:t>
            </w:r>
            <w:r>
              <w:rPr>
                <w:color w:val="000000"/>
                <w:spacing w:val="0"/>
                <w:w w:val="100"/>
                <w:position w:val="0"/>
                <w:sz w:val="17"/>
                <w:szCs w:val="17"/>
              </w:rPr>
              <w:t>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247,667.16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人才住房、无产权证书</w:t>
            </w:r>
          </w:p>
        </w:tc>
      </w:tr>
    </w:tbl>
    <w:p>
      <w:pPr>
        <w:widowControl w:val="0"/>
        <w:spacing w:after="319" w:line="1" w:lineRule="exact"/>
      </w:pPr>
    </w:p>
    <w:p>
      <w:pPr>
        <w:pStyle w:val="Style47"/>
        <w:keepNext/>
        <w:keepLines/>
        <w:widowControl w:val="0"/>
        <w:numPr>
          <w:ilvl w:val="0"/>
          <w:numId w:val="113"/>
        </w:numPr>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固定资产清理</w:t>
      </w:r>
      <w:bookmarkEnd w:id="1154"/>
      <w:bookmarkEnd w:id="1155"/>
      <w:bookmarkEnd w:id="1157"/>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38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58"/>
      <w:bookmarkEnd w:id="1159"/>
      <w:bookmarkEnd w:id="1161"/>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r>
    </w:tbl>
    <w:p>
      <w:pPr>
        <w:widowControl w:val="0"/>
        <w:spacing w:after="319" w:line="1" w:lineRule="exact"/>
      </w:pPr>
    </w:p>
    <w:p>
      <w:pPr>
        <w:pStyle w:val="Style47"/>
        <w:keepNext/>
        <w:keepLines/>
        <w:widowControl w:val="0"/>
        <w:numPr>
          <w:ilvl w:val="0"/>
          <w:numId w:val="115"/>
        </w:numPr>
        <w:shd w:val="clear" w:color="auto" w:fill="auto"/>
        <w:bidi w:val="0"/>
        <w:spacing w:before="0" w:after="32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在建工程情况</w:t>
      </w:r>
      <w:bookmarkEnd w:id="1162"/>
      <w:bookmarkEnd w:id="1163"/>
      <w:bookmarkEnd w:id="116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设备安装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195,018.62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1,260,603.32</w:t>
            </w:r>
          </w:p>
        </w:tc>
      </w:tr>
    </w:tbl>
    <w:p>
      <w:pPr>
        <w:widowControl w:val="0"/>
        <w:spacing w:after="319" w:line="1" w:lineRule="exact"/>
      </w:pPr>
    </w:p>
    <w:p>
      <w:pPr>
        <w:pStyle w:val="Style47"/>
        <w:keepNext/>
        <w:keepLines/>
        <w:widowControl w:val="0"/>
        <w:numPr>
          <w:ilvl w:val="0"/>
          <w:numId w:val="115"/>
        </w:numPr>
        <w:shd w:val="clear" w:color="auto" w:fill="auto"/>
        <w:bidi w:val="0"/>
        <w:spacing w:before="0" w:after="40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重要在建工程项目本期变动情况</w:t>
      </w:r>
      <w:bookmarkEnd w:id="1166"/>
      <w:bookmarkEnd w:id="1167"/>
      <w:bookmarkEnd w:id="116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设备安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1,260,60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24,958,7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26,024,3</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1,260,60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24,958,7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26,024,3</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numPr>
          <w:ilvl w:val="0"/>
          <w:numId w:val="115"/>
        </w:numPr>
        <w:shd w:val="clear" w:color="auto" w:fill="auto"/>
        <w:bidi w:val="0"/>
        <w:spacing w:before="0" w:after="40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本期计提在建工程减值准备情况</w:t>
      </w:r>
      <w:bookmarkEnd w:id="1170"/>
      <w:bookmarkEnd w:id="1171"/>
      <w:bookmarkEnd w:id="1173"/>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319" w:line="1" w:lineRule="exact"/>
      </w:pPr>
    </w:p>
    <w:p>
      <w:pPr>
        <w:pStyle w:val="Style47"/>
        <w:keepNext/>
        <w:keepLines/>
        <w:widowControl w:val="0"/>
        <w:numPr>
          <w:ilvl w:val="0"/>
          <w:numId w:val="115"/>
        </w:numPr>
        <w:shd w:val="clear" w:color="auto" w:fill="auto"/>
        <w:bidi w:val="0"/>
        <w:spacing w:before="0" w:after="40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工程物资</w:t>
      </w:r>
      <w:bookmarkEnd w:id="1174"/>
      <w:bookmarkEnd w:id="1175"/>
      <w:bookmarkEnd w:id="1177"/>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keepLines/>
        <w:widowControl w:val="0"/>
        <w:shd w:val="clear" w:color="auto" w:fill="auto"/>
        <w:tabs>
          <w:tab w:pos="483" w:val="left"/>
        </w:tabs>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78"/>
      <w:bookmarkEnd w:id="1179"/>
      <w:bookmarkEnd w:id="1181"/>
    </w:p>
    <w:p>
      <w:pPr>
        <w:pStyle w:val="Style47"/>
        <w:keepNext/>
        <w:keepLines/>
        <w:widowControl w:val="0"/>
        <w:numPr>
          <w:ilvl w:val="0"/>
          <w:numId w:val="117"/>
        </w:numPr>
        <w:shd w:val="clear" w:color="auto" w:fill="auto"/>
        <w:tabs>
          <w:tab w:pos="493" w:val="left"/>
        </w:tabs>
        <w:bidi w:val="0"/>
        <w:spacing w:before="0" w:after="36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采用成本计量模式的生产性生物资产</w:t>
      </w:r>
      <w:bookmarkEnd w:id="1182"/>
      <w:bookmarkEnd w:id="1183"/>
      <w:bookmarkEnd w:id="118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numPr>
          <w:ilvl w:val="0"/>
          <w:numId w:val="117"/>
        </w:numPr>
        <w:shd w:val="clear" w:color="auto" w:fill="auto"/>
        <w:tabs>
          <w:tab w:pos="493" w:val="left"/>
        </w:tabs>
        <w:bidi w:val="0"/>
        <w:spacing w:before="0" w:after="36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采用公允价值计量模式的生产性生物资产</w:t>
      </w:r>
      <w:bookmarkEnd w:id="1186"/>
      <w:bookmarkEnd w:id="1187"/>
      <w:bookmarkEnd w:id="118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483" w:val="left"/>
        </w:tabs>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90"/>
      <w:bookmarkEnd w:id="1191"/>
      <w:bookmarkEnd w:id="119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483" w:val="left"/>
        </w:tabs>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194"/>
      <w:bookmarkEnd w:id="1195"/>
      <w:bookmarkEnd w:id="119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198"/>
      <w:bookmarkEnd w:id="1199"/>
      <w:bookmarkEnd w:id="1201"/>
    </w:p>
    <w:p>
      <w:pPr>
        <w:pStyle w:val="Style47"/>
        <w:keepNext/>
        <w:keepLines/>
        <w:widowControl w:val="0"/>
        <w:numPr>
          <w:ilvl w:val="0"/>
          <w:numId w:val="119"/>
        </w:numPr>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无形资产情况</w:t>
      </w:r>
      <w:bookmarkEnd w:id="1202"/>
      <w:bookmarkEnd w:id="1203"/>
      <w:bookmarkEnd w:id="120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财务等办公软件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3,749,382.05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3,749,382.05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1,854,599.30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1,854,599.30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1,854,599.30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1,854,599.30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5,603,981.35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5,603,981.35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2,150,230.46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2,150,230.46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793,588.84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793,588.84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793,588.84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793,588.84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2,943,819.30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2,943,819.30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2,660,162.05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2,660,162.05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1,599,151.59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1,599,151.59</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47"/>
        <w:keepNext/>
        <w:keepLines/>
        <w:widowControl w:val="0"/>
        <w:shd w:val="clear" w:color="auto" w:fill="auto"/>
        <w:bidi w:val="0"/>
        <w:spacing w:before="0" w:after="400" w:line="240" w:lineRule="auto"/>
        <w:ind w:left="0" w:right="0" w:firstLine="14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06"/>
      <w:bookmarkEnd w:id="1207"/>
      <w:bookmarkEnd w:id="120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10"/>
      <w:bookmarkEnd w:id="1211"/>
      <w:bookmarkEnd w:id="121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3187"/>
        <w:gridCol w:w="3187"/>
        <w:gridCol w:w="107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转入当期损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14"/>
      <w:bookmarkEnd w:id="1215"/>
      <w:bookmarkEnd w:id="1216"/>
    </w:p>
    <w:p>
      <w:pPr>
        <w:pStyle w:val="Style47"/>
        <w:keepNext/>
        <w:keepLines/>
        <w:widowControl w:val="0"/>
        <w:numPr>
          <w:ilvl w:val="0"/>
          <w:numId w:val="121"/>
        </w:numPr>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商誉账面原值</w:t>
      </w:r>
      <w:bookmarkEnd w:id="1217"/>
      <w:bookmarkEnd w:id="1218"/>
      <w:bookmarkEnd w:id="1220"/>
    </w:p>
    <w:p>
      <w:pPr>
        <w:pStyle w:val="Style36"/>
        <w:keepNext w:val="0"/>
        <w:keepLines w:val="0"/>
        <w:widowControl w:val="0"/>
        <w:shd w:val="clear" w:color="auto" w:fill="auto"/>
        <w:bidi w:val="0"/>
        <w:spacing w:before="0" w:after="80" w:line="240" w:lineRule="auto"/>
        <w:ind w:left="8940" w:right="0" w:firstLine="0"/>
        <w:jc w:val="left"/>
      </w:pPr>
      <w:bookmarkStart w:id="1221" w:name="bookmark1221"/>
      <w:r>
        <w:rPr>
          <w:color w:val="000000"/>
          <w:spacing w:val="0"/>
          <w:w w:val="100"/>
          <w:position w:val="0"/>
        </w:rPr>
        <w:t>单</w:t>
      </w:r>
      <w:bookmarkEnd w:id="1221"/>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21"/>
        </w:numPr>
        <w:shd w:val="clear" w:color="auto" w:fill="auto"/>
        <w:bidi w:val="0"/>
        <w:spacing w:before="0" w:after="380" w:line="240" w:lineRule="auto"/>
        <w:ind w:left="0" w:right="0" w:firstLine="14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商誉减值准备</w:t>
      </w:r>
      <w:bookmarkEnd w:id="1222"/>
      <w:bookmarkEnd w:id="1223"/>
      <w:bookmarkEnd w:id="122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26"/>
      <w:bookmarkEnd w:id="1227"/>
      <w:bookmarkEnd w:id="122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4,949,911.51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1,632,399.83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3,317,511.68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4,949,911.51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1,632,399.83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3,317,511.68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0"/>
      <w:bookmarkEnd w:id="1231"/>
      <w:bookmarkEnd w:id="1233"/>
    </w:p>
    <w:p>
      <w:pPr>
        <w:pStyle w:val="Style47"/>
        <w:keepNext/>
        <w:keepLines/>
        <w:widowControl w:val="0"/>
        <w:numPr>
          <w:ilvl w:val="0"/>
          <w:numId w:val="123"/>
        </w:numPr>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未经抵销的递延所得税资产</w:t>
      </w:r>
      <w:bookmarkEnd w:id="1234"/>
      <w:bookmarkEnd w:id="1235"/>
      <w:bookmarkEnd w:id="12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2,658,043.93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398,581.37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2,918,713.94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417,110.94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2,658,043.93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398,581.37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2,918,713.94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417,110.94</w:t>
            </w:r>
          </w:p>
        </w:tc>
      </w:tr>
    </w:tbl>
    <w:p>
      <w:pPr>
        <w:widowControl w:val="0"/>
        <w:spacing w:after="319" w:line="1" w:lineRule="exact"/>
      </w:pPr>
    </w:p>
    <w:p>
      <w:pPr>
        <w:pStyle w:val="Style47"/>
        <w:keepNext/>
        <w:keepLines/>
        <w:widowControl w:val="0"/>
        <w:numPr>
          <w:ilvl w:val="0"/>
          <w:numId w:val="123"/>
        </w:numPr>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未经抵销的递延所得税负债</w:t>
      </w:r>
      <w:bookmarkEnd w:id="1238"/>
      <w:bookmarkEnd w:id="1239"/>
      <w:bookmarkEnd w:id="124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应纳税暂时性差异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bl>
    <w:p>
      <w:pPr>
        <w:widowControl w:val="0"/>
        <w:spacing w:after="319" w:line="1" w:lineRule="exact"/>
      </w:pPr>
    </w:p>
    <w:p>
      <w:pPr>
        <w:pStyle w:val="Style47"/>
        <w:keepNext/>
        <w:keepLines/>
        <w:widowControl w:val="0"/>
        <w:numPr>
          <w:ilvl w:val="0"/>
          <w:numId w:val="123"/>
        </w:numPr>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以抵销后净额列示的递延所得税资产或负债</w:t>
      </w:r>
      <w:bookmarkEnd w:id="1242"/>
      <w:bookmarkEnd w:id="1243"/>
      <w:bookmarkEnd w:id="12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398,581.37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417,110.94</w:t>
            </w:r>
          </w:p>
        </w:tc>
      </w:tr>
    </w:tbl>
    <w:p>
      <w:pPr>
        <w:widowControl w:val="0"/>
        <w:spacing w:after="319" w:line="1" w:lineRule="exact"/>
      </w:pPr>
    </w:p>
    <w:p>
      <w:pPr>
        <w:pStyle w:val="Style47"/>
        <w:keepNext/>
        <w:keepLines/>
        <w:widowControl w:val="0"/>
        <w:numPr>
          <w:ilvl w:val="0"/>
          <w:numId w:val="123"/>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未确认递延所得税资产明细</w:t>
      </w:r>
      <w:bookmarkEnd w:id="1246"/>
      <w:bookmarkEnd w:id="1247"/>
      <w:bookmarkEnd w:id="124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778,481.24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543,031.64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778,887.03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563,128.30</w:t>
            </w:r>
          </w:p>
        </w:tc>
      </w:tr>
    </w:tbl>
    <w:p>
      <w:pPr>
        <w:widowControl w:val="0"/>
        <w:spacing w:after="319" w:line="1" w:lineRule="exact"/>
      </w:pPr>
    </w:p>
    <w:p>
      <w:pPr>
        <w:pStyle w:val="Style47"/>
        <w:keepNext/>
        <w:keepLines/>
        <w:widowControl w:val="0"/>
        <w:numPr>
          <w:ilvl w:val="0"/>
          <w:numId w:val="123"/>
        </w:numPr>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未确认递延所得税资产的可抵扣亏损将于以下年度到期</w:t>
      </w:r>
      <w:bookmarkEnd w:id="1250"/>
      <w:bookmarkEnd w:id="1251"/>
      <w:bookmarkEnd w:id="1253"/>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189,744.79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100,902.09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98,085.36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74,183.68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83,339.96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421,970.15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778,481.24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543,031.64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54"/>
      <w:bookmarkEnd w:id="1255"/>
      <w:bookmarkEnd w:id="1257"/>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258"/>
      <w:bookmarkEnd w:id="1259"/>
      <w:bookmarkEnd w:id="1261"/>
    </w:p>
    <w:p>
      <w:pPr>
        <w:pStyle w:val="Style47"/>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62"/>
      <w:bookmarkEnd w:id="1263"/>
      <w:bookmarkEnd w:id="1265"/>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66"/>
      <w:bookmarkEnd w:id="1267"/>
      <w:bookmarkEnd w:id="126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本期末己逾期未偿还的短期借款总额为元，其中重要的己逾期未偿还的短期借款情况如下：</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270"/>
      <w:bookmarkEnd w:id="1271"/>
      <w:bookmarkEnd w:id="127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274"/>
      <w:bookmarkEnd w:id="1275"/>
      <w:bookmarkEnd w:id="1277"/>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127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1278" w:name="bookmark1278"/>
            <w:r>
              <w:rPr>
                <w:rFonts w:ascii="Times New Roman" w:eastAsia="Times New Roman" w:hAnsi="Times New Roman" w:cs="Times New Roman"/>
                <w:b/>
                <w:bCs/>
                <w:color w:val="000000"/>
                <w:spacing w:val="0"/>
                <w:w w:val="100"/>
                <w:position w:val="0"/>
              </w:rPr>
              <w:t>35</w:t>
            </w:r>
            <w:r>
              <w:rPr>
                <w:b/>
                <w:bCs/>
                <w:color w:val="000000"/>
                <w:spacing w:val="0"/>
                <w:w w:val="100"/>
                <w:position w:val="0"/>
              </w:rPr>
              <w:t>、应付票据</w:t>
            </w:r>
            <w:bookmarkEnd w:id="127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79"/>
      <w:bookmarkEnd w:id="1280"/>
      <w:bookmarkEnd w:id="1282"/>
    </w:p>
    <w:p>
      <w:pPr>
        <w:pStyle w:val="Style47"/>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3"/>
      <w:bookmarkEnd w:id="1284"/>
      <w:bookmarkEnd w:id="1286"/>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40,163,673.53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44,083,567.73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1,008,131.61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1,043,774.70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916,801.45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279,757.39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1,145,661.00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42,135,456.59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46,552,760.82</w:t>
            </w:r>
          </w:p>
        </w:tc>
      </w:tr>
    </w:tbl>
    <w:p>
      <w:pPr>
        <w:widowControl w:val="0"/>
        <w:spacing w:after="319" w:line="1" w:lineRule="exact"/>
      </w:pPr>
    </w:p>
    <w:p>
      <w:pPr>
        <w:pStyle w:val="Style47"/>
        <w:keepNext/>
        <w:keepLines/>
        <w:widowControl w:val="0"/>
        <w:numPr>
          <w:ilvl w:val="0"/>
          <w:numId w:val="119"/>
        </w:numPr>
        <w:shd w:val="clear" w:color="auto" w:fill="auto"/>
        <w:bidi w:val="0"/>
        <w:spacing w:before="0" w:after="400" w:line="240" w:lineRule="auto"/>
        <w:ind w:left="0" w:right="0" w:firstLine="14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87"/>
      <w:bookmarkEnd w:id="1288"/>
      <w:bookmarkEnd w:id="1290"/>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291"/>
      <w:bookmarkEnd w:id="1292"/>
      <w:bookmarkEnd w:id="1294"/>
    </w:p>
    <w:p>
      <w:pPr>
        <w:pStyle w:val="Style47"/>
        <w:keepNext/>
        <w:keepLines/>
        <w:widowControl w:val="0"/>
        <w:shd w:val="clear" w:color="auto" w:fill="auto"/>
        <w:bidi w:val="0"/>
        <w:spacing w:before="0" w:after="40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95"/>
      <w:bookmarkEnd w:id="1296"/>
      <w:bookmarkEnd w:id="1297"/>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7"/>
        <w:keepNext/>
        <w:keepLines/>
        <w:widowControl w:val="0"/>
        <w:numPr>
          <w:ilvl w:val="0"/>
          <w:numId w:val="125"/>
        </w:numPr>
        <w:shd w:val="clear" w:color="auto" w:fill="auto"/>
        <w:bidi w:val="0"/>
        <w:spacing w:before="0" w:after="40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98"/>
      <w:bookmarkEnd w:id="1299"/>
      <w:bookmarkEnd w:id="130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02"/>
      <w:bookmarkEnd w:id="1303"/>
      <w:bookmarkEnd w:id="130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10,269,153.40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8,772,513.98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10,344,153.40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8,933,674.98</w:t>
            </w:r>
          </w:p>
        </w:tc>
      </w:tr>
    </w:tbl>
    <w:p>
      <w:pPr>
        <w:widowControl w:val="0"/>
        <w:spacing w:after="39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报告期内账面价值发生重大变动的金额和原因</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10,269,153.40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因执行新收入准则，将预收账款重分类至合同负债</w:t>
            </w:r>
          </w:p>
        </w:tc>
      </w:tr>
    </w:tbl>
    <w:p>
      <w:pPr>
        <w:widowControl w:val="0"/>
        <w:spacing w:line="1" w:lineRule="exact"/>
      </w:pPr>
      <w:r>
        <w:br w:type="page"/>
      </w:r>
    </w:p>
    <w:tbl>
      <w:tblPr>
        <w:tblOverlap w:val="never"/>
        <w:jc w:val="center"/>
        <w:tblLayout w:type="fixed"/>
      </w:tblPr>
      <w:tblGrid>
        <w:gridCol w:w="2213"/>
        <w:gridCol w:w="2419"/>
        <w:gridCol w:w="495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因执行新收入准则，将预收账款重分类至合同负债</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10,344,153.40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06"/>
      <w:bookmarkEnd w:id="1307"/>
      <w:bookmarkEnd w:id="1309"/>
    </w:p>
    <w:p>
      <w:pPr>
        <w:pStyle w:val="Style47"/>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0"/>
      <w:bookmarkEnd w:id="1311"/>
      <w:bookmarkEnd w:id="131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13,129,882.44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76,458,951.41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76,403,300.33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13,185,533.52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394,564.69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394,564.69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240,543.00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13,129,882.44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77,094,059.10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77,038,408.02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13,185,533.52</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3"/>
      <w:bookmarkEnd w:id="1314"/>
      <w:bookmarkEnd w:id="131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13,129,882.44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72,725,957.78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72,670,306.70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13,185,533.52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1,063,196.55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1,063,196.55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1,373,815.92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1,373,815.92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1,297,057.77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1,297,057.77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1,295,724.66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1,295,724.66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13,129,882.44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76,458,951.41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76,403,300.33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13,185,533.52</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16"/>
      <w:bookmarkEnd w:id="1317"/>
      <w:bookmarkEnd w:id="131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394,564.69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394,564.69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20"/>
      <w:bookmarkEnd w:id="1321"/>
      <w:bookmarkEnd w:id="1323"/>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2,205,086.11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2,976,612.57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646,423.71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438,130.51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198,302.28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36,146.54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3,049,812.10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3,450,889.62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24"/>
      <w:bookmarkEnd w:id="1325"/>
      <w:bookmarkEnd w:id="1327"/>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3,077,557.85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3,511,194.69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3,077,557.85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3,511,194.69</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28"/>
      <w:bookmarkEnd w:id="1329"/>
      <w:bookmarkEnd w:id="1330"/>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7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重要的已逾期未支付的利息情况：</w:t>
      </w:r>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31"/>
      <w:bookmarkEnd w:id="1332"/>
      <w:bookmarkEnd w:id="1333"/>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7"/>
        <w:keepNext/>
        <w:keepLines/>
        <w:widowControl w:val="0"/>
        <w:numPr>
          <w:ilvl w:val="0"/>
          <w:numId w:val="125"/>
        </w:numPr>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其他应付款</w:t>
      </w:r>
      <w:bookmarkEnd w:id="1334"/>
      <w:bookmarkEnd w:id="1335"/>
      <w:bookmarkEnd w:id="1337"/>
    </w:p>
    <w:p>
      <w:pPr>
        <w:pStyle w:val="Style75"/>
        <w:keepNext/>
        <w:keepLines/>
        <w:widowControl w:val="0"/>
        <w:numPr>
          <w:ilvl w:val="0"/>
          <w:numId w:val="127"/>
        </w:numPr>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按款项性质列示其他应付款</w:t>
      </w:r>
      <w:bookmarkEnd w:id="1338"/>
      <w:bookmarkEnd w:id="1339"/>
      <w:bookmarkEnd w:id="1341"/>
    </w:p>
    <w:p>
      <w:pPr>
        <w:pStyle w:val="Style36"/>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323,457.50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249,618.72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2,568,860.35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3,081,575.97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3,077,557.85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3,511,194.69</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42"/>
      <w:bookmarkEnd w:id="1343"/>
      <w:bookmarkEnd w:id="134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346"/>
      <w:bookmarkEnd w:id="1347"/>
      <w:bookmarkEnd w:id="134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both"/>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50"/>
      <w:bookmarkEnd w:id="1351"/>
      <w:bookmarkEnd w:id="135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一年内转入利润表的递延收益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both"/>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54"/>
      <w:bookmarkEnd w:id="1355"/>
      <w:bookmarkEnd w:id="1357"/>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1,023,656.00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1,705,945.27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2,985,047.81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预收账款重分类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629,873.32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2,729,601.27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3,614,921.13</w:t>
            </w:r>
          </w:p>
        </w:tc>
      </w:tr>
    </w:tbl>
    <w:p>
      <w:pPr>
        <w:widowControl w:val="0"/>
        <w:spacing w:after="39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短期应付债券的增减变动：</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bl>
    <w:p>
      <w:pPr>
        <w:pStyle w:val="Style38"/>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58"/>
      <w:bookmarkEnd w:id="1359"/>
      <w:bookmarkEnd w:id="1361"/>
    </w:p>
    <w:p>
      <w:pPr>
        <w:pStyle w:val="Style47"/>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62"/>
      <w:bookmarkEnd w:id="1363"/>
      <w:bookmarkEnd w:id="1364"/>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65"/>
      <w:bookmarkEnd w:id="1366"/>
      <w:bookmarkEnd w:id="1368"/>
    </w:p>
    <w:p>
      <w:pPr>
        <w:pStyle w:val="Style47"/>
        <w:keepNext/>
        <w:keepLines/>
        <w:widowControl w:val="0"/>
        <w:shd w:val="clear" w:color="auto" w:fill="auto"/>
        <w:bidi w:val="0"/>
        <w:spacing w:before="0" w:after="380" w:line="240" w:lineRule="auto"/>
        <w:ind w:left="0" w:right="0" w:firstLine="14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69"/>
      <w:bookmarkEnd w:id="1370"/>
      <w:bookmarkEnd w:id="137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72"/>
      <w:bookmarkEnd w:id="1373"/>
      <w:bookmarkEnd w:id="137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19"/>
        </w:numPr>
        <w:shd w:val="clear" w:color="auto" w:fill="auto"/>
        <w:bidi w:val="0"/>
        <w:spacing w:before="0" w:after="380" w:line="240" w:lineRule="auto"/>
        <w:ind w:left="0" w:right="0" w:firstLine="14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可转换公司债券的转股条件、转股时间说明</w:t>
      </w:r>
      <w:bookmarkEnd w:id="1375"/>
      <w:bookmarkEnd w:id="1376"/>
      <w:bookmarkEnd w:id="1378"/>
    </w:p>
    <w:p>
      <w:pPr>
        <w:pStyle w:val="Style47"/>
        <w:keepNext/>
        <w:keepLines/>
        <w:widowControl w:val="0"/>
        <w:numPr>
          <w:ilvl w:val="0"/>
          <w:numId w:val="119"/>
        </w:numPr>
        <w:shd w:val="clear" w:color="auto" w:fill="auto"/>
        <w:bidi w:val="0"/>
        <w:spacing w:before="0" w:after="140" w:line="240" w:lineRule="auto"/>
        <w:ind w:left="0" w:right="0" w:firstLine="14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划分为金融负债的其他金融工具说明</w:t>
      </w:r>
      <w:bookmarkEnd w:id="1379"/>
      <w:bookmarkEnd w:id="1380"/>
      <w:bookmarkEnd w:id="1382"/>
      <w:r>
        <w:rPr>
          <w:color w:val="000000"/>
          <w:spacing w:val="0"/>
          <w:w w:val="100"/>
          <w:position w:val="0"/>
        </w:rPr>
        <w:t xml:space="preserve"> </w:t>
      </w:r>
      <w:r>
        <w:rPr>
          <w:rStyle w:val="CharStyle30"/>
          <w:b w:val="0"/>
          <w:bCs w:val="0"/>
        </w:rPr>
        <w:t xml:space="preserve">期末发行在外的优先股、永续债等其他金融工具基本情况 </w:t>
      </w:r>
      <w:r>
        <w:rPr>
          <w:rStyle w:val="CharStyle30"/>
          <w:b w:val="0"/>
          <w:bCs w:val="0"/>
        </w:rPr>
        <w:t>期末发行在外的优先股、永续债等金融工具变动情况表</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383"/>
      <w:bookmarkEnd w:id="1384"/>
      <w:bookmarkEnd w:id="138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387"/>
      <w:bookmarkEnd w:id="1388"/>
      <w:bookmarkEnd w:id="1390"/>
    </w:p>
    <w:p>
      <w:pPr>
        <w:pStyle w:val="Style36"/>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91"/>
      <w:bookmarkEnd w:id="1392"/>
      <w:bookmarkEnd w:id="139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394"/>
      <w:bookmarkEnd w:id="1395"/>
      <w:bookmarkEnd w:id="1396"/>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679" w:line="1" w:lineRule="exact"/>
      </w:pPr>
    </w:p>
    <w:p>
      <w:pPr>
        <w:pStyle w:val="Style38"/>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397"/>
      <w:bookmarkEnd w:id="1398"/>
      <w:bookmarkEnd w:id="1400"/>
    </w:p>
    <w:p>
      <w:pPr>
        <w:pStyle w:val="Style4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01"/>
      <w:bookmarkEnd w:id="1402"/>
      <w:bookmarkEnd w:id="140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04"/>
      <w:bookmarkEnd w:id="1405"/>
      <w:bookmarkEnd w:id="140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计划资产：</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设定受益计划净负债(净资产)</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679" w:line="1" w:lineRule="exact"/>
      </w:pPr>
    </w:p>
    <w:p>
      <w:pPr>
        <w:pStyle w:val="Style38"/>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5</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07"/>
      <w:bookmarkEnd w:id="1408"/>
      <w:bookmarkEnd w:id="1410"/>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11"/>
      <w:bookmarkEnd w:id="1412"/>
      <w:bookmarkEnd w:id="1414"/>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MPLS VPN</w:t>
            </w:r>
            <w:r>
              <w:rPr>
                <w:color w:val="000000"/>
                <w:spacing w:val="0"/>
                <w:w w:val="100"/>
                <w:position w:val="0"/>
                <w:sz w:val="17"/>
                <w:szCs w:val="17"/>
              </w:rPr>
              <w:t>技术的 网络平台产 业化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15"/>
      <w:bookmarkEnd w:id="1416"/>
      <w:bookmarkEnd w:id="141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19"/>
      <w:bookmarkEnd w:id="1420"/>
      <w:bookmarkEnd w:id="142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54,689,650.00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72,919,650.00</w:t>
            </w:r>
          </w:p>
        </w:tc>
      </w:tr>
    </w:tbl>
    <w:p>
      <w:pPr>
        <w:widowControl w:val="0"/>
        <w:spacing w:after="399" w:line="1" w:lineRule="exact"/>
      </w:pPr>
    </w:p>
    <w:p>
      <w:pPr>
        <w:pStyle w:val="Style29"/>
        <w:keepNext w:val="0"/>
        <w:keepLines w:val="0"/>
        <w:widowControl w:val="0"/>
        <w:shd w:val="clear" w:color="auto" w:fill="auto"/>
        <w:bidi w:val="0"/>
        <w:spacing w:before="0" w:line="464" w:lineRule="exact"/>
        <w:ind w:left="0" w:right="0" w:firstLine="0"/>
        <w:jc w:val="left"/>
      </w:pPr>
      <w:r>
        <w:rPr>
          <w:b/>
          <w:bCs/>
          <w:color w:val="000000"/>
          <w:spacing w:val="0"/>
          <w:w w:val="100"/>
          <w:position w:val="0"/>
        </w:rPr>
        <w:t>其他说明：</w:t>
      </w:r>
    </w:p>
    <w:p>
      <w:pPr>
        <w:pStyle w:val="Style29"/>
        <w:keepNext w:val="0"/>
        <w:keepLines w:val="0"/>
        <w:widowControl w:val="0"/>
        <w:shd w:val="clear" w:color="auto" w:fill="auto"/>
        <w:bidi w:val="0"/>
        <w:spacing w:before="0" w:after="320" w:line="464" w:lineRule="exact"/>
        <w:ind w:left="0" w:right="0" w:firstLine="440"/>
        <w:jc w:val="both"/>
      </w:pPr>
      <w:r>
        <w:rPr>
          <w:color w:val="000000"/>
          <w:spacing w:val="0"/>
          <w:w w:val="100"/>
          <w:position w:val="0"/>
        </w:rPr>
        <w:t>经中国证券监督管理委员会《关于同意南凌科技股份有限公司首次公开发行股票注册的批复》（证监 许可</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3154</w:t>
      </w:r>
      <w:r>
        <w:rPr>
          <w:color w:val="000000"/>
          <w:spacing w:val="0"/>
          <w:w w:val="100"/>
          <w:position w:val="0"/>
        </w:rPr>
        <w:t>号）文予以注册，公司本次发行股份总数为</w:t>
      </w:r>
      <w:r>
        <w:rPr>
          <w:rFonts w:ascii="Times New Roman" w:eastAsia="Times New Roman" w:hAnsi="Times New Roman" w:cs="Times New Roman"/>
          <w:color w:val="000000"/>
          <w:spacing w:val="0"/>
          <w:w w:val="100"/>
          <w:position w:val="0"/>
        </w:rPr>
        <w:t>1,823</w:t>
      </w:r>
      <w:r>
        <w:rPr>
          <w:color w:val="000000"/>
          <w:spacing w:val="0"/>
          <w:w w:val="100"/>
          <w:position w:val="0"/>
        </w:rPr>
        <w:t>万股，每股面值为人民币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 为人民币</w:t>
      </w:r>
      <w:r>
        <w:rPr>
          <w:rFonts w:ascii="Times New Roman" w:eastAsia="Times New Roman" w:hAnsi="Times New Roman" w:cs="Times New Roman"/>
          <w:color w:val="000000"/>
          <w:spacing w:val="0"/>
          <w:w w:val="100"/>
          <w:position w:val="0"/>
        </w:rPr>
        <w:t>32.54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593,204,200.00</w:t>
      </w:r>
      <w:r>
        <w:rPr>
          <w:color w:val="000000"/>
          <w:spacing w:val="0"/>
          <w:w w:val="100"/>
          <w:position w:val="0"/>
        </w:rPr>
        <w:t>元。扣除与发行有关的费用</w:t>
      </w:r>
      <w:r>
        <w:rPr>
          <w:rFonts w:ascii="Times New Roman" w:eastAsia="Times New Roman" w:hAnsi="Times New Roman" w:cs="Times New Roman"/>
          <w:color w:val="000000"/>
          <w:spacing w:val="0"/>
          <w:w w:val="100"/>
          <w:position w:val="0"/>
        </w:rPr>
        <w:t>65,275,986.43</w:t>
      </w:r>
      <w:r>
        <w:rPr>
          <w:color w:val="000000"/>
          <w:spacing w:val="0"/>
          <w:w w:val="100"/>
          <w:position w:val="0"/>
        </w:rPr>
        <w:t>元后 实际募集资金净额为人民币</w:t>
      </w:r>
      <w:r>
        <w:rPr>
          <w:rFonts w:ascii="Times New Roman" w:eastAsia="Times New Roman" w:hAnsi="Times New Roman" w:cs="Times New Roman"/>
          <w:color w:val="000000"/>
          <w:spacing w:val="0"/>
          <w:w w:val="100"/>
          <w:position w:val="0"/>
        </w:rPr>
        <w:t>527,928,213.57</w:t>
      </w:r>
      <w:r>
        <w:rPr>
          <w:color w:val="000000"/>
          <w:spacing w:val="0"/>
          <w:w w:val="100"/>
          <w:position w:val="0"/>
        </w:rPr>
        <w:t>元，其中计入</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18,230,000.00</w:t>
      </w:r>
      <w:r>
        <w:rPr>
          <w:color w:val="000000"/>
          <w:spacing w:val="0"/>
          <w:w w:val="100"/>
          <w:position w:val="0"/>
        </w:rPr>
        <w:t>元，计入</w:t>
      </w:r>
      <w:r>
        <w:rPr>
          <w:rFonts w:ascii="Times New Roman" w:eastAsia="Times New Roman" w:hAnsi="Times New Roman" w:cs="Times New Roman"/>
          <w:color w:val="000000"/>
          <w:spacing w:val="0"/>
          <w:w w:val="100"/>
          <w:position w:val="0"/>
        </w:rPr>
        <w:t>“</w:t>
      </w:r>
      <w:r>
        <w:rPr>
          <w:color w:val="000000"/>
          <w:spacing w:val="0"/>
          <w:w w:val="100"/>
          <w:position w:val="0"/>
        </w:rPr>
        <w:t>资本公积一股本溢 价</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509,698,213.57</w:t>
      </w:r>
      <w:r>
        <w:rPr>
          <w:color w:val="000000"/>
          <w:spacing w:val="0"/>
          <w:w w:val="100"/>
          <w:position w:val="0"/>
        </w:rPr>
        <w:t>元。</w:t>
      </w:r>
      <w:r>
        <w:br w:type="page"/>
      </w:r>
    </w:p>
    <w:p>
      <w:pPr>
        <w:pStyle w:val="Style38"/>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22"/>
      <w:bookmarkEnd w:id="1423"/>
      <w:bookmarkEnd w:id="1425"/>
    </w:p>
    <w:p>
      <w:pPr>
        <w:pStyle w:val="Style47"/>
        <w:keepNext/>
        <w:keepLines/>
        <w:widowControl w:val="0"/>
        <w:shd w:val="clear" w:color="auto" w:fill="auto"/>
        <w:tabs>
          <w:tab w:pos="49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26"/>
      <w:bookmarkEnd w:id="1427"/>
      <w:bookmarkEnd w:id="1429"/>
    </w:p>
    <w:p>
      <w:pPr>
        <w:pStyle w:val="Style47"/>
        <w:keepNext/>
        <w:keepLines/>
        <w:widowControl w:val="0"/>
        <w:shd w:val="clear" w:color="auto" w:fill="auto"/>
        <w:tabs>
          <w:tab w:pos="493" w:val="left"/>
        </w:tabs>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30"/>
      <w:bookmarkEnd w:id="1431"/>
      <w:bookmarkEnd w:id="143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34"/>
      <w:bookmarkEnd w:id="1435"/>
      <w:bookmarkEnd w:id="14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18,631,135.94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509,698,213.57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528,329,349.51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18,631,135.94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509,698,213.57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528,329,349.51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其他说明，包括本期增减变动情况、变动原因说明：资本公积（股本溢价）变动说明详见股本说明</w:t>
      </w:r>
    </w:p>
    <w:p>
      <w:pPr>
        <w:pStyle w:val="Style38"/>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38"/>
      <w:bookmarkEnd w:id="1439"/>
      <w:bookmarkEnd w:id="144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659" w:line="1" w:lineRule="exact"/>
      </w:pPr>
    </w:p>
    <w:p>
      <w:pPr>
        <w:pStyle w:val="Style38"/>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42"/>
      <w:bookmarkEnd w:id="1443"/>
      <w:bookmarkEnd w:id="144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本期所得 税前发生</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减：所得</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411,506.80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46"/>
      <w:bookmarkEnd w:id="1447"/>
      <w:bookmarkEnd w:id="144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50"/>
      <w:bookmarkEnd w:id="1451"/>
      <w:bookmarkEnd w:id="145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15,979,259.67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7,521,298.92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23,500,558.59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15,979,259.67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7,521,298.92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23,500,558.59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6</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54"/>
      <w:bookmarkEnd w:id="1455"/>
      <w:bookmarkEnd w:id="145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111,626,042.36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71,705,948.97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111,626,042.36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71,621,143.99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76,068,385.68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71,901,205.60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7,521,298.92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6,896,307.23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180,173,129.12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111,626,042.36</w:t>
            </w:r>
          </w:p>
        </w:tc>
      </w:tr>
    </w:tbl>
    <w:p>
      <w:pPr>
        <w:widowControl w:val="0"/>
        <w:spacing w:after="15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bidi w:val="0"/>
        <w:spacing w:before="0" w:after="260" w:line="240" w:lineRule="auto"/>
        <w:ind w:left="0" w:right="0" w:firstLine="0"/>
        <w:jc w:val="left"/>
      </w:pPr>
      <w:bookmarkStart w:id="1458" w:name="bookmark1458"/>
      <w:r>
        <w:rPr>
          <w:color w:val="000000"/>
          <w:spacing w:val="0"/>
          <w:w w:val="100"/>
          <w:position w:val="0"/>
        </w:rPr>
        <w:t>（</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488" w:val="left"/>
        </w:tabs>
        <w:bidi w:val="0"/>
        <w:spacing w:before="0" w:after="260" w:line="240" w:lineRule="auto"/>
        <w:ind w:left="0" w:right="0" w:firstLine="0"/>
        <w:jc w:val="left"/>
      </w:pPr>
      <w:bookmarkStart w:id="1459" w:name="bookmark1459"/>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488" w:val="left"/>
        </w:tabs>
        <w:bidi w:val="0"/>
        <w:spacing w:before="0" w:after="260" w:line="240" w:lineRule="auto"/>
        <w:ind w:left="0" w:right="0" w:firstLine="0"/>
        <w:jc w:val="left"/>
      </w:pPr>
      <w:bookmarkStart w:id="1460" w:name="bookmark1460"/>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488" w:val="left"/>
        </w:tabs>
        <w:bidi w:val="0"/>
        <w:spacing w:before="0" w:after="260" w:line="240" w:lineRule="auto"/>
        <w:ind w:left="0" w:right="0" w:firstLine="0"/>
        <w:jc w:val="left"/>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488" w:val="left"/>
        </w:tabs>
        <w:bidi w:val="0"/>
        <w:spacing w:before="0" w:after="460" w:line="240" w:lineRule="auto"/>
        <w:ind w:left="0" w:right="0" w:firstLine="0"/>
        <w:jc w:val="left"/>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6</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63"/>
      <w:bookmarkEnd w:id="1464"/>
      <w:bookmarkEnd w:id="1466"/>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492,208,322.65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307,131,589.18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498,967,754.72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314,982,864.97</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2,829,196.13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1,356,831.12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3,209,895.93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2,111,714.30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495,037,518.78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308,488,420.30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502,177,650.65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317,094,579.27</w:t>
            </w:r>
          </w:p>
        </w:tc>
      </w:tr>
    </w:tbl>
    <w:p>
      <w:pPr>
        <w:widowControl w:val="0"/>
        <w:spacing w:after="519" w:line="1" w:lineRule="exact"/>
      </w:pPr>
    </w:p>
    <w:p>
      <w:pPr>
        <w:pStyle w:val="Style2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w:t>
      </w:r>
      <w:r>
        <w:rPr>
          <w:i/>
          <w:iCs/>
          <w:color w:val="000000"/>
          <w:spacing w:val="0"/>
          <w:w w:val="100"/>
          <w:position w:val="0"/>
        </w:rPr>
        <w:t>否</w:t>
      </w:r>
    </w:p>
    <w:p>
      <w:pPr>
        <w:widowControl w:val="0"/>
        <w:jc w:val="center"/>
        <w:rPr>
          <w:sz w:val="2"/>
          <w:szCs w:val="2"/>
        </w:rPr>
      </w:pPr>
      <w:r>
        <w:drawing>
          <wp:inline>
            <wp:extent cx="6126480" cy="245681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6126480" cy="2456815"/>
                    </a:xfrm>
                    <a:prstGeom prst="rect"/>
                  </pic:spPr>
                </pic:pic>
              </a:graphicData>
            </a:graphic>
          </wp:inline>
        </w:drawing>
      </w:r>
    </w:p>
    <w:p>
      <w:pPr>
        <w:widowControl w:val="0"/>
        <w:spacing w:after="159" w:line="1" w:lineRule="exact"/>
      </w:pPr>
    </w:p>
    <w:p>
      <w:pPr>
        <w:pStyle w:val="Style2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与履约义务相关的信息：</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w:t>
      </w:r>
    </w:p>
    <w:p>
      <w:pPr>
        <w:pStyle w:val="Style29"/>
        <w:keepNext w:val="0"/>
        <w:keepLines w:val="0"/>
        <w:widowControl w:val="0"/>
        <w:shd w:val="clear" w:color="auto" w:fill="auto"/>
        <w:bidi w:val="0"/>
        <w:spacing w:before="0" w:after="460" w:line="240" w:lineRule="auto"/>
        <w:ind w:left="0" w:right="0" w:firstLine="0"/>
        <w:jc w:val="both"/>
      </w:pPr>
      <w:r>
        <w:rPr>
          <w:color w:val="000000"/>
          <w:spacing w:val="0"/>
          <w:w w:val="100"/>
          <w:position w:val="0"/>
        </w:rPr>
        <w:t>计将于年度确认收入，元预计将于年度确认收入，元预计将于年度确认收入。</w:t>
      </w:r>
    </w:p>
    <w:p>
      <w:pPr>
        <w:pStyle w:val="Style38"/>
        <w:keepNext/>
        <w:keepLines/>
        <w:widowControl w:val="0"/>
        <w:shd w:val="clear" w:color="auto" w:fill="auto"/>
        <w:bidi w:val="0"/>
        <w:spacing w:before="0" w:after="40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6</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67"/>
      <w:bookmarkEnd w:id="1468"/>
      <w:bookmarkEnd w:id="147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278,223.76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277,377.84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309,278.20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352,205.23</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6</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71"/>
      <w:bookmarkEnd w:id="1472"/>
      <w:bookmarkEnd w:id="147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工资及福利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35,079,089.40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35,481,729.89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1,440,133.95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1,873,945.40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差旅及交通费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704,535.55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1,797,354.25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招待费及业务推广费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2,322,478.64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2,534,734.26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租金及水电费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3,245,815.10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4,263,332.46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972,290.79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1,054,364.63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456,121.35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385,372.32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44,220,464.78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47,390,833.21</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6</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75"/>
      <w:bookmarkEnd w:id="1476"/>
      <w:bookmarkEnd w:id="147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15,632,547.60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17,201,336.02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783,447.40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682,369.00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差旅及交通费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1,489,025.09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2,208,769.14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2,928,809.69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1,859,371.16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975,098.84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1,046,720.99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顾问咨询费用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3,090,106.27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2,073,259.73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租金及水电费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3,479,153.40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4,315,734.15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上市酒会费用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934,370.57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1,793,243.91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805,476.71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31,105,802.77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30,193,036.90</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6</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479"/>
      <w:bookmarkEnd w:id="1480"/>
      <w:bookmarkEnd w:id="148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26,471,590.94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23,294,392.35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2,327,985.98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2,345,568.81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材料动力费用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1,498,493.55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2,042,637.07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3,005,149.78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4,260,177.52</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33,303,220.25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31,942,775.75</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483"/>
      <w:bookmarkEnd w:id="1484"/>
      <w:bookmarkEnd w:id="148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325,629.40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1,978,056.04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1,150,076.98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258,918.50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-161,232.85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58,332.58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-1,650,554.73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-927,347.85</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6</w:t>
      </w:r>
      <w:bookmarkEnd w:id="148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487"/>
      <w:bookmarkEnd w:id="1488"/>
      <w:bookmarkEnd w:id="1490"/>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1,897,927.26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3,152,728.30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3,579,456.21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1,428,446.16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259,720.86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141,278.22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5,737,104.33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4,722,452.68</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6</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91"/>
      <w:bookmarkEnd w:id="1492"/>
      <w:bookmarkEnd w:id="1494"/>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495"/>
      <w:bookmarkEnd w:id="1496"/>
      <w:bookmarkEnd w:id="149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7</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99"/>
      <w:bookmarkEnd w:id="1500"/>
      <w:bookmarkEnd w:id="1502"/>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7</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03"/>
      <w:bookmarkEnd w:id="1504"/>
      <w:bookmarkEnd w:id="1506"/>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184,089.45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-138,592.53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-31,222.41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145,768.02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-169,814.94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7</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07"/>
      <w:bookmarkEnd w:id="1508"/>
      <w:bookmarkEnd w:id="1510"/>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-329,959.72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-329,959.72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7</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11"/>
      <w:bookmarkEnd w:id="1512"/>
      <w:bookmarkEnd w:id="151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7</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15"/>
      <w:bookmarkEnd w:id="1516"/>
      <w:bookmarkEnd w:id="151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接受捐赠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88,495.77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93,819.60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1,549,942.80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93,819.60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23,703.54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23,703.54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837,292.94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837,292.94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1,043,311.85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1,660,547.39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1,043,311.85</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7</w:t>
      </w:r>
      <w:bookmarkEnd w:id="152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19"/>
      <w:bookmarkEnd w:id="1520"/>
      <w:bookmarkEnd w:id="152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126,336.28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92,923.76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432,799.40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219,760.04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23"/>
      <w:bookmarkEnd w:id="1524"/>
      <w:bookmarkEnd w:id="1526"/>
    </w:p>
    <w:p>
      <w:pPr>
        <w:pStyle w:val="Style47"/>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7"/>
      <w:bookmarkEnd w:id="1528"/>
      <w:bookmarkEnd w:id="152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9,904,380.11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9,747,716.60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-34,284.47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9,902,576.43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9,713,432.13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30"/>
      <w:bookmarkEnd w:id="1531"/>
      <w:bookmarkEnd w:id="153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85,939,344.16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12,890,901.63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-69,151.09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21,098.50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技术开发费加计扣除的影响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-3,329,881.94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-20,515.72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9,902,576.43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7</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33"/>
      <w:bookmarkEnd w:id="1534"/>
      <w:bookmarkEnd w:id="153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38"/>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7</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537"/>
      <w:bookmarkEnd w:id="1538"/>
      <w:bookmarkEnd w:id="1540"/>
    </w:p>
    <w:p>
      <w:pPr>
        <w:pStyle w:val="Style47"/>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41"/>
      <w:bookmarkEnd w:id="1542"/>
      <w:bookmarkEnd w:id="1543"/>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收到与政府补助相关的现金收入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991,749.02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3,702,671.10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收到与存款利息相关的现金收入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1,978,056.11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1,150,076.98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2,702,243.37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2,222,475.35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5,672,048.50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7,075,223.43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44"/>
      <w:bookmarkEnd w:id="1545"/>
      <w:bookmarkEnd w:id="1546"/>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支付其他与销售费用有关的现金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13,484,822.21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10,517,832.92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支付其他与管理费用、研发费用有关的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10,034,179.06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17,845,135.60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支付财务费用（手续费等，不含贷款利 息支出等与经营活动无关的）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58,332.58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3,592,131.37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1,502,190.53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27,179,762.32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29,923,491.63</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47"/>
      <w:bookmarkEnd w:id="1548"/>
      <w:bookmarkEnd w:id="1550"/>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679" w:line="1" w:lineRule="exact"/>
      </w:pPr>
    </w:p>
    <w:p>
      <w:pPr>
        <w:pStyle w:val="Style47"/>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51"/>
      <w:bookmarkEnd w:id="1552"/>
      <w:bookmarkEnd w:id="155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5"/>
      <w:bookmarkEnd w:id="1556"/>
      <w:bookmarkEnd w:id="155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spacing w:lineRule="exact" w:line="1"/>
        <w:rPr>
          <w:sz w:val="2"/>
          <w:szCs w:val="2"/>
        </w:rPr>
      </w:pPr>
      <w:r>
        <w:br w:type="page"/>
      </w:r>
    </w:p>
    <w:p>
      <w:pPr>
        <w:pStyle w:val="Style47"/>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9"/>
      <w:bookmarkEnd w:id="1560"/>
      <w:bookmarkEnd w:id="156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支付的与发行相关的费用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22,338,979.10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4,278,600.00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7</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63"/>
      <w:bookmarkEnd w:id="1564"/>
      <w:bookmarkEnd w:id="1566"/>
    </w:p>
    <w:p>
      <w:pPr>
        <w:pStyle w:val="Style47"/>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67"/>
      <w:bookmarkEnd w:id="1568"/>
      <w:bookmarkEnd w:id="156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76,036,767.73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71,868,562.02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499,774.66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17,492,250.49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15,572,037.15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793,588.84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646,348.97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1,632,399.83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1,602,888.40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425,749.40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325,629.40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both"/>
              <w:rPr>
                <w:sz w:val="17"/>
                <w:szCs w:val="17"/>
              </w:rPr>
            </w:pPr>
            <w:r>
              <w:rPr>
                <w:color w:val="000000"/>
                <w:spacing w:val="0"/>
                <w:w w:val="100"/>
                <w:position w:val="0"/>
                <w:sz w:val="17"/>
                <w:szCs w:val="17"/>
              </w:rPr>
              <w:t>递延所得税资产减少（增加以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-1,304,381.59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-5,573,617.75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13,152,310.96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-17,317,501.47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-4,415,762.41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3,776,758.59</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103,349,708.96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71,777,418.16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694,220,410.51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94,398,471.36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94,398,471.36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108,651,470.07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599,821,939.15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-14,252,998.71</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70"/>
      <w:bookmarkEnd w:id="1571"/>
      <w:bookmarkEnd w:id="157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73"/>
      <w:bookmarkEnd w:id="1574"/>
      <w:bookmarkEnd w:id="157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77"/>
      <w:bookmarkEnd w:id="1578"/>
      <w:bookmarkEnd w:id="158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694,220,410.51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94,398,471.36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81,252.77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694,170,261.98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94,317,218.59</w:t>
            </w:r>
          </w:p>
        </w:tc>
      </w:tr>
    </w:tbl>
    <w:p>
      <w:pPr>
        <w:widowControl w:val="0"/>
        <w:spacing w:line="1" w:lineRule="exact"/>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694,220,410.51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94,398,471.36</w:t>
            </w:r>
          </w:p>
        </w:tc>
      </w:tr>
    </w:tbl>
    <w:p>
      <w:pPr>
        <w:widowControl w:val="0"/>
        <w:spacing w:after="359" w:line="1" w:lineRule="exact"/>
      </w:pPr>
    </w:p>
    <w:p>
      <w:pPr>
        <w:pStyle w:val="Style38"/>
        <w:keepNext/>
        <w:keepLines/>
        <w:widowControl w:val="0"/>
        <w:shd w:val="clear" w:color="auto" w:fill="auto"/>
        <w:tabs>
          <w:tab w:pos="483" w:val="left"/>
        </w:tabs>
        <w:bidi w:val="0"/>
        <w:spacing w:before="0" w:after="3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8</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581"/>
      <w:bookmarkEnd w:id="1582"/>
      <w:bookmarkEnd w:id="158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项目名称及调整金额等事项:</w:t>
      </w:r>
    </w:p>
    <w:p>
      <w:pPr>
        <w:pStyle w:val="Style38"/>
        <w:keepNext/>
        <w:keepLines/>
        <w:widowControl w:val="0"/>
        <w:shd w:val="clear" w:color="auto" w:fill="auto"/>
        <w:tabs>
          <w:tab w:pos="483" w:val="left"/>
        </w:tabs>
        <w:bidi w:val="0"/>
        <w:spacing w:before="0" w:after="36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8</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585"/>
      <w:bookmarkEnd w:id="1586"/>
      <w:bookmarkEnd w:id="158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599,997.97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8</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89"/>
      <w:bookmarkEnd w:id="1590"/>
      <w:bookmarkEnd w:id="1592"/>
    </w:p>
    <w:p>
      <w:pPr>
        <w:pStyle w:val="Style47"/>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93"/>
      <w:bookmarkEnd w:id="1594"/>
      <w:bookmarkEnd w:id="159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8,691,934.29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6,114,911.18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3,061,906.65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2,577,023.11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1,453,953.24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55,169.86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359,977.82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1,299,813.96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1,093,975.42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tabs>
                <w:tab w:pos="1562" w:val="left"/>
              </w:tabs>
              <w:bidi w:val="0"/>
              <w:spacing w:before="0" w:after="0" w:line="240" w:lineRule="auto"/>
              <w:ind w:left="0" w:right="0"/>
              <w:jc w:val="left"/>
              <w:rPr>
                <w:sz w:val="17"/>
                <w:szCs w:val="17"/>
              </w:rPr>
            </w:pPr>
            <w:r>
              <w:rPr>
                <w:color w:val="000000"/>
                <w:spacing w:val="0"/>
                <w:w w:val="100"/>
                <w:position w:val="0"/>
                <w:sz w:val="17"/>
                <w:szCs w:val="17"/>
              </w:rPr>
              <w:t>其中：</w:t>
              <w:tab/>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23,807.60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2,582,357.24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77,882.89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508,178.07</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2,464,449.38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2,074,179.17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37,116.33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37,116.33</w:t>
            </w:r>
          </w:p>
        </w:tc>
      </w:tr>
    </w:tbl>
    <w:p>
      <w:pPr>
        <w:pStyle w:val="Style47"/>
        <w:keepNext/>
        <w:keepLines/>
        <w:widowControl w:val="0"/>
        <w:shd w:val="clear" w:color="auto" w:fill="auto"/>
        <w:bidi w:val="0"/>
        <w:spacing w:before="0" w:line="485" w:lineRule="exact"/>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96"/>
      <w:bookmarkEnd w:id="1597"/>
      <w:bookmarkEnd w:id="1598"/>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982"/>
        <w:gridCol w:w="2467"/>
        <w:gridCol w:w="217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主要经营地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记账本位币</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南凌科技发展（香港）有限公司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港币</w:t>
            </w:r>
          </w:p>
        </w:tc>
      </w:tr>
    </w:tbl>
    <w:p>
      <w:pPr>
        <w:widowControl w:val="0"/>
        <w:spacing w:after="359" w:line="1" w:lineRule="exact"/>
      </w:pPr>
    </w:p>
    <w:p>
      <w:pPr>
        <w:pStyle w:val="Style38"/>
        <w:keepNext/>
        <w:keepLines/>
        <w:widowControl w:val="0"/>
        <w:shd w:val="clear" w:color="auto" w:fill="auto"/>
        <w:tabs>
          <w:tab w:pos="483" w:val="left"/>
        </w:tabs>
        <w:bidi w:val="0"/>
        <w:spacing w:before="0" w:after="36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8</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599"/>
      <w:bookmarkEnd w:id="1600"/>
      <w:bookmarkEnd w:id="160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8"/>
        <w:keepNext/>
        <w:keepLines/>
        <w:widowControl w:val="0"/>
        <w:shd w:val="clear" w:color="auto" w:fill="auto"/>
        <w:tabs>
          <w:tab w:pos="483" w:val="left"/>
        </w:tabs>
        <w:bidi w:val="0"/>
        <w:spacing w:before="0" w:after="36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8</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03"/>
      <w:bookmarkEnd w:id="1604"/>
      <w:bookmarkEnd w:id="1606"/>
    </w:p>
    <w:p>
      <w:pPr>
        <w:pStyle w:val="Style47"/>
        <w:keepNext/>
        <w:keepLines/>
        <w:widowControl w:val="0"/>
        <w:shd w:val="clear" w:color="auto" w:fill="auto"/>
        <w:bidi w:val="0"/>
        <w:spacing w:before="0" w:after="36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7"/>
      <w:bookmarkEnd w:id="1608"/>
      <w:bookmarkEnd w:id="160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MPLS VPN</w:t>
            </w:r>
            <w:r>
              <w:rPr>
                <w:color w:val="000000"/>
                <w:spacing w:val="0"/>
                <w:w w:val="100"/>
                <w:position w:val="0"/>
                <w:sz w:val="17"/>
                <w:szCs w:val="17"/>
              </w:rPr>
              <w:t>技术的网络</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企业研究开发资助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防护用品支持收入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劳动用工支持收入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抗疫补贴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93,819.60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93,819.60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102,227.26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102,227.26</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10"/>
      <w:bookmarkEnd w:id="1611"/>
      <w:bookmarkEnd w:id="1612"/>
    </w:p>
    <w:p>
      <w:pPr>
        <w:pStyle w:val="Style29"/>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151" w:right="1002" w:bottom="1371" w:left="99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140" w:after="36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613"/>
      <w:bookmarkEnd w:id="1614"/>
      <w:bookmarkEnd w:id="1615"/>
    </w:p>
    <w:p>
      <w:pPr>
        <w:pStyle w:val="Style27"/>
        <w:keepNext/>
        <w:keepLines/>
        <w:widowControl w:val="0"/>
        <w:shd w:val="clear" w:color="auto" w:fill="auto"/>
        <w:bidi w:val="0"/>
        <w:spacing w:before="0" w:after="36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sz w:val="24"/>
          <w:szCs w:val="24"/>
        </w:rPr>
        <w:t>八</w:t>
      </w:r>
      <w:bookmarkEnd w:id="1618"/>
      <w:r>
        <w:rPr>
          <w:color w:val="000000"/>
          <w:spacing w:val="0"/>
          <w:w w:val="100"/>
          <w:position w:val="0"/>
          <w:sz w:val="24"/>
          <w:szCs w:val="24"/>
        </w:rPr>
        <w:t>、合并范围的变更</w:t>
      </w:r>
      <w:bookmarkEnd w:id="1616"/>
      <w:bookmarkEnd w:id="1617"/>
      <w:bookmarkEnd w:id="1619"/>
    </w:p>
    <w:p>
      <w:pPr>
        <w:pStyle w:val="Style38"/>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20"/>
      <w:bookmarkEnd w:id="1621"/>
      <w:bookmarkEnd w:id="1622"/>
    </w:p>
    <w:p>
      <w:pPr>
        <w:pStyle w:val="Style47"/>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23"/>
      <w:bookmarkEnd w:id="1624"/>
      <w:bookmarkEnd w:id="162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购买日至期 末被购买方 的净利润</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26"/>
      <w:bookmarkEnd w:id="1627"/>
      <w:bookmarkEnd w:id="162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7"/>
        <w:keepNext/>
        <w:keepLines/>
        <w:widowControl w:val="0"/>
        <w:numPr>
          <w:ilvl w:val="0"/>
          <w:numId w:val="129"/>
        </w:numPr>
        <w:shd w:val="clear" w:color="auto" w:fill="auto"/>
        <w:bidi w:val="0"/>
        <w:spacing w:before="0" w:after="360" w:line="240" w:lineRule="auto"/>
        <w:ind w:left="0" w:right="0" w:firstLine="14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被购买方于购买日可辨认资产、负债</w:t>
      </w:r>
      <w:bookmarkEnd w:id="1629"/>
      <w:bookmarkEnd w:id="1630"/>
      <w:bookmarkEnd w:id="163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bl>
    <w:p>
      <w:pPr>
        <w:widowControl w:val="0"/>
        <w:spacing w:after="359" w:line="1" w:lineRule="exact"/>
      </w:pPr>
    </w:p>
    <w:p>
      <w:pPr>
        <w:pStyle w:val="Style47"/>
        <w:keepNext/>
        <w:keepLines/>
        <w:widowControl w:val="0"/>
        <w:numPr>
          <w:ilvl w:val="0"/>
          <w:numId w:val="129"/>
        </w:numPr>
        <w:shd w:val="clear" w:color="auto" w:fill="auto"/>
        <w:bidi w:val="0"/>
        <w:spacing w:before="0" w:after="440" w:line="240" w:lineRule="auto"/>
        <w:ind w:left="0" w:right="0" w:firstLine="14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购买日之前持有的股权按照公允价值重新计量产生的利得或损失</w:t>
      </w:r>
      <w:bookmarkEnd w:id="1633"/>
      <w:bookmarkEnd w:id="1634"/>
      <w:bookmarkEnd w:id="1636"/>
    </w:p>
    <w:p>
      <w:pPr>
        <w:pStyle w:val="Style47"/>
        <w:keepNext/>
        <w:keepLines/>
        <w:widowControl w:val="0"/>
        <w:shd w:val="clear" w:color="auto" w:fill="auto"/>
        <w:bidi w:val="0"/>
        <w:spacing w:before="0" w:after="360" w:line="240" w:lineRule="auto"/>
        <w:ind w:left="0" w:right="0" w:firstLine="0"/>
        <w:jc w:val="left"/>
      </w:pPr>
      <w:bookmarkStart w:id="1633" w:name="bookmark1633"/>
      <w:bookmarkStart w:id="1634" w:name="bookmark1634"/>
      <w:r>
        <w:rPr>
          <w:color w:val="000000"/>
          <w:spacing w:val="0"/>
          <w:w w:val="100"/>
          <w:position w:val="0"/>
        </w:rPr>
        <w:t>是否存在通过多次交易分步实现企业合并且在报告期内取得控制权的交易</w:t>
      </w:r>
      <w:bookmarkEnd w:id="1633"/>
      <w:bookmarkEnd w:id="1634"/>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w:t>
      </w:r>
      <w:r>
        <w:rPr>
          <w:i/>
          <w:iCs/>
          <w:color w:val="000000"/>
          <w:spacing w:val="0"/>
          <w:w w:val="100"/>
          <w:position w:val="0"/>
        </w:rPr>
        <w:t>否</w:t>
      </w:r>
    </w:p>
    <w:p>
      <w:pPr>
        <w:pStyle w:val="Style47"/>
        <w:keepNext/>
        <w:keepLines/>
        <w:widowControl w:val="0"/>
        <w:numPr>
          <w:ilvl w:val="0"/>
          <w:numId w:val="129"/>
        </w:numPr>
        <w:shd w:val="clear" w:color="auto" w:fill="auto"/>
        <w:bidi w:val="0"/>
        <w:spacing w:before="0" w:after="36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 xml:space="preserve"> 购买日或合并当期期末无法合理确定合并对价或被购买方可辨认资产、负债公允价值的相关说明</w:t>
      </w:r>
      <w:bookmarkEnd w:id="1637"/>
      <w:bookmarkEnd w:id="1638"/>
      <w:bookmarkEnd w:id="1640"/>
    </w:p>
    <w:p>
      <w:pPr>
        <w:pStyle w:val="Style47"/>
        <w:keepNext/>
        <w:keepLines/>
        <w:widowControl w:val="0"/>
        <w:numPr>
          <w:ilvl w:val="0"/>
          <w:numId w:val="129"/>
        </w:numPr>
        <w:shd w:val="clear" w:color="auto" w:fill="auto"/>
        <w:tabs>
          <w:tab w:pos="493" w:val="left"/>
        </w:tabs>
        <w:bidi w:val="0"/>
        <w:spacing w:before="0" w:after="360" w:line="240" w:lineRule="auto"/>
        <w:ind w:left="0" w:right="0" w:firstLine="0"/>
        <w:jc w:val="left"/>
      </w:pPr>
      <w:bookmarkStart w:id="1637" w:name="bookmark1637"/>
      <w:bookmarkStart w:id="1638" w:name="bookmark1638"/>
      <w:bookmarkStart w:id="1641" w:name="bookmark1641"/>
      <w:bookmarkStart w:id="1642" w:name="bookmark1642"/>
      <w:bookmarkEnd w:id="1641"/>
      <w:r>
        <w:rPr>
          <w:color w:val="000000"/>
          <w:spacing w:val="0"/>
          <w:w w:val="100"/>
          <w:position w:val="0"/>
        </w:rPr>
        <w:t>其他说明</w:t>
      </w:r>
      <w:bookmarkEnd w:id="1637"/>
      <w:bookmarkEnd w:id="1638"/>
      <w:bookmarkEnd w:id="1642"/>
    </w:p>
    <w:p>
      <w:pPr>
        <w:pStyle w:val="Style38"/>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2</w:t>
      </w:r>
      <w:bookmarkEnd w:id="1645"/>
      <w:r>
        <w:rPr>
          <w:color w:val="000000"/>
          <w:spacing w:val="0"/>
          <w:w w:val="100"/>
          <w:position w:val="0"/>
        </w:rPr>
        <w:t>、同一控制下企业合并</w:t>
      </w:r>
      <w:bookmarkEnd w:id="1643"/>
      <w:bookmarkEnd w:id="1644"/>
      <w:bookmarkEnd w:id="1646"/>
    </w:p>
    <w:p>
      <w:pPr>
        <w:pStyle w:val="Style47"/>
        <w:keepNext/>
        <w:keepLines/>
        <w:widowControl w:val="0"/>
        <w:shd w:val="clear" w:color="auto" w:fill="auto"/>
        <w:bidi w:val="0"/>
        <w:spacing w:before="0" w:after="36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47"/>
      <w:bookmarkEnd w:id="1648"/>
      <w:bookmarkEnd w:id="164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合并当期期</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初至合并日</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被合并方的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合并当期期</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初至合并日</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被合并方的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比较期间被 合并方的净 利润</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6"/>
        <w:gridCol w:w="107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40"/>
        <w:jc w:val="both"/>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50"/>
      <w:bookmarkEnd w:id="1651"/>
      <w:bookmarkEnd w:id="165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center"/>
        <w:rPr>
          <w:sz w:val="20"/>
          <w:szCs w:val="20"/>
        </w:rPr>
      </w:pPr>
      <w:bookmarkStart w:id="1653" w:name="bookmark165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）合并日被合并方资产、负债的账面价值</w:t>
      </w:r>
      <w:bookmarkEnd w:id="1653"/>
    </w:p>
    <w:p>
      <w:pPr>
        <w:widowControl w:val="0"/>
        <w:spacing w:after="3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widowControl w:val="0"/>
        <w:spacing w:after="119" w:line="1" w:lineRule="exact"/>
      </w:pPr>
    </w:p>
    <w:p>
      <w:pPr>
        <w:pStyle w:val="Style38"/>
        <w:keepNext/>
        <w:keepLines/>
        <w:widowControl w:val="0"/>
        <w:shd w:val="clear" w:color="auto" w:fill="auto"/>
        <w:tabs>
          <w:tab w:pos="378" w:val="left"/>
        </w:tabs>
        <w:bidi w:val="0"/>
        <w:spacing w:before="0" w:after="200" w:line="475" w:lineRule="exact"/>
        <w:ind w:left="0" w:right="0" w:firstLine="0"/>
        <w:jc w:val="both"/>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3</w:t>
      </w:r>
      <w:bookmarkEnd w:id="1656"/>
      <w:r>
        <w:rPr>
          <w:color w:val="000000"/>
          <w:spacing w:val="0"/>
          <w:w w:val="100"/>
          <w:position w:val="0"/>
        </w:rPr>
        <w:t>、</w:t>
        <w:tab/>
        <w:t>反向购买</w:t>
      </w:r>
      <w:bookmarkEnd w:id="1654"/>
      <w:bookmarkEnd w:id="1655"/>
      <w:bookmarkEnd w:id="1657"/>
    </w:p>
    <w:p>
      <w:pPr>
        <w:pStyle w:val="Style29"/>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p>
    <w:p>
      <w:pPr>
        <w:pStyle w:val="Style38"/>
        <w:keepNext/>
        <w:keepLines/>
        <w:widowControl w:val="0"/>
        <w:shd w:val="clear" w:color="auto" w:fill="auto"/>
        <w:tabs>
          <w:tab w:pos="378" w:val="left"/>
        </w:tabs>
        <w:bidi w:val="0"/>
        <w:spacing w:before="0" w:after="200" w:line="475" w:lineRule="exact"/>
        <w:ind w:left="0" w:right="0" w:firstLine="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color w:val="000000"/>
          <w:spacing w:val="0"/>
          <w:w w:val="100"/>
          <w:position w:val="0"/>
        </w:rPr>
        <w:t>、</w:t>
        <w:tab/>
        <w:t>处置子公司</w:t>
      </w:r>
      <w:bookmarkEnd w:id="1658"/>
      <w:bookmarkEnd w:id="1659"/>
      <w:bookmarkEnd w:id="1661"/>
    </w:p>
    <w:p>
      <w:pPr>
        <w:pStyle w:val="Style38"/>
        <w:keepNext/>
        <w:keepLines/>
        <w:widowControl w:val="0"/>
        <w:shd w:val="clear" w:color="auto" w:fill="auto"/>
        <w:bidi w:val="0"/>
        <w:spacing w:before="0" w:after="40" w:line="475" w:lineRule="exact"/>
        <w:ind w:left="0" w:right="0" w:firstLine="0"/>
        <w:jc w:val="both"/>
      </w:pPr>
      <w:bookmarkStart w:id="1658" w:name="bookmark1658"/>
      <w:bookmarkStart w:id="1659" w:name="bookmark1659"/>
      <w:r>
        <w:rPr>
          <w:color w:val="000000"/>
          <w:spacing w:val="0"/>
          <w:w w:val="100"/>
          <w:position w:val="0"/>
        </w:rPr>
        <w:t>是否存在单次处置对子公司投资即丧失控制权的情形</w:t>
      </w:r>
      <w:bookmarkEnd w:id="1658"/>
      <w:bookmarkEnd w:id="1659"/>
    </w:p>
    <w:p>
      <w:pPr>
        <w:pStyle w:val="Style29"/>
        <w:keepNext w:val="0"/>
        <w:keepLines w:val="0"/>
        <w:widowControl w:val="0"/>
        <w:shd w:val="clear" w:color="auto" w:fill="auto"/>
        <w:bidi w:val="0"/>
        <w:spacing w:before="0" w:after="40" w:line="4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w:t>
      </w:r>
      <w:r>
        <w:rPr>
          <w:i/>
          <w:iCs/>
          <w:color w:val="000000"/>
          <w:spacing w:val="0"/>
          <w:w w:val="100"/>
          <w:position w:val="0"/>
        </w:rPr>
        <w:t>否</w:t>
      </w:r>
    </w:p>
    <w:p>
      <w:pPr>
        <w:pStyle w:val="Style29"/>
        <w:keepNext w:val="0"/>
        <w:keepLines w:val="0"/>
        <w:widowControl w:val="0"/>
        <w:shd w:val="clear" w:color="auto" w:fill="auto"/>
        <w:bidi w:val="0"/>
        <w:spacing w:before="0" w:after="40" w:line="475" w:lineRule="exact"/>
        <w:ind w:left="0" w:right="0" w:firstLine="0"/>
        <w:jc w:val="both"/>
      </w:pPr>
      <w:r>
        <w:rPr>
          <w:b/>
          <w:bCs/>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200" w:line="47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378" w:val="left"/>
        </w:tabs>
        <w:bidi w:val="0"/>
        <w:spacing w:before="0" w:after="120" w:line="475" w:lineRule="exact"/>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color w:val="000000"/>
          <w:spacing w:val="0"/>
          <w:w w:val="100"/>
          <w:position w:val="0"/>
        </w:rPr>
        <w:t>、</w:t>
        <w:tab/>
        <w:t>其他原因的合并范围变动</w:t>
      </w:r>
      <w:bookmarkEnd w:id="1662"/>
      <w:bookmarkEnd w:id="1663"/>
      <w:bookmarkEnd w:id="1665"/>
    </w:p>
    <w:p>
      <w:pPr>
        <w:pStyle w:val="Style29"/>
        <w:keepNext w:val="0"/>
        <w:keepLines w:val="0"/>
        <w:widowControl w:val="0"/>
        <w:shd w:val="clear" w:color="auto" w:fill="auto"/>
        <w:bidi w:val="0"/>
        <w:spacing w:before="0" w:after="120" w:line="475" w:lineRule="exact"/>
        <w:ind w:left="0" w:right="0" w:firstLine="0"/>
        <w:jc w:val="both"/>
      </w:pPr>
      <w:r>
        <w:rPr>
          <w:color w:val="000000"/>
          <w:spacing w:val="0"/>
          <w:w w:val="100"/>
          <w:position w:val="0"/>
        </w:rPr>
        <w:t>说明其他原因导致的合并范围变动（如，新设子公司、清算子公司等）及其相关情况：</w:t>
      </w:r>
    </w:p>
    <w:p>
      <w:pPr>
        <w:pStyle w:val="Style38"/>
        <w:keepNext/>
        <w:keepLines/>
        <w:widowControl w:val="0"/>
        <w:shd w:val="clear" w:color="auto" w:fill="auto"/>
        <w:tabs>
          <w:tab w:pos="378" w:val="left"/>
        </w:tabs>
        <w:bidi w:val="0"/>
        <w:spacing w:before="0" w:after="320" w:line="475" w:lineRule="exact"/>
        <w:ind w:left="0" w:right="0" w:firstLine="0"/>
        <w:jc w:val="both"/>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color w:val="000000"/>
          <w:spacing w:val="0"/>
          <w:w w:val="100"/>
          <w:position w:val="0"/>
        </w:rPr>
        <w:t>、</w:t>
        <w:tab/>
        <w:t>其他</w:t>
      </w:r>
      <w:bookmarkEnd w:id="1666"/>
      <w:bookmarkEnd w:id="1667"/>
      <w:bookmarkEnd w:id="1669"/>
    </w:p>
    <w:p>
      <w:pPr>
        <w:pStyle w:val="Style27"/>
        <w:keepNext/>
        <w:keepLines/>
        <w:widowControl w:val="0"/>
        <w:shd w:val="clear" w:color="auto" w:fill="auto"/>
        <w:bidi w:val="0"/>
        <w:spacing w:before="0" w:after="120" w:line="240" w:lineRule="auto"/>
        <w:ind w:left="0" w:right="0" w:firstLine="0"/>
        <w:jc w:val="both"/>
      </w:pPr>
      <w:bookmarkStart w:id="1670" w:name="bookmark1670"/>
      <w:bookmarkStart w:id="1671" w:name="bookmark1671"/>
      <w:bookmarkStart w:id="1672" w:name="bookmark1672"/>
      <w:bookmarkStart w:id="1673" w:name="bookmark1673"/>
      <w:r>
        <w:rPr>
          <w:color w:val="000000"/>
          <w:spacing w:val="0"/>
          <w:w w:val="100"/>
          <w:position w:val="0"/>
          <w:sz w:val="24"/>
          <w:szCs w:val="24"/>
        </w:rPr>
        <w:t>九</w:t>
      </w:r>
      <w:bookmarkEnd w:id="1672"/>
      <w:r>
        <w:rPr>
          <w:color w:val="000000"/>
          <w:spacing w:val="0"/>
          <w:w w:val="100"/>
          <w:position w:val="0"/>
          <w:sz w:val="24"/>
          <w:szCs w:val="24"/>
        </w:rPr>
        <w:t>、在其他主体中的权益</w:t>
      </w:r>
      <w:bookmarkEnd w:id="1670"/>
      <w:bookmarkEnd w:id="1671"/>
      <w:bookmarkEnd w:id="1673"/>
    </w:p>
    <w:p>
      <w:pPr>
        <w:pStyle w:val="Style38"/>
        <w:keepNext/>
        <w:keepLines/>
        <w:widowControl w:val="0"/>
        <w:shd w:val="clear" w:color="auto" w:fill="auto"/>
        <w:bidi w:val="0"/>
        <w:spacing w:before="0" w:after="120" w:line="475" w:lineRule="exact"/>
        <w:ind w:left="0" w:right="0" w:firstLine="0"/>
        <w:jc w:val="both"/>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74"/>
      <w:bookmarkEnd w:id="1675"/>
      <w:bookmarkEnd w:id="1676"/>
    </w:p>
    <w:p>
      <w:pPr>
        <w:pStyle w:val="Style47"/>
        <w:keepNext/>
        <w:keepLines/>
        <w:widowControl w:val="0"/>
        <w:shd w:val="clear" w:color="auto" w:fill="auto"/>
        <w:bidi w:val="0"/>
        <w:spacing w:before="0" w:after="320" w:line="475" w:lineRule="exact"/>
        <w:ind w:left="0" w:right="0" w:firstLine="0"/>
        <w:jc w:val="both"/>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77"/>
      <w:bookmarkEnd w:id="1678"/>
      <w:bookmarkEnd w:id="167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深圳市南凌信息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青岛南凌信息技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网络信息技术咨 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深圳市南凌云计 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互联网信息服务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南凌科技发展</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（香港）有限公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网络信息技术咨 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浙江凌聚云计算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软件和信息技术</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80"/>
      <w:bookmarkEnd w:id="1681"/>
      <w:bookmarkEnd w:id="168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本期归属于少数股东的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本期向少数股东宣告分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83"/>
      <w:bookmarkEnd w:id="1684"/>
      <w:bookmarkEnd w:id="168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资产合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bl>
    <w:p>
      <w:pPr>
        <w:widowControl w:val="0"/>
        <w:spacing w:after="79" w:line="1" w:lineRule="exact"/>
      </w:pP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87"/>
      <w:bookmarkEnd w:id="1688"/>
      <w:bookmarkEnd w:id="1690"/>
    </w:p>
    <w:p>
      <w:pPr>
        <w:pStyle w:val="Style47"/>
        <w:keepNext/>
        <w:keepLines/>
        <w:widowControl w:val="0"/>
        <w:shd w:val="clear" w:color="auto" w:fill="auto"/>
        <w:tabs>
          <w:tab w:pos="493" w:val="left"/>
        </w:tabs>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91"/>
      <w:bookmarkEnd w:id="1692"/>
      <w:bookmarkEnd w:id="1694"/>
    </w:p>
    <w:p>
      <w:pPr>
        <w:pStyle w:val="Style38"/>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95"/>
      <w:bookmarkEnd w:id="1696"/>
      <w:bookmarkEnd w:id="1697"/>
    </w:p>
    <w:p>
      <w:pPr>
        <w:pStyle w:val="Style47"/>
        <w:keepNext/>
        <w:keepLines/>
        <w:widowControl w:val="0"/>
        <w:shd w:val="clear" w:color="auto" w:fill="auto"/>
        <w:tabs>
          <w:tab w:pos="493" w:val="left"/>
        </w:tabs>
        <w:bidi w:val="0"/>
        <w:spacing w:before="0" w:after="36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98"/>
      <w:bookmarkEnd w:id="1699"/>
      <w:bookmarkEnd w:id="1701"/>
    </w:p>
    <w:p>
      <w:pPr>
        <w:pStyle w:val="Style47"/>
        <w:keepNext/>
        <w:keepLines/>
        <w:widowControl w:val="0"/>
        <w:shd w:val="clear" w:color="auto" w:fill="auto"/>
        <w:tabs>
          <w:tab w:pos="493" w:val="left"/>
        </w:tabs>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02"/>
      <w:bookmarkEnd w:id="1703"/>
      <w:bookmarkEnd w:id="1705"/>
    </w:p>
    <w:p>
      <w:pPr>
        <w:pStyle w:val="Style3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p>
      <w:pPr>
        <w:pStyle w:val="Style38"/>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3</w:t>
      </w:r>
      <w:bookmarkEnd w:id="1708"/>
      <w:r>
        <w:rPr>
          <w:color w:val="000000"/>
          <w:spacing w:val="0"/>
          <w:w w:val="100"/>
          <w:position w:val="0"/>
        </w:rPr>
        <w:t>、在合营安排或联营企业中的权益</w:t>
      </w:r>
      <w:bookmarkEnd w:id="1706"/>
      <w:bookmarkEnd w:id="1707"/>
      <w:bookmarkEnd w:id="1709"/>
    </w:p>
    <w:p>
      <w:pPr>
        <w:pStyle w:val="Style47"/>
        <w:keepNext/>
        <w:keepLines/>
        <w:widowControl w:val="0"/>
        <w:shd w:val="clear" w:color="auto" w:fill="auto"/>
        <w:bidi w:val="0"/>
        <w:spacing w:before="0" w:after="32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10"/>
      <w:bookmarkEnd w:id="1711"/>
      <w:bookmarkEnd w:id="1712"/>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13"/>
      <w:bookmarkEnd w:id="1714"/>
      <w:bookmarkEnd w:id="171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31"/>
        </w:numPr>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重要联营企业的主要财务信息</w:t>
      </w:r>
      <w:bookmarkEnd w:id="1716"/>
      <w:bookmarkEnd w:id="1717"/>
      <w:bookmarkEnd w:id="171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31"/>
        </w:numPr>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不重要的合营企业和联营企业的汇总财务信息</w:t>
      </w:r>
      <w:bookmarkEnd w:id="1720"/>
      <w:bookmarkEnd w:id="1721"/>
      <w:bookmarkEnd w:id="1723"/>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r>
        <w:rPr>
          <w:color w:val="000000"/>
          <w:spacing w:val="0"/>
          <w:w w:val="100"/>
          <w:position w:val="0"/>
        </w:rPr>
        <w:t>⑸合营企业或联营企业向本公司转移资金的能力存在重大限制的说明</w:t>
      </w:r>
      <w:bookmarkEnd w:id="1724"/>
      <w:bookmarkEnd w:id="1725"/>
      <w:bookmarkEnd w:id="1726"/>
    </w:p>
    <w:p>
      <w:pPr>
        <w:pStyle w:val="Style47"/>
        <w:keepNext/>
        <w:keepLines/>
        <w:widowControl w:val="0"/>
        <w:numPr>
          <w:ilvl w:val="0"/>
          <w:numId w:val="133"/>
        </w:numPr>
        <w:shd w:val="clear" w:color="auto" w:fill="auto"/>
        <w:bidi w:val="0"/>
        <w:spacing w:before="0" w:after="38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合营企业或联营企业发生的超额亏损</w:t>
      </w:r>
      <w:bookmarkEnd w:id="1727"/>
      <w:bookmarkEnd w:id="1728"/>
      <w:bookmarkEnd w:id="1730"/>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本期未确认的损失(或本期分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spacing w:lineRule="exact" w:line="1"/>
        <w:rPr>
          <w:sz w:val="2"/>
          <w:szCs w:val="2"/>
        </w:rPr>
      </w:pPr>
      <w:r>
        <w:br w:type="page"/>
      </w:r>
    </w:p>
    <w:p>
      <w:pPr>
        <w:pStyle w:val="Style47"/>
        <w:keepNext/>
        <w:keepLines/>
        <w:widowControl w:val="0"/>
        <w:shd w:val="clear" w:color="auto" w:fill="auto"/>
        <w:tabs>
          <w:tab w:pos="633" w:val="left"/>
        </w:tabs>
        <w:bidi w:val="0"/>
        <w:spacing w:before="0" w:after="360" w:line="240" w:lineRule="auto"/>
        <w:ind w:left="0" w:right="0" w:firstLine="14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w:t>
      </w:r>
      <w:bookmarkEnd w:id="173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31"/>
      <w:bookmarkEnd w:id="1732"/>
      <w:bookmarkEnd w:id="1734"/>
    </w:p>
    <w:p>
      <w:pPr>
        <w:pStyle w:val="Style47"/>
        <w:keepNext/>
        <w:keepLines/>
        <w:widowControl w:val="0"/>
        <w:shd w:val="clear" w:color="auto" w:fill="auto"/>
        <w:tabs>
          <w:tab w:pos="633" w:val="left"/>
        </w:tabs>
        <w:bidi w:val="0"/>
        <w:spacing w:before="0" w:after="360" w:line="240" w:lineRule="auto"/>
        <w:ind w:left="0" w:right="0" w:firstLine="14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w:t>
      </w:r>
      <w:bookmarkEnd w:id="173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35"/>
      <w:bookmarkEnd w:id="1736"/>
      <w:bookmarkEnd w:id="1738"/>
    </w:p>
    <w:p>
      <w:pPr>
        <w:pStyle w:val="Style38"/>
        <w:keepNext/>
        <w:keepLines/>
        <w:widowControl w:val="0"/>
        <w:shd w:val="clear" w:color="auto" w:fill="auto"/>
        <w:bidi w:val="0"/>
        <w:spacing w:before="0" w:after="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、重要的共同经营</w:t>
      </w:r>
      <w:bookmarkEnd w:id="1739"/>
      <w:bookmarkEnd w:id="1740"/>
      <w:bookmarkEnd w:id="1742"/>
    </w:p>
    <w:p>
      <w:pPr>
        <w:widowControl w:val="0"/>
        <w:spacing w:line="1" w:lineRule="exact"/>
      </w:pPr>
      <w:r>
        <mc:AlternateContent>
          <mc:Choice Requires="wps">
            <w:drawing>
              <wp:anchor distT="127000" distB="0" distL="0" distR="0" simplePos="0" relativeHeight="125829392" behindDoc="0" locked="0" layoutInCell="1" allowOverlap="1">
                <wp:simplePos x="0" y="0"/>
                <wp:positionH relativeFrom="page">
                  <wp:posOffset>697230</wp:posOffset>
                </wp:positionH>
                <wp:positionV relativeFrom="paragraph">
                  <wp:posOffset>127000</wp:posOffset>
                </wp:positionV>
                <wp:extent cx="3051175" cy="521335"/>
                <wp:wrapTopAndBottom/>
                <wp:docPr id="28" name="Shape 28"/>
                <a:graphic xmlns:a="http://schemas.openxmlformats.org/drawingml/2006/main">
                  <a:graphicData uri="http://schemas.microsoft.com/office/word/2010/wordprocessingShape">
                    <wps:wsp>
                      <wps:cNvSpPr txBox="1"/>
                      <wps:spPr>
                        <a:xfrm>
                          <a:ext cx="3051175" cy="521335"/>
                        </a:xfrm>
                        <a:prstGeom prst="rect"/>
                        <a:noFill/>
                      </wps:spPr>
                      <wps:txbx>
                        <w:txbxContent>
                          <w:tbl>
                            <w:tblPr>
                              <w:tblOverlap w:val="never"/>
                              <w:jc w:val="left"/>
                              <w:tblLayout w:type="fixed"/>
                            </w:tblPr>
                            <w:tblGrid>
                              <w:gridCol w:w="1603"/>
                              <w:gridCol w:w="1598"/>
                              <w:gridCol w:w="1603"/>
                            </w:tblGrid>
                            <w:tr>
                              <w:trPr>
                                <w:tblHeader/>
                                <w:trHeight w:val="82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共同经营名称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r>
                          </w:tbl>
                          <w:p>
                            <w:pPr>
                              <w:widowControl w:val="0"/>
                              <w:spacing w:line="1" w:lineRule="exact"/>
                            </w:pPr>
                          </w:p>
                        </w:txbxContent>
                      </wps:txbx>
                      <wps:bodyPr lIns="0" tIns="0" rIns="0" bIns="0">
                        <a:noAutoFit/>
                      </wps:bodyPr>
                    </wps:wsp>
                  </a:graphicData>
                </a:graphic>
              </wp:anchor>
            </w:drawing>
          </mc:Choice>
          <mc:Fallback>
            <w:pict>
              <v:shape id="_x0000_s1054" type="#_x0000_t202" style="position:absolute;margin-left:54.899999999999999pt;margin-top:10.pt;width:240.25pt;height:41.050000000000004pt;z-index:-125829361;mso-wrap-distance-left:0;mso-wrap-distance-top:10.pt;mso-wrap-distance-right:0;mso-position-horizontal-relative:page" filled="f" stroked="f">
                <v:textbox inset="0,0,0,0">
                  <w:txbxContent>
                    <w:tbl>
                      <w:tblPr>
                        <w:tblOverlap w:val="never"/>
                        <w:jc w:val="left"/>
                        <w:tblLayout w:type="fixed"/>
                      </w:tblPr>
                      <w:tblGrid>
                        <w:gridCol w:w="1603"/>
                        <w:gridCol w:w="1598"/>
                        <w:gridCol w:w="1603"/>
                      </w:tblGrid>
                      <w:tr>
                        <w:trPr>
                          <w:tblHeader/>
                          <w:trHeight w:val="82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共同经营名称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394" behindDoc="0" locked="0" layoutInCell="1" allowOverlap="1">
                <wp:simplePos x="0" y="0"/>
                <wp:positionH relativeFrom="page">
                  <wp:posOffset>3736340</wp:posOffset>
                </wp:positionH>
                <wp:positionV relativeFrom="paragraph">
                  <wp:posOffset>127000</wp:posOffset>
                </wp:positionV>
                <wp:extent cx="3048000" cy="521335"/>
                <wp:wrapTopAndBottom/>
                <wp:docPr id="30" name="Shape 30"/>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widowControl w:val="0"/>
                              <w:spacing w:line="1" w:lineRule="exact"/>
                            </w:pPr>
                          </w:p>
                        </w:txbxContent>
                      </wps:txbx>
                      <wps:bodyPr lIns="0" tIns="0" rIns="0" bIns="0">
                        <a:noAutoFit/>
                      </wps:bodyPr>
                    </wps:wsp>
                  </a:graphicData>
                </a:graphic>
              </wp:anchor>
            </w:drawing>
          </mc:Choice>
          <mc:Fallback>
            <w:pict>
              <v:shape id="_x0000_s1056" type="#_x0000_t202" style="position:absolute;margin-left:294.19999999999999pt;margin-top:10.pt;width:240.pt;height:41.050000000000004pt;z-index:-125829359;mso-wrap-distance-left:0;mso-wrap-distance-top:10.pt;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widowControl w:val="0"/>
                        <w:spacing w:line="1" w:lineRule="exact"/>
                      </w:pPr>
                    </w:p>
                  </w:txbxContent>
                </v:textbox>
                <w10:wrap type="topAndBottom" anchorx="page"/>
              </v:shape>
            </w:pict>
          </mc:Fallback>
        </mc:AlternateContent>
      </w:r>
    </w:p>
    <w:p>
      <w:pPr>
        <w:pStyle w:val="Style38"/>
        <w:keepNext/>
        <w:keepLines/>
        <w:widowControl w:val="0"/>
        <w:shd w:val="clear" w:color="auto" w:fill="auto"/>
        <w:tabs>
          <w:tab w:pos="378" w:val="left"/>
        </w:tabs>
        <w:bidi w:val="0"/>
        <w:spacing w:before="0" w:after="360" w:line="240" w:lineRule="auto"/>
        <w:ind w:left="0" w:right="0" w:firstLine="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w:t>
        <w:tab/>
        <w:t>在未纳入合并财务报表范围的结构化主体中的权益</w:t>
      </w:r>
      <w:bookmarkEnd w:id="1743"/>
      <w:bookmarkEnd w:id="1744"/>
      <w:bookmarkEnd w:id="1746"/>
    </w:p>
    <w:p>
      <w:pPr>
        <w:pStyle w:val="Style38"/>
        <w:keepNext/>
        <w:keepLines/>
        <w:widowControl w:val="0"/>
        <w:shd w:val="clear" w:color="auto" w:fill="auto"/>
        <w:tabs>
          <w:tab w:pos="378" w:val="left"/>
        </w:tabs>
        <w:bidi w:val="0"/>
        <w:spacing w:before="0" w:after="36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color w:val="000000"/>
          <w:spacing w:val="0"/>
          <w:w w:val="100"/>
          <w:position w:val="0"/>
        </w:rPr>
        <w:t>、</w:t>
        <w:tab/>
        <w:t>其他</w:t>
      </w:r>
      <w:bookmarkEnd w:id="1747"/>
      <w:bookmarkEnd w:id="1748"/>
      <w:bookmarkEnd w:id="1750"/>
    </w:p>
    <w:p>
      <w:pPr>
        <w:pStyle w:val="Style27"/>
        <w:keepNext/>
        <w:keepLines/>
        <w:widowControl w:val="0"/>
        <w:shd w:val="clear" w:color="auto" w:fill="auto"/>
        <w:bidi w:val="0"/>
        <w:spacing w:before="0" w:after="360" w:line="240" w:lineRule="auto"/>
        <w:ind w:left="0" w:right="0" w:firstLine="0"/>
        <w:jc w:val="both"/>
      </w:pPr>
      <w:bookmarkStart w:id="1751" w:name="bookmark1751"/>
      <w:bookmarkStart w:id="1752" w:name="bookmark1752"/>
      <w:bookmarkStart w:id="1753" w:name="bookmark1753"/>
      <w:r>
        <w:rPr>
          <w:color w:val="000000"/>
          <w:spacing w:val="0"/>
          <w:w w:val="100"/>
          <w:position w:val="0"/>
          <w:sz w:val="24"/>
          <w:szCs w:val="24"/>
        </w:rPr>
        <w:t>十、与金融工具相关的风险</w:t>
      </w:r>
      <w:bookmarkEnd w:id="1751"/>
      <w:bookmarkEnd w:id="1752"/>
      <w:bookmarkEnd w:id="1753"/>
    </w:p>
    <w:p>
      <w:pPr>
        <w:pStyle w:val="Style2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（一）与金融工具相关的风险</w:t>
      </w:r>
    </w:p>
    <w:p>
      <w:pPr>
        <w:pStyle w:val="Style29"/>
        <w:keepNext w:val="0"/>
        <w:keepLines w:val="0"/>
        <w:widowControl w:val="0"/>
        <w:shd w:val="clear" w:color="auto" w:fill="auto"/>
        <w:bidi w:val="0"/>
        <w:spacing w:before="0" w:line="469"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险管理目标和政策的确定，并对风险管理目标和政策承担最终责任，但是董事会已授权本公司管理层和财 务部门设计和实施能确保风险管理目标和政策得以有效执行的程序。董事会通过财务部门递交的月度报告 来审查已执行程序的有效性以及风险管理目标和政策的合理性。</w:t>
      </w:r>
    </w:p>
    <w:p>
      <w:pPr>
        <w:pStyle w:val="Style29"/>
        <w:keepNext w:val="0"/>
        <w:keepLines w:val="0"/>
        <w:widowControl w:val="0"/>
        <w:shd w:val="clear" w:color="auto" w:fill="auto"/>
        <w:bidi w:val="0"/>
        <w:spacing w:before="0" w:line="475"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29"/>
        <w:keepNext w:val="0"/>
        <w:keepLines w:val="0"/>
        <w:widowControl w:val="0"/>
        <w:shd w:val="clear" w:color="auto" w:fill="auto"/>
        <w:bidi w:val="0"/>
        <w:spacing w:before="0" w:line="475" w:lineRule="exact"/>
        <w:ind w:left="0" w:right="0" w:firstLine="0"/>
        <w:jc w:val="both"/>
      </w:pPr>
      <w:r>
        <w:rPr>
          <w:b/>
          <w:bCs/>
          <w:color w:val="000000"/>
          <w:spacing w:val="0"/>
          <w:w w:val="100"/>
          <w:position w:val="0"/>
        </w:rPr>
        <w:t>（二）信用风险</w:t>
      </w:r>
    </w:p>
    <w:p>
      <w:pPr>
        <w:pStyle w:val="Style29"/>
        <w:keepNext w:val="0"/>
        <w:keepLines w:val="0"/>
        <w:widowControl w:val="0"/>
        <w:shd w:val="clear" w:color="auto" w:fill="auto"/>
        <w:bidi w:val="0"/>
        <w:spacing w:before="0" w:line="470"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w:t>
      </w:r>
    </w:p>
    <w:p>
      <w:pPr>
        <w:pStyle w:val="Style29"/>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公司通过对应收账款账龄分析的月度审核来确保公司的整体信用风险在可控的范围内。在监控客户的 信用风险时，按照客户的信用特征对其分组。</w:t>
      </w:r>
    </w:p>
    <w:p>
      <w:pPr>
        <w:pStyle w:val="Style29"/>
        <w:keepNext w:val="0"/>
        <w:keepLines w:val="0"/>
        <w:widowControl w:val="0"/>
        <w:shd w:val="clear" w:color="auto" w:fill="auto"/>
        <w:bidi w:val="0"/>
        <w:spacing w:before="0" w:after="40" w:line="470" w:lineRule="exact"/>
        <w:ind w:left="0" w:right="0" w:firstLine="0"/>
        <w:jc w:val="both"/>
      </w:pPr>
      <w:bookmarkStart w:id="1754" w:name="bookmark1754"/>
      <w:r>
        <w:rPr>
          <w:b/>
          <w:bCs/>
          <w:color w:val="000000"/>
          <w:spacing w:val="0"/>
          <w:w w:val="100"/>
          <w:position w:val="0"/>
        </w:rPr>
        <w:t>（</w:t>
      </w:r>
      <w:bookmarkEnd w:id="1754"/>
      <w:r>
        <w:rPr>
          <w:b/>
          <w:bCs/>
          <w:color w:val="000000"/>
          <w:spacing w:val="0"/>
          <w:w w:val="100"/>
          <w:position w:val="0"/>
        </w:rPr>
        <w:t>三）市场风险</w:t>
      </w:r>
    </w:p>
    <w:p>
      <w:pPr>
        <w:pStyle w:val="Style29"/>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29"/>
        <w:keepNext w:val="0"/>
        <w:keepLines w:val="0"/>
        <w:widowControl w:val="0"/>
        <w:shd w:val="clear" w:color="auto" w:fill="auto"/>
        <w:bidi w:val="0"/>
        <w:spacing w:before="0" w:after="240" w:line="240" w:lineRule="auto"/>
        <w:ind w:left="0" w:right="0" w:firstLine="440"/>
        <w:jc w:val="both"/>
      </w:pPr>
      <w:r>
        <w:rPr>
          <w:b/>
          <w:bCs/>
          <w:color w:val="000000"/>
          <w:spacing w:val="0"/>
          <w:w w:val="100"/>
          <w:position w:val="0"/>
        </w:rPr>
        <w:t>1、利率风险</w:t>
      </w:r>
    </w:p>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利率风险，是指金融工具的公允价值或未来现金流量因市场利率变动而发生波动的风险。本公司面临 </w:t>
      </w:r>
      <w:r>
        <w:rPr>
          <w:color w:val="000000"/>
          <w:spacing w:val="0"/>
          <w:w w:val="100"/>
          <w:position w:val="0"/>
        </w:rPr>
        <w:t>的利率风险主要来源于银行借款，截止</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日公司无银行借款。</w:t>
      </w:r>
    </w:p>
    <w:p>
      <w:pPr>
        <w:pStyle w:val="Style29"/>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2、汇率风险</w:t>
      </w:r>
    </w:p>
    <w:p>
      <w:pPr>
        <w:pStyle w:val="Style29"/>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汇率风险，是指金融工具的公允价值或未来现金流量因外汇汇率变动而发生波动的风险。本公司尽可 能将外币收入与外币支出相匹配以降低汇率风险。此外，公司还可能签署远期外汇合约或货币互换合约以 达到规避汇率风险的目的。于本报告期间，本公司未签署任何远期外汇合约或货币互换合约。</w:t>
      </w:r>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本公司面临的汇率风险主要来源于以外币计价的金融资产和金融负债，外币金融资产和外币金融负债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折算成人民币的金额列示如下：</w:t>
      </w:r>
    </w:p>
    <w:tbl>
      <w:tblPr>
        <w:tblOverlap w:val="never"/>
        <w:jc w:val="center"/>
        <w:tblLayout w:type="fixed"/>
      </w:tblPr>
      <w:tblGrid>
        <w:gridCol w:w="1618"/>
        <w:gridCol w:w="1334"/>
        <w:gridCol w:w="1339"/>
        <w:gridCol w:w="1426"/>
        <w:gridCol w:w="1334"/>
        <w:gridCol w:w="1334"/>
        <w:gridCol w:w="1349"/>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港币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合计</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6,114,911.18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2,577,023.11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8,691,934.29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2,877,205.12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2,432,977.47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5,310,182.59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359,977.82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1,093,975.42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1,453,953.24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435,225.05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835,623.31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1,270,848.36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20,037.43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15,609.32</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6,474,889.00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3,691,035.96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10,165,924.96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3,312,430.17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3,284,210.10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6,596,640.27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应付帐款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508,178.07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2,074,179.17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2,582,357.24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582,874.14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1,570,726.06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2,153,600.20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37,116.33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17,916.00</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508,178.07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2,111,295.50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2,619,473.57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582,874.14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1,588,642.06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2,171,516.20</w:t>
            </w:r>
          </w:p>
        </w:tc>
      </w:tr>
    </w:tbl>
    <w:p>
      <w:pPr>
        <w:widowControl w:val="0"/>
        <w:spacing w:after="559" w:line="1" w:lineRule="exact"/>
      </w:pPr>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在所有其他变量保持不变的情况下，如果人民币对美元升值或贬值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,对本公司净利润的影响如下。</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管理层认为</w:t>
      </w:r>
      <w:r>
        <w:rPr>
          <w:rFonts w:ascii="Times New Roman" w:eastAsia="Times New Roman" w:hAnsi="Times New Roman" w:cs="Times New Roman"/>
          <w:color w:val="000000"/>
          <w:spacing w:val="0"/>
          <w:w w:val="100"/>
          <w:position w:val="0"/>
        </w:rPr>
        <w:t>10%</w:t>
      </w:r>
      <w:r>
        <w:rPr>
          <w:color w:val="000000"/>
          <w:spacing w:val="0"/>
          <w:w w:val="100"/>
          <w:position w:val="0"/>
        </w:rPr>
        <w:t>合理反映了人民币对美元可能发生变动的合理范围。</w:t>
      </w:r>
    </w:p>
    <w:tbl>
      <w:tblPr>
        <w:tblOverlap w:val="never"/>
        <w:jc w:val="center"/>
        <w:tblLayout w:type="fixed"/>
      </w:tblPr>
      <w:tblGrid>
        <w:gridCol w:w="3312"/>
        <w:gridCol w:w="3283"/>
        <w:gridCol w:w="3293"/>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汇率变化</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对净利润的影响</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-754,645.14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-442,512.41</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754,645.14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442,512.41</w:t>
            </w:r>
          </w:p>
        </w:tc>
      </w:tr>
    </w:tbl>
    <w:p>
      <w:pPr>
        <w:widowControl w:val="0"/>
        <w:spacing w:after="159" w:line="1" w:lineRule="exact"/>
      </w:pPr>
    </w:p>
    <w:p>
      <w:pPr>
        <w:pStyle w:val="Style29"/>
        <w:keepNext w:val="0"/>
        <w:keepLines w:val="0"/>
        <w:widowControl w:val="0"/>
        <w:shd w:val="clear" w:color="auto" w:fill="auto"/>
        <w:bidi w:val="0"/>
        <w:spacing w:before="0" w:after="0" w:line="469" w:lineRule="exact"/>
        <w:ind w:left="0" w:right="0" w:firstLine="440"/>
        <w:jc w:val="left"/>
      </w:pPr>
      <w:bookmarkStart w:id="1755" w:name="bookmark1755"/>
      <w:r>
        <w:rPr>
          <w:b/>
          <w:bCs/>
          <w:color w:val="000000"/>
          <w:spacing w:val="0"/>
          <w:w w:val="100"/>
          <w:position w:val="0"/>
        </w:rPr>
        <w:t>3</w:t>
      </w:r>
      <w:bookmarkEnd w:id="1755"/>
      <w:r>
        <w:rPr>
          <w:b/>
          <w:bCs/>
          <w:color w:val="000000"/>
          <w:spacing w:val="0"/>
          <w:w w:val="100"/>
          <w:position w:val="0"/>
        </w:rPr>
        <w:t>、流动性风险</w:t>
      </w:r>
    </w:p>
    <w:p>
      <w:pPr>
        <w:pStyle w:val="Style29"/>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29"/>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本公司各项金融负债以未折现的合同现金流量按到期日列示如下:</w:t>
      </w:r>
      <w:r>
        <w:br w:type="page"/>
      </w:r>
    </w:p>
    <w:tbl>
      <w:tblPr>
        <w:tblOverlap w:val="never"/>
        <w:jc w:val="center"/>
        <w:tblLayout w:type="fixed"/>
      </w:tblPr>
      <w:tblGrid>
        <w:gridCol w:w="1718"/>
        <w:gridCol w:w="1469"/>
        <w:gridCol w:w="1186"/>
        <w:gridCol w:w="1181"/>
        <w:gridCol w:w="1109"/>
        <w:gridCol w:w="1166"/>
        <w:gridCol w:w="1570"/>
      </w:tblGrid>
      <w:tr>
        <w:trPr>
          <w:trHeight w:val="37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应付帐款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42,135,456.59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42,135,456.59</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42,135,456.59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42,135,456.59</w:t>
            </w:r>
          </w:p>
        </w:tc>
      </w:tr>
    </w:tbl>
    <w:p>
      <w:pPr>
        <w:widowControl w:val="0"/>
        <w:spacing w:after="299" w:line="1" w:lineRule="exact"/>
      </w:pPr>
    </w:p>
    <w:p>
      <w:pPr>
        <w:widowControl w:val="0"/>
        <w:spacing w:line="1" w:lineRule="exact"/>
      </w:pPr>
    </w:p>
    <w:tbl>
      <w:tblPr>
        <w:tblOverlap w:val="never"/>
        <w:jc w:val="center"/>
        <w:tblLayout w:type="fixed"/>
      </w:tblPr>
      <w:tblGrid>
        <w:gridCol w:w="1714"/>
        <w:gridCol w:w="1450"/>
        <w:gridCol w:w="1176"/>
        <w:gridCol w:w="1176"/>
        <w:gridCol w:w="1099"/>
        <w:gridCol w:w="1157"/>
        <w:gridCol w:w="1589"/>
      </w:tblGrid>
      <w:tr>
        <w:trPr>
          <w:trHeight w:val="379"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80"/>
              <w:jc w:val="left"/>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应付帐款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46,552,760.82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46,552,760.82</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46,552,760.82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46,552,760.82</w:t>
            </w:r>
          </w:p>
        </w:tc>
      </w:tr>
    </w:tbl>
    <w:p>
      <w:pPr>
        <w:widowControl w:val="0"/>
        <w:spacing w:after="619" w:line="1" w:lineRule="exact"/>
      </w:pPr>
    </w:p>
    <w:p>
      <w:pPr>
        <w:pStyle w:val="Style27"/>
        <w:keepNext/>
        <w:keepLines/>
        <w:widowControl w:val="0"/>
        <w:shd w:val="clear" w:color="auto" w:fill="auto"/>
        <w:bidi w:val="0"/>
        <w:spacing w:before="0" w:after="360" w:line="240" w:lineRule="auto"/>
        <w:ind w:left="0" w:right="0" w:firstLine="0"/>
        <w:jc w:val="left"/>
      </w:pPr>
      <w:bookmarkStart w:id="1756" w:name="bookmark1756"/>
      <w:bookmarkStart w:id="1757" w:name="bookmark1757"/>
      <w:bookmarkStart w:id="1758" w:name="bookmark1758"/>
      <w:r>
        <w:rPr>
          <w:color w:val="000000"/>
          <w:spacing w:val="0"/>
          <w:w w:val="100"/>
          <w:position w:val="0"/>
          <w:sz w:val="24"/>
          <w:szCs w:val="24"/>
        </w:rPr>
        <w:t>十一、公允价值的披露</w:t>
      </w:r>
      <w:bookmarkEnd w:id="1756"/>
      <w:bookmarkEnd w:id="1757"/>
      <w:bookmarkEnd w:id="1758"/>
    </w:p>
    <w:p>
      <w:pPr>
        <w:pStyle w:val="Style38"/>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59"/>
      <w:bookmarkEnd w:id="1760"/>
      <w:bookmarkEnd w:id="176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11" w:right="977" w:bottom="1551" w:left="1026" w:header="0" w:footer="3" w:gutter="0"/>
          <w:cols w:space="720"/>
          <w:noEndnote/>
          <w:rtlGutter w:val="0"/>
          <w:docGrid w:linePitch="360"/>
        </w:sectPr>
      </w:pPr>
    </w:p>
    <w:p>
      <w:pPr>
        <w:pStyle w:val="Style38"/>
        <w:keepNext/>
        <w:keepLines/>
        <w:widowControl w:val="0"/>
        <w:shd w:val="clear" w:color="auto" w:fill="auto"/>
        <w:tabs>
          <w:tab w:pos="378" w:val="left"/>
        </w:tabs>
        <w:bidi w:val="0"/>
        <w:spacing w:before="300" w:after="36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bookmarkEnd w:id="1764"/>
      <w:r>
        <w:rPr>
          <w:color w:val="000000"/>
          <w:spacing w:val="0"/>
          <w:w w:val="100"/>
          <w:position w:val="0"/>
        </w:rPr>
        <w:t>、</w:t>
        <w:tab/>
        <w:t>持续和非持续第一层次公允价值计量项目市价的确定依据</w:t>
      </w:r>
      <w:bookmarkEnd w:id="1762"/>
      <w:bookmarkEnd w:id="1763"/>
      <w:bookmarkEnd w:id="1765"/>
    </w:p>
    <w:p>
      <w:pPr>
        <w:pStyle w:val="Style38"/>
        <w:keepNext/>
        <w:keepLines/>
        <w:widowControl w:val="0"/>
        <w:shd w:val="clear" w:color="auto" w:fill="auto"/>
        <w:tabs>
          <w:tab w:pos="378" w:val="left"/>
        </w:tabs>
        <w:bidi w:val="0"/>
        <w:spacing w:before="0" w:after="36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3</w:t>
      </w:r>
      <w:bookmarkEnd w:id="1768"/>
      <w:r>
        <w:rPr>
          <w:color w:val="000000"/>
          <w:spacing w:val="0"/>
          <w:w w:val="100"/>
          <w:position w:val="0"/>
        </w:rPr>
        <w:t>、</w:t>
        <w:tab/>
        <w:t>持续和非持续第二层次公允价值计量项目，采用的估值技术和重要参数的定性及定量信息</w:t>
      </w:r>
      <w:bookmarkEnd w:id="1766"/>
      <w:bookmarkEnd w:id="1767"/>
      <w:bookmarkEnd w:id="1769"/>
    </w:p>
    <w:p>
      <w:pPr>
        <w:pStyle w:val="Style38"/>
        <w:keepNext/>
        <w:keepLines/>
        <w:widowControl w:val="0"/>
        <w:shd w:val="clear" w:color="auto" w:fill="auto"/>
        <w:tabs>
          <w:tab w:pos="378" w:val="left"/>
        </w:tabs>
        <w:bidi w:val="0"/>
        <w:spacing w:before="0" w:after="36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4</w:t>
      </w:r>
      <w:bookmarkEnd w:id="1772"/>
      <w:r>
        <w:rPr>
          <w:color w:val="000000"/>
          <w:spacing w:val="0"/>
          <w:w w:val="100"/>
          <w:position w:val="0"/>
        </w:rPr>
        <w:t>、</w:t>
        <w:tab/>
        <w:t>持续和非持续第三层次公允价值计量项目，采用的估值技术和重要参数的定性及定量信息</w:t>
      </w:r>
      <w:bookmarkEnd w:id="1770"/>
      <w:bookmarkEnd w:id="1771"/>
      <w:bookmarkEnd w:id="1773"/>
    </w:p>
    <w:p>
      <w:pPr>
        <w:pStyle w:val="Style38"/>
        <w:keepNext/>
        <w:keepLines/>
        <w:widowControl w:val="0"/>
        <w:shd w:val="clear" w:color="auto" w:fill="auto"/>
        <w:tabs>
          <w:tab w:pos="378" w:val="left"/>
        </w:tabs>
        <w:bidi w:val="0"/>
        <w:spacing w:before="0" w:after="36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5</w:t>
      </w:r>
      <w:bookmarkEnd w:id="1776"/>
      <w:r>
        <w:rPr>
          <w:color w:val="000000"/>
          <w:spacing w:val="0"/>
          <w:w w:val="100"/>
          <w:position w:val="0"/>
        </w:rPr>
        <w:t>、</w:t>
        <w:tab/>
        <w:t>持续的第三层次公允价值计量项目，期初与期末账面价值间的调节信息及不可观察参数敏感性分析</w:t>
      </w:r>
      <w:bookmarkEnd w:id="1774"/>
      <w:bookmarkEnd w:id="1775"/>
      <w:bookmarkEnd w:id="1777"/>
    </w:p>
    <w:p>
      <w:pPr>
        <w:pStyle w:val="Style38"/>
        <w:keepNext/>
        <w:keepLines/>
        <w:widowControl w:val="0"/>
        <w:shd w:val="clear" w:color="auto" w:fill="auto"/>
        <w:tabs>
          <w:tab w:pos="378" w:val="left"/>
        </w:tabs>
        <w:bidi w:val="0"/>
        <w:spacing w:before="0" w:after="36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color w:val="000000"/>
          <w:spacing w:val="0"/>
          <w:w w:val="100"/>
          <w:position w:val="0"/>
        </w:rPr>
        <w:t>、</w:t>
        <w:tab/>
        <w:t>持续的公允价值计量项目，本期内发生各层级之间转换的，转换的原因及确定转换时点的政策</w:t>
      </w:r>
      <w:bookmarkEnd w:id="1778"/>
      <w:bookmarkEnd w:id="1779"/>
      <w:bookmarkEnd w:id="1781"/>
    </w:p>
    <w:p>
      <w:pPr>
        <w:pStyle w:val="Style38"/>
        <w:keepNext/>
        <w:keepLines/>
        <w:widowControl w:val="0"/>
        <w:shd w:val="clear" w:color="auto" w:fill="auto"/>
        <w:tabs>
          <w:tab w:pos="378" w:val="left"/>
        </w:tabs>
        <w:bidi w:val="0"/>
        <w:spacing w:before="0" w:after="36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7</w:t>
      </w:r>
      <w:bookmarkEnd w:id="1784"/>
      <w:r>
        <w:rPr>
          <w:color w:val="000000"/>
          <w:spacing w:val="0"/>
          <w:w w:val="100"/>
          <w:position w:val="0"/>
        </w:rPr>
        <w:t>、</w:t>
        <w:tab/>
        <w:t>本期内发生的估值技术变更及变更原因</w:t>
      </w:r>
      <w:bookmarkEnd w:id="1782"/>
      <w:bookmarkEnd w:id="1783"/>
      <w:bookmarkEnd w:id="1785"/>
    </w:p>
    <w:p>
      <w:pPr>
        <w:pStyle w:val="Style38"/>
        <w:keepNext/>
        <w:keepLines/>
        <w:widowControl w:val="0"/>
        <w:shd w:val="clear" w:color="auto" w:fill="auto"/>
        <w:tabs>
          <w:tab w:pos="378" w:val="left"/>
        </w:tabs>
        <w:bidi w:val="0"/>
        <w:spacing w:before="0" w:after="36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8</w:t>
      </w:r>
      <w:bookmarkEnd w:id="1788"/>
      <w:r>
        <w:rPr>
          <w:color w:val="000000"/>
          <w:spacing w:val="0"/>
          <w:w w:val="100"/>
          <w:position w:val="0"/>
        </w:rPr>
        <w:t>、</w:t>
        <w:tab/>
        <w:t>不以公允价值计量的金融资产和金融负债的公允价值情况</w:t>
      </w:r>
      <w:bookmarkEnd w:id="1786"/>
      <w:bookmarkEnd w:id="1787"/>
      <w:bookmarkEnd w:id="1789"/>
    </w:p>
    <w:p>
      <w:pPr>
        <w:pStyle w:val="Style38"/>
        <w:keepNext/>
        <w:keepLines/>
        <w:widowControl w:val="0"/>
        <w:shd w:val="clear" w:color="auto" w:fill="auto"/>
        <w:tabs>
          <w:tab w:pos="378" w:val="left"/>
        </w:tabs>
        <w:bidi w:val="0"/>
        <w:spacing w:before="0" w:after="36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9</w:t>
      </w:r>
      <w:bookmarkEnd w:id="1792"/>
      <w:r>
        <w:rPr>
          <w:color w:val="000000"/>
          <w:spacing w:val="0"/>
          <w:w w:val="100"/>
          <w:position w:val="0"/>
        </w:rPr>
        <w:t>、</w:t>
        <w:tab/>
        <w:t>其他</w:t>
      </w:r>
      <w:bookmarkEnd w:id="1790"/>
      <w:bookmarkEnd w:id="1791"/>
      <w:bookmarkEnd w:id="1793"/>
    </w:p>
    <w:p>
      <w:pPr>
        <w:pStyle w:val="Style27"/>
        <w:keepNext/>
        <w:keepLines/>
        <w:widowControl w:val="0"/>
        <w:shd w:val="clear" w:color="auto" w:fill="auto"/>
        <w:bidi w:val="0"/>
        <w:spacing w:before="0" w:after="360" w:line="240" w:lineRule="auto"/>
        <w:ind w:left="0" w:right="0" w:firstLine="0"/>
        <w:jc w:val="left"/>
      </w:pPr>
      <w:bookmarkStart w:id="1794" w:name="bookmark1794"/>
      <w:bookmarkStart w:id="1795" w:name="bookmark1795"/>
      <w:bookmarkStart w:id="1796" w:name="bookmark1796"/>
      <w:r>
        <w:rPr>
          <w:color w:val="000000"/>
          <w:spacing w:val="0"/>
          <w:w w:val="100"/>
          <w:position w:val="0"/>
          <w:sz w:val="24"/>
          <w:szCs w:val="24"/>
        </w:rPr>
        <w:t>十二、关联方及关联交易</w:t>
      </w:r>
      <w:bookmarkEnd w:id="1794"/>
      <w:bookmarkEnd w:id="1795"/>
      <w:bookmarkEnd w:id="1796"/>
    </w:p>
    <w:p>
      <w:pPr>
        <w:pStyle w:val="Style38"/>
        <w:keepNext/>
        <w:keepLines/>
        <w:widowControl w:val="0"/>
        <w:shd w:val="clear" w:color="auto" w:fill="auto"/>
        <w:bidi w:val="0"/>
        <w:spacing w:before="0" w:after="36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97"/>
      <w:bookmarkEnd w:id="1798"/>
      <w:bookmarkEnd w:id="1799"/>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2</w:t>
      </w:r>
      <w:bookmarkEnd w:id="1802"/>
      <w:r>
        <w:rPr>
          <w:color w:val="000000"/>
          <w:spacing w:val="0"/>
          <w:w w:val="100"/>
          <w:position w:val="0"/>
        </w:rPr>
        <w:t>、</w:t>
        <w:tab/>
        <w:t>本企业的子公司情况</w:t>
      </w:r>
      <w:bookmarkEnd w:id="1800"/>
      <w:bookmarkEnd w:id="1801"/>
      <w:bookmarkEnd w:id="180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3</w:t>
      </w:r>
      <w:bookmarkEnd w:id="1806"/>
      <w:r>
        <w:rPr>
          <w:color w:val="000000"/>
          <w:spacing w:val="0"/>
          <w:w w:val="100"/>
          <w:position w:val="0"/>
        </w:rPr>
        <w:t>、</w:t>
        <w:tab/>
        <w:t>本企业合营和联营企业情况</w:t>
      </w:r>
      <w:bookmarkEnd w:id="1804"/>
      <w:bookmarkEnd w:id="1805"/>
      <w:bookmarkEnd w:id="1807"/>
    </w:p>
    <w:p>
      <w:pPr>
        <w:pStyle w:val="Style29"/>
        <w:keepNext w:val="0"/>
        <w:keepLines w:val="0"/>
        <w:widowControl w:val="0"/>
        <w:shd w:val="clear" w:color="auto" w:fill="auto"/>
        <w:bidi w:val="0"/>
        <w:spacing w:before="0" w:after="480" w:line="240" w:lineRule="auto"/>
        <w:ind w:left="0" w:right="0" w:firstLine="0"/>
        <w:jc w:val="left"/>
      </w:pPr>
      <w:bookmarkStart w:id="1808" w:name="bookmark1808"/>
      <w:r>
        <w:rPr>
          <w:color w:val="000000"/>
          <w:spacing w:val="0"/>
          <w:w w:val="100"/>
          <w:position w:val="0"/>
        </w:rPr>
        <w:t>本</w:t>
      </w:r>
      <w:bookmarkEnd w:id="1808"/>
      <w:r>
        <w:rPr>
          <w:color w:val="000000"/>
          <w:spacing w:val="0"/>
          <w:w w:val="100"/>
          <w:position w:val="0"/>
        </w:rPr>
        <w:t>企业重要的合营或联营企业详见附注。</w:t>
      </w:r>
    </w:p>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widowControl w:val="0"/>
        <w:spacing w:after="359" w:line="1" w:lineRule="exact"/>
      </w:pPr>
    </w:p>
    <w:p>
      <w:pPr>
        <w:pStyle w:val="Style44"/>
        <w:keepNext w:val="0"/>
        <w:keepLines w:val="0"/>
        <w:widowControl w:val="0"/>
        <w:shd w:val="clear" w:color="auto" w:fill="auto"/>
        <w:bidi w:val="0"/>
        <w:spacing w:before="0" w:after="0" w:line="240" w:lineRule="auto"/>
        <w:ind w:left="0" w:right="0" w:firstLine="0"/>
        <w:jc w:val="left"/>
        <w:rPr>
          <w:sz w:val="20"/>
          <w:szCs w:val="20"/>
        </w:rPr>
      </w:pPr>
      <w:bookmarkStart w:id="1809" w:name="bookmark180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、其他关联方情况</w:t>
      </w:r>
      <w:bookmarkEnd w:id="180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深圳市海岱柱石科技发展有限公司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实际控制人陈树林控股公司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盛威时代科技集团有限公司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深圳市海岱柱石科技发展有限公司参股公司</w:t>
            </w:r>
          </w:p>
        </w:tc>
      </w:tr>
    </w:tbl>
    <w:p>
      <w:pPr>
        <w:pStyle w:val="Style38"/>
        <w:keepNext/>
        <w:keepLines/>
        <w:widowControl w:val="0"/>
        <w:shd w:val="clear" w:color="auto" w:fill="auto"/>
        <w:bidi w:val="0"/>
        <w:spacing w:before="0" w:after="34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color w:val="000000"/>
          <w:spacing w:val="0"/>
          <w:w w:val="100"/>
          <w:position w:val="0"/>
        </w:rPr>
        <w:t>、关联交易情况</w:t>
      </w:r>
      <w:bookmarkEnd w:id="1810"/>
      <w:bookmarkEnd w:id="1811"/>
      <w:bookmarkEnd w:id="1813"/>
    </w:p>
    <w:p>
      <w:pPr>
        <w:pStyle w:val="Style47"/>
        <w:keepNext/>
        <w:keepLines/>
        <w:widowControl w:val="0"/>
        <w:shd w:val="clear" w:color="auto" w:fill="auto"/>
        <w:bidi w:val="0"/>
        <w:spacing w:before="0" w:after="34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14"/>
      <w:bookmarkEnd w:id="1815"/>
      <w:bookmarkEnd w:id="181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both"/>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17"/>
      <w:bookmarkEnd w:id="1818"/>
      <w:bookmarkEnd w:id="1819"/>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r>
        <w:trPr>
          <w:trHeight w:val="907"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both"/>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20"/>
      <w:bookmarkEnd w:id="1821"/>
      <w:bookmarkEnd w:id="1823"/>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上期确认的租赁收入</w:t>
            </w:r>
          </w:p>
        </w:tc>
      </w:tr>
    </w:tbl>
    <w:p>
      <w:pPr>
        <w:widowControl w:val="0"/>
        <w:spacing w:after="41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本公司作为承租方：</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24"/>
      <w:bookmarkEnd w:id="1825"/>
      <w:bookmarkEnd w:id="182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bl>
    <w:p>
      <w:pPr>
        <w:spacing w:lineRule="exact" w:line="1"/>
        <w:rPr>
          <w:sz w:val="2"/>
          <w:szCs w:val="2"/>
        </w:rPr>
      </w:pPr>
      <w:r>
        <w:br w:type="page"/>
      </w:r>
    </w:p>
    <w:tbl>
      <w:tblPr>
        <w:tblOverlap w:val="never"/>
        <w:jc w:val="center"/>
        <w:tblLayout w:type="fixed"/>
      </w:tblPr>
      <w:tblGrid>
        <w:gridCol w:w="1944"/>
        <w:gridCol w:w="1915"/>
        <w:gridCol w:w="1915"/>
        <w:gridCol w:w="1915"/>
        <w:gridCol w:w="2016"/>
      </w:tblGrid>
      <w:tr>
        <w:trPr>
          <w:trHeight w:val="106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tc>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28"/>
      <w:bookmarkEnd w:id="1829"/>
      <w:bookmarkEnd w:id="1831"/>
    </w:p>
    <w:p>
      <w:pPr>
        <w:widowControl w:val="0"/>
        <w:jc w:val="center"/>
        <w:rPr>
          <w:sz w:val="2"/>
          <w:szCs w:val="2"/>
        </w:rPr>
      </w:pPr>
      <w:r>
        <w:drawing>
          <wp:inline>
            <wp:extent cx="6126480" cy="95123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pic:blipFill>
                  <pic:spPr>
                    <a:xfrm>
                      <a:ext cx="6126480" cy="951230"/>
                    </a:xfrm>
                    <a:prstGeom prst="rect"/>
                  </pic:spPr>
                </pic:pic>
              </a:graphicData>
            </a:graphic>
          </wp:inline>
        </w:drawing>
      </w:r>
    </w:p>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32"/>
      <w:bookmarkEnd w:id="1833"/>
      <w:bookmarkEnd w:id="183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w:t>
      </w:r>
      <w:bookmarkEnd w:id="183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36"/>
      <w:bookmarkEnd w:id="1837"/>
      <w:bookmarkEnd w:id="183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5,007,659.00</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both"/>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40"/>
      <w:bookmarkEnd w:id="1841"/>
      <w:bookmarkEnd w:id="1843"/>
    </w:p>
    <w:p>
      <w:pPr>
        <w:pStyle w:val="Style38"/>
        <w:keepNext/>
        <w:keepLines/>
        <w:widowControl w:val="0"/>
        <w:shd w:val="clear" w:color="auto" w:fill="auto"/>
        <w:bidi w:val="0"/>
        <w:spacing w:before="0" w:after="38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6</w:t>
      </w:r>
      <w:bookmarkEnd w:id="1846"/>
      <w:r>
        <w:rPr>
          <w:color w:val="000000"/>
          <w:spacing w:val="0"/>
          <w:w w:val="100"/>
          <w:position w:val="0"/>
        </w:rPr>
        <w:t>、关联方应收应付款项</w:t>
      </w:r>
      <w:bookmarkEnd w:id="1844"/>
      <w:bookmarkEnd w:id="1845"/>
      <w:bookmarkEnd w:id="1847"/>
    </w:p>
    <w:p>
      <w:pPr>
        <w:pStyle w:val="Style47"/>
        <w:keepNext/>
        <w:keepLines/>
        <w:widowControl w:val="0"/>
        <w:shd w:val="clear" w:color="auto" w:fill="auto"/>
        <w:bidi w:val="0"/>
        <w:spacing w:before="0" w:after="380" w:line="240" w:lineRule="auto"/>
        <w:ind w:left="0" w:right="0" w:firstLine="0"/>
        <w:jc w:val="both"/>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48"/>
      <w:bookmarkEnd w:id="1849"/>
      <w:bookmarkEnd w:id="1850"/>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14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51"/>
      <w:bookmarkEnd w:id="1852"/>
      <w:bookmarkEnd w:id="185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7</w:t>
      </w:r>
      <w:bookmarkEnd w:id="1856"/>
      <w:r>
        <w:rPr>
          <w:color w:val="000000"/>
          <w:spacing w:val="0"/>
          <w:w w:val="100"/>
          <w:position w:val="0"/>
        </w:rPr>
        <w:t>、关联方承诺</w:t>
      </w:r>
      <w:bookmarkEnd w:id="1854"/>
      <w:bookmarkEnd w:id="1855"/>
      <w:bookmarkEnd w:id="1857"/>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截至报告期末，本公司无需要披露的重要承诺事项。</w:t>
      </w:r>
    </w:p>
    <w:p>
      <w:pPr>
        <w:pStyle w:val="Style38"/>
        <w:keepNext/>
        <w:keepLines/>
        <w:widowControl w:val="0"/>
        <w:shd w:val="clear" w:color="auto" w:fill="auto"/>
        <w:bidi w:val="0"/>
        <w:spacing w:before="0" w:after="36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8</w:t>
      </w:r>
      <w:bookmarkEnd w:id="1860"/>
      <w:r>
        <w:rPr>
          <w:color w:val="000000"/>
          <w:spacing w:val="0"/>
          <w:w w:val="100"/>
          <w:position w:val="0"/>
        </w:rPr>
        <w:t>、其他</w:t>
      </w:r>
      <w:bookmarkEnd w:id="1858"/>
      <w:bookmarkEnd w:id="1859"/>
      <w:bookmarkEnd w:id="186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截至报告期末，本公司无需要披露的其他重要事项。</w:t>
      </w:r>
    </w:p>
    <w:p>
      <w:pPr>
        <w:pStyle w:val="Style27"/>
        <w:keepNext/>
        <w:keepLines/>
        <w:widowControl w:val="0"/>
        <w:shd w:val="clear" w:color="auto" w:fill="auto"/>
        <w:bidi w:val="0"/>
        <w:spacing w:before="0" w:after="360" w:line="240" w:lineRule="auto"/>
        <w:ind w:left="0" w:right="0" w:firstLine="0"/>
        <w:jc w:val="left"/>
      </w:pPr>
      <w:bookmarkStart w:id="1862" w:name="bookmark1862"/>
      <w:bookmarkStart w:id="1863" w:name="bookmark1863"/>
      <w:bookmarkStart w:id="1864" w:name="bookmark1864"/>
      <w:r>
        <w:rPr>
          <w:color w:val="000000"/>
          <w:spacing w:val="0"/>
          <w:w w:val="100"/>
          <w:position w:val="0"/>
          <w:sz w:val="24"/>
          <w:szCs w:val="24"/>
        </w:rPr>
        <w:t>十三、股份支付</w:t>
      </w:r>
      <w:bookmarkEnd w:id="1862"/>
      <w:bookmarkEnd w:id="1863"/>
      <w:bookmarkEnd w:id="1864"/>
    </w:p>
    <w:p>
      <w:pPr>
        <w:pStyle w:val="Style38"/>
        <w:keepNext/>
        <w:keepLines/>
        <w:widowControl w:val="0"/>
        <w:shd w:val="clear" w:color="auto" w:fill="auto"/>
        <w:tabs>
          <w:tab w:pos="368" w:val="left"/>
        </w:tabs>
        <w:bidi w:val="0"/>
        <w:spacing w:before="0" w:after="36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bookmarkEnd w:id="1867"/>
      <w:r>
        <w:rPr>
          <w:color w:val="000000"/>
          <w:spacing w:val="0"/>
          <w:w w:val="100"/>
          <w:position w:val="0"/>
        </w:rPr>
        <w:t>、</w:t>
        <w:tab/>
        <w:t>股份支付总体情况</w:t>
      </w:r>
      <w:bookmarkEnd w:id="1865"/>
      <w:bookmarkEnd w:id="1866"/>
      <w:bookmarkEnd w:id="186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2</w:t>
      </w:r>
      <w:bookmarkEnd w:id="1871"/>
      <w:r>
        <w:rPr>
          <w:color w:val="000000"/>
          <w:spacing w:val="0"/>
          <w:w w:val="100"/>
          <w:position w:val="0"/>
        </w:rPr>
        <w:t>、</w:t>
        <w:tab/>
        <w:t>以权益结算的股份支付情况</w:t>
      </w:r>
      <w:bookmarkEnd w:id="1869"/>
      <w:bookmarkEnd w:id="1870"/>
      <w:bookmarkEnd w:id="187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w:t>
        <w:tab/>
        <w:t>以现金结算的股份支付情况</w:t>
      </w:r>
      <w:bookmarkEnd w:id="1873"/>
      <w:bookmarkEnd w:id="1874"/>
      <w:bookmarkEnd w:id="187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4</w:t>
      </w:r>
      <w:bookmarkEnd w:id="1879"/>
      <w:r>
        <w:rPr>
          <w:color w:val="000000"/>
          <w:spacing w:val="0"/>
          <w:w w:val="100"/>
          <w:position w:val="0"/>
        </w:rPr>
        <w:t>、</w:t>
        <w:tab/>
        <w:t>股份支付的修改、终止情况</w:t>
      </w:r>
      <w:bookmarkEnd w:id="1877"/>
      <w:bookmarkEnd w:id="1878"/>
      <w:bookmarkEnd w:id="1880"/>
    </w:p>
    <w:p>
      <w:pPr>
        <w:pStyle w:val="Style38"/>
        <w:keepNext/>
        <w:keepLines/>
        <w:widowControl w:val="0"/>
        <w:shd w:val="clear" w:color="auto" w:fill="auto"/>
        <w:tabs>
          <w:tab w:pos="378" w:val="left"/>
        </w:tabs>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5</w:t>
      </w:r>
      <w:bookmarkEnd w:id="1883"/>
      <w:r>
        <w:rPr>
          <w:color w:val="000000"/>
          <w:spacing w:val="0"/>
          <w:w w:val="100"/>
          <w:position w:val="0"/>
        </w:rPr>
        <w:t>、</w:t>
        <w:tab/>
        <w:t>其他</w:t>
      </w:r>
      <w:bookmarkEnd w:id="1881"/>
      <w:bookmarkEnd w:id="1882"/>
      <w:bookmarkEnd w:id="1884"/>
    </w:p>
    <w:p>
      <w:pPr>
        <w:pStyle w:val="Style27"/>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r>
        <w:rPr>
          <w:color w:val="000000"/>
          <w:spacing w:val="0"/>
          <w:w w:val="100"/>
          <w:position w:val="0"/>
          <w:sz w:val="24"/>
          <w:szCs w:val="24"/>
        </w:rPr>
        <w:t>十四、承诺及或有事项</w:t>
      </w:r>
      <w:bookmarkEnd w:id="1885"/>
      <w:bookmarkEnd w:id="1886"/>
      <w:bookmarkEnd w:id="1887"/>
    </w:p>
    <w:p>
      <w:pPr>
        <w:pStyle w:val="Style38"/>
        <w:keepNext/>
        <w:keepLines/>
        <w:widowControl w:val="0"/>
        <w:shd w:val="clear" w:color="auto" w:fill="auto"/>
        <w:tabs>
          <w:tab w:pos="368" w:val="left"/>
        </w:tabs>
        <w:bidi w:val="0"/>
        <w:spacing w:before="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1</w:t>
      </w:r>
      <w:bookmarkEnd w:id="1890"/>
      <w:r>
        <w:rPr>
          <w:color w:val="000000"/>
          <w:spacing w:val="0"/>
          <w:w w:val="100"/>
          <w:position w:val="0"/>
        </w:rPr>
        <w:t>、</w:t>
        <w:tab/>
        <w:t>重要承诺事项</w:t>
      </w:r>
      <w:bookmarkEnd w:id="1888"/>
      <w:bookmarkEnd w:id="1889"/>
      <w:bookmarkEnd w:id="189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截至报告期末，本公司无需要披露的重要承诺事项。</w:t>
      </w:r>
    </w:p>
    <w:p>
      <w:pPr>
        <w:pStyle w:val="Style38"/>
        <w:keepNext/>
        <w:keepLines/>
        <w:widowControl w:val="0"/>
        <w:shd w:val="clear" w:color="auto" w:fill="auto"/>
        <w:tabs>
          <w:tab w:pos="378" w:val="left"/>
        </w:tabs>
        <w:bidi w:val="0"/>
        <w:spacing w:before="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2</w:t>
      </w:r>
      <w:bookmarkEnd w:id="1894"/>
      <w:r>
        <w:rPr>
          <w:color w:val="000000"/>
          <w:spacing w:val="0"/>
          <w:w w:val="100"/>
          <w:position w:val="0"/>
        </w:rPr>
        <w:t>、</w:t>
        <w:tab/>
        <w:t>或有事项</w:t>
      </w:r>
      <w:bookmarkEnd w:id="1892"/>
      <w:bookmarkEnd w:id="1893"/>
      <w:bookmarkEnd w:id="1895"/>
    </w:p>
    <w:p>
      <w:pPr>
        <w:pStyle w:val="Style47"/>
        <w:keepNext/>
        <w:keepLines/>
        <w:widowControl w:val="0"/>
        <w:shd w:val="clear" w:color="auto" w:fill="auto"/>
        <w:tabs>
          <w:tab w:pos="493" w:val="left"/>
        </w:tabs>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96"/>
      <w:bookmarkEnd w:id="1897"/>
      <w:bookmarkEnd w:id="1899"/>
    </w:p>
    <w:p>
      <w:pPr>
        <w:pStyle w:val="Style47"/>
        <w:keepNext/>
        <w:keepLines/>
        <w:widowControl w:val="0"/>
        <w:shd w:val="clear" w:color="auto" w:fill="auto"/>
        <w:tabs>
          <w:tab w:pos="493" w:val="left"/>
        </w:tabs>
        <w:bidi w:val="0"/>
        <w:spacing w:before="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00"/>
      <w:bookmarkEnd w:id="1901"/>
      <w:bookmarkEnd w:id="1903"/>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公司不存在需要披露的重要或有事项。</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w:t>
        <w:tab/>
        <w:t>其他</w:t>
      </w:r>
      <w:bookmarkEnd w:id="1904"/>
      <w:bookmarkEnd w:id="1905"/>
      <w:bookmarkEnd w:id="190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截至报告期末，本公司无需要披露其他的重要事项。</w:t>
      </w:r>
    </w:p>
    <w:p>
      <w:pPr>
        <w:pStyle w:val="Style27"/>
        <w:keepNext/>
        <w:keepLines/>
        <w:widowControl w:val="0"/>
        <w:shd w:val="clear" w:color="auto" w:fill="auto"/>
        <w:bidi w:val="0"/>
        <w:spacing w:before="0" w:after="360" w:line="240" w:lineRule="auto"/>
        <w:ind w:left="0" w:right="0" w:firstLine="0"/>
        <w:jc w:val="both"/>
      </w:pPr>
      <w:bookmarkStart w:id="1908" w:name="bookmark1908"/>
      <w:bookmarkStart w:id="1909" w:name="bookmark1909"/>
      <w:bookmarkStart w:id="1910" w:name="bookmark1910"/>
      <w:r>
        <w:rPr>
          <w:color w:val="000000"/>
          <w:spacing w:val="0"/>
          <w:w w:val="100"/>
          <w:position w:val="0"/>
          <w:sz w:val="24"/>
          <w:szCs w:val="24"/>
        </w:rPr>
        <w:t>十五、资产负债表日后事项</w:t>
      </w:r>
      <w:bookmarkEnd w:id="1908"/>
      <w:bookmarkEnd w:id="1909"/>
      <w:bookmarkEnd w:id="1910"/>
    </w:p>
    <w:p>
      <w:pPr>
        <w:pStyle w:val="Style38"/>
        <w:keepNext/>
        <w:keepLines/>
        <w:widowControl w:val="0"/>
        <w:shd w:val="clear" w:color="auto" w:fill="auto"/>
        <w:bidi w:val="0"/>
        <w:spacing w:before="0" w:after="360" w:line="240" w:lineRule="auto"/>
        <w:ind w:left="0" w:right="0" w:firstLine="0"/>
        <w:jc w:val="both"/>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11"/>
      <w:bookmarkEnd w:id="1912"/>
      <w:bookmarkEnd w:id="19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both"/>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2</w:t>
      </w:r>
      <w:bookmarkEnd w:id="1916"/>
      <w:r>
        <w:rPr>
          <w:color w:val="000000"/>
          <w:spacing w:val="0"/>
          <w:w w:val="100"/>
          <w:position w:val="0"/>
        </w:rPr>
        <w:t>、</w:t>
        <w:tab/>
        <w:t>利润分配情况</w:t>
      </w:r>
      <w:bookmarkEnd w:id="1914"/>
      <w:bookmarkEnd w:id="1915"/>
      <w:bookmarkEnd w:id="1917"/>
    </w:p>
    <w:p>
      <w:pPr>
        <w:pStyle w:val="Style38"/>
        <w:keepNext/>
        <w:keepLines/>
        <w:widowControl w:val="0"/>
        <w:shd w:val="clear" w:color="auto" w:fill="auto"/>
        <w:tabs>
          <w:tab w:pos="378" w:val="left"/>
        </w:tabs>
        <w:bidi w:val="0"/>
        <w:spacing w:before="0" w:after="360" w:line="240" w:lineRule="auto"/>
        <w:ind w:left="0" w:right="0" w:firstLine="0"/>
        <w:jc w:val="both"/>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3</w:t>
      </w:r>
      <w:bookmarkEnd w:id="1920"/>
      <w:r>
        <w:rPr>
          <w:color w:val="000000"/>
          <w:spacing w:val="0"/>
          <w:w w:val="100"/>
          <w:position w:val="0"/>
        </w:rPr>
        <w:t>、</w:t>
        <w:tab/>
        <w:t>销售退回</w:t>
      </w:r>
      <w:bookmarkEnd w:id="1918"/>
      <w:bookmarkEnd w:id="1919"/>
      <w:bookmarkEnd w:id="1921"/>
    </w:p>
    <w:p>
      <w:pPr>
        <w:pStyle w:val="Style38"/>
        <w:keepNext/>
        <w:keepLines/>
        <w:widowControl w:val="0"/>
        <w:shd w:val="clear" w:color="auto" w:fill="auto"/>
        <w:tabs>
          <w:tab w:pos="378" w:val="left"/>
        </w:tabs>
        <w:bidi w:val="0"/>
        <w:spacing w:before="0" w:after="36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4</w:t>
      </w:r>
      <w:bookmarkEnd w:id="1924"/>
      <w:r>
        <w:rPr>
          <w:color w:val="000000"/>
          <w:spacing w:val="0"/>
          <w:w w:val="100"/>
          <w:position w:val="0"/>
        </w:rPr>
        <w:t>、</w:t>
        <w:tab/>
        <w:t>其他资产负债表日后事项说明</w:t>
      </w:r>
      <w:bookmarkEnd w:id="1922"/>
      <w:bookmarkEnd w:id="1923"/>
      <w:bookmarkEnd w:id="1925"/>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截止本财务报表报出日，本公司不存在需要披露的对本公司存在重大影响的资产负债表日后事项。</w:t>
      </w:r>
    </w:p>
    <w:p>
      <w:pPr>
        <w:pStyle w:val="Style27"/>
        <w:keepNext/>
        <w:keepLines/>
        <w:widowControl w:val="0"/>
        <w:shd w:val="clear" w:color="auto" w:fill="auto"/>
        <w:bidi w:val="0"/>
        <w:spacing w:before="0" w:after="360" w:line="240" w:lineRule="auto"/>
        <w:ind w:left="0" w:right="0" w:firstLine="0"/>
        <w:jc w:val="both"/>
      </w:pPr>
      <w:bookmarkStart w:id="1926" w:name="bookmark1926"/>
      <w:bookmarkStart w:id="1927" w:name="bookmark1927"/>
      <w:bookmarkStart w:id="1928" w:name="bookmark1928"/>
      <w:r>
        <w:rPr>
          <w:color w:val="000000"/>
          <w:spacing w:val="0"/>
          <w:w w:val="100"/>
          <w:position w:val="0"/>
          <w:sz w:val="24"/>
          <w:szCs w:val="24"/>
        </w:rPr>
        <w:t>十六、其他重要事项</w:t>
      </w:r>
      <w:bookmarkEnd w:id="1926"/>
      <w:bookmarkEnd w:id="1927"/>
      <w:bookmarkEnd w:id="1928"/>
    </w:p>
    <w:p>
      <w:pPr>
        <w:pStyle w:val="Style38"/>
        <w:keepNext/>
        <w:keepLines/>
        <w:widowControl w:val="0"/>
        <w:shd w:val="clear" w:color="auto" w:fill="auto"/>
        <w:bidi w:val="0"/>
        <w:spacing w:before="0" w:after="360" w:line="240" w:lineRule="auto"/>
        <w:ind w:left="0" w:right="0" w:firstLine="0"/>
        <w:jc w:val="both"/>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29"/>
      <w:bookmarkEnd w:id="1930"/>
      <w:bookmarkEnd w:id="1931"/>
    </w:p>
    <w:p>
      <w:pPr>
        <w:pStyle w:val="Style47"/>
        <w:keepNext/>
        <w:keepLines/>
        <w:widowControl w:val="0"/>
        <w:shd w:val="clear" w:color="auto" w:fill="auto"/>
        <w:bidi w:val="0"/>
        <w:spacing w:before="0" w:after="360" w:line="240" w:lineRule="auto"/>
        <w:ind w:left="0" w:right="0" w:firstLine="0"/>
        <w:jc w:val="both"/>
      </w:pPr>
      <w:bookmarkStart w:id="1932" w:name="bookmark1932"/>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32"/>
      <w:bookmarkEnd w:id="1933"/>
      <w:bookmarkEnd w:id="19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44"/>
        <w:keepNext w:val="0"/>
        <w:keepLines w:val="0"/>
        <w:widowControl w:val="0"/>
        <w:shd w:val="clear" w:color="auto" w:fill="auto"/>
        <w:bidi w:val="0"/>
        <w:spacing w:before="0" w:after="0" w:line="240" w:lineRule="auto"/>
        <w:ind w:left="101" w:right="0" w:firstLine="0"/>
        <w:jc w:val="left"/>
        <w:rPr>
          <w:sz w:val="20"/>
          <w:szCs w:val="20"/>
        </w:rPr>
      </w:pPr>
      <w:bookmarkStart w:id="1935" w:name="bookmark193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935"/>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59" w:line="1" w:lineRule="exact"/>
      </w:pPr>
    </w:p>
    <w:p>
      <w:pPr>
        <w:pStyle w:val="Style38"/>
        <w:keepNext/>
        <w:keepLines/>
        <w:widowControl w:val="0"/>
        <w:shd w:val="clear" w:color="auto" w:fill="auto"/>
        <w:tabs>
          <w:tab w:pos="378" w:val="left"/>
        </w:tabs>
        <w:bidi w:val="0"/>
        <w:spacing w:before="0" w:after="360" w:line="240" w:lineRule="auto"/>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bookmarkEnd w:id="1938"/>
      <w:r>
        <w:rPr>
          <w:color w:val="000000"/>
          <w:spacing w:val="0"/>
          <w:w w:val="100"/>
          <w:position w:val="0"/>
        </w:rPr>
        <w:t>、</w:t>
        <w:tab/>
        <w:t>债务重组</w:t>
      </w:r>
      <w:bookmarkEnd w:id="1936"/>
      <w:bookmarkEnd w:id="1937"/>
      <w:bookmarkEnd w:id="1939"/>
    </w:p>
    <w:p>
      <w:pPr>
        <w:pStyle w:val="Style38"/>
        <w:keepNext/>
        <w:keepLines/>
        <w:widowControl w:val="0"/>
        <w:shd w:val="clear" w:color="auto" w:fill="auto"/>
        <w:tabs>
          <w:tab w:pos="378" w:val="left"/>
        </w:tabs>
        <w:bidi w:val="0"/>
        <w:spacing w:before="0" w:after="360" w:line="240"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w:t>
        <w:tab/>
        <w:t>资产置换</w:t>
      </w:r>
      <w:bookmarkEnd w:id="1940"/>
      <w:bookmarkEnd w:id="1941"/>
      <w:bookmarkEnd w:id="1943"/>
    </w:p>
    <w:p>
      <w:pPr>
        <w:pStyle w:val="Style47"/>
        <w:keepNext/>
        <w:keepLines/>
        <w:widowControl w:val="0"/>
        <w:shd w:val="clear" w:color="auto" w:fill="auto"/>
        <w:tabs>
          <w:tab w:pos="493" w:val="left"/>
        </w:tabs>
        <w:bidi w:val="0"/>
        <w:spacing w:before="0" w:after="360" w:line="240" w:lineRule="auto"/>
        <w:ind w:left="0" w:right="0" w:firstLine="0"/>
        <w:jc w:val="both"/>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44"/>
      <w:bookmarkEnd w:id="1945"/>
      <w:bookmarkEnd w:id="1947"/>
    </w:p>
    <w:p>
      <w:pPr>
        <w:pStyle w:val="Style47"/>
        <w:keepNext/>
        <w:keepLines/>
        <w:widowControl w:val="0"/>
        <w:shd w:val="clear" w:color="auto" w:fill="auto"/>
        <w:tabs>
          <w:tab w:pos="493" w:val="left"/>
        </w:tabs>
        <w:bidi w:val="0"/>
        <w:spacing w:before="0" w:after="360" w:line="240" w:lineRule="auto"/>
        <w:ind w:left="0" w:right="0" w:firstLine="0"/>
        <w:jc w:val="both"/>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48"/>
      <w:bookmarkEnd w:id="1949"/>
      <w:bookmarkEnd w:id="1951"/>
    </w:p>
    <w:p>
      <w:pPr>
        <w:pStyle w:val="Style38"/>
        <w:keepNext/>
        <w:keepLines/>
        <w:widowControl w:val="0"/>
        <w:shd w:val="clear" w:color="auto" w:fill="auto"/>
        <w:tabs>
          <w:tab w:pos="378" w:val="left"/>
        </w:tabs>
        <w:bidi w:val="0"/>
        <w:spacing w:before="0" w:after="36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color w:val="000000"/>
          <w:spacing w:val="0"/>
          <w:w w:val="100"/>
          <w:position w:val="0"/>
        </w:rPr>
        <w:t>、</w:t>
        <w:tab/>
        <w:t>年金计划</w:t>
      </w:r>
      <w:bookmarkEnd w:id="1952"/>
      <w:bookmarkEnd w:id="1953"/>
      <w:bookmarkEnd w:id="1955"/>
    </w:p>
    <w:p>
      <w:pPr>
        <w:pStyle w:val="Style38"/>
        <w:keepNext/>
        <w:keepLines/>
        <w:widowControl w:val="0"/>
        <w:shd w:val="clear" w:color="auto" w:fill="auto"/>
        <w:tabs>
          <w:tab w:pos="378" w:val="left"/>
        </w:tabs>
        <w:bidi w:val="0"/>
        <w:spacing w:before="0" w:after="360" w:line="240" w:lineRule="auto"/>
        <w:ind w:left="0" w:right="0" w:firstLine="0"/>
        <w:jc w:val="both"/>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5</w:t>
      </w:r>
      <w:bookmarkEnd w:id="1958"/>
      <w:r>
        <w:rPr>
          <w:color w:val="000000"/>
          <w:spacing w:val="0"/>
          <w:w w:val="100"/>
          <w:position w:val="0"/>
        </w:rPr>
        <w:t>、</w:t>
        <w:tab/>
        <w:t>终止经营</w:t>
      </w:r>
      <w:bookmarkEnd w:id="1956"/>
      <w:bookmarkEnd w:id="1957"/>
      <w:bookmarkEnd w:id="1959"/>
    </w:p>
    <w:p>
      <w:pPr>
        <w:pStyle w:val="Style3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6</w:t>
      </w:r>
      <w:bookmarkEnd w:id="1962"/>
      <w:r>
        <w:rPr>
          <w:color w:val="000000"/>
          <w:spacing w:val="0"/>
          <w:w w:val="100"/>
          <w:position w:val="0"/>
        </w:rPr>
        <w:t>、分部信息</w:t>
      </w:r>
      <w:bookmarkEnd w:id="1960"/>
      <w:bookmarkEnd w:id="1961"/>
      <w:bookmarkEnd w:id="1963"/>
    </w:p>
    <w:p>
      <w:pPr>
        <w:pStyle w:val="Style47"/>
        <w:keepNext/>
        <w:keepLines/>
        <w:widowControl w:val="0"/>
        <w:numPr>
          <w:ilvl w:val="0"/>
          <w:numId w:val="135"/>
        </w:numPr>
        <w:shd w:val="clear" w:color="auto" w:fill="auto"/>
        <w:tabs>
          <w:tab w:pos="493" w:val="left"/>
        </w:tabs>
        <w:bidi w:val="0"/>
        <w:spacing w:before="0" w:after="360" w:line="240" w:lineRule="auto"/>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报告分部的确定依据与会计政策</w:t>
      </w:r>
      <w:bookmarkEnd w:id="1964"/>
      <w:bookmarkEnd w:id="1965"/>
      <w:bookmarkEnd w:id="1967"/>
    </w:p>
    <w:p>
      <w:pPr>
        <w:pStyle w:val="Style47"/>
        <w:keepNext/>
        <w:keepLines/>
        <w:widowControl w:val="0"/>
        <w:numPr>
          <w:ilvl w:val="0"/>
          <w:numId w:val="135"/>
        </w:numPr>
        <w:shd w:val="clear" w:color="auto" w:fill="auto"/>
        <w:tabs>
          <w:tab w:pos="493" w:val="left"/>
        </w:tabs>
        <w:bidi w:val="0"/>
        <w:spacing w:before="0" w:after="360" w:line="240" w:lineRule="auto"/>
        <w:ind w:left="0" w:right="0" w:firstLine="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报告分部的财务信息</w:t>
      </w:r>
      <w:bookmarkEnd w:id="1968"/>
      <w:bookmarkEnd w:id="1969"/>
      <w:bookmarkEnd w:id="1971"/>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119" w:line="1" w:lineRule="exact"/>
      </w:pPr>
    </w:p>
    <w:p>
      <w:pPr>
        <w:pStyle w:val="Style47"/>
        <w:keepNext/>
        <w:keepLines/>
        <w:widowControl w:val="0"/>
        <w:numPr>
          <w:ilvl w:val="0"/>
          <w:numId w:val="135"/>
        </w:numPr>
        <w:shd w:val="clear" w:color="auto" w:fill="auto"/>
        <w:tabs>
          <w:tab w:pos="493" w:val="left"/>
        </w:tabs>
        <w:bidi w:val="0"/>
        <w:spacing w:before="0" w:after="200" w:line="470" w:lineRule="exact"/>
        <w:ind w:left="0" w:right="0" w:firstLine="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公司无报告分部的，或者不能披露各报告分部的资产总额和负债总额的，应说明原因</w:t>
      </w:r>
      <w:bookmarkEnd w:id="1972"/>
      <w:bookmarkEnd w:id="1973"/>
      <w:bookmarkEnd w:id="1975"/>
    </w:p>
    <w:p>
      <w:pPr>
        <w:pStyle w:val="Style2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公司目前经营业务分布主要体现在境外和境内，符合经营分部的认定，但根据分部报告确认的三个基 本条件，境外公司的收入、利润及资产均未达到所有经营分部合计的</w:t>
      </w:r>
      <w:r>
        <w:rPr>
          <w:rFonts w:ascii="Times New Roman" w:eastAsia="Times New Roman" w:hAnsi="Times New Roman" w:cs="Times New Roman"/>
          <w:color w:val="000000"/>
          <w:spacing w:val="0"/>
          <w:w w:val="100"/>
          <w:position w:val="0"/>
        </w:rPr>
        <w:t>10%</w:t>
      </w:r>
      <w:r>
        <w:rPr>
          <w:color w:val="000000"/>
          <w:spacing w:val="0"/>
          <w:w w:val="100"/>
          <w:position w:val="0"/>
        </w:rPr>
        <w:t>,因此报告期内公司不作分部报 告披露。</w:t>
      </w:r>
    </w:p>
    <w:p>
      <w:pPr>
        <w:pStyle w:val="Style29"/>
        <w:keepNext w:val="0"/>
        <w:keepLines w:val="0"/>
        <w:widowControl w:val="0"/>
        <w:numPr>
          <w:ilvl w:val="0"/>
          <w:numId w:val="135"/>
        </w:numPr>
        <w:shd w:val="clear" w:color="auto" w:fill="auto"/>
        <w:tabs>
          <w:tab w:pos="493" w:val="left"/>
        </w:tabs>
        <w:bidi w:val="0"/>
        <w:spacing w:before="0" w:after="120" w:line="470" w:lineRule="exact"/>
        <w:ind w:left="0" w:right="0" w:firstLine="0"/>
        <w:jc w:val="both"/>
      </w:pPr>
      <w:bookmarkStart w:id="1976" w:name="bookmark1976"/>
      <w:bookmarkStart w:id="1977" w:name="bookmark1977"/>
      <w:bookmarkEnd w:id="1976"/>
      <w:r>
        <w:rPr>
          <w:b/>
          <w:bCs/>
          <w:color w:val="000000"/>
          <w:spacing w:val="0"/>
          <w:w w:val="100"/>
          <w:position w:val="0"/>
        </w:rPr>
        <w:t>其他说明</w:t>
      </w:r>
      <w:bookmarkEnd w:id="1977"/>
    </w:p>
    <w:p>
      <w:pPr>
        <w:pStyle w:val="Style38"/>
        <w:keepNext/>
        <w:keepLines/>
        <w:widowControl w:val="0"/>
        <w:shd w:val="clear" w:color="auto" w:fill="auto"/>
        <w:tabs>
          <w:tab w:pos="376" w:val="left"/>
        </w:tabs>
        <w:bidi w:val="0"/>
        <w:spacing w:before="0" w:after="120" w:line="470" w:lineRule="exact"/>
        <w:ind w:left="0" w:right="0" w:firstLine="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7</w:t>
      </w:r>
      <w:bookmarkEnd w:id="1980"/>
      <w:r>
        <w:rPr>
          <w:color w:val="000000"/>
          <w:spacing w:val="0"/>
          <w:w w:val="100"/>
          <w:position w:val="0"/>
        </w:rPr>
        <w:t>、</w:t>
        <w:tab/>
        <w:t>其他对投资者决策有影响的重要交易和事项</w:t>
      </w:r>
      <w:bookmarkEnd w:id="1978"/>
      <w:bookmarkEnd w:id="1979"/>
      <w:bookmarkEnd w:id="1981"/>
    </w:p>
    <w:p>
      <w:pPr>
        <w:pStyle w:val="Style38"/>
        <w:keepNext/>
        <w:keepLines/>
        <w:widowControl w:val="0"/>
        <w:shd w:val="clear" w:color="auto" w:fill="auto"/>
        <w:tabs>
          <w:tab w:pos="378" w:val="left"/>
        </w:tabs>
        <w:bidi w:val="0"/>
        <w:spacing w:before="0" w:after="120" w:line="470" w:lineRule="exact"/>
        <w:ind w:left="0" w:right="0" w:firstLine="0"/>
        <w:jc w:val="both"/>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8</w:t>
      </w:r>
      <w:bookmarkEnd w:id="1984"/>
      <w:r>
        <w:rPr>
          <w:color w:val="000000"/>
          <w:spacing w:val="0"/>
          <w:w w:val="100"/>
          <w:position w:val="0"/>
        </w:rPr>
        <w:t>、</w:t>
        <w:tab/>
        <w:t>其他</w:t>
      </w:r>
      <w:bookmarkEnd w:id="1982"/>
      <w:bookmarkEnd w:id="1983"/>
      <w:bookmarkEnd w:id="1985"/>
    </w:p>
    <w:p>
      <w:pPr>
        <w:pStyle w:val="Style29"/>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截止本财务报表报出日，本公司不存在需要披露的其他重要事项。</w:t>
      </w:r>
    </w:p>
    <w:p>
      <w:pPr>
        <w:pStyle w:val="Style27"/>
        <w:keepNext/>
        <w:keepLines/>
        <w:widowControl w:val="0"/>
        <w:shd w:val="clear" w:color="auto" w:fill="auto"/>
        <w:bidi w:val="0"/>
        <w:spacing w:before="0" w:after="120" w:line="240" w:lineRule="auto"/>
        <w:ind w:left="0" w:right="0" w:firstLine="0"/>
        <w:jc w:val="both"/>
      </w:pPr>
      <w:bookmarkStart w:id="1986" w:name="bookmark1986"/>
      <w:bookmarkStart w:id="1987" w:name="bookmark1987"/>
      <w:bookmarkStart w:id="1988" w:name="bookmark1988"/>
      <w:r>
        <w:rPr>
          <w:color w:val="000000"/>
          <w:spacing w:val="0"/>
          <w:w w:val="100"/>
          <w:position w:val="0"/>
          <w:sz w:val="24"/>
          <w:szCs w:val="24"/>
        </w:rPr>
        <w:t>十七、母公司财务报表主要项目注释</w:t>
      </w:r>
      <w:bookmarkEnd w:id="1986"/>
      <w:bookmarkEnd w:id="1987"/>
      <w:bookmarkEnd w:id="1988"/>
    </w:p>
    <w:p>
      <w:pPr>
        <w:pStyle w:val="Style38"/>
        <w:keepNext/>
        <w:keepLines/>
        <w:widowControl w:val="0"/>
        <w:shd w:val="clear" w:color="auto" w:fill="auto"/>
        <w:bidi w:val="0"/>
        <w:spacing w:before="0" w:after="360" w:line="470" w:lineRule="exact"/>
        <w:ind w:left="0" w:right="0" w:firstLine="0"/>
        <w:jc w:val="both"/>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89"/>
      <w:bookmarkEnd w:id="1990"/>
      <w:bookmarkEnd w:id="1991"/>
    </w:p>
    <w:p>
      <w:pPr>
        <w:pStyle w:val="Style47"/>
        <w:keepNext/>
        <w:keepLines/>
        <w:widowControl w:val="0"/>
        <w:shd w:val="clear" w:color="auto" w:fill="auto"/>
        <w:bidi w:val="0"/>
        <w:spacing w:before="0" w:after="360" w:line="240" w:lineRule="auto"/>
        <w:ind w:left="0" w:right="0" w:firstLine="14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92"/>
      <w:bookmarkEnd w:id="1993"/>
      <w:bookmarkEnd w:id="1994"/>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2,083,63</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1,458,547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364,377.6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单项金额虽不重大 但单项计提坏账准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625,091.</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1,458,547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364,377.6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2,064,806.4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78,879,6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1,006,90</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77,872,77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808,853.1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80,731,904.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增值电信业务客户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68,443,5</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733,010.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67,710,51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51,232,26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478,471.5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50,753,796.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系统集成业务客户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10,436,1</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273,895.</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330,381.6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29,978,107.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80,963,3</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1,631,99</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79,331,32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83,969,94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82,796,710.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2,083,639.00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625,091.70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逾期时间较长</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组合一：增值电信业务客户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68,443,527.93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733,010.06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68,443,527.93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733,010.06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组合二：系统集成业务客户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其中：银行及保险业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728,302.22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7"/>
                <w:szCs w:val="17"/>
              </w:rPr>
              <w:t>政府企事业单位、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上市公司及知名外企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8,772,053.29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935,796.82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10,436,152.33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273,895.87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78,879,680.26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1,006,905.93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pStyle w:val="Style29"/>
        <w:keepNext w:val="0"/>
        <w:keepLines w:val="0"/>
        <w:widowControl w:val="0"/>
        <w:shd w:val="clear" w:color="auto" w:fill="auto"/>
        <w:bidi w:val="0"/>
        <w:spacing w:before="0" w:after="380" w:line="470" w:lineRule="exact"/>
        <w:ind w:left="0" w:right="0" w:firstLine="0"/>
        <w:jc w:val="both"/>
      </w:pPr>
      <w:r>
        <w:rPr>
          <w:b/>
          <w:bCs/>
          <w:color w:val="000000"/>
          <w:spacing w:val="0"/>
          <w:w w:val="100"/>
          <w:position w:val="0"/>
        </w:rPr>
        <w:t>如是按照预期信用损失一般模型计提应收账款坏账准备，请参照其他应收款的披露方式披露坏账准备的相 关信息：</w:t>
      </w:r>
    </w:p>
    <w:p>
      <w:pPr>
        <w:pStyle w:val="Style29"/>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470" w:lineRule="exact"/>
        <w:ind w:left="0" w:right="0" w:firstLine="0"/>
        <w:jc w:val="both"/>
      </w:pPr>
      <w:r>
        <w:rPr>
          <w:color w:val="000000"/>
          <w:spacing w:val="0"/>
          <w:w w:val="100"/>
          <w:position w:val="0"/>
        </w:rPr>
        <w:t>按账龄披露</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75,208,832.18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60,178,041.00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4-12</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15,030,791.18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3,844,225.51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1,601,005.97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309,255.60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80,963,319.26</w:t>
            </w:r>
          </w:p>
        </w:tc>
      </w:tr>
    </w:tbl>
    <w:p>
      <w:pPr>
        <w:widowControl w:val="0"/>
        <w:spacing w:after="319" w:line="1" w:lineRule="exact"/>
      </w:pPr>
    </w:p>
    <w:p>
      <w:pPr>
        <w:pStyle w:val="Style47"/>
        <w:keepNext/>
        <w:keepLines/>
        <w:widowControl w:val="0"/>
        <w:shd w:val="clear" w:color="auto" w:fill="auto"/>
        <w:bidi w:val="0"/>
        <w:spacing w:before="0" w:after="380" w:line="240" w:lineRule="auto"/>
        <w:ind w:left="0" w:right="0" w:firstLine="0"/>
        <w:jc w:val="left"/>
      </w:pPr>
      <w:bookmarkStart w:id="1995" w:name="bookmark1995"/>
      <w:bookmarkStart w:id="1996" w:name="bookmark1996"/>
      <w:bookmarkStart w:id="1997" w:name="bookmark19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95"/>
      <w:bookmarkEnd w:id="1996"/>
      <w:bookmarkEnd w:id="199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4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按单项计提坏账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364,377.60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260,714.10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625,091.70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1,022,929.95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1,006,905.93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1,387,307.55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244,690.08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1,631,997.63</w:t>
            </w:r>
          </w:p>
        </w:tc>
      </w:tr>
    </w:tbl>
    <w:p>
      <w:pPr>
        <w:widowControl w:val="0"/>
        <w:spacing w:after="37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r>
        <w:br w:type="page"/>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47"/>
        <w:keepNext/>
        <w:keepLines/>
        <w:widowControl w:val="0"/>
        <w:numPr>
          <w:ilvl w:val="0"/>
          <w:numId w:val="137"/>
        </w:numPr>
        <w:shd w:val="clear" w:color="auto" w:fill="auto"/>
        <w:bidi w:val="0"/>
        <w:spacing w:before="0" w:after="380" w:line="240" w:lineRule="auto"/>
        <w:ind w:left="0" w:right="0" w:firstLine="0"/>
        <w:jc w:val="left"/>
      </w:pPr>
      <w:bookmarkStart w:id="1998" w:name="bookmark1998"/>
      <w:bookmarkStart w:id="1999" w:name="bookmark1999"/>
      <w:bookmarkStart w:id="2000" w:name="bookmark2000"/>
      <w:bookmarkStart w:id="2001" w:name="bookmark2001"/>
      <w:bookmarkEnd w:id="2000"/>
      <w:r>
        <w:rPr>
          <w:color w:val="000000"/>
          <w:spacing w:val="0"/>
          <w:w w:val="100"/>
          <w:position w:val="0"/>
        </w:rPr>
        <w:t>本期实际核销的应收账款情况</w:t>
      </w:r>
      <w:bookmarkEnd w:id="1998"/>
      <w:bookmarkEnd w:id="1999"/>
      <w:bookmarkEnd w:id="2001"/>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bl>
    <w:p>
      <w:pPr>
        <w:widowControl w:val="0"/>
        <w:spacing w:after="319" w:line="1" w:lineRule="exact"/>
      </w:pPr>
    </w:p>
    <w:p>
      <w:pPr>
        <w:pStyle w:val="Style47"/>
        <w:keepNext/>
        <w:keepLines/>
        <w:widowControl w:val="0"/>
        <w:numPr>
          <w:ilvl w:val="0"/>
          <w:numId w:val="137"/>
        </w:numPr>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按欠款方归集的期末余额前五名的应收账款情况</w:t>
      </w:r>
      <w:bookmarkEnd w:id="2002"/>
      <w:bookmarkEnd w:id="2003"/>
      <w:bookmarkEnd w:id="2005"/>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占应收账款期末余额合计数</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9,692,376.00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195,691.85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4,823,835.00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3,838,880.72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3,692,033.17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2,489,045.60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43,347.08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24,536,170.49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37"/>
        </w:numPr>
        <w:shd w:val="clear" w:color="auto" w:fill="auto"/>
        <w:bidi w:val="0"/>
        <w:spacing w:before="0" w:after="380" w:line="240" w:lineRule="auto"/>
        <w:ind w:left="0" w:right="0" w:firstLine="0"/>
        <w:jc w:val="left"/>
      </w:pPr>
      <w:bookmarkStart w:id="2006" w:name="bookmark2006"/>
      <w:bookmarkStart w:id="2007" w:name="bookmark2007"/>
      <w:bookmarkStart w:id="2008" w:name="bookmark2008"/>
      <w:bookmarkStart w:id="2009" w:name="bookmark2009"/>
      <w:bookmarkEnd w:id="2008"/>
      <w:r>
        <w:rPr>
          <w:color w:val="000000"/>
          <w:spacing w:val="0"/>
          <w:w w:val="100"/>
          <w:position w:val="0"/>
        </w:rPr>
        <w:t>因金融资产转移而终止确认的应收账款</w:t>
      </w:r>
      <w:bookmarkEnd w:id="2006"/>
      <w:bookmarkEnd w:id="2007"/>
      <w:bookmarkEnd w:id="2009"/>
    </w:p>
    <w:p>
      <w:pPr>
        <w:pStyle w:val="Style47"/>
        <w:keepNext/>
        <w:keepLines/>
        <w:widowControl w:val="0"/>
        <w:numPr>
          <w:ilvl w:val="0"/>
          <w:numId w:val="137"/>
        </w:numPr>
        <w:shd w:val="clear" w:color="auto" w:fill="auto"/>
        <w:bidi w:val="0"/>
        <w:spacing w:before="0" w:after="380" w:line="240" w:lineRule="auto"/>
        <w:ind w:left="0" w:right="0" w:firstLine="0"/>
        <w:jc w:val="left"/>
      </w:pPr>
      <w:bookmarkStart w:id="2010" w:name="bookmark2010"/>
      <w:bookmarkStart w:id="2011" w:name="bookmark2011"/>
      <w:bookmarkStart w:id="2012" w:name="bookmark2012"/>
      <w:bookmarkStart w:id="2013" w:name="bookmark2013"/>
      <w:bookmarkEnd w:id="2012"/>
      <w:r>
        <w:rPr>
          <w:color w:val="000000"/>
          <w:spacing w:val="0"/>
          <w:w w:val="100"/>
          <w:position w:val="0"/>
        </w:rPr>
        <w:t>转移应收账款且继续涉入形成的资产、负债金额</w:t>
      </w:r>
      <w:bookmarkEnd w:id="2010"/>
      <w:bookmarkEnd w:id="2011"/>
      <w:bookmarkEnd w:id="2013"/>
    </w:p>
    <w:p>
      <w:pPr>
        <w:pStyle w:val="Style38"/>
        <w:keepNext/>
        <w:keepLines/>
        <w:widowControl w:val="0"/>
        <w:shd w:val="clear" w:color="auto" w:fill="auto"/>
        <w:bidi w:val="0"/>
        <w:spacing w:before="0" w:after="380" w:line="240" w:lineRule="auto"/>
        <w:ind w:left="0" w:right="0" w:firstLine="0"/>
        <w:jc w:val="both"/>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14"/>
      <w:bookmarkEnd w:id="2015"/>
      <w:bookmarkEnd w:id="2016"/>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9,363,569.11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10,682,724.50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9,363,569.11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10,682,724.50</w:t>
            </w:r>
          </w:p>
        </w:tc>
      </w:tr>
    </w:tbl>
    <w:p>
      <w:pPr>
        <w:pStyle w:val="Style47"/>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17"/>
      <w:bookmarkEnd w:id="2018"/>
      <w:bookmarkEnd w:id="2019"/>
    </w:p>
    <w:p>
      <w:pPr>
        <w:pStyle w:val="Style75"/>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bookmarkEnd w:id="2022"/>
      <w:r>
        <w:rPr>
          <w:color w:val="000000"/>
          <w:spacing w:val="0"/>
          <w:w w:val="100"/>
          <w:position w:val="0"/>
        </w:rPr>
        <w:t>）应收利息分类</w:t>
      </w:r>
      <w:bookmarkEnd w:id="2020"/>
      <w:bookmarkEnd w:id="2021"/>
      <w:bookmarkEnd w:id="202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bookmarkEnd w:id="2026"/>
      <w:r>
        <w:rPr>
          <w:color w:val="000000"/>
          <w:spacing w:val="0"/>
          <w:w w:val="100"/>
          <w:position w:val="0"/>
        </w:rPr>
        <w:t>）重要逾期利息</w:t>
      </w:r>
      <w:bookmarkEnd w:id="2024"/>
      <w:bookmarkEnd w:id="2025"/>
      <w:bookmarkEnd w:id="2027"/>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3</w:t>
      </w:r>
      <w:bookmarkEnd w:id="2030"/>
      <w:r>
        <w:rPr>
          <w:color w:val="000000"/>
          <w:spacing w:val="0"/>
          <w:w w:val="100"/>
          <w:position w:val="0"/>
        </w:rPr>
        <w:t>）坏账准备计提情况</w:t>
      </w:r>
      <w:bookmarkEnd w:id="2028"/>
      <w:bookmarkEnd w:id="2029"/>
      <w:bookmarkEnd w:id="203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2032" w:name="bookmark2032"/>
      <w:bookmarkStart w:id="2033" w:name="bookmark2033"/>
      <w:bookmarkStart w:id="2034" w:name="bookmark20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32"/>
      <w:bookmarkEnd w:id="2033"/>
      <w:bookmarkEnd w:id="2034"/>
    </w:p>
    <w:p>
      <w:pPr>
        <w:pStyle w:val="Style75"/>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1</w:t>
      </w:r>
      <w:bookmarkEnd w:id="2037"/>
      <w:r>
        <w:rPr>
          <w:color w:val="000000"/>
          <w:spacing w:val="0"/>
          <w:w w:val="100"/>
          <w:position w:val="0"/>
        </w:rPr>
        <w:t>）应收股利分类</w:t>
      </w:r>
      <w:bookmarkEnd w:id="2035"/>
      <w:bookmarkEnd w:id="2036"/>
      <w:bookmarkEnd w:id="2038"/>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2</w:t>
      </w:r>
      <w:bookmarkEnd w:id="204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39"/>
      <w:bookmarkEnd w:id="2040"/>
      <w:bookmarkEnd w:id="2042"/>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是否发生减值及其判断</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3</w:t>
      </w:r>
      <w:bookmarkEnd w:id="2045"/>
      <w:r>
        <w:rPr>
          <w:color w:val="000000"/>
          <w:spacing w:val="0"/>
          <w:w w:val="100"/>
          <w:position w:val="0"/>
        </w:rPr>
        <w:t>）坏账准备计提情况</w:t>
      </w:r>
      <w:bookmarkEnd w:id="2043"/>
      <w:bookmarkEnd w:id="2044"/>
      <w:bookmarkEnd w:id="204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47"/>
      <w:bookmarkEnd w:id="2048"/>
      <w:bookmarkEnd w:id="2050"/>
    </w:p>
    <w:p>
      <w:pPr>
        <w:pStyle w:val="Style75"/>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51"/>
      <w:bookmarkEnd w:id="2052"/>
      <w:bookmarkEnd w:id="2053"/>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7,030,983.07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4,501,493.27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126,846.20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支付的押金及保证金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2,065,350.34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2,481,547.78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3,913,196.79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9,486,336.80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11,023,084.04</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54"/>
      <w:bookmarkEnd w:id="2055"/>
      <w:bookmarkEnd w:id="2056"/>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309,234.54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340,359.54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-184,691.85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122,767.69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122,767.69</w:t>
            </w:r>
          </w:p>
        </w:tc>
      </w:tr>
    </w:tbl>
    <w:p>
      <w:pPr>
        <w:widowControl w:val="0"/>
        <w:spacing w:after="619" w:line="1" w:lineRule="exact"/>
      </w:pP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8,188,206.55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607,707.11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663,654.14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658,154.14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9,486,336.80</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3</w:t>
      </w:r>
      <w:bookmarkEnd w:id="2059"/>
      <w:r>
        <w:rPr>
          <w:color w:val="000000"/>
          <w:spacing w:val="0"/>
          <w:w w:val="100"/>
          <w:position w:val="0"/>
        </w:rPr>
        <w:t>）本期计提、收回或转回的坏账准备情况</w:t>
      </w:r>
      <w:bookmarkEnd w:id="2057"/>
      <w:bookmarkEnd w:id="2058"/>
      <w:bookmarkEnd w:id="2060"/>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589"/>
        <w:gridCol w:w="1085"/>
        <w:gridCol w:w="1334"/>
        <w:gridCol w:w="1450"/>
        <w:gridCol w:w="1200"/>
        <w:gridCol w:w="1344"/>
        <w:gridCol w:w="158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309,234.54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-166,466.85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122,767.69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340,359.54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-184,691.85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122,767.69</w:t>
            </w:r>
          </w:p>
        </w:tc>
      </w:tr>
    </w:tbl>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4</w:t>
      </w:r>
      <w:bookmarkEnd w:id="2063"/>
      <w:r>
        <w:rPr>
          <w:color w:val="000000"/>
          <w:spacing w:val="0"/>
          <w:w w:val="100"/>
          <w:position w:val="0"/>
        </w:rPr>
        <w:t>）本期实际核销的其他应收款情况</w:t>
      </w:r>
      <w:bookmarkEnd w:id="2061"/>
      <w:bookmarkEnd w:id="2062"/>
      <w:bookmarkEnd w:id="206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实际核销的其他应收款项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32,900.00</w:t>
            </w:r>
          </w:p>
        </w:tc>
      </w:tr>
    </w:tbl>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1277"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360" w:line="240" w:lineRule="auto"/>
              <w:ind w:left="0" w:right="0" w:firstLine="0"/>
              <w:jc w:val="left"/>
            </w:pPr>
            <w:bookmarkStart w:id="2065" w:name="bookmark2065"/>
            <w:r>
              <w:rPr>
                <w:rFonts w:ascii="Times New Roman" w:eastAsia="Times New Roman" w:hAnsi="Times New Roman" w:cs="Times New Roman"/>
                <w:b/>
                <w:bCs/>
                <w:color w:val="000000"/>
                <w:spacing w:val="0"/>
                <w:w w:val="100"/>
                <w:position w:val="0"/>
              </w:rPr>
              <w:t>5</w:t>
            </w:r>
            <w:r>
              <w:rPr>
                <w:b/>
                <w:bCs/>
                <w:color w:val="000000"/>
                <w:spacing w:val="0"/>
                <w:w w:val="100"/>
                <w:position w:val="0"/>
              </w:rPr>
              <w:t>）按欠款方归集的期末余额前五名的其他应收款情况</w:t>
            </w:r>
            <w:bookmarkEnd w:id="2065"/>
          </w:p>
          <w:p>
            <w:pPr>
              <w:pStyle w:val="Style2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6,823,322.68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700,261.20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35,013.06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313,542.30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15,677.12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14,880.00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271,216.00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13,560.80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8,405,942.18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79,130.98</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6</w:t>
      </w:r>
      <w:bookmarkEnd w:id="2068"/>
      <w:r>
        <w:rPr>
          <w:color w:val="000000"/>
          <w:spacing w:val="0"/>
          <w:w w:val="100"/>
          <w:position w:val="0"/>
        </w:rPr>
        <w:t>）涉及政府补助的应收款项</w:t>
      </w:r>
      <w:bookmarkEnd w:id="2066"/>
      <w:bookmarkEnd w:id="2067"/>
      <w:bookmarkEnd w:id="206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预计收取的时间、金额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28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期末公司无涉及政府补</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卜助的其他应收款项</w:t>
            </w:r>
          </w:p>
        </w:tc>
      </w:tr>
    </w:tbl>
    <w:p>
      <w:pPr>
        <w:spacing w:lineRule="exact" w:line="1"/>
        <w:rPr>
          <w:sz w:val="2"/>
          <w:szCs w:val="2"/>
        </w:rPr>
      </w:pPr>
      <w:r>
        <w:br w:type="page"/>
      </w:r>
    </w:p>
    <w:p>
      <w:pPr>
        <w:pStyle w:val="Style75"/>
        <w:keepNext/>
        <w:keepLines/>
        <w:widowControl w:val="0"/>
        <w:shd w:val="clear" w:color="auto" w:fill="auto"/>
        <w:tabs>
          <w:tab w:pos="387" w:val="left"/>
        </w:tabs>
        <w:bidi w:val="0"/>
        <w:spacing w:before="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7</w:t>
      </w:r>
      <w:bookmarkEnd w:id="2072"/>
      <w:r>
        <w:rPr>
          <w:color w:val="000000"/>
          <w:spacing w:val="0"/>
          <w:w w:val="100"/>
          <w:position w:val="0"/>
        </w:rPr>
        <w:t>）</w:t>
        <w:tab/>
        <w:t>因金融资产转移而终止确认的其他应收款</w:t>
      </w:r>
      <w:bookmarkEnd w:id="2070"/>
      <w:bookmarkEnd w:id="2071"/>
      <w:bookmarkEnd w:id="207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本期公司无因金融资产转移而终止确认的其他应收款项</w:t>
      </w:r>
    </w:p>
    <w:p>
      <w:pPr>
        <w:pStyle w:val="Style75"/>
        <w:keepNext/>
        <w:keepLines/>
        <w:widowControl w:val="0"/>
        <w:shd w:val="clear" w:color="auto" w:fill="auto"/>
        <w:tabs>
          <w:tab w:pos="392"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8</w:t>
      </w:r>
      <w:bookmarkEnd w:id="2076"/>
      <w:r>
        <w:rPr>
          <w:color w:val="000000"/>
          <w:spacing w:val="0"/>
          <w:w w:val="100"/>
          <w:position w:val="0"/>
        </w:rPr>
        <w:t>）</w:t>
        <w:tab/>
        <w:t>转移其他应收款且继续涉入形成的资产、负债金额</w:t>
      </w:r>
      <w:bookmarkEnd w:id="2074"/>
      <w:bookmarkEnd w:id="2075"/>
      <w:bookmarkEnd w:id="207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期末公司无转移其他应收款项且继续涉入形成的资产、负债金额</w:t>
      </w:r>
    </w:p>
    <w:p>
      <w:pPr>
        <w:pStyle w:val="Style38"/>
        <w:keepNext/>
        <w:keepLines/>
        <w:widowControl w:val="0"/>
        <w:shd w:val="clear" w:color="auto" w:fill="auto"/>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3</w:t>
      </w:r>
      <w:bookmarkEnd w:id="2080"/>
      <w:r>
        <w:rPr>
          <w:color w:val="000000"/>
          <w:spacing w:val="0"/>
          <w:w w:val="100"/>
          <w:position w:val="0"/>
        </w:rPr>
        <w:t>、长期股权投资</w:t>
      </w:r>
      <w:bookmarkEnd w:id="2078"/>
      <w:bookmarkEnd w:id="2079"/>
      <w:bookmarkEnd w:id="208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30,493,274.52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30,493,274.52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20,493,274.52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30,493,274.52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30,493,274.52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20,493,274.52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20,493,274.52</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2"/>
      <w:bookmarkEnd w:id="2083"/>
      <w:bookmarkEnd w:id="208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南凌科技发展</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（香港）有限公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837,926.44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837,926.44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青岛南凌信息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深圳南凌信息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9,055,348.08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9,055,348.08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浙江凌聚云计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深圳市南凌云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20,493,274.52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30,493,274.52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5"/>
      <w:bookmarkEnd w:id="2086"/>
      <w:bookmarkEnd w:id="208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权益法下 确认的投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宣告发放 现金股利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83"/>
        <w:gridCol w:w="797"/>
        <w:gridCol w:w="797"/>
        <w:gridCol w:w="797"/>
        <w:gridCol w:w="797"/>
        <w:gridCol w:w="802"/>
        <w:gridCol w:w="797"/>
        <w:gridCol w:w="797"/>
        <w:gridCol w:w="797"/>
        <w:gridCol w:w="893"/>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或利润</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99" w:line="1" w:lineRule="exact"/>
      </w:pPr>
    </w:p>
    <w:p>
      <w:pPr>
        <w:pStyle w:val="Style36"/>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30" w:val="left"/>
        </w:tabs>
        <w:bidi w:val="0"/>
        <w:spacing w:before="0" w:after="41" w:line="240" w:lineRule="auto"/>
        <w:ind w:left="0" w:right="0" w:firstLine="0"/>
        <w:jc w:val="left"/>
      </w:pPr>
      <w:bookmarkStart w:id="2088" w:name="bookmark2088"/>
      <w:r>
        <w:rPr>
          <w:color w:val="000000"/>
          <w:spacing w:val="0"/>
          <w:w w:val="100"/>
          <w:position w:val="0"/>
        </w:rPr>
        <w:t>一</w:t>
      </w:r>
      <w:bookmarkEnd w:id="2088"/>
      <w:r>
        <w:rPr>
          <w:color w:val="000000"/>
          <w:spacing w:val="0"/>
          <w:w w:val="100"/>
          <w:position w:val="0"/>
        </w:rPr>
        <w:t>、</w:t>
        <w:tab/>
        <w:t>合营企业</w:t>
      </w:r>
    </w:p>
    <w:p>
      <w:pPr>
        <w:pStyle w:val="Style36"/>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430" w:val="left"/>
        </w:tabs>
        <w:bidi w:val="0"/>
        <w:spacing w:before="0" w:after="301" w:line="240" w:lineRule="auto"/>
        <w:ind w:left="0" w:right="0" w:firstLine="0"/>
        <w:jc w:val="left"/>
      </w:pPr>
      <w:bookmarkStart w:id="2089" w:name="bookmark2089"/>
      <w:r>
        <w:rPr>
          <w:color w:val="000000"/>
          <w:spacing w:val="0"/>
          <w:w w:val="100"/>
          <w:position w:val="0"/>
        </w:rPr>
        <w:t>二</w:t>
      </w:r>
      <w:bookmarkEnd w:id="2089"/>
      <w:r>
        <w:rPr>
          <w:color w:val="000000"/>
          <w:spacing w:val="0"/>
          <w:w w:val="100"/>
          <w:position w:val="0"/>
        </w:rPr>
        <w:t>、</w:t>
        <w:tab/>
        <w:t>联营企业</w:t>
      </w:r>
    </w:p>
    <w:p>
      <w:pPr>
        <w:pStyle w:val="Style47"/>
        <w:keepNext/>
        <w:keepLines/>
        <w:widowControl w:val="0"/>
        <w:numPr>
          <w:ilvl w:val="0"/>
          <w:numId w:val="139"/>
        </w:numPr>
        <w:shd w:val="clear" w:color="auto" w:fill="auto"/>
        <w:bidi w:val="0"/>
        <w:spacing w:before="0" w:after="360" w:line="240" w:lineRule="auto"/>
        <w:ind w:left="0" w:right="0" w:firstLine="0"/>
        <w:jc w:val="left"/>
      </w:pPr>
      <w:bookmarkStart w:id="2090" w:name="bookmark2090"/>
      <w:bookmarkStart w:id="2091" w:name="bookmark2091"/>
      <w:bookmarkStart w:id="2092" w:name="bookmark2092"/>
      <w:bookmarkStart w:id="2093" w:name="bookmark2093"/>
      <w:bookmarkEnd w:id="2092"/>
      <w:r>
        <w:rPr>
          <w:color w:val="000000"/>
          <w:spacing w:val="0"/>
          <w:w w:val="100"/>
          <w:position w:val="0"/>
        </w:rPr>
        <w:t>其他说明</w:t>
      </w:r>
      <w:bookmarkEnd w:id="2090"/>
      <w:bookmarkEnd w:id="2091"/>
      <w:bookmarkEnd w:id="2093"/>
    </w:p>
    <w:p>
      <w:pPr>
        <w:pStyle w:val="Style38"/>
        <w:keepNext/>
        <w:keepLines/>
        <w:widowControl w:val="0"/>
        <w:shd w:val="clear" w:color="auto" w:fill="auto"/>
        <w:bidi w:val="0"/>
        <w:spacing w:before="0" w:after="36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4</w:t>
      </w:r>
      <w:bookmarkEnd w:id="2096"/>
      <w:r>
        <w:rPr>
          <w:color w:val="000000"/>
          <w:spacing w:val="0"/>
          <w:w w:val="100"/>
          <w:position w:val="0"/>
        </w:rPr>
        <w:t>、营业收入和营业成本</w:t>
      </w:r>
      <w:bookmarkEnd w:id="2094"/>
      <w:bookmarkEnd w:id="2095"/>
      <w:bookmarkEnd w:id="209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481,203,348.43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299,958,050.23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477,572,837.53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299,341,191.81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2,812,336.61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1,356,831.12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3,167,021.49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2,111,714.30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484,015,685.04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301,314,881.35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480,739,859.02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301,452,906.11</w:t>
            </w:r>
          </w:p>
        </w:tc>
      </w:tr>
    </w:tbl>
    <w:p>
      <w:pPr>
        <w:widowControl w:val="0"/>
        <w:spacing w:after="43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收入相关信息:</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79" w:line="1" w:lineRule="exact"/>
      </w:pPr>
    </w:p>
    <w:p>
      <w:pPr>
        <w:pStyle w:val="Style29"/>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与履约义务相关的信息:</w:t>
      </w:r>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5</w:t>
      </w:r>
      <w:bookmarkEnd w:id="2100"/>
      <w:r>
        <w:rPr>
          <w:color w:val="000000"/>
          <w:spacing w:val="0"/>
          <w:w w:val="100"/>
          <w:position w:val="0"/>
        </w:rPr>
        <w:t>、投资收益</w:t>
      </w:r>
      <w:bookmarkEnd w:id="2098"/>
      <w:bookmarkEnd w:id="2099"/>
      <w:bookmarkEnd w:id="2101"/>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38"/>
        <w:keepNext/>
        <w:keepLines/>
        <w:widowControl w:val="0"/>
        <w:shd w:val="clear" w:color="auto" w:fill="auto"/>
        <w:bidi w:val="0"/>
        <w:spacing w:before="0" w:after="360" w:line="240" w:lineRule="auto"/>
        <w:ind w:left="0" w:right="0" w:firstLine="0"/>
        <w:jc w:val="both"/>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6</w:t>
      </w:r>
      <w:bookmarkEnd w:id="2104"/>
      <w:r>
        <w:rPr>
          <w:color w:val="000000"/>
          <w:spacing w:val="0"/>
          <w:w w:val="100"/>
          <w:position w:val="0"/>
        </w:rPr>
        <w:t>、其他</w:t>
      </w:r>
      <w:bookmarkEnd w:id="2102"/>
      <w:bookmarkEnd w:id="2103"/>
      <w:bookmarkEnd w:id="2105"/>
    </w:p>
    <w:p>
      <w:pPr>
        <w:pStyle w:val="Style27"/>
        <w:keepNext/>
        <w:keepLines/>
        <w:widowControl w:val="0"/>
        <w:shd w:val="clear" w:color="auto" w:fill="auto"/>
        <w:bidi w:val="0"/>
        <w:spacing w:before="0" w:after="360" w:line="240" w:lineRule="auto"/>
        <w:ind w:left="0" w:right="0" w:firstLine="0"/>
        <w:jc w:val="both"/>
      </w:pPr>
      <w:bookmarkStart w:id="2106" w:name="bookmark2106"/>
      <w:bookmarkStart w:id="2107" w:name="bookmark2107"/>
      <w:bookmarkStart w:id="2108" w:name="bookmark2108"/>
      <w:r>
        <w:rPr>
          <w:color w:val="000000"/>
          <w:spacing w:val="0"/>
          <w:w w:val="100"/>
          <w:position w:val="0"/>
          <w:sz w:val="24"/>
          <w:szCs w:val="24"/>
        </w:rPr>
        <w:t>十八、补充资料</w:t>
      </w:r>
      <w:bookmarkEnd w:id="2106"/>
      <w:bookmarkEnd w:id="2107"/>
      <w:bookmarkEnd w:id="2108"/>
    </w:p>
    <w:p>
      <w:pPr>
        <w:pStyle w:val="Style38"/>
        <w:keepNext/>
        <w:keepLines/>
        <w:widowControl w:val="0"/>
        <w:shd w:val="clear" w:color="auto" w:fill="auto"/>
        <w:bidi w:val="0"/>
        <w:spacing w:before="0" w:after="360" w:line="240" w:lineRule="auto"/>
        <w:ind w:left="0" w:right="0" w:firstLine="0"/>
        <w:jc w:val="both"/>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09"/>
      <w:bookmarkEnd w:id="2110"/>
      <w:bookmarkEnd w:id="2111"/>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-69,220.23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1,897,927.26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892,772.03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447,179.99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val="0"/>
        <w:keepLines w:val="0"/>
        <w:widowControl w:val="0"/>
        <w:shd w:val="clear" w:color="auto" w:fill="auto"/>
        <w:bidi w:val="0"/>
        <w:spacing w:before="0" w:after="360" w:line="470" w:lineRule="exact"/>
        <w:ind w:left="0" w:right="0" w:firstLine="0"/>
        <w:jc w:val="both"/>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号——非经常性损益》定义界定的非经常性损 益项目，以及把《公开发行证券的公司信息披露解释性公告第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号——非经常性损益》中列举的非经常性 损益项目界定为经常性损益的项目，应说明原因。</w:t>
      </w:r>
    </w:p>
    <w:p>
      <w:pPr>
        <w:pStyle w:val="Style29"/>
        <w:keepNext w:val="0"/>
        <w:keepLines w:val="0"/>
        <w:widowControl w:val="0"/>
        <w:shd w:val="clear" w:color="auto" w:fill="auto"/>
        <w:bidi w:val="0"/>
        <w:spacing w:before="0" w:after="200" w:line="49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100" w:line="492" w:lineRule="auto"/>
        <w:ind w:left="0" w:right="0" w:firstLine="0"/>
        <w:jc w:val="both"/>
      </w:pPr>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12"/>
      <w:bookmarkEnd w:id="2113"/>
      <w:bookmarkEnd w:id="211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、境内外会计准则下会计数据差异</w:t>
      </w:r>
      <w:bookmarkEnd w:id="2115"/>
      <w:bookmarkEnd w:id="2116"/>
      <w:bookmarkEnd w:id="2118"/>
    </w:p>
    <w:p>
      <w:pPr>
        <w:pStyle w:val="Style47"/>
        <w:keepNext/>
        <w:keepLines/>
        <w:widowControl w:val="0"/>
        <w:shd w:val="clear" w:color="auto" w:fill="auto"/>
        <w:bidi w:val="0"/>
        <w:spacing w:before="0" w:after="360" w:line="240" w:lineRule="auto"/>
        <w:ind w:left="0" w:right="0" w:firstLine="0"/>
        <w:jc w:val="both"/>
      </w:pPr>
      <w:bookmarkStart w:id="2119" w:name="bookmark2119"/>
      <w:bookmarkStart w:id="2120" w:name="bookmark2120"/>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119"/>
      <w:bookmarkEnd w:id="2120"/>
      <w:bookmarkEnd w:id="212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7"/>
        <w:keepNext/>
        <w:keepLines/>
        <w:widowControl w:val="0"/>
        <w:numPr>
          <w:ilvl w:val="0"/>
          <w:numId w:val="141"/>
        </w:numPr>
        <w:shd w:val="clear" w:color="auto" w:fill="auto"/>
        <w:tabs>
          <w:tab w:pos="493" w:val="left"/>
        </w:tabs>
        <w:bidi w:val="0"/>
        <w:spacing w:before="0" w:after="280" w:line="331" w:lineRule="exact"/>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同时按照境外会计准则与按中国会计准则披露的财务报告中净利润和净资产差异情况</w:t>
      </w:r>
      <w:bookmarkEnd w:id="2122"/>
      <w:bookmarkEnd w:id="2123"/>
      <w:bookmarkEnd w:id="2125"/>
    </w:p>
    <w:p>
      <w:pPr>
        <w:pStyle w:val="Style29"/>
        <w:keepNext w:val="0"/>
        <w:keepLines w:val="0"/>
        <w:widowControl w:val="0"/>
        <w:shd w:val="clear" w:color="auto" w:fill="auto"/>
        <w:bidi w:val="0"/>
        <w:spacing w:before="0" w:after="280" w:line="33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7"/>
        <w:keepNext/>
        <w:keepLines/>
        <w:widowControl w:val="0"/>
        <w:numPr>
          <w:ilvl w:val="0"/>
          <w:numId w:val="141"/>
        </w:numPr>
        <w:shd w:val="clear" w:color="auto" w:fill="auto"/>
        <w:bidi w:val="0"/>
        <w:spacing w:before="0" w:after="280" w:line="331" w:lineRule="exact"/>
        <w:ind w:left="0" w:right="0" w:firstLine="0"/>
        <w:jc w:val="left"/>
      </w:pPr>
      <w:bookmarkStart w:id="2126" w:name="bookmark2126"/>
      <w:bookmarkStart w:id="2127" w:name="bookmark2127"/>
      <w:bookmarkStart w:id="2128" w:name="bookmark2128"/>
      <w:bookmarkStart w:id="2129" w:name="bookmark2129"/>
      <w:bookmarkEnd w:id="2128"/>
      <w:r>
        <w:rPr>
          <w:color w:val="000000"/>
          <w:spacing w:val="0"/>
          <w:w w:val="100"/>
          <w:position w:val="0"/>
        </w:rPr>
        <w:t xml:space="preserve"> 境内外会计准则下会计数据差异原因说明，对已经境外审计机构审计的数据进行差异调节的，应注 明该境外机构的名称</w:t>
      </w:r>
      <w:bookmarkEnd w:id="2126"/>
      <w:bookmarkEnd w:id="2127"/>
      <w:bookmarkEnd w:id="2129"/>
    </w:p>
    <w:p>
      <w:pPr>
        <w:pStyle w:val="Style38"/>
        <w:keepNext/>
        <w:keepLines/>
        <w:widowControl w:val="0"/>
        <w:shd w:val="clear" w:color="auto" w:fill="auto"/>
        <w:bidi w:val="0"/>
        <w:spacing w:before="0" w:after="280" w:line="331" w:lineRule="exact"/>
        <w:ind w:left="0" w:right="0" w:firstLine="0"/>
        <w:jc w:val="left"/>
        <w:sectPr>
          <w:footnotePr>
            <w:pos w:val="pageBottom"/>
            <w:numFmt w:val="decimal"/>
            <w:numRestart w:val="continuous"/>
          </w:footnotePr>
          <w:pgSz w:w="11900" w:h="16840"/>
          <w:pgMar w:top="1148" w:right="999" w:bottom="1378" w:left="1008" w:header="0" w:footer="3" w:gutter="0"/>
          <w:cols w:space="720"/>
          <w:noEndnote/>
          <w:rtlGutter w:val="0"/>
          <w:docGrid w:linePitch="360"/>
        </w:sectPr>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4</w:t>
      </w:r>
      <w:bookmarkEnd w:id="2132"/>
      <w:r>
        <w:rPr>
          <w:color w:val="000000"/>
          <w:spacing w:val="0"/>
          <w:w w:val="100"/>
          <w:position w:val="0"/>
        </w:rPr>
        <w:t>、其他</w:t>
      </w:r>
      <w:bookmarkEnd w:id="2130"/>
      <w:bookmarkEnd w:id="2131"/>
      <w:bookmarkEnd w:id="2133"/>
    </w:p>
    <w:p>
      <w:pPr>
        <w:pStyle w:val="Style14"/>
        <w:keepNext/>
        <w:keepLines/>
        <w:widowControl w:val="0"/>
        <w:shd w:val="clear" w:color="auto" w:fill="auto"/>
        <w:bidi w:val="0"/>
        <w:spacing w:before="0" w:after="640" w:line="240" w:lineRule="auto"/>
        <w:ind w:left="0" w:right="0" w:firstLine="0"/>
        <w:jc w:val="center"/>
      </w:pPr>
      <w:bookmarkStart w:id="2134" w:name="bookmark2134"/>
      <w:bookmarkStart w:id="2135" w:name="bookmark2135"/>
      <w:bookmarkStart w:id="2136" w:name="bookmark2136"/>
      <w:r>
        <w:rPr>
          <w:color w:val="000000"/>
          <w:spacing w:val="0"/>
          <w:w w:val="100"/>
          <w:position w:val="0"/>
        </w:rPr>
        <w:t>第十三节备查文件目录</w:t>
      </w:r>
      <w:bookmarkEnd w:id="2134"/>
      <w:bookmarkEnd w:id="2135"/>
      <w:bookmarkEnd w:id="2136"/>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公司</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年度报告的备查文件包括：</w:t>
      </w:r>
    </w:p>
    <w:p>
      <w:pPr>
        <w:pStyle w:val="Style29"/>
        <w:keepNext w:val="0"/>
        <w:keepLines w:val="0"/>
        <w:widowControl w:val="0"/>
        <w:shd w:val="clear" w:color="auto" w:fill="auto"/>
        <w:tabs>
          <w:tab w:pos="354" w:val="left"/>
        </w:tabs>
        <w:bidi w:val="0"/>
        <w:spacing w:before="0" w:after="380" w:line="240" w:lineRule="auto"/>
        <w:ind w:left="0" w:right="0" w:firstLine="0"/>
        <w:jc w:val="left"/>
      </w:pPr>
      <w:bookmarkStart w:id="2137" w:name="bookmark2137"/>
      <w:r>
        <w:rPr>
          <w:rFonts w:ascii="Times New Roman" w:eastAsia="Times New Roman" w:hAnsi="Times New Roman" w:cs="Times New Roman"/>
          <w:color w:val="000000"/>
          <w:spacing w:val="0"/>
          <w:w w:val="100"/>
          <w:position w:val="0"/>
        </w:rPr>
        <w:t>1</w:t>
      </w:r>
      <w:bookmarkEnd w:id="2137"/>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年度报告全文的原件；</w:t>
      </w:r>
    </w:p>
    <w:p>
      <w:pPr>
        <w:pStyle w:val="Style29"/>
        <w:keepNext w:val="0"/>
        <w:keepLines w:val="0"/>
        <w:widowControl w:val="0"/>
        <w:shd w:val="clear" w:color="auto" w:fill="auto"/>
        <w:tabs>
          <w:tab w:pos="373" w:val="left"/>
        </w:tabs>
        <w:bidi w:val="0"/>
        <w:spacing w:before="0" w:after="380" w:line="240" w:lineRule="auto"/>
        <w:ind w:left="0" w:right="0" w:firstLine="0"/>
        <w:jc w:val="left"/>
      </w:pPr>
      <w:bookmarkStart w:id="2138" w:name="bookmark2138"/>
      <w:r>
        <w:rPr>
          <w:rFonts w:ascii="Times New Roman" w:eastAsia="Times New Roman" w:hAnsi="Times New Roman" w:cs="Times New Roman"/>
          <w:color w:val="000000"/>
          <w:spacing w:val="0"/>
          <w:w w:val="100"/>
          <w:position w:val="0"/>
        </w:rPr>
        <w:t>2</w:t>
      </w:r>
      <w:bookmarkEnd w:id="2138"/>
      <w:r>
        <w:rPr>
          <w:color w:val="000000"/>
          <w:spacing w:val="0"/>
          <w:w w:val="100"/>
          <w:position w:val="0"/>
        </w:rPr>
        <w:t>、</w:t>
        <w:tab/>
        <w:t>载有公司负责人、主管会计工作负责人、会计机构负责人签名并盖章的财务报表;</w:t>
      </w:r>
    </w:p>
    <w:p>
      <w:pPr>
        <w:pStyle w:val="Style29"/>
        <w:keepNext w:val="0"/>
        <w:keepLines w:val="0"/>
        <w:widowControl w:val="0"/>
        <w:shd w:val="clear" w:color="auto" w:fill="auto"/>
        <w:tabs>
          <w:tab w:pos="373" w:val="left"/>
        </w:tabs>
        <w:bidi w:val="0"/>
        <w:spacing w:before="0" w:after="380" w:line="240" w:lineRule="auto"/>
        <w:ind w:left="0" w:right="0" w:firstLine="0"/>
        <w:jc w:val="left"/>
      </w:pPr>
      <w:bookmarkStart w:id="2139" w:name="bookmark2139"/>
      <w:r>
        <w:rPr>
          <w:rFonts w:ascii="Times New Roman" w:eastAsia="Times New Roman" w:hAnsi="Times New Roman" w:cs="Times New Roman"/>
          <w:color w:val="000000"/>
          <w:spacing w:val="0"/>
          <w:w w:val="100"/>
          <w:position w:val="0"/>
        </w:rPr>
        <w:t>3</w:t>
      </w:r>
      <w:bookmarkEnd w:id="2139"/>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373" w:val="left"/>
        </w:tabs>
        <w:bidi w:val="0"/>
        <w:spacing w:before="0" w:after="380" w:line="240" w:lineRule="auto"/>
        <w:ind w:left="0" w:right="0" w:firstLine="0"/>
        <w:jc w:val="left"/>
      </w:pPr>
      <w:bookmarkStart w:id="2140" w:name="bookmark2140"/>
      <w:r>
        <w:rPr>
          <w:rFonts w:ascii="Times New Roman" w:eastAsia="Times New Roman" w:hAnsi="Times New Roman" w:cs="Times New Roman"/>
          <w:color w:val="000000"/>
          <w:spacing w:val="0"/>
          <w:w w:val="100"/>
          <w:position w:val="0"/>
        </w:rPr>
        <w:t>4</w:t>
      </w:r>
      <w:bookmarkEnd w:id="2140"/>
      <w:r>
        <w:rPr>
          <w:color w:val="000000"/>
          <w:spacing w:val="0"/>
          <w:w w:val="100"/>
          <w:position w:val="0"/>
        </w:rPr>
        <w:t>、</w:t>
        <w:tab/>
        <w:t>报告期内在中国证监会指定网站上公开披露过的所有文件的正本及公告原稿；</w:t>
      </w:r>
    </w:p>
    <w:p>
      <w:pPr>
        <w:pStyle w:val="Style29"/>
        <w:keepNext w:val="0"/>
        <w:keepLines w:val="0"/>
        <w:widowControl w:val="0"/>
        <w:shd w:val="clear" w:color="auto" w:fill="auto"/>
        <w:tabs>
          <w:tab w:pos="368" w:val="left"/>
        </w:tabs>
        <w:bidi w:val="0"/>
        <w:spacing w:before="0" w:after="380" w:line="240" w:lineRule="auto"/>
        <w:ind w:left="0" w:right="0" w:firstLine="0"/>
        <w:jc w:val="left"/>
      </w:pPr>
      <w:bookmarkStart w:id="2141" w:name="bookmark2141"/>
      <w:r>
        <w:rPr>
          <w:rFonts w:ascii="Times New Roman" w:eastAsia="Times New Roman" w:hAnsi="Times New Roman" w:cs="Times New Roman"/>
          <w:color w:val="000000"/>
          <w:spacing w:val="0"/>
          <w:w w:val="100"/>
          <w:position w:val="0"/>
        </w:rPr>
        <w:t>5</w:t>
      </w:r>
      <w:bookmarkEnd w:id="2141"/>
      <w:r>
        <w:rPr>
          <w:color w:val="000000"/>
          <w:spacing w:val="0"/>
          <w:w w:val="100"/>
          <w:position w:val="0"/>
        </w:rPr>
        <w:t>、</w:t>
        <w:tab/>
        <w:t>其他备查文件。</w:t>
      </w:r>
    </w:p>
    <w:p>
      <w:pPr>
        <w:pStyle w:val="Style29"/>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以上备查文件的备置地点：</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1006</w:t>
      </w:r>
      <w:r>
        <w:rPr>
          <w:color w:val="000000"/>
          <w:spacing w:val="0"/>
          <w:w w:val="100"/>
          <w:position w:val="0"/>
        </w:rPr>
        <w:t>号深圳国际创新中心</w:t>
      </w:r>
      <w:r>
        <w:rPr>
          <w:rFonts w:ascii="Times New Roman" w:eastAsia="Times New Roman" w:hAnsi="Times New Roman" w:cs="Times New Roman"/>
          <w:color w:val="000000"/>
          <w:spacing w:val="0"/>
          <w:w w:val="100"/>
          <w:position w:val="0"/>
        </w:rPr>
        <w:t>16</w:t>
      </w:r>
      <w:r>
        <w:rPr>
          <w:color w:val="000000"/>
          <w:spacing w:val="0"/>
          <w:w w:val="100"/>
          <w:position w:val="0"/>
        </w:rPr>
        <w:t>层证券与市场部办公室</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6726555</wp:posOffset>
              </wp:positionH>
              <wp:positionV relativeFrom="page">
                <wp:posOffset>9996805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64999999999998pt;margin-top:787.14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478790</wp:posOffset>
              </wp:positionV>
              <wp:extent cx="6077585" cy="106680"/>
              <wp:wrapNone/>
              <wp:docPr id="2" name="Shape 2"/>
              <a:graphic xmlns:a="http://schemas.openxmlformats.org/drawingml/2006/main">
                <a:graphicData uri="http://schemas.microsoft.com/office/word/2010/wordprocessingShape">
                  <wps:wsp>
                    <wps:cNvSpPr txBox="1"/>
                    <wps:spPr>
                      <a:xfrm>
                        <a:ext cx="6077585" cy="106680"/>
                      </a:xfrm>
                      <a:prstGeom prst="rect"/>
                      <a:noFill/>
                    </wps:spPr>
                    <wps:txbx>
                      <w:txbxContent>
                        <w:p>
                          <w:pPr>
                            <w:pStyle w:val="Style2"/>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南凌科技股份有限公司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149999999999999pt;margin-top:37.700000000000003pt;width:478.55000000000001pt;height:8.4000000000000004pt;z-index:-18874406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南凌科技股份有限公司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611505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8.14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721995</wp:posOffset>
              </wp:positionH>
              <wp:positionV relativeFrom="page">
                <wp:posOffset>558800</wp:posOffset>
              </wp:positionV>
              <wp:extent cx="6077585" cy="106680"/>
              <wp:wrapNone/>
              <wp:docPr id="7" name="Shape 7"/>
              <a:graphic xmlns:a="http://schemas.openxmlformats.org/drawingml/2006/main">
                <a:graphicData uri="http://schemas.microsoft.com/office/word/2010/wordprocessingShape">
                  <wps:wsp>
                    <wps:cNvSpPr txBox="1"/>
                    <wps:spPr>
                      <a:xfrm>
                        <a:ext cx="6077585" cy="106680"/>
                      </a:xfrm>
                      <a:prstGeom prst="rect"/>
                      <a:noFill/>
                    </wps:spPr>
                    <wps:txbx>
                      <w:txbxContent>
                        <w:p>
                          <w:pPr>
                            <w:pStyle w:val="Style2"/>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南凌科技股份有限公司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3" type="#_x0000_t202" style="position:absolute;margin-left:56.850000000000001pt;margin-top:44.pt;width:478.55000000000001pt;height:8.4000000000000004pt;z-index:-18874405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71"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南凌科技股份有限公司</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694055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4.64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正文文本 (3)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5">
    <w:name w:val="表格标题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76">
    <w:name w:val="标题 #5_"/>
    <w:basedOn w:val="DefaultParagraphFont"/>
    <w:link w:val="Style75"/>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1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60" w:after="5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8"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标题 #2"/>
    <w:basedOn w:val="Normal"/>
    <w:link w:val="CharStyle28"/>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正文文本 (3)"/>
    <w:basedOn w:val="Normal"/>
    <w:link w:val="CharStyle37"/>
    <w:pPr>
      <w:widowControl w:val="0"/>
      <w:shd w:val="clear" w:color="auto" w:fill="auto"/>
      <w:spacing w:after="10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3"/>
    <w:basedOn w:val="Normal"/>
    <w:link w:val="CharStyle39"/>
    <w:pPr>
      <w:widowControl w:val="0"/>
      <w:shd w:val="clear" w:color="auto" w:fill="auto"/>
      <w:spacing w:after="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表格标题"/>
    <w:basedOn w:val="Normal"/>
    <w:link w:val="CharStyle4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标题 #4"/>
    <w:basedOn w:val="Normal"/>
    <w:link w:val="CharStyle48"/>
    <w:pPr>
      <w:widowControl w:val="0"/>
      <w:shd w:val="clear" w:color="auto" w:fill="auto"/>
      <w:spacing w:after="5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5">
    <w:name w:val="标题 #5"/>
    <w:basedOn w:val="Normal"/>
    <w:link w:val="CharStyle7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南凌科技股份有限公司2020年年度报告全文</dc:title>
  <dc:subject/>
  <dc:creator>南凌科技股份有限公司</dc:creator>
  <cp:keywords/>
</cp:coreProperties>
</file>