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4160" w:after="100" w:line="240" w:lineRule="auto"/>
        <w:ind w:left="0" w:right="0" w:firstLine="0"/>
        <w:jc w:val="center"/>
        <w:rPr>
          <w:sz w:val="70"/>
          <w:szCs w:val="70"/>
        </w:rPr>
      </w:pPr>
      <w:r>
        <w:rPr>
          <w:rFonts w:ascii="Arial" w:eastAsia="Arial" w:hAnsi="Arial" w:cs="Arial"/>
          <w:b/>
          <w:bCs/>
          <w:color w:val="0262AE"/>
          <w:spacing w:val="0"/>
          <w:w w:val="100"/>
          <w:position w:val="0"/>
          <w:sz w:val="70"/>
          <w:szCs w:val="70"/>
        </w:rPr>
        <w:t>Farben</w:t>
      </w:r>
    </w:p>
    <w:p>
      <w:pPr>
        <w:pStyle w:val="Style2"/>
        <w:keepNext w:val="0"/>
        <w:keepLines w:val="0"/>
        <w:widowControl w:val="0"/>
        <w:shd w:val="clear" w:color="auto" w:fill="auto"/>
        <w:bidi w:val="0"/>
        <w:spacing w:before="0" w:after="400" w:line="240" w:lineRule="auto"/>
        <w:ind w:left="0" w:right="0" w:firstLine="0"/>
        <w:jc w:val="center"/>
        <w:rPr>
          <w:sz w:val="44"/>
          <w:szCs w:val="44"/>
        </w:rPr>
      </w:pPr>
      <w:r>
        <w:rPr>
          <w:b/>
          <w:bCs/>
          <w:color w:val="000000"/>
          <w:spacing w:val="0"/>
          <w:w w:val="100"/>
          <w:position w:val="0"/>
          <w:sz w:val="44"/>
          <w:szCs w:val="44"/>
        </w:rPr>
        <w:t>深圳市法本信息技术股份有限公司</w:t>
      </w:r>
    </w:p>
    <w:p>
      <w:pPr>
        <w:pStyle w:val="Style2"/>
        <w:keepNext w:val="0"/>
        <w:keepLines w:val="0"/>
        <w:widowControl w:val="0"/>
        <w:shd w:val="clear" w:color="auto" w:fill="auto"/>
        <w:bidi w:val="0"/>
        <w:spacing w:before="0" w:after="400" w:line="240" w:lineRule="auto"/>
        <w:ind w:left="0" w:right="0" w:firstLine="0"/>
        <w:jc w:val="center"/>
        <w:rPr>
          <w:sz w:val="40"/>
          <w:szCs w:val="40"/>
        </w:rPr>
      </w:pPr>
      <w:r>
        <w:rPr>
          <w:rFonts w:ascii="Times New Roman" w:eastAsia="Times New Roman" w:hAnsi="Times New Roman" w:cs="Times New Roman"/>
          <w:b/>
          <w:bCs/>
          <w:color w:val="000000"/>
          <w:spacing w:val="0"/>
          <w:w w:val="100"/>
          <w:position w:val="0"/>
          <w:sz w:val="40"/>
          <w:szCs w:val="40"/>
        </w:rPr>
        <w:t>2021</w:t>
      </w:r>
      <w:r>
        <w:rPr>
          <w:b/>
          <w:bCs/>
          <w:color w:val="000000"/>
          <w:spacing w:val="0"/>
          <w:w w:val="100"/>
          <w:position w:val="0"/>
          <w:sz w:val="40"/>
          <w:szCs w:val="40"/>
        </w:rPr>
        <w:t>年年度报告</w:t>
      </w:r>
    </w:p>
    <w:p>
      <w:pPr>
        <w:pStyle w:val="Style2"/>
        <w:keepNext w:val="0"/>
        <w:keepLines w:val="0"/>
        <w:widowControl w:val="0"/>
        <w:shd w:val="clear" w:color="auto" w:fill="auto"/>
        <w:bidi w:val="0"/>
        <w:spacing w:before="0" w:after="598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2022-033</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0"/>
        <w:keepNext w:val="0"/>
        <w:keepLines w:val="0"/>
        <w:widowControl w:val="0"/>
        <w:shd w:val="clear" w:color="auto" w:fill="auto"/>
        <w:bidi w:val="0"/>
        <w:spacing w:before="0" w:after="260" w:line="240" w:lineRule="auto"/>
        <w:ind w:left="0" w:right="0" w:firstLine="0"/>
        <w:jc w:val="center"/>
      </w:pPr>
      <w:r>
        <w:rPr>
          <w:color w:val="000000"/>
          <w:spacing w:val="0"/>
          <w:w w:val="100"/>
          <w:position w:val="0"/>
          <w:sz w:val="24"/>
          <w:szCs w:val="24"/>
        </w:rPr>
        <w:t>董事长致辞</w:t>
      </w:r>
    </w:p>
    <w:p>
      <w:pPr>
        <w:pStyle w:val="Style12"/>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年，是意义非凡的一年，我们隆重庆祝中国共产党成立一百周年，我们全面建成了小康社会，实 现了第一个百年奋斗目标。</w:t>
      </w:r>
      <w:r>
        <w:rPr>
          <w:rFonts w:ascii="Times New Roman" w:eastAsia="Times New Roman" w:hAnsi="Times New Roman" w:cs="Times New Roman"/>
          <w:color w:val="000000"/>
          <w:spacing w:val="0"/>
          <w:w w:val="100"/>
          <w:position w:val="0"/>
        </w:rPr>
        <w:t>2021</w:t>
      </w:r>
      <w:r>
        <w:rPr>
          <w:color w:val="000000"/>
          <w:spacing w:val="0"/>
          <w:w w:val="100"/>
          <w:position w:val="0"/>
        </w:rPr>
        <w:t>年，同时也是充满挑战的一年，我们面对着百年未有之大变局以及世纪疫 情交织叠加等诸多挑战，国内外形势严峻复杂。</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年，是法本信息成为上市公司的元年，更是我们历经 </w:t>
      </w:r>
      <w:r>
        <w:rPr>
          <w:rFonts w:ascii="Times New Roman" w:eastAsia="Times New Roman" w:hAnsi="Times New Roman" w:cs="Times New Roman"/>
          <w:color w:val="000000"/>
          <w:spacing w:val="0"/>
          <w:w w:val="100"/>
          <w:position w:val="0"/>
        </w:rPr>
        <w:t>15</w:t>
      </w:r>
      <w:r>
        <w:rPr>
          <w:color w:val="000000"/>
          <w:spacing w:val="0"/>
          <w:w w:val="100"/>
          <w:position w:val="0"/>
        </w:rPr>
        <w:t>载风雨，仍不懈努力、奋力进取的一年，这一年，公司在董事会的领导以及全体法本人的艰苦奋斗下， 坚持以客户为中心，用专业的信息技术服务真诚为客户为社会创造价值，勤勉务实、继续实现了稳健快速 发展，我们不断刷新经营业绩记录，实现了</w:t>
      </w:r>
      <w:r>
        <w:rPr>
          <w:rFonts w:ascii="Times New Roman" w:eastAsia="Times New Roman" w:hAnsi="Times New Roman" w:cs="Times New Roman"/>
          <w:color w:val="000000"/>
          <w:spacing w:val="0"/>
          <w:w w:val="100"/>
          <w:position w:val="0"/>
        </w:rPr>
        <w:t>“</w:t>
      </w:r>
      <w:r>
        <w:rPr>
          <w:color w:val="000000"/>
          <w:spacing w:val="0"/>
          <w:w w:val="100"/>
          <w:position w:val="0"/>
        </w:rPr>
        <w:t>五年规模近</w:t>
      </w:r>
      <w:r>
        <w:rPr>
          <w:rFonts w:ascii="Times New Roman" w:eastAsia="Times New Roman" w:hAnsi="Times New Roman" w:cs="Times New Roman"/>
          <w:color w:val="000000"/>
          <w:spacing w:val="0"/>
          <w:w w:val="100"/>
          <w:position w:val="0"/>
        </w:rPr>
        <w:t>10</w:t>
      </w:r>
      <w:r>
        <w:rPr>
          <w:color w:val="000000"/>
          <w:spacing w:val="0"/>
          <w:w w:val="100"/>
          <w:position w:val="0"/>
        </w:rPr>
        <w:t>倍增长</w:t>
      </w:r>
      <w:r>
        <w:rPr>
          <w:rFonts w:ascii="Times New Roman" w:eastAsia="Times New Roman" w:hAnsi="Times New Roman" w:cs="Times New Roman"/>
          <w:color w:val="000000"/>
          <w:spacing w:val="0"/>
          <w:w w:val="100"/>
          <w:position w:val="0"/>
        </w:rPr>
        <w:t>”</w:t>
      </w:r>
      <w:r>
        <w:rPr>
          <w:color w:val="000000"/>
          <w:spacing w:val="0"/>
          <w:w w:val="100"/>
          <w:position w:val="0"/>
        </w:rPr>
        <w:t>。报告期末，公司实现营业收入</w:t>
      </w:r>
      <w:r>
        <w:rPr>
          <w:rFonts w:ascii="Times New Roman" w:eastAsia="Times New Roman" w:hAnsi="Times New Roman" w:cs="Times New Roman"/>
          <w:color w:val="000000"/>
          <w:spacing w:val="0"/>
          <w:w w:val="100"/>
          <w:position w:val="0"/>
        </w:rPr>
        <w:t xml:space="preserve">30.88 </w:t>
      </w:r>
      <w:r>
        <w:rPr>
          <w:color w:val="000000"/>
          <w:spacing w:val="0"/>
          <w:w w:val="100"/>
          <w:position w:val="0"/>
        </w:rPr>
        <w:t>亿元，同比增长</w:t>
      </w:r>
      <w:r>
        <w:rPr>
          <w:rFonts w:ascii="Times New Roman" w:eastAsia="Times New Roman" w:hAnsi="Times New Roman" w:cs="Times New Roman"/>
          <w:color w:val="000000"/>
          <w:spacing w:val="0"/>
          <w:w w:val="100"/>
          <w:position w:val="0"/>
        </w:rPr>
        <w:t>58.55%</w:t>
      </w:r>
      <w:r>
        <w:rPr>
          <w:color w:val="000000"/>
          <w:spacing w:val="0"/>
          <w:w w:val="100"/>
          <w:position w:val="0"/>
        </w:rPr>
        <w:t>，实现归属于母公司股东的净利润</w:t>
      </w:r>
      <w:r>
        <w:rPr>
          <w:rFonts w:ascii="Times New Roman" w:eastAsia="Times New Roman" w:hAnsi="Times New Roman" w:cs="Times New Roman"/>
          <w:color w:val="000000"/>
          <w:spacing w:val="0"/>
          <w:w w:val="100"/>
          <w:position w:val="0"/>
        </w:rPr>
        <w:t>1.35</w:t>
      </w:r>
      <w:r>
        <w:rPr>
          <w:color w:val="000000"/>
          <w:spacing w:val="0"/>
          <w:w w:val="100"/>
          <w:position w:val="0"/>
        </w:rPr>
        <w:t>亿元，同比增长</w:t>
      </w:r>
      <w:r>
        <w:rPr>
          <w:rFonts w:ascii="Times New Roman" w:eastAsia="Times New Roman" w:hAnsi="Times New Roman" w:cs="Times New Roman"/>
          <w:color w:val="000000"/>
          <w:spacing w:val="0"/>
          <w:w w:val="100"/>
          <w:position w:val="0"/>
        </w:rPr>
        <w:t>11.28%</w:t>
      </w:r>
      <w:r>
        <w:rPr>
          <w:color w:val="000000"/>
          <w:spacing w:val="0"/>
          <w:w w:val="100"/>
          <w:position w:val="0"/>
        </w:rPr>
        <w:t>。回顾公司</w:t>
      </w:r>
      <w:r>
        <w:rPr>
          <w:rFonts w:ascii="Times New Roman" w:eastAsia="Times New Roman" w:hAnsi="Times New Roman" w:cs="Times New Roman"/>
          <w:color w:val="000000"/>
          <w:spacing w:val="0"/>
          <w:w w:val="100"/>
          <w:position w:val="0"/>
        </w:rPr>
        <w:t>2021</w:t>
      </w:r>
      <w:r>
        <w:rPr>
          <w:color w:val="000000"/>
          <w:spacing w:val="0"/>
          <w:w w:val="100"/>
          <w:position w:val="0"/>
        </w:rPr>
        <w:t>年 的经营管理工作，主要呈现在以下几个方面：</w:t>
      </w:r>
    </w:p>
    <w:p>
      <w:pPr>
        <w:pStyle w:val="Style12"/>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聚焦主业，提升行业地位。</w:t>
      </w:r>
      <w:r>
        <w:rPr>
          <w:rFonts w:ascii="Times New Roman" w:eastAsia="Times New Roman" w:hAnsi="Times New Roman" w:cs="Times New Roman"/>
          <w:color w:val="000000"/>
          <w:spacing w:val="0"/>
          <w:w w:val="100"/>
          <w:position w:val="0"/>
        </w:rPr>
        <w:t>2021</w:t>
      </w:r>
      <w:r>
        <w:rPr>
          <w:color w:val="000000"/>
          <w:spacing w:val="0"/>
          <w:w w:val="100"/>
          <w:position w:val="0"/>
        </w:rPr>
        <w:t>年，公司立足于现有的软件技术服务业务，进一步在行业、客户、区 域三位一体做大业务规模。公司通过开拓新客户、深耕老客户持续占领市场份额，突破了多家行业龙头客 户，与</w:t>
      </w:r>
      <w:r>
        <w:rPr>
          <w:rFonts w:ascii="Times New Roman" w:eastAsia="Times New Roman" w:hAnsi="Times New Roman" w:cs="Times New Roman"/>
          <w:color w:val="000000"/>
          <w:spacing w:val="0"/>
          <w:w w:val="100"/>
          <w:position w:val="0"/>
        </w:rPr>
        <w:t>800</w:t>
      </w:r>
      <w:r>
        <w:rPr>
          <w:color w:val="000000"/>
          <w:spacing w:val="0"/>
          <w:w w:val="100"/>
          <w:position w:val="0"/>
        </w:rPr>
        <w:t>余家优质客户保持稳定的合作关系。地域扩张方面，公司以一线城市为基础向二线城市延伸， 加速地域扩张，在北京、上海、广州、杭州、成都、西安、武汉、长沙等多个城市设有分支机构，逐步完 善全国范围行业客户布局，公司成长质量得到进一步提高。</w:t>
      </w:r>
    </w:p>
    <w:p>
      <w:pPr>
        <w:pStyle w:val="Style12"/>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加大研发投入，实现技术创新。</w:t>
      </w:r>
      <w:r>
        <w:rPr>
          <w:rFonts w:ascii="Times New Roman" w:eastAsia="Times New Roman" w:hAnsi="Times New Roman" w:cs="Times New Roman"/>
          <w:color w:val="000000"/>
          <w:spacing w:val="0"/>
          <w:w w:val="100"/>
          <w:position w:val="0"/>
        </w:rPr>
        <w:t>2021</w:t>
      </w:r>
      <w:r>
        <w:rPr>
          <w:color w:val="000000"/>
          <w:spacing w:val="0"/>
          <w:w w:val="100"/>
          <w:position w:val="0"/>
        </w:rPr>
        <w:t>年，公司持续加大研发投入。公司作为高新技术企业，在业务发 展过程中逐步形成了公司独有的技术研发能力，搭建了先行技术研究、共性技术研究、应用技术研究、交 付技术研究的四级研发体系，在云计算、人工智能、大数据、物联网、移动互联网等技术领域持续创新积 累，形成了智慧金融、智慧物流、</w:t>
      </w:r>
      <w:r>
        <w:rPr>
          <w:rFonts w:ascii="Times New Roman" w:eastAsia="Times New Roman" w:hAnsi="Times New Roman" w:cs="Times New Roman"/>
          <w:color w:val="000000"/>
          <w:spacing w:val="0"/>
          <w:w w:val="100"/>
          <w:position w:val="0"/>
        </w:rPr>
        <w:t>AI-DaaS</w:t>
      </w:r>
      <w:r>
        <w:rPr>
          <w:color w:val="000000"/>
          <w:spacing w:val="0"/>
          <w:w w:val="100"/>
          <w:position w:val="0"/>
        </w:rPr>
        <w:t>智能大数据、企业数字化、智能电商等一系列技术解决方案， 并通过了软件能力成熟度模型集成</w:t>
      </w:r>
      <w:r>
        <w:rPr>
          <w:rFonts w:ascii="Times New Roman" w:eastAsia="Times New Roman" w:hAnsi="Times New Roman" w:cs="Times New Roman"/>
          <w:color w:val="000000"/>
          <w:spacing w:val="0"/>
          <w:w w:val="100"/>
          <w:position w:val="0"/>
        </w:rPr>
        <w:t xml:space="preserve">CMMI </w:t>
      </w:r>
      <w:r>
        <w:rPr>
          <w:rFonts w:ascii="Times New Roman" w:eastAsia="Times New Roman" w:hAnsi="Times New Roman" w:cs="Times New Roman"/>
          <w:color w:val="000000"/>
          <w:spacing w:val="0"/>
          <w:w w:val="100"/>
          <w:position w:val="0"/>
        </w:rPr>
        <w:t>5</w:t>
      </w:r>
      <w:r>
        <w:rPr>
          <w:color w:val="000000"/>
          <w:spacing w:val="0"/>
          <w:w w:val="100"/>
          <w:position w:val="0"/>
        </w:rPr>
        <w:t>级、</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w:t>
      </w:r>
      <w:r>
        <w:rPr>
          <w:rFonts w:ascii="Times New Roman" w:eastAsia="Times New Roman" w:hAnsi="Times New Roman" w:cs="Times New Roman"/>
          <w:color w:val="000000"/>
          <w:spacing w:val="0"/>
          <w:w w:val="100"/>
          <w:position w:val="0"/>
        </w:rPr>
        <w:t>ISO27001</w:t>
      </w:r>
      <w:r>
        <w:rPr>
          <w:color w:val="000000"/>
          <w:spacing w:val="0"/>
          <w:w w:val="100"/>
          <w:position w:val="0"/>
        </w:rPr>
        <w:t xml:space="preserve">信息安全管理体系、 </w:t>
      </w:r>
      <w:r>
        <w:rPr>
          <w:rFonts w:ascii="Times New Roman" w:eastAsia="Times New Roman" w:hAnsi="Times New Roman" w:cs="Times New Roman"/>
          <w:color w:val="000000"/>
          <w:spacing w:val="0"/>
          <w:w w:val="100"/>
          <w:position w:val="0"/>
        </w:rPr>
        <w:t>ISO/IEC20000-1</w:t>
      </w:r>
      <w:r>
        <w:rPr>
          <w:color w:val="000000"/>
          <w:spacing w:val="0"/>
          <w:w w:val="100"/>
          <w:position w:val="0"/>
        </w:rPr>
        <w:t>的服务管理体系和</w:t>
      </w:r>
      <w:r>
        <w:rPr>
          <w:rFonts w:ascii="Times New Roman" w:eastAsia="Times New Roman" w:hAnsi="Times New Roman" w:cs="Times New Roman"/>
          <w:color w:val="000000"/>
          <w:spacing w:val="0"/>
          <w:w w:val="100"/>
          <w:position w:val="0"/>
        </w:rPr>
        <w:t>ISO20000</w:t>
      </w:r>
      <w:r>
        <w:rPr>
          <w:color w:val="000000"/>
          <w:spacing w:val="0"/>
          <w:w w:val="100"/>
          <w:position w:val="0"/>
        </w:rPr>
        <w:t xml:space="preserve">信息技术服务管理体系等认证，以及取得了 </w:t>
      </w:r>
      <w:r>
        <w:rPr>
          <w:rFonts w:ascii="Times New Roman" w:eastAsia="Times New Roman" w:hAnsi="Times New Roman" w:cs="Times New Roman"/>
          <w:color w:val="000000"/>
          <w:spacing w:val="0"/>
          <w:w w:val="100"/>
          <w:position w:val="0"/>
        </w:rPr>
        <w:t>300</w:t>
      </w:r>
      <w:r>
        <w:rPr>
          <w:color w:val="000000"/>
          <w:spacing w:val="0"/>
          <w:w w:val="100"/>
          <w:position w:val="0"/>
        </w:rPr>
        <w:t>余项软件著 作权及十余项软件产品证书。</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在夯实基础软件工程技术体系的同时，法本信息持续在实时大数据处理</w:t>
      </w:r>
      <w:r>
        <w:rPr>
          <w:rFonts w:ascii="Times New Roman" w:eastAsia="Times New Roman" w:hAnsi="Times New Roman" w:cs="Times New Roman"/>
          <w:color w:val="000000"/>
          <w:spacing w:val="0"/>
          <w:w w:val="100"/>
          <w:position w:val="0"/>
        </w:rPr>
        <w:t>(FarData</w:t>
      </w:r>
      <w:r>
        <w:rPr>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rPr>
        <w:t>(FarAI</w:t>
      </w:r>
      <w:r>
        <w:rPr>
          <w:color w:val="000000"/>
          <w:spacing w:val="0"/>
          <w:w w:val="100"/>
          <w:position w:val="0"/>
        </w:rPr>
        <w:t xml:space="preserve">)、 </w:t>
      </w:r>
      <w:r>
        <w:rPr>
          <w:color w:val="000000"/>
          <w:spacing w:val="0"/>
          <w:w w:val="100"/>
          <w:position w:val="0"/>
        </w:rPr>
        <w:t>流程自动化和信息安全等技术领域加大投入，打造数字化产品与技术创新、高效能数字化运营和业务数字 化变革的全栈一体化服务体系，为行业的数字化转型升级全面赋能，为实现数字中国的国家战略贡献自己 的力量，实现企业价值的跨越式发展。</w:t>
      </w:r>
    </w:p>
    <w:p>
      <w:pPr>
        <w:pStyle w:val="Style12"/>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紧抓</w:t>
      </w:r>
      <w:r>
        <w:rPr>
          <w:rFonts w:ascii="Times New Roman" w:eastAsia="Times New Roman" w:hAnsi="Times New Roman" w:cs="Times New Roman"/>
          <w:b/>
          <w:bCs/>
          <w:color w:val="000000"/>
          <w:spacing w:val="0"/>
          <w:w w:val="100"/>
          <w:position w:val="0"/>
        </w:rPr>
        <w:t>“</w:t>
      </w:r>
      <w:r>
        <w:rPr>
          <w:b/>
          <w:bCs/>
          <w:color w:val="000000"/>
          <w:spacing w:val="0"/>
          <w:w w:val="100"/>
          <w:position w:val="0"/>
        </w:rPr>
        <w:t>信创''发展机遇，构建产品与解决方案业务成长动能。</w:t>
      </w:r>
      <w:r>
        <w:rPr>
          <w:color w:val="000000"/>
          <w:spacing w:val="0"/>
          <w:w w:val="100"/>
          <w:position w:val="0"/>
        </w:rPr>
        <w:t>信息技术应用创新产业已成为促进国内信 息技术产业高质量发展，构建国内产业大循环的关键环节。</w:t>
      </w:r>
      <w:r>
        <w:rPr>
          <w:rFonts w:ascii="Times New Roman" w:eastAsia="Times New Roman" w:hAnsi="Times New Roman" w:cs="Times New Roman"/>
          <w:color w:val="000000"/>
          <w:spacing w:val="0"/>
          <w:w w:val="100"/>
          <w:position w:val="0"/>
        </w:rPr>
        <w:t>2021</w:t>
      </w:r>
      <w:r>
        <w:rPr>
          <w:color w:val="000000"/>
          <w:spacing w:val="0"/>
          <w:w w:val="100"/>
          <w:position w:val="0"/>
        </w:rPr>
        <w:t>年，公司加大了金融信创领域的投入，在 相关产品与解决方案的业务方面取得了一定的成效。在大数据业务方面，持续加大数据基础研发能力构建， 夯实迭代全栈式的数据服务能力，为行业客户提供更高价值；在云业务方面，有力依托于现有客户中的云 厂商，积极构建公司在云咨询、云管理、云服务、云相关产品及解决方案的能力，并且积极参与到厂商的 云生态链中，与云厂商共同发展，同时在现有存量客户中持续推行自身的云相关服务；在智慧汽车方面， 瞄准万亿级智能汽车赛道，依托现有汽车主机厂及车联网客户，加速行业资源整合，优化服务模式，创新 推进智慧汽车一站式服务。</w:t>
      </w:r>
    </w:p>
    <w:p>
      <w:pPr>
        <w:pStyle w:val="Style12"/>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持续优化管理提升，护航有质增长。</w:t>
      </w:r>
      <w:r>
        <w:rPr>
          <w:rFonts w:ascii="Times New Roman" w:eastAsia="Times New Roman" w:hAnsi="Times New Roman" w:cs="Times New Roman"/>
          <w:color w:val="000000"/>
          <w:spacing w:val="0"/>
          <w:w w:val="100"/>
          <w:position w:val="0"/>
        </w:rPr>
        <w:t>2021</w:t>
      </w:r>
      <w:r>
        <w:rPr>
          <w:color w:val="000000"/>
          <w:spacing w:val="0"/>
          <w:w w:val="100"/>
          <w:position w:val="0"/>
        </w:rPr>
        <w:t>年，公司不断加强制度建设，进一步优化管理架构，持续提 升公司精细化管理水平。同时，公司坚持审慎的风险管理文化，推动风险管理体系更加精细、智能、高效， 公司资产质量继续保持良好，稳健经营能力得到提升。</w:t>
      </w:r>
    </w:p>
    <w:p>
      <w:pPr>
        <w:pStyle w:val="Style12"/>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实施股权激励，加强人才队伍建设。</w:t>
      </w:r>
      <w:r>
        <w:rPr>
          <w:rFonts w:ascii="Times New Roman" w:eastAsia="Times New Roman" w:hAnsi="Times New Roman" w:cs="Times New Roman"/>
          <w:color w:val="000000"/>
          <w:spacing w:val="0"/>
          <w:w w:val="100"/>
          <w:position w:val="0"/>
        </w:rPr>
        <w:t>2021</w:t>
      </w:r>
      <w:r>
        <w:rPr>
          <w:color w:val="000000"/>
          <w:spacing w:val="0"/>
          <w:w w:val="100"/>
          <w:position w:val="0"/>
        </w:rPr>
        <w:t>年，公司积极推进股权激励计划，并于近期通过回购公司股 票的方式延续激励手段，努力保持核心团队的稳定及吸引更多的优秀人才。公司贯彻人才为本的管理理念， 持续引入优秀的管理人才、技术人才等。公司的研发、销售等主要管理人员都拥有多年行业相关经验，能 够对行业的发展趋势做出良好的专业判断，以更好的满足客户需求，提升客户服务质量。此外，公司高度 重视人才体系建设，通过线上线下灵活的培训方式持续为不同专业类别的人员赋能，公司构建了具有市场 竞争力的员工薪酬体系和激励政策，让员工共同分享企业发展所带来的收益，促进员工价值观念的凝合。</w:t>
      </w:r>
    </w:p>
    <w:p>
      <w:pPr>
        <w:pStyle w:val="Style12"/>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积极分红，推动实现股东价值增长。</w:t>
      </w:r>
      <w:r>
        <w:rPr>
          <w:rFonts w:ascii="Times New Roman" w:eastAsia="Times New Roman" w:hAnsi="Times New Roman" w:cs="Times New Roman"/>
          <w:color w:val="000000"/>
          <w:spacing w:val="0"/>
          <w:w w:val="100"/>
          <w:position w:val="0"/>
        </w:rPr>
        <w:t>2021</w:t>
      </w:r>
      <w:r>
        <w:rPr>
          <w:color w:val="000000"/>
          <w:spacing w:val="0"/>
          <w:w w:val="100"/>
          <w:position w:val="0"/>
        </w:rPr>
        <w:t>年，公司高度重视股东的价值体现，主动做好信息披露，积 极回应投资者关切的问题，与投资者保持良好沟通，定期组织投资者交流活动，传递公司价值。在持续提 升公司盈利能力，保障公司稳健运行的同时，积极实施利润分红，回馈投资者。</w:t>
      </w:r>
    </w:p>
    <w:p>
      <w:pPr>
        <w:pStyle w:val="Style12"/>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企业文化焕新，奠定公司发展基础。</w:t>
      </w:r>
      <w:r>
        <w:rPr>
          <w:color w:val="000000"/>
          <w:spacing w:val="0"/>
          <w:w w:val="100"/>
          <w:position w:val="0"/>
        </w:rPr>
        <w:t>企业是树，文化是根，没有独特的企业文化，企业不过是无根的 浮萍。唯有企业文化毫无折扣的贯彻在日常工作行为中，不断赋予员工应对变化的定力，组织才能快速适 应时代的流变，建设自己的核心竞争力。</w:t>
      </w:r>
      <w:r>
        <w:rPr>
          <w:rFonts w:ascii="Times New Roman" w:eastAsia="Times New Roman" w:hAnsi="Times New Roman" w:cs="Times New Roman"/>
          <w:color w:val="000000"/>
          <w:spacing w:val="0"/>
          <w:w w:val="100"/>
          <w:position w:val="0"/>
        </w:rPr>
        <w:t>2021</w:t>
      </w:r>
      <w:r>
        <w:rPr>
          <w:color w:val="000000"/>
          <w:spacing w:val="0"/>
          <w:w w:val="100"/>
          <w:position w:val="0"/>
        </w:rPr>
        <w:t>年，公司全面重新梳理了公司的价值文化体系，形成了公司 的核心价值观：客户至上、人才为本、艰苦奋斗、团队合作、自我批判。客户至上、人才为本是我们事业 的魂，艰苦奋斗、团队合作是建设卓越事业的基石，自我批判是纠偏机制，是保持组织开放创新和成长的 法宝。公司将以焕新的企业文化重拾初心、重新出发，以此开启公司未来百年基业的新征程。</w:t>
      </w:r>
    </w:p>
    <w:p>
      <w:pPr>
        <w:pStyle w:val="Style1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回望</w:t>
      </w:r>
      <w:r>
        <w:rPr>
          <w:rFonts w:ascii="Times New Roman" w:eastAsia="Times New Roman" w:hAnsi="Times New Roman" w:cs="Times New Roman"/>
          <w:color w:val="000000"/>
          <w:spacing w:val="0"/>
          <w:w w:val="100"/>
          <w:position w:val="0"/>
        </w:rPr>
        <w:t>2021</w:t>
      </w:r>
      <w:r>
        <w:rPr>
          <w:color w:val="000000"/>
          <w:spacing w:val="0"/>
          <w:w w:val="100"/>
          <w:position w:val="0"/>
        </w:rPr>
        <w:t>年，我们赶上了一个好的时代。无论是世界还是中国，都在大力发展新兴的信息技术，人工 智能、云计算、大数据、移动互联等技术不再是遥不可及的概念，而是千千万万的行业共同拥抱的变化， 数字化转型已经成为无数企业进行产业升级、生存与发展的共同需要。法本信息致力于成为</w:t>
      </w:r>
      <w:r>
        <w:rPr>
          <w:rFonts w:ascii="Times New Roman" w:eastAsia="Times New Roman" w:hAnsi="Times New Roman" w:cs="Times New Roman"/>
          <w:color w:val="000000"/>
          <w:spacing w:val="0"/>
          <w:w w:val="100"/>
          <w:position w:val="0"/>
        </w:rPr>
        <w:t>“</w:t>
      </w:r>
      <w:r>
        <w:rPr>
          <w:color w:val="000000"/>
          <w:spacing w:val="0"/>
          <w:w w:val="100"/>
          <w:position w:val="0"/>
        </w:rPr>
        <w:t>软件定义世界 的赋能者</w:t>
      </w:r>
      <w:r>
        <w:rPr>
          <w:rFonts w:ascii="Times New Roman" w:eastAsia="Times New Roman" w:hAnsi="Times New Roman" w:cs="Times New Roman"/>
          <w:color w:val="000000"/>
          <w:spacing w:val="0"/>
          <w:w w:val="100"/>
          <w:position w:val="0"/>
        </w:rPr>
        <w:t>”</w:t>
      </w:r>
      <w:r>
        <w:rPr>
          <w:color w:val="000000"/>
          <w:spacing w:val="0"/>
          <w:w w:val="100"/>
          <w:position w:val="0"/>
        </w:rPr>
        <w:t>，希望通过创新技术改善人们的生活，大时代赋予了我们无限的新机遇。但机遇的背后，也意味 着挑战与风险，</w:t>
      </w:r>
      <w:r>
        <w:rPr>
          <w:rFonts w:ascii="Times New Roman" w:eastAsia="Times New Roman" w:hAnsi="Times New Roman" w:cs="Times New Roman"/>
          <w:color w:val="000000"/>
          <w:spacing w:val="0"/>
          <w:w w:val="100"/>
          <w:position w:val="0"/>
        </w:rPr>
        <w:t>2021</w:t>
      </w:r>
      <w:r>
        <w:rPr>
          <w:color w:val="000000"/>
          <w:spacing w:val="0"/>
          <w:w w:val="100"/>
          <w:position w:val="0"/>
        </w:rPr>
        <w:t>年的诸多曲折和考验也告诉我们，我们尚有很多不足，离我们应当担负的责任与使命 还有很大差距。对此，我们唯有戒骄戒躁，用更高标准来要求自我，始终秉持</w:t>
      </w:r>
      <w:r>
        <w:rPr>
          <w:rFonts w:ascii="Times New Roman" w:eastAsia="Times New Roman" w:hAnsi="Times New Roman" w:cs="Times New Roman"/>
          <w:color w:val="000000"/>
          <w:spacing w:val="0"/>
          <w:w w:val="100"/>
          <w:position w:val="0"/>
        </w:rPr>
        <w:t>“</w:t>
      </w:r>
      <w:r>
        <w:rPr>
          <w:color w:val="000000"/>
          <w:spacing w:val="0"/>
          <w:w w:val="100"/>
          <w:position w:val="0"/>
        </w:rPr>
        <w:t>客户至上、人才为本、艰苦 奋斗、团队合作、自我批判''的价值观，真诚用心地做好每一件事情，每天进步一点，才可能不负这个大好 时代，达成我们所愿。我们要继续勤勉务实，以实在的价值创新，共赢这个机遇无限的未来。</w:t>
      </w:r>
    </w:p>
    <w:p>
      <w:pPr>
        <w:pStyle w:val="Style1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旧岁已展千重锦，新年再进百尺竿。展望</w:t>
      </w:r>
      <w:r>
        <w:rPr>
          <w:rFonts w:ascii="Times New Roman" w:eastAsia="Times New Roman" w:hAnsi="Times New Roman" w:cs="Times New Roman"/>
          <w:color w:val="000000"/>
          <w:spacing w:val="0"/>
          <w:w w:val="100"/>
          <w:position w:val="0"/>
        </w:rPr>
        <w:t>2022</w:t>
      </w:r>
      <w:r>
        <w:rPr>
          <w:color w:val="000000"/>
          <w:spacing w:val="0"/>
          <w:w w:val="100"/>
          <w:position w:val="0"/>
        </w:rPr>
        <w:t>年，我们蓄势以待，整装再出发。</w:t>
      </w:r>
    </w:p>
    <w:p>
      <w:pPr>
        <w:pStyle w:val="Style12"/>
        <w:keepNext w:val="0"/>
        <w:keepLines w:val="0"/>
        <w:widowControl w:val="0"/>
        <w:shd w:val="clear" w:color="auto" w:fill="auto"/>
        <w:bidi w:val="0"/>
        <w:spacing w:before="0" w:after="0" w:line="411" w:lineRule="exact"/>
        <w:ind w:left="0" w:right="0" w:firstLine="440"/>
        <w:jc w:val="both"/>
      </w:pPr>
      <w:r>
        <w:rPr>
          <w:b/>
          <w:bCs/>
          <w:color w:val="000000"/>
          <w:spacing w:val="0"/>
          <w:w w:val="100"/>
          <w:position w:val="0"/>
        </w:rPr>
        <w:t>发展是第一要务，坚持客户至上。</w:t>
      </w:r>
      <w:r>
        <w:rPr>
          <w:color w:val="000000"/>
          <w:spacing w:val="0"/>
          <w:w w:val="100"/>
          <w:position w:val="0"/>
        </w:rPr>
        <w:t>我们离愿景还很遥远，因此我们要坚持发展是第一要务。</w:t>
      </w:r>
      <w:r>
        <w:rPr>
          <w:rFonts w:ascii="Times New Roman" w:eastAsia="Times New Roman" w:hAnsi="Times New Roman" w:cs="Times New Roman"/>
          <w:color w:val="000000"/>
          <w:spacing w:val="0"/>
          <w:w w:val="100"/>
          <w:position w:val="0"/>
        </w:rPr>
        <w:t>2022</w:t>
      </w:r>
      <w:r>
        <w:rPr>
          <w:color w:val="000000"/>
          <w:spacing w:val="0"/>
          <w:w w:val="100"/>
          <w:position w:val="0"/>
        </w:rPr>
        <w:t>年我 们的首要任务仍然是发展壮大已有业务，并以此为基础，做服务的升级和延伸，不仅要在业务规模上继续 扩大，更要在服务能力上持续增强。</w:t>
      </w:r>
    </w:p>
    <w:p>
      <w:pPr>
        <w:pStyle w:val="Style12"/>
        <w:keepNext w:val="0"/>
        <w:keepLines w:val="0"/>
        <w:widowControl w:val="0"/>
        <w:shd w:val="clear" w:color="auto" w:fill="auto"/>
        <w:bidi w:val="0"/>
        <w:spacing w:before="0" w:after="0" w:line="411"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年，法本信息要力争做服务一流的企业，努力提升服务能力。无论是个人、组织和企业，都需要 不断夯实自己，借鉴行业优秀标杆经验，从对标中学习，找差距，以此指引自身的进步，用过硬的技术、 服务赢得客户的信赖和认可。</w:t>
      </w:r>
    </w:p>
    <w:p>
      <w:pPr>
        <w:pStyle w:val="Style1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 xml:space="preserve">我们始终坚持客户至上，聚焦为客户创造价值，摒弃任何浮躁和形式主义，切实提升客户的价值感知， </w:t>
      </w:r>
      <w:r>
        <w:rPr>
          <w:color w:val="000000"/>
          <w:spacing w:val="0"/>
          <w:w w:val="100"/>
          <w:position w:val="0"/>
        </w:rPr>
        <w:t>与客户共同成长，这是每个法本人应当坚守的价值使命和责任。</w:t>
      </w:r>
    </w:p>
    <w:p>
      <w:pPr>
        <w:pStyle w:val="Style12"/>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人才是第一资源，坚持人才为本。</w:t>
      </w:r>
      <w:r>
        <w:rPr>
          <w:color w:val="000000"/>
          <w:spacing w:val="0"/>
          <w:w w:val="100"/>
          <w:position w:val="0"/>
        </w:rPr>
        <w:t xml:space="preserve">法本信息一直坚持人才为本的发展宗旨，通过优秀人才的大胆作为 推动事业的快速发展，通过优秀人才构建强大的组织能力，通过高密度人才的组织为客户创造卓越价值。 </w:t>
      </w:r>
      <w:r>
        <w:rPr>
          <w:rFonts w:ascii="Times New Roman" w:eastAsia="Times New Roman" w:hAnsi="Times New Roman" w:cs="Times New Roman"/>
          <w:color w:val="000000"/>
          <w:spacing w:val="0"/>
          <w:w w:val="100"/>
          <w:position w:val="0"/>
        </w:rPr>
        <w:t>2022</w:t>
      </w:r>
      <w:r>
        <w:rPr>
          <w:color w:val="000000"/>
          <w:spacing w:val="0"/>
          <w:w w:val="100"/>
          <w:position w:val="0"/>
        </w:rPr>
        <w:t>年，我们将面对更大的挑战，更大的作为空间，更要坚持人才为本，聚集更多人才到我们的事业中来。</w:t>
      </w:r>
    </w:p>
    <w:p>
      <w:pPr>
        <w:pStyle w:val="Style12"/>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年，我们要勇于去吸引更多更优秀的人才进来，敢于打破现状，重新规划战场，用更多战场空间 来布局更多人才。我们还要不拘一格选拔人才，建立让人才脱颖而出的冒泡机制，让优秀人才快速的崭露 头角，并给予更大的挑战和机会。我们要敢于去破格使用打过胜仗的人，使之从一个胜利走向更大胜利， 让法本信息的组织始终充满活力。</w:t>
      </w:r>
    </w:p>
    <w:p>
      <w:pPr>
        <w:pStyle w:val="Style12"/>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创新是第一动力，坚持务实创新。</w:t>
      </w:r>
      <w:r>
        <w:rPr>
          <w:color w:val="000000"/>
          <w:spacing w:val="0"/>
          <w:w w:val="100"/>
          <w:position w:val="0"/>
        </w:rPr>
        <w:t>我们始终相信，务实创新是法本事业发展的第一动力，要有坚定不 移的决心和勇气。坚持创新必须以客户为中心，面向客户的实际需求，勇于创新，才能让我们的事业变得 更有意义和更加长久。创新之路，荆棘密布，殊为不易，但只要我们坚持不懈的走下去，付出就会有回报。 道阻且长，行则将至；行而不辍，未来可期。</w:t>
      </w:r>
    </w:p>
    <w:p>
      <w:pPr>
        <w:pStyle w:val="Style12"/>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以确定性应对不确定性，坚持艰苦奋斗。</w:t>
      </w:r>
      <w:r>
        <w:rPr>
          <w:color w:val="000000"/>
          <w:spacing w:val="0"/>
          <w:w w:val="100"/>
          <w:position w:val="0"/>
        </w:rPr>
        <w:t>我们在看到巨大机遇的同时，更要看到严峻形势和巨大挑战。 面对纷繁复杂的国内外形势带来的不确定性，法本信息的竞争压力加剧，</w:t>
      </w:r>
      <w:r>
        <w:rPr>
          <w:rFonts w:ascii="Times New Roman" w:eastAsia="Times New Roman" w:hAnsi="Times New Roman" w:cs="Times New Roman"/>
          <w:color w:val="000000"/>
          <w:spacing w:val="0"/>
          <w:w w:val="100"/>
          <w:position w:val="0"/>
        </w:rPr>
        <w:t>2022</w:t>
      </w:r>
      <w:r>
        <w:rPr>
          <w:color w:val="000000"/>
          <w:spacing w:val="0"/>
          <w:w w:val="100"/>
          <w:position w:val="0"/>
        </w:rPr>
        <w:t>年仍将面临巨大的考验。我 们唯有扎实建好组织能力，聚集更多人才，以组织变革牵引效率提升，坚持艰苦奋斗，苦练内功，围绕客 户的需求，勇于作为，以创造价值的确定性应对外部环境的不确定性。</w:t>
      </w:r>
    </w:p>
    <w:p>
      <w:pPr>
        <w:pStyle w:val="Style12"/>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,国内外形势依旧风云变幻，但发展仍然是全球的主旋律。我们只要紧密围绕国家</w:t>
      </w:r>
      <w:r>
        <w:rPr>
          <w:rFonts w:ascii="Times New Roman" w:eastAsia="Times New Roman" w:hAnsi="Times New Roman" w:cs="Times New Roman"/>
          <w:color w:val="000000"/>
          <w:spacing w:val="0"/>
          <w:w w:val="100"/>
          <w:position w:val="0"/>
        </w:rPr>
        <w:t>“</w:t>
      </w:r>
      <w:r>
        <w:rPr>
          <w:color w:val="000000"/>
          <w:spacing w:val="0"/>
          <w:w w:val="100"/>
          <w:position w:val="0"/>
        </w:rPr>
        <w:t>十四五规划</w:t>
      </w:r>
      <w:r>
        <w:rPr>
          <w:rFonts w:ascii="Times New Roman" w:eastAsia="Times New Roman" w:hAnsi="Times New Roman" w:cs="Times New Roman"/>
          <w:color w:val="000000"/>
          <w:spacing w:val="0"/>
          <w:w w:val="100"/>
          <w:position w:val="0"/>
        </w:rPr>
        <w:t>”</w:t>
      </w:r>
      <w:r>
        <w:rPr>
          <w:color w:val="000000"/>
          <w:spacing w:val="0"/>
          <w:w w:val="100"/>
          <w:position w:val="0"/>
        </w:rPr>
        <w:t>， 精细深耕未来数字经济重点发展的七大产业：云计算、大数据、物联网、工业互联网、区块链、人工智能 和虚拟现实及增强现实，努力拓展未来数字经济十大应用场景：智能交通、智慧能源、智能制造、智慧农 业、智慧教育、智慧医疗、智慧文旅、智慧社区、智慧家居、智慧政务，我们就能拓展出巨大的发展空间。</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法本信息的事业风险和挑战无处不在，但前景光明。只要我们更加勤勉务实，敏锐地洞察市场，快速 适应外部变化，保持开放和持续变革，不断提升我们的核心竞争力，构筑我们的护城河，就一定能达成我 们事业的目标，实现我们事业的梦想。</w:t>
      </w:r>
    </w:p>
    <w:p>
      <w:pPr>
        <w:pStyle w:val="Style12"/>
        <w:keepNext w:val="0"/>
        <w:keepLines w:val="0"/>
        <w:widowControl w:val="0"/>
        <w:shd w:val="clear" w:color="auto" w:fill="auto"/>
        <w:bidi w:val="0"/>
        <w:spacing w:before="0" w:after="720" w:line="410" w:lineRule="exact"/>
        <w:ind w:left="0" w:right="0" w:firstLine="440"/>
        <w:jc w:val="both"/>
      </w:pPr>
      <w:r>
        <w:rPr>
          <w:color w:val="000000"/>
          <w:spacing w:val="0"/>
          <w:w w:val="100"/>
          <w:position w:val="0"/>
        </w:rPr>
        <w:t>最后，我谨代表董事会感谢各位股东对本公司的信任与支持，感谢公司全体员工过去一年的付出与奉 献！</w:t>
      </w:r>
    </w:p>
    <w:p>
      <w:pPr>
        <w:pStyle w:val="Style12"/>
        <w:keepNext w:val="0"/>
        <w:keepLines w:val="0"/>
        <w:widowControl w:val="0"/>
        <w:shd w:val="clear" w:color="auto" w:fill="auto"/>
        <w:bidi w:val="0"/>
        <w:spacing w:before="0" w:after="0" w:line="410" w:lineRule="exact"/>
        <w:ind w:left="0" w:right="0" w:firstLine="0"/>
        <w:jc w:val="right"/>
        <w:sectPr>
          <w:footnotePr>
            <w:pos w:val="pageBottom"/>
            <w:numFmt w:val="decimal"/>
            <w:numRestart w:val="continuous"/>
          </w:footnotePr>
          <w:pgSz w:w="11900" w:h="16840"/>
          <w:pgMar w:top="1287" w:right="1003" w:bottom="1642" w:left="1105" w:header="0" w:footer="3" w:gutter="0"/>
          <w:cols w:space="720"/>
          <w:noEndnote/>
          <w:rtlGutter w:val="0"/>
          <w:docGrid w:linePitch="360"/>
        </w:sectPr>
      </w:pPr>
      <w:r>
        <w:rPr>
          <w:color w:val="000000"/>
          <w:spacing w:val="0"/>
          <w:w w:val="100"/>
          <w:position w:val="0"/>
        </w:rPr>
        <w:t>董事长：严华</w:t>
      </w:r>
    </w:p>
    <w:p>
      <w:pPr>
        <w:pStyle w:val="Style17"/>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实、准确、完整，不存在虚假记载、误导性陈述或者重大遗漏，并承担个别和连 带的法律责任。</w:t>
      </w:r>
      <w:bookmarkEnd w:id="3"/>
    </w:p>
    <w:p>
      <w:pPr>
        <w:pStyle w:val="Style19"/>
        <w:keepNext w:val="0"/>
        <w:keepLines w:val="0"/>
        <w:widowControl w:val="0"/>
        <w:shd w:val="clear" w:color="auto" w:fill="auto"/>
        <w:bidi w:val="0"/>
        <w:spacing w:before="0" w:line="619" w:lineRule="exact"/>
        <w:ind w:left="0" w:right="0"/>
        <w:jc w:val="both"/>
      </w:pPr>
      <w:r>
        <w:rPr>
          <w:color w:val="000000"/>
          <w:spacing w:val="0"/>
          <w:w w:val="100"/>
          <w:position w:val="0"/>
        </w:rPr>
        <w:t>公司负责人严华、主管会计工作负责人杜水合及会计机构负责人（会计主管 人员）王丽丽声明：保证本年度报告中财务报告的真实、准确、完整。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69" w:right="1104" w:bottom="1969" w:left="1104" w:header="0" w:footer="3" w:gutter="0"/>
          <w:cols w:space="720"/>
          <w:noEndnote/>
          <w:rtlGutter w:val="0"/>
          <w:docGrid w:linePitch="360"/>
        </w:sectPr>
      </w:pPr>
      <w:r>
        <w:rPr>
          <w:color w:val="000000"/>
          <w:spacing w:val="0"/>
          <w:w w:val="100"/>
          <w:position w:val="0"/>
        </w:rPr>
        <w:t>公司经本次董事会审议通过的利润分配预案为：以截至2021年12月31日 公司总股本220,099,166股为基数，向全体股东每10股派发现金红利</w:t>
      </w:r>
      <w:r>
        <w:rPr>
          <w:color w:val="000000"/>
          <w:spacing w:val="0"/>
          <w:w w:val="100"/>
          <w:position w:val="0"/>
        </w:rPr>
        <w:t>0.70</w:t>
      </w:r>
      <w:r>
        <w:rPr>
          <w:color w:val="000000"/>
          <w:spacing w:val="0"/>
          <w:w w:val="100"/>
          <w:position w:val="0"/>
        </w:rPr>
        <w:t>元（含 税），送红股0股（含税），以资本公积金向全体股东每10股转增7股。</w:t>
      </w:r>
    </w:p>
    <w:p>
      <w:pPr>
        <w:pStyle w:val="Style2"/>
        <w:keepNext w:val="0"/>
        <w:keepLines w:val="0"/>
        <w:widowControl w:val="0"/>
        <w:shd w:val="clear" w:color="auto" w:fill="auto"/>
        <w:bidi w:val="0"/>
        <w:spacing w:before="0" w:after="1560" w:line="240" w:lineRule="auto"/>
        <w:ind w:left="0" w:right="0" w:firstLine="0"/>
        <w:jc w:val="center"/>
        <w:rPr>
          <w:sz w:val="36"/>
          <w:szCs w:val="36"/>
        </w:rPr>
      </w:pPr>
      <w:r>
        <w:rPr>
          <w:b/>
          <w:bCs/>
          <w:color w:val="000000"/>
          <w:spacing w:val="0"/>
          <w:w w:val="100"/>
          <w:position w:val="0"/>
          <w:sz w:val="36"/>
          <w:szCs w:val="36"/>
        </w:rPr>
        <w:t>目录</w:t>
      </w:r>
    </w:p>
    <w:p>
      <w:pPr>
        <w:pStyle w:val="Style22"/>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9" w:tooltip="Current Document">
        <w:r>
          <w:rPr>
            <w:color w:val="000000"/>
            <w:spacing w:val="0"/>
            <w:w w:val="100"/>
            <w:position w:val="0"/>
            <w:sz w:val="24"/>
            <w:szCs w:val="24"/>
          </w:rPr>
          <w:t>第二节 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271"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450"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470"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612"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690"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694"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57" w:right="1123" w:bottom="2857" w:left="1104" w:header="0" w:footer="3" w:gutter="0"/>
          <w:cols w:space="720"/>
          <w:noEndnote/>
          <w:rtlGutter w:val="0"/>
          <w:docGrid w:linePitch="360"/>
        </w:sectPr>
      </w:pPr>
      <w:hyperlink w:anchor="bookmark698"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r>
        <w:fldChar w:fldCharType="end"/>
      </w:r>
    </w:p>
    <w:p>
      <w:pPr>
        <w:pStyle w:val="Style2"/>
        <w:keepNext w:val="0"/>
        <w:keepLines w:val="0"/>
        <w:widowControl w:val="0"/>
        <w:shd w:val="clear" w:color="auto" w:fill="auto"/>
        <w:bidi w:val="0"/>
        <w:spacing w:before="820" w:after="920" w:line="240" w:lineRule="auto"/>
        <w:ind w:left="0" w:right="0" w:firstLine="0"/>
        <w:jc w:val="center"/>
        <w:rPr>
          <w:sz w:val="32"/>
          <w:szCs w:val="32"/>
        </w:rPr>
      </w:pPr>
      <w:r>
        <w:rPr>
          <w:b/>
          <w:bCs/>
          <w:color w:val="000000"/>
          <w:spacing w:val="0"/>
          <w:w w:val="100"/>
          <w:position w:val="0"/>
          <w:sz w:val="32"/>
          <w:szCs w:val="32"/>
        </w:rPr>
        <w:t>备查文件目录</w:t>
      </w:r>
    </w:p>
    <w:p>
      <w:pPr>
        <w:pStyle w:val="Style10"/>
        <w:keepNext w:val="0"/>
        <w:keepLines w:val="0"/>
        <w:widowControl w:val="0"/>
        <w:shd w:val="clear" w:color="auto" w:fill="auto"/>
        <w:tabs>
          <w:tab w:pos="507" w:val="left"/>
        </w:tabs>
        <w:bidi w:val="0"/>
        <w:spacing w:before="0" w:line="240" w:lineRule="auto"/>
        <w:ind w:left="0" w:right="0" w:firstLine="0"/>
        <w:jc w:val="left"/>
      </w:pPr>
      <w:bookmarkStart w:id="4" w:name="bookmark4"/>
      <w:r>
        <w:rPr>
          <w:color w:val="000000"/>
          <w:spacing w:val="0"/>
          <w:w w:val="100"/>
          <w:position w:val="0"/>
          <w:sz w:val="24"/>
          <w:szCs w:val="24"/>
        </w:rPr>
        <w:t>一</w:t>
      </w:r>
      <w:bookmarkEnd w:id="4"/>
      <w:r>
        <w:rPr>
          <w:color w:val="000000"/>
          <w:spacing w:val="0"/>
          <w:w w:val="100"/>
          <w:position w:val="0"/>
          <w:sz w:val="24"/>
          <w:szCs w:val="24"/>
        </w:rPr>
        <w:t>、</w:t>
        <w:tab/>
        <w:t>载有法定代表人、主管会计工作负责人、会计机构负责人签名并盖章的财务报表。</w:t>
      </w:r>
    </w:p>
    <w:p>
      <w:pPr>
        <w:pStyle w:val="Style10"/>
        <w:keepNext w:val="0"/>
        <w:keepLines w:val="0"/>
        <w:widowControl w:val="0"/>
        <w:shd w:val="clear" w:color="auto" w:fill="auto"/>
        <w:tabs>
          <w:tab w:pos="507" w:val="left"/>
        </w:tabs>
        <w:bidi w:val="0"/>
        <w:spacing w:before="0" w:line="240" w:lineRule="auto"/>
        <w:ind w:left="0" w:right="0" w:firstLine="0"/>
        <w:jc w:val="left"/>
      </w:pPr>
      <w:bookmarkStart w:id="5" w:name="bookmark5"/>
      <w:r>
        <w:rPr>
          <w:color w:val="000000"/>
          <w:spacing w:val="0"/>
          <w:w w:val="100"/>
          <w:position w:val="0"/>
          <w:sz w:val="24"/>
          <w:szCs w:val="24"/>
        </w:rPr>
        <w:t>二</w:t>
      </w:r>
      <w:bookmarkEnd w:id="5"/>
      <w:r>
        <w:rPr>
          <w:color w:val="000000"/>
          <w:spacing w:val="0"/>
          <w:w w:val="100"/>
          <w:position w:val="0"/>
          <w:sz w:val="24"/>
          <w:szCs w:val="24"/>
        </w:rPr>
        <w:t>、</w:t>
        <w:tab/>
        <w:t>载有会计师事务所盖章、注册会计师签名并盖章的审计报告。</w:t>
      </w:r>
    </w:p>
    <w:p>
      <w:pPr>
        <w:pStyle w:val="Style10"/>
        <w:keepNext w:val="0"/>
        <w:keepLines w:val="0"/>
        <w:widowControl w:val="0"/>
        <w:shd w:val="clear" w:color="auto" w:fill="auto"/>
        <w:tabs>
          <w:tab w:pos="507" w:val="left"/>
        </w:tabs>
        <w:bidi w:val="0"/>
        <w:spacing w:before="0" w:line="240" w:lineRule="auto"/>
        <w:ind w:left="0" w:right="0" w:firstLine="0"/>
        <w:jc w:val="left"/>
      </w:pPr>
      <w:bookmarkStart w:id="6" w:name="bookmark6"/>
      <w:r>
        <w:rPr>
          <w:color w:val="000000"/>
          <w:spacing w:val="0"/>
          <w:w w:val="100"/>
          <w:position w:val="0"/>
          <w:sz w:val="24"/>
          <w:szCs w:val="24"/>
        </w:rPr>
        <w:t>三</w:t>
      </w:r>
      <w:bookmarkEnd w:id="6"/>
      <w:r>
        <w:rPr>
          <w:color w:val="000000"/>
          <w:spacing w:val="0"/>
          <w:w w:val="100"/>
          <w:position w:val="0"/>
          <w:sz w:val="24"/>
          <w:szCs w:val="24"/>
        </w:rPr>
        <w:t>、</w:t>
        <w:tab/>
        <w:t>报告期内在中国证监会指定报纸上公开披露过的所有公司文件的正本及公告的原稿。</w:t>
      </w:r>
    </w:p>
    <w:p>
      <w:pPr>
        <w:pStyle w:val="Style10"/>
        <w:keepNext w:val="0"/>
        <w:keepLines w:val="0"/>
        <w:widowControl w:val="0"/>
        <w:shd w:val="clear" w:color="auto" w:fill="auto"/>
        <w:tabs>
          <w:tab w:pos="507" w:val="left"/>
        </w:tabs>
        <w:bidi w:val="0"/>
        <w:spacing w:before="0" w:line="240" w:lineRule="auto"/>
        <w:ind w:left="0" w:right="0" w:firstLine="0"/>
        <w:jc w:val="left"/>
      </w:pPr>
      <w:bookmarkStart w:id="7" w:name="bookmark7"/>
      <w:r>
        <w:rPr>
          <w:color w:val="000000"/>
          <w:spacing w:val="0"/>
          <w:w w:val="100"/>
          <w:position w:val="0"/>
          <w:sz w:val="24"/>
          <w:szCs w:val="24"/>
        </w:rPr>
        <w:t>四</w:t>
      </w:r>
      <w:bookmarkEnd w:id="7"/>
      <w:r>
        <w:rPr>
          <w:color w:val="000000"/>
          <w:spacing w:val="0"/>
          <w:w w:val="100"/>
          <w:position w:val="0"/>
          <w:sz w:val="24"/>
          <w:szCs w:val="24"/>
        </w:rPr>
        <w:t>、</w:t>
        <w:tab/>
        <w:t>其他相关资料。</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以上备查文件的备置地点：公司证券部</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976"/>
        <w:gridCol w:w="710"/>
        <w:gridCol w:w="595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公司、本公司、上市公司、法本信息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深圳市法本信息技术股份有限公司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法本通信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深圳市法本通信技术有限公司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上海法本信息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上海法本信息技术有限公司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法本信息（香港）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法本信息技术（香港）有限公司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法本信息（德国）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法本信息技术（德国）有限公司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木加林</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深圳市木加林投资合伙企业（有限合伙），本公司首发股东，持有公司 </w:t>
            </w:r>
            <w:r>
              <w:rPr>
                <w:rFonts w:ascii="Times New Roman" w:eastAsia="Times New Roman" w:hAnsi="Times New Roman" w:cs="Times New Roman"/>
                <w:color w:val="000000"/>
                <w:spacing w:val="0"/>
                <w:w w:val="100"/>
                <w:position w:val="0"/>
                <w:sz w:val="18"/>
                <w:szCs w:val="18"/>
              </w:rPr>
              <w:t>2.78%</w:t>
            </w:r>
            <w:r>
              <w:rPr>
                <w:color w:val="000000"/>
                <w:spacing w:val="0"/>
                <w:w w:val="100"/>
                <w:position w:val="0"/>
                <w:sz w:val="18"/>
                <w:szCs w:val="18"/>
              </w:rPr>
              <w:t>的股份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嘉嘉通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深圳市嘉嘉通投资合伙企业（有限合伙），本公司首发股东，持有公司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w:t>
            </w:r>
            <w:r>
              <w:rPr>
                <w:color w:val="000000"/>
                <w:spacing w:val="0"/>
                <w:w w:val="100"/>
                <w:position w:val="0"/>
                <w:sz w:val="18"/>
                <w:szCs w:val="18"/>
              </w:rPr>
              <w:t>的股份</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耕读邦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深圳市耕读邦投资合伙企业（有限合伙），本公司首发股东，持有公司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w:t>
            </w:r>
            <w:r>
              <w:rPr>
                <w:color w:val="000000"/>
                <w:spacing w:val="0"/>
                <w:w w:val="100"/>
                <w:position w:val="0"/>
                <w:sz w:val="18"/>
                <w:szCs w:val="18"/>
              </w:rPr>
              <w:t>的股份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海通创新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海通创新证券投资有限公司，本公司首发股东，持有公司</w:t>
            </w:r>
            <w:r>
              <w:rPr>
                <w:rFonts w:ascii="Times New Roman" w:eastAsia="Times New Roman" w:hAnsi="Times New Roman" w:cs="Times New Roman"/>
                <w:color w:val="000000"/>
                <w:spacing w:val="0"/>
                <w:w w:val="100"/>
                <w:position w:val="0"/>
                <w:sz w:val="18"/>
                <w:szCs w:val="18"/>
              </w:rPr>
              <w:t>2.34%</w:t>
            </w:r>
            <w:r>
              <w:rPr>
                <w:color w:val="000000"/>
                <w:spacing w:val="0"/>
                <w:w w:val="100"/>
                <w:position w:val="0"/>
                <w:sz w:val="18"/>
                <w:szCs w:val="18"/>
              </w:rPr>
              <w:t>的股份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海通旭初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嘉兴海通旭初股权投资基金合伙企业（有限合伙），本公司首发股东，持有 公司</w:t>
            </w:r>
            <w:r>
              <w:rPr>
                <w:rFonts w:ascii="Times New Roman" w:eastAsia="Times New Roman" w:hAnsi="Times New Roman" w:cs="Times New Roman"/>
                <w:color w:val="000000"/>
                <w:spacing w:val="0"/>
                <w:w w:val="100"/>
                <w:position w:val="0"/>
                <w:sz w:val="18"/>
                <w:szCs w:val="18"/>
              </w:rPr>
              <w:t>2.34%</w:t>
            </w:r>
            <w:r>
              <w:rPr>
                <w:color w:val="000000"/>
                <w:spacing w:val="0"/>
                <w:w w:val="100"/>
                <w:position w:val="0"/>
                <w:sz w:val="18"/>
                <w:szCs w:val="18"/>
              </w:rPr>
              <w:t>的股份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投控东海一期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深圳市投控东海一期基金（有限合伙），本公司首发股东，持有公司</w:t>
            </w:r>
            <w:r>
              <w:rPr>
                <w:rFonts w:ascii="Times New Roman" w:eastAsia="Times New Roman" w:hAnsi="Times New Roman" w:cs="Times New Roman"/>
                <w:color w:val="000000"/>
                <w:spacing w:val="0"/>
                <w:w w:val="100"/>
                <w:position w:val="0"/>
                <w:sz w:val="18"/>
                <w:szCs w:val="18"/>
              </w:rPr>
              <w:t xml:space="preserve">3.07% </w:t>
            </w:r>
            <w:r>
              <w:rPr>
                <w:color w:val="000000"/>
                <w:spacing w:val="0"/>
                <w:w w:val="100"/>
                <w:position w:val="0"/>
                <w:sz w:val="18"/>
                <w:szCs w:val="18"/>
              </w:rPr>
              <w:t>的股份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汇博红瑞三号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深圳市汇博红瑞三号创业投资合伙企业（有限合伙），本公司首发股东，持 有公司</w:t>
            </w:r>
            <w:r>
              <w:rPr>
                <w:rFonts w:ascii="Times New Roman" w:eastAsia="Times New Roman" w:hAnsi="Times New Roman" w:cs="Times New Roman"/>
                <w:color w:val="000000"/>
                <w:spacing w:val="0"/>
                <w:w w:val="100"/>
                <w:position w:val="0"/>
                <w:sz w:val="18"/>
                <w:szCs w:val="18"/>
              </w:rPr>
              <w:t>2.46%</w:t>
            </w:r>
            <w:r>
              <w:rPr>
                <w:color w:val="000000"/>
                <w:spacing w:val="0"/>
                <w:w w:val="100"/>
                <w:position w:val="0"/>
                <w:sz w:val="18"/>
                <w:szCs w:val="18"/>
              </w:rPr>
              <w:t>的股份</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永诚叁号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 xml:space="preserve">深圳市永诚叁号投资合伙企业（有限合伙），本公司首发股东，持有公司 </w:t>
            </w:r>
            <w:r>
              <w:rPr>
                <w:rFonts w:ascii="Times New Roman" w:eastAsia="Times New Roman" w:hAnsi="Times New Roman" w:cs="Times New Roman"/>
                <w:color w:val="000000"/>
                <w:spacing w:val="0"/>
                <w:w w:val="100"/>
                <w:position w:val="0"/>
                <w:sz w:val="18"/>
                <w:szCs w:val="18"/>
              </w:rPr>
              <w:t>0.77%</w:t>
            </w:r>
            <w:r>
              <w:rPr>
                <w:color w:val="000000"/>
                <w:spacing w:val="0"/>
                <w:w w:val="100"/>
                <w:position w:val="0"/>
                <w:sz w:val="18"/>
                <w:szCs w:val="18"/>
              </w:rPr>
              <w:t>的股份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股东大会、董事会、监事会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深圳市法本信息技术股份有限公司股东大会、深圳市法本信息技术股份有 限公司董事会、深圳市法本信息技术股份有限公司监事会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CMMI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Capability Maturity Model Integration</w:t>
            </w:r>
            <w:r>
              <w:rPr>
                <w:color w:val="000000"/>
                <w:spacing w:val="0"/>
                <w:w w:val="100"/>
                <w:position w:val="0"/>
                <w:sz w:val="18"/>
                <w:szCs w:val="18"/>
              </w:rPr>
              <w:t>，</w:t>
            </w:r>
            <w:r>
              <w:rPr>
                <w:color w:val="000000"/>
                <w:spacing w:val="0"/>
                <w:w w:val="100"/>
                <w:position w:val="0"/>
                <w:sz w:val="18"/>
                <w:szCs w:val="18"/>
              </w:rPr>
              <w:t>软件能力成熟度集成模型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TMMi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Test Maturity Model Integration</w:t>
            </w:r>
            <w:r>
              <w:rPr>
                <w:color w:val="000000"/>
                <w:spacing w:val="0"/>
                <w:w w:val="100"/>
                <w:position w:val="0"/>
                <w:sz w:val="18"/>
                <w:szCs w:val="18"/>
              </w:rPr>
              <w:t>，</w:t>
            </w:r>
            <w:r>
              <w:rPr>
                <w:color w:val="000000"/>
                <w:spacing w:val="0"/>
                <w:w w:val="100"/>
                <w:position w:val="0"/>
                <w:sz w:val="18"/>
                <w:szCs w:val="18"/>
              </w:rPr>
              <w:t>测试成熟度模型集成认证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FarRMS</w:t>
            </w:r>
            <w:r>
              <w:rPr>
                <w:color w:val="000000"/>
                <w:spacing w:val="0"/>
                <w:w w:val="100"/>
                <w:position w:val="0"/>
                <w:sz w:val="18"/>
                <w:szCs w:val="18"/>
              </w:rPr>
              <w:t>系统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Recruitment Management System</w:t>
            </w:r>
            <w:r>
              <w:rPr>
                <w:color w:val="000000"/>
                <w:spacing w:val="0"/>
                <w:w w:val="100"/>
                <w:position w:val="0"/>
                <w:sz w:val="18"/>
                <w:szCs w:val="18"/>
              </w:rPr>
              <w:t>，指从客户需求提出到发行人人员供应满足 的端到端全流程的招聘过程管理系统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LTC</w:t>
            </w:r>
            <w:r>
              <w:rPr>
                <w:color w:val="000000"/>
                <w:spacing w:val="0"/>
                <w:w w:val="100"/>
                <w:position w:val="0"/>
                <w:sz w:val="18"/>
                <w:szCs w:val="18"/>
              </w:rPr>
              <w:t>流程管控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Lead To Cash</w:t>
            </w:r>
            <w:r>
              <w:rPr>
                <w:color w:val="000000"/>
                <w:spacing w:val="0"/>
                <w:w w:val="100"/>
                <w:position w:val="0"/>
                <w:sz w:val="18"/>
                <w:szCs w:val="18"/>
              </w:rPr>
              <w:t>，线索到回款的流程管控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FarHOMS </w:t>
            </w:r>
            <w:r>
              <w:rPr>
                <w:color w:val="000000"/>
                <w:spacing w:val="0"/>
                <w:w w:val="100"/>
                <w:position w:val="0"/>
                <w:sz w:val="18"/>
                <w:szCs w:val="18"/>
              </w:rPr>
              <w:t>系统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Human Resource Outsourcing Management System</w:t>
            </w:r>
            <w:r>
              <w:rPr>
                <w:color w:val="000000"/>
                <w:spacing w:val="0"/>
                <w:w w:val="100"/>
                <w:position w:val="0"/>
                <w:sz w:val="18"/>
                <w:szCs w:val="18"/>
              </w:rPr>
              <w:t>，指用于技术实施开发人 员交付管理和精细化运营的人力外包管理系统</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ODC</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Offshore/Offsite Development Center</w:t>
            </w:r>
            <w:r>
              <w:rPr>
                <w:color w:val="000000"/>
                <w:spacing w:val="0"/>
                <w:w w:val="100"/>
                <w:position w:val="0"/>
                <w:sz w:val="18"/>
                <w:szCs w:val="18"/>
              </w:rPr>
              <w:t>，</w:t>
            </w:r>
            <w:r>
              <w:rPr>
                <w:color w:val="000000"/>
                <w:spacing w:val="0"/>
                <w:w w:val="100"/>
                <w:position w:val="0"/>
                <w:sz w:val="18"/>
                <w:szCs w:val="18"/>
              </w:rPr>
              <w:t>是一种帮助客户快速有效地组建技术 研发团队的外包模式，根据客户要求提供专门的场地和专业化团队，帮助</w:t>
            </w:r>
          </w:p>
        </w:tc>
      </w:tr>
    </w:tbl>
    <w:p>
      <w:pPr>
        <w:spacing w:lineRule="exact" w:line="1"/>
        <w:rPr>
          <w:sz w:val="2"/>
          <w:szCs w:val="2"/>
        </w:rPr>
      </w:pPr>
      <w:r>
        <w:br w:type="page"/>
      </w:r>
    </w:p>
    <w:tbl>
      <w:tblPr>
        <w:tblOverlap w:val="never"/>
        <w:jc w:val="center"/>
        <w:tblLayout w:type="fixed"/>
      </w:tblPr>
      <w:tblGrid>
        <w:gridCol w:w="2976"/>
        <w:gridCol w:w="710"/>
        <w:gridCol w:w="5957"/>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客户提高生产效率，并有效减少其运营开支，进而为客户提供符合客户信 息安全标准和更具可预测性的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服务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商务部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中华人民共和国商务部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工信部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中华人民共和国工业和信息化部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《公司章程》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《深圳市法本信息技术股份有限公司章程》，公司现行有效的公司章程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天健会计师事务所（特殊普通合伙）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中国证监会、证监会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深交所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报告期、本报告期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上年同期、去年同期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报告期末、本报告期末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元、万元</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人民币元、人民币万元</w:t>
            </w:r>
          </w:p>
        </w:tc>
      </w:tr>
    </w:tbl>
    <w:p>
      <w:pPr>
        <w:sectPr>
          <w:footnotePr>
            <w:pos w:val="pageBottom"/>
            <w:numFmt w:val="decimal"/>
            <w:numRestart w:val="continuous"/>
          </w:footnotePr>
          <w:pgSz w:w="11900" w:h="16840"/>
          <w:pgMar w:top="1436" w:right="1178" w:bottom="1570" w:left="1079" w:header="0" w:footer="3" w:gutter="0"/>
          <w:cols w:space="720"/>
          <w:noEndnote/>
          <w:rtlGutter w:val="0"/>
          <w:docGrid w:linePitch="360"/>
        </w:sectPr>
      </w:pPr>
    </w:p>
    <w:p>
      <w:pPr>
        <w:pStyle w:val="Style17"/>
        <w:keepNext/>
        <w:keepLines/>
        <w:widowControl w:val="0"/>
        <w:shd w:val="clear" w:color="auto" w:fill="auto"/>
        <w:bidi w:val="0"/>
        <w:spacing w:before="58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31"/>
        <w:keepNext/>
        <w:keepLines/>
        <w:widowControl w:val="0"/>
        <w:shd w:val="clear" w:color="auto" w:fill="auto"/>
        <w:bidi w:val="0"/>
        <w:spacing w:before="0" w:after="300" w:line="240" w:lineRule="auto"/>
        <w:ind w:left="0" w:right="0" w:firstLine="200"/>
        <w:jc w:val="left"/>
      </w:pPr>
      <w:bookmarkStart w:id="11" w:name="bookmark11"/>
      <w:bookmarkStart w:id="12" w:name="bookmark12"/>
      <w:bookmarkStart w:id="13" w:name="bookmark13"/>
      <w:bookmarkStart w:id="14" w:name="bookmark14"/>
      <w:r>
        <w:rPr>
          <w:color w:val="000000"/>
          <w:spacing w:val="0"/>
          <w:w w:val="100"/>
          <w:position w:val="0"/>
          <w:sz w:val="24"/>
          <w:szCs w:val="24"/>
        </w:rPr>
        <w:t>、公司信息</w:t>
      </w:r>
      <w:bookmarkEnd w:id="12"/>
      <w:bookmarkEnd w:id="13"/>
      <w:bookmarkEnd w:id="14"/>
      <w:bookmarkEnd w:id="11"/>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90" w:val="left"/>
                <w:tab w:pos="5059" w:val="left"/>
              </w:tabs>
              <w:bidi w:val="0"/>
              <w:spacing w:before="0" w:after="0" w:line="240" w:lineRule="auto"/>
              <w:ind w:left="0" w:right="0" w:firstLine="0"/>
              <w:jc w:val="left"/>
              <w:rPr>
                <w:sz w:val="18"/>
                <w:szCs w:val="18"/>
              </w:rPr>
            </w:pPr>
            <w:r>
              <w:rPr>
                <w:color w:val="000000"/>
                <w:spacing w:val="0"/>
                <w:w w:val="100"/>
                <w:position w:val="0"/>
                <w:sz w:val="18"/>
                <w:szCs w:val="18"/>
              </w:rPr>
              <w:t>法本信息</w:t>
              <w:tab/>
              <w:t>股票代码</w:t>
              <w:tab/>
            </w:r>
            <w:r>
              <w:rPr>
                <w:rFonts w:ascii="Times New Roman" w:eastAsia="Times New Roman" w:hAnsi="Times New Roman" w:cs="Times New Roman"/>
                <w:color w:val="000000"/>
                <w:spacing w:val="0"/>
                <w:w w:val="100"/>
                <w:position w:val="0"/>
                <w:sz w:val="18"/>
                <w:szCs w:val="18"/>
              </w:rPr>
              <w:t>300925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深圳市法本信息技术股份有限公司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法本信息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Farben Information Technology Co. ,Ltd.</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Farben Information</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深圳市南山区西丽街道松坪山社区高新北六道</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号昱大顺科技园</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座</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层</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报告期内无变更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深圳市南山区西丽街道松坪山社区高新北六道</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号昱大顺科技园</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座</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层</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层</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518067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farben.com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zqtz@farben. com.cn</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孙波</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深圳市南山区西丽街道松坪山社区高新 北六道</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号昱大顺科技园</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深圳市南山区西丽街道松坪山社区高新 北六道</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号昱大顺科技园</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0755-26601132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0755-26601132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0755-26605103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0755-26605103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"mailto:zqtz@farben.com.cn" </w:instrText>
            </w:r>
            <w:r>
              <w:fldChar w:fldCharType="separate"/>
            </w:r>
            <w:r>
              <w:rPr>
                <w:rFonts w:ascii="Times New Roman" w:eastAsia="Times New Roman" w:hAnsi="Times New Roman" w:cs="Times New Roman"/>
                <w:color w:val="000000"/>
                <w:spacing w:val="0"/>
                <w:w w:val="100"/>
                <w:position w:val="0"/>
                <w:sz w:val="18"/>
                <w:szCs w:val="18"/>
              </w:rPr>
              <w:t>zqtz@farben.com.cn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zqtz@farben. com.cn</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《中国证券报》《上海证券报》《证券时报》《证券日报》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http://www. cninfo .cm.cn</w:t>
            </w: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深圳证券交易所、公司证券部</w:t>
            </w:r>
          </w:p>
        </w:tc>
      </w:tr>
    </w:tbl>
    <w:p>
      <w:pPr>
        <w:spacing w:lineRule="exact" w:line="1"/>
        <w:rPr>
          <w:sz w:val="2"/>
          <w:szCs w:val="2"/>
        </w:rPr>
      </w:pPr>
      <w:r>
        <w:br w:type="page"/>
      </w:r>
    </w:p>
    <w:p>
      <w:pPr>
        <w:pStyle w:val="Style31"/>
        <w:keepNext/>
        <w:keepLines/>
        <w:widowControl w:val="0"/>
        <w:shd w:val="clear" w:color="auto" w:fill="auto"/>
        <w:bidi w:val="0"/>
        <w:spacing w:before="0" w:after="42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、其他有关资料</w:t>
      </w:r>
      <w:bookmarkEnd w:id="23"/>
      <w:bookmarkEnd w:id="24"/>
      <w:bookmarkEnd w:id="26"/>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天健会计师事务所（特殊普通合伙）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浙江省杭州市西湖区西溪路</w:t>
            </w:r>
            <w:r>
              <w:rPr>
                <w:rFonts w:ascii="Times New Roman" w:eastAsia="Times New Roman" w:hAnsi="Times New Roman" w:cs="Times New Roman"/>
                <w:color w:val="000000"/>
                <w:spacing w:val="0"/>
                <w:w w:val="100"/>
                <w:position w:val="0"/>
                <w:sz w:val="18"/>
                <w:szCs w:val="18"/>
              </w:rPr>
              <w:t>128</w:t>
            </w:r>
            <w:r>
              <w:rPr>
                <w:color w:val="000000"/>
                <w:spacing w:val="0"/>
                <w:w w:val="100"/>
                <w:position w:val="0"/>
                <w:sz w:val="18"/>
                <w:szCs w:val="18"/>
              </w:rPr>
              <w:t>号新湖商务大厦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楼</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龙琦、杨雪燕</w:t>
            </w:r>
          </w:p>
        </w:tc>
      </w:tr>
    </w:tbl>
    <w:p>
      <w:pPr>
        <w:widowControl w:val="0"/>
        <w:spacing w:after="99" w:line="1" w:lineRule="exact"/>
      </w:pP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公司聘请的报告期内履行持续督导职责的保荐机构</w:t>
      </w:r>
    </w:p>
    <w:p>
      <w:pPr>
        <w:pStyle w:val="Style1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26"/>
        <w:gridCol w:w="3120"/>
        <w:gridCol w:w="2266"/>
        <w:gridCol w:w="213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保荐机构办公地址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保荐代表人姓名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平安证券股份有限公司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深圳市福田区福田街道益田路</w:t>
            </w:r>
            <w:r>
              <w:rPr>
                <w:rFonts w:ascii="Times New Roman" w:eastAsia="Times New Roman" w:hAnsi="Times New Roman" w:cs="Times New Roman"/>
                <w:color w:val="000000"/>
                <w:spacing w:val="0"/>
                <w:w w:val="100"/>
                <w:position w:val="0"/>
                <w:sz w:val="18"/>
                <w:szCs w:val="18"/>
              </w:rPr>
              <w:t>5023</w:t>
            </w:r>
            <w:r>
              <w:rPr>
                <w:color w:val="000000"/>
                <w:spacing w:val="0"/>
                <w:w w:val="100"/>
                <w:position w:val="0"/>
                <w:sz w:val="18"/>
                <w:szCs w:val="18"/>
              </w:rPr>
              <w:t>号 平安金融中心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座第</w:t>
            </w:r>
            <w:r>
              <w:rPr>
                <w:rFonts w:ascii="Times New Roman" w:eastAsia="Times New Roman" w:hAnsi="Times New Roman" w:cs="Times New Roman"/>
                <w:color w:val="000000"/>
                <w:spacing w:val="0"/>
                <w:w w:val="100"/>
                <w:position w:val="0"/>
                <w:sz w:val="18"/>
                <w:szCs w:val="18"/>
              </w:rPr>
              <w:t>22-25</w:t>
            </w:r>
            <w:r>
              <w:rPr>
                <w:color w:val="000000"/>
                <w:spacing w:val="0"/>
                <w:w w:val="100"/>
                <w:position w:val="0"/>
                <w:sz w:val="18"/>
                <w:szCs w:val="18"/>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王耀、徐子韩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2022.03.29-2023.12.31</w:t>
            </w:r>
          </w:p>
        </w:tc>
      </w:tr>
    </w:tbl>
    <w:p>
      <w:pPr>
        <w:widowControl w:val="0"/>
        <w:spacing w:after="99" w:line="1" w:lineRule="exact"/>
      </w:pP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公司聘请的报告期内履行持续督导职责的财务顾问</w:t>
      </w:r>
    </w:p>
    <w:p>
      <w:pPr>
        <w:pStyle w:val="Style1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42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、主要会计数据和财务指标</w:t>
      </w:r>
      <w:bookmarkEnd w:id="27"/>
      <w:bookmarkEnd w:id="28"/>
      <w:bookmarkEnd w:id="30"/>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公司是否需追溯调整或重述以前年度会计数据</w:t>
      </w:r>
    </w:p>
    <w:p>
      <w:pPr>
        <w:pStyle w:val="Style1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tbl>
      <w:tblPr>
        <w:tblOverlap w:val="never"/>
        <w:jc w:val="center"/>
        <w:tblLayout w:type="fixed"/>
      </w:tblPr>
      <w:tblGrid>
        <w:gridCol w:w="3490"/>
        <w:gridCol w:w="1315"/>
        <w:gridCol w:w="1315"/>
        <w:gridCol w:w="1824"/>
        <w:gridCol w:w="169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3,088,227,503.90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1,947,737,519.73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1,306,692,344.30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135,253,196.55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121,540,205.37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95,954,354.98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归属于上市公司股东的扣除非经常性损益的 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113,532,755.18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111,330,088.61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90,093,293.63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-63,741,991.67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66,691,218.56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40,624,864.93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1,809,129,223.58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1,518,946,835.61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660,920,752.74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1,250,980,492.92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1,118,969,209.67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412,434,903.37</w:t>
            </w:r>
          </w:p>
        </w:tc>
      </w:tr>
    </w:tbl>
    <w:p>
      <w:pPr>
        <w:widowControl w:val="0"/>
        <w:spacing w:after="99" w:line="1" w:lineRule="exact"/>
      </w:pP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公司最近三个会计年度扣除非经常性损益前后净利润孰低者均为负值，且最近一年审计报告显示公司持</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rPr>
        <w:t>续经营能力存在不确定性</w:t>
      </w:r>
    </w:p>
    <w:p>
      <w:pPr>
        <w:pStyle w:val="Style2"/>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q </w:t>
      </w:r>
      <w:r>
        <w:rPr>
          <w:color w:val="000000"/>
          <w:spacing w:val="0"/>
          <w:w w:val="100"/>
          <w:position w:val="0"/>
        </w:rPr>
        <w:t>否</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rPr>
        <w:t>扣除非经常损益前后的净利润孰低者为负值</w:t>
      </w:r>
    </w:p>
    <w:p>
      <w:pPr>
        <w:pStyle w:val="Style1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31"/>
        <w:gridCol w:w="505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220,099,166</w:t>
            </w:r>
          </w:p>
        </w:tc>
      </w:tr>
    </w:tbl>
    <w:p>
      <w:pPr>
        <w:widowControl w:val="0"/>
        <w:spacing w:after="99" w:line="1" w:lineRule="exact"/>
      </w:pP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公司报告期末至年度报告披露日股本是否因发行新股、增发、配股、股权激励行权、回购等原因发生变</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化且影响所有者权益金额</w:t>
      </w:r>
    </w:p>
    <w:p>
      <w:pPr>
        <w:pStyle w:val="Style1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勺否</w:t>
      </w:r>
    </w:p>
    <w:tbl>
      <w:tblPr>
        <w:tblOverlap w:val="never"/>
        <w:jc w:val="center"/>
        <w:tblLayout w:type="fixed"/>
      </w:tblPr>
      <w:tblGrid>
        <w:gridCol w:w="4531"/>
        <w:gridCol w:w="505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0.6145</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、分季度主要财务指标</w:t>
      </w:r>
      <w:bookmarkEnd w:id="31"/>
      <w:bookmarkEnd w:id="32"/>
      <w:bookmarkEnd w:id="3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641,381,879.00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743,292,134.23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818,672,551.77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884,880,938.90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21,019,082.94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36,042,763.86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40,150,551.07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38,040,798.68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15,887,053.24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32,557,625.52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35,732,185.75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29,355,890.67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-151,697,746.39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-95,871,824.75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16,984,145.74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166,843,433.73</w:t>
            </w:r>
          </w:p>
        </w:tc>
      </w:tr>
    </w:tbl>
    <w:p>
      <w:pPr>
        <w:widowControl w:val="0"/>
        <w:spacing w:after="99" w:line="1" w:lineRule="exact"/>
      </w:pP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1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1"/>
        <w:keepNext/>
        <w:keepLines/>
        <w:widowControl w:val="0"/>
        <w:shd w:val="clear" w:color="auto" w:fill="auto"/>
        <w:bidi w:val="0"/>
        <w:spacing w:before="0" w:after="3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、境内外会计准则下会计数据差异</w:t>
      </w:r>
      <w:bookmarkEnd w:id="35"/>
      <w:bookmarkEnd w:id="36"/>
      <w:bookmarkEnd w:id="38"/>
    </w:p>
    <w:p>
      <w:pPr>
        <w:pStyle w:val="Style38"/>
        <w:keepNext/>
        <w:keepLines/>
        <w:widowControl w:val="0"/>
        <w:shd w:val="clear" w:color="auto" w:fill="auto"/>
        <w:tabs>
          <w:tab w:pos="368" w:val="left"/>
        </w:tabs>
        <w:bidi w:val="0"/>
        <w:spacing w:before="0" w:after="42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1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8"/>
        <w:keepNext/>
        <w:keepLines/>
        <w:widowControl w:val="0"/>
        <w:shd w:val="clear" w:color="auto" w:fill="auto"/>
        <w:tabs>
          <w:tab w:pos="378" w:val="left"/>
        </w:tabs>
        <w:bidi w:val="0"/>
        <w:spacing w:before="0" w:after="42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12"/>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r>
        <w:br w:type="page"/>
      </w:r>
    </w:p>
    <w:p>
      <w:pPr>
        <w:pStyle w:val="Style31"/>
        <w:keepNext/>
        <w:keepLines/>
        <w:widowControl w:val="0"/>
        <w:shd w:val="clear" w:color="auto" w:fill="auto"/>
        <w:bidi w:val="0"/>
        <w:spacing w:before="0" w:after="40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、非经常性损益项目及金额</w:t>
      </w:r>
      <w:bookmarkEnd w:id="47"/>
      <w:bookmarkEnd w:id="48"/>
      <w:bookmarkEnd w:id="50"/>
    </w:p>
    <w:p>
      <w:pPr>
        <w:pStyle w:val="Style1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1277"/>
        <w:gridCol w:w="1138"/>
        <w:gridCol w:w="1003"/>
        <w:gridCol w:w="182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非流动资产处置损益（包括已计提资产减值准备的冲销 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1,477,116.62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-1,571.32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主要系处置办公场地 所致</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计入当期损益的政府补助（与公司正常经营业务密切相 关，符合国家政策规定、按照一定标准定额或定量持续 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14,735,500.72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11,733,217.51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5,322,223.78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主要系报告期内收到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政府补贴所致</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8,146,114.60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主要系报告期内购买 理财产品收益所致</w:t>
            </w: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除同公司正常经营业务相关的有效套期保值业务外，持 有交易性金融资产、交易性金融负债产生的公允价值变 动损益，以及处置交易性金融资产交易性金融负债和可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11,657.61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1,739,367.50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主要系前期已单项计 提的应收账款本期部 分收回所致</w:t>
            </w:r>
          </w:p>
        </w:tc>
      </w:tr>
      <w:tr>
        <w:trPr>
          <w:trHeight w:val="13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-544,641.12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-419,805.58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39,821.66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主要系业务迅速增 长，需增加办公场 地，支付原办公场地 违约金所致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529,874.85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614,394.92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3,833,016.95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1,802,132.41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1,034,375.53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21,720,441.37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10,210,116.76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5,861,061.35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2"/>
        <w:keepNext w:val="0"/>
        <w:keepLines w:val="0"/>
        <w:widowControl w:val="0"/>
        <w:shd w:val="clear" w:color="auto" w:fill="auto"/>
        <w:bidi w:val="0"/>
        <w:spacing w:before="0" w:after="180" w:line="470" w:lineRule="exact"/>
        <w:ind w:left="0" w:right="0" w:firstLine="0"/>
        <w:jc w:val="left"/>
      </w:pPr>
      <w:r>
        <w:rPr>
          <w:color w:val="000000"/>
          <w:spacing w:val="0"/>
          <w:w w:val="100"/>
          <w:position w:val="0"/>
        </w:rPr>
        <w:t>其他符合非经常性损益定义的损益项目的具体情况：</w:t>
      </w:r>
    </w:p>
    <w:p>
      <w:pPr>
        <w:pStyle w:val="Style12"/>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公司不存在其他符合非经常性损益定义的损益项目的具体情况。</w:t>
      </w:r>
    </w:p>
    <w:p>
      <w:pPr>
        <w:pStyle w:val="Style12"/>
        <w:keepNext w:val="0"/>
        <w:keepLines w:val="0"/>
        <w:widowControl w:val="0"/>
        <w:shd w:val="clear" w:color="auto" w:fill="auto"/>
        <w:bidi w:val="0"/>
        <w:spacing w:before="0" w:after="0" w:line="470"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w:t>
      </w:r>
    </w:p>
    <w:p>
      <w:pPr>
        <w:pStyle w:val="Style12"/>
        <w:keepNext w:val="0"/>
        <w:keepLines w:val="0"/>
        <w:widowControl w:val="0"/>
        <w:shd w:val="clear" w:color="auto" w:fill="auto"/>
        <w:bidi w:val="0"/>
        <w:spacing w:before="0" w:after="180" w:line="470" w:lineRule="exact"/>
        <w:ind w:left="0" w:right="0" w:firstLine="0"/>
        <w:jc w:val="left"/>
      </w:pPr>
      <w:r>
        <w:rPr>
          <w:color w:val="000000"/>
          <w:spacing w:val="0"/>
          <w:w w:val="100"/>
          <w:position w:val="0"/>
        </w:rPr>
        <w:t>定为经常性损益项目的情况说明</w:t>
      </w:r>
    </w:p>
    <w:p>
      <w:pPr>
        <w:pStyle w:val="Style12"/>
        <w:keepNext w:val="0"/>
        <w:keepLines w:val="0"/>
        <w:widowControl w:val="0"/>
        <w:shd w:val="clear" w:color="auto" w:fill="auto"/>
        <w:bidi w:val="0"/>
        <w:spacing w:before="0" w:after="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180" w:line="470" w:lineRule="exact"/>
        <w:ind w:left="0" w:right="0" w:firstLine="0"/>
        <w:jc w:val="left"/>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 经常性损益项目界定为经常性损益的项目的情形。</w:t>
      </w:r>
    </w:p>
    <w:p>
      <w:pPr>
        <w:pStyle w:val="Style17"/>
        <w:keepNext/>
        <w:keepLines/>
        <w:widowControl w:val="0"/>
        <w:shd w:val="clear" w:color="auto" w:fill="auto"/>
        <w:bidi w:val="0"/>
        <w:spacing w:before="0" w:line="240" w:lineRule="auto"/>
        <w:ind w:left="0" w:right="0" w:firstLine="0"/>
        <w:jc w:val="center"/>
      </w:pPr>
      <w:bookmarkStart w:id="51" w:name="bookmark51"/>
      <w:bookmarkStart w:id="52" w:name="bookmark52"/>
      <w:bookmarkStart w:id="53" w:name="bookmark53"/>
      <w:r>
        <w:rPr>
          <w:color w:val="000000"/>
          <w:spacing w:val="0"/>
          <w:w w:val="100"/>
          <w:position w:val="0"/>
        </w:rPr>
        <w:t>第三节管理层讨论与分析</w:t>
      </w:r>
      <w:bookmarkEnd w:id="51"/>
      <w:bookmarkEnd w:id="52"/>
      <w:bookmarkEnd w:id="53"/>
    </w:p>
    <w:p>
      <w:pPr>
        <w:pStyle w:val="Style31"/>
        <w:keepNext/>
        <w:keepLines/>
        <w:widowControl w:val="0"/>
        <w:shd w:val="clear" w:color="auto" w:fill="auto"/>
        <w:bidi w:val="0"/>
        <w:spacing w:before="0" w:after="20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、报告期内公司所处行业情况</w:t>
      </w:r>
      <w:bookmarkEnd w:id="55"/>
      <w:bookmarkEnd w:id="56"/>
      <w:bookmarkEnd w:id="58"/>
      <w:bookmarkEnd w:id="54"/>
    </w:p>
    <w:p>
      <w:pPr>
        <w:pStyle w:val="Style1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公司是一家致力于为客户提供专业的信息技术外包（</w:t>
      </w:r>
      <w:r>
        <w:rPr>
          <w:rFonts w:ascii="Times New Roman" w:eastAsia="Times New Roman" w:hAnsi="Times New Roman" w:cs="Times New Roman"/>
          <w:color w:val="000000"/>
          <w:spacing w:val="0"/>
          <w:w w:val="100"/>
          <w:position w:val="0"/>
        </w:rPr>
        <w:t>ITO</w:t>
      </w:r>
      <w:r>
        <w:rPr>
          <w:color w:val="000000"/>
          <w:spacing w:val="0"/>
          <w:w w:val="100"/>
          <w:position w:val="0"/>
        </w:rPr>
        <w:t>）服务的提供商，根据中国证监会《上市公 司行业分类指引》（</w:t>
      </w:r>
      <w:r>
        <w:rPr>
          <w:rFonts w:ascii="Times New Roman" w:eastAsia="Times New Roman" w:hAnsi="Times New Roman" w:cs="Times New Roman"/>
          <w:color w:val="000000"/>
          <w:spacing w:val="0"/>
          <w:w w:val="100"/>
          <w:position w:val="0"/>
        </w:rPr>
        <w:t>2012</w:t>
      </w:r>
      <w:r>
        <w:rPr>
          <w:color w:val="000000"/>
          <w:spacing w:val="0"/>
          <w:w w:val="100"/>
          <w:position w:val="0"/>
        </w:rPr>
        <w:t>年修订）以及《国民经济行业分类》（</w:t>
      </w:r>
      <w:r>
        <w:rPr>
          <w:rFonts w:ascii="Times New Roman" w:eastAsia="Times New Roman" w:hAnsi="Times New Roman" w:cs="Times New Roman"/>
          <w:color w:val="000000"/>
          <w:spacing w:val="0"/>
          <w:w w:val="100"/>
          <w:position w:val="0"/>
        </w:rPr>
        <w:t>2017</w:t>
      </w:r>
      <w:r>
        <w:rPr>
          <w:color w:val="000000"/>
          <w:spacing w:val="0"/>
          <w:w w:val="100"/>
          <w:position w:val="0"/>
        </w:rPr>
        <w:t>年版），公司所处行业为</w:t>
      </w:r>
      <w:r>
        <w:rPr>
          <w:rFonts w:ascii="Times New Roman" w:eastAsia="Times New Roman" w:hAnsi="Times New Roman" w:cs="Times New Roman"/>
          <w:color w:val="000000"/>
          <w:spacing w:val="0"/>
          <w:w w:val="100"/>
          <w:position w:val="0"/>
        </w:rPr>
        <w:t>“I</w:t>
      </w:r>
      <w:r>
        <w:rPr>
          <w:color w:val="000000"/>
          <w:spacing w:val="0"/>
          <w:w w:val="100"/>
          <w:position w:val="0"/>
        </w:rPr>
        <w:t>信息传输、 软件和信息技术服务业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。软件和信息技术服务业指对信息传输、信息制作、信 息提供和信息接受过程中产生的技术问题或技术需求所提供的服务行业。软件和信息技术服务业是关系国 民经济和社会发展全局的基础性、战略性、先导性产业，对社会发展具有重要的支撑作用。</w:t>
      </w:r>
    </w:p>
    <w:p>
      <w:pPr>
        <w:pStyle w:val="Style12"/>
        <w:keepNext w:val="0"/>
        <w:keepLines w:val="0"/>
        <w:widowControl w:val="0"/>
        <w:shd w:val="clear" w:color="auto" w:fill="auto"/>
        <w:bidi w:val="0"/>
        <w:spacing w:before="0" w:after="0" w:line="470" w:lineRule="exact"/>
        <w:ind w:left="0" w:right="0" w:firstLine="420"/>
        <w:jc w:val="both"/>
      </w:pPr>
      <w:bookmarkStart w:id="59" w:name="bookmark59"/>
      <w:r>
        <w:rPr>
          <w:color w:val="000000"/>
          <w:spacing w:val="0"/>
          <w:w w:val="100"/>
          <w:position w:val="0"/>
        </w:rPr>
        <w:t>（</w:t>
      </w:r>
      <w:bookmarkEnd w:id="59"/>
      <w:r>
        <w:rPr>
          <w:color w:val="000000"/>
          <w:spacing w:val="0"/>
          <w:w w:val="100"/>
          <w:position w:val="0"/>
        </w:rPr>
        <w:t>一）行业发展现状：</w:t>
      </w:r>
    </w:p>
    <w:p>
      <w:pPr>
        <w:pStyle w:val="Style1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根据国家工业和信息化部发布的《</w:t>
      </w:r>
      <w:r>
        <w:rPr>
          <w:rFonts w:ascii="Times New Roman" w:eastAsia="Times New Roman" w:hAnsi="Times New Roman" w:cs="Times New Roman"/>
          <w:color w:val="000000"/>
          <w:spacing w:val="0"/>
          <w:w w:val="100"/>
          <w:position w:val="0"/>
        </w:rPr>
        <w:t>2021</w:t>
      </w:r>
      <w:r>
        <w:rPr>
          <w:color w:val="000000"/>
          <w:spacing w:val="0"/>
          <w:w w:val="100"/>
          <w:position w:val="0"/>
        </w:rPr>
        <w:t>年软件和信息技术服务业统计公报》显示，</w:t>
      </w:r>
      <w:r>
        <w:rPr>
          <w:rFonts w:ascii="Times New Roman" w:eastAsia="Times New Roman" w:hAnsi="Times New Roman" w:cs="Times New Roman"/>
          <w:color w:val="000000"/>
          <w:spacing w:val="0"/>
          <w:w w:val="100"/>
          <w:position w:val="0"/>
        </w:rPr>
        <w:t>2021</w:t>
      </w:r>
      <w:r>
        <w:rPr>
          <w:color w:val="000000"/>
          <w:spacing w:val="0"/>
          <w:w w:val="100"/>
          <w:position w:val="0"/>
        </w:rPr>
        <w:t>年全国软件和 信息技术服务业运行态势良好，规模以上企业超</w:t>
      </w:r>
      <w:r>
        <w:rPr>
          <w:rFonts w:ascii="Times New Roman" w:eastAsia="Times New Roman" w:hAnsi="Times New Roman" w:cs="Times New Roman"/>
          <w:color w:val="000000"/>
          <w:spacing w:val="0"/>
          <w:w w:val="100"/>
          <w:position w:val="0"/>
        </w:rPr>
        <w:t>4</w:t>
      </w:r>
      <w:r>
        <w:rPr>
          <w:color w:val="000000"/>
          <w:spacing w:val="0"/>
          <w:w w:val="100"/>
          <w:position w:val="0"/>
        </w:rPr>
        <w:t>万家，累计完成软件业务收入</w:t>
      </w:r>
      <w:r>
        <w:rPr>
          <w:rFonts w:ascii="Times New Roman" w:eastAsia="Times New Roman" w:hAnsi="Times New Roman" w:cs="Times New Roman"/>
          <w:color w:val="000000"/>
          <w:spacing w:val="0"/>
          <w:w w:val="100"/>
          <w:position w:val="0"/>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rPr>
        <w:t>17.7%</w:t>
      </w:r>
      <w:r>
        <w:rPr>
          <w:color w:val="000000"/>
          <w:spacing w:val="0"/>
          <w:w w:val="100"/>
          <w:position w:val="0"/>
        </w:rPr>
        <w:t>， 两年复合增长率为</w:t>
      </w:r>
      <w:r>
        <w:rPr>
          <w:rFonts w:ascii="Times New Roman" w:eastAsia="Times New Roman" w:hAnsi="Times New Roman" w:cs="Times New Roman"/>
          <w:color w:val="000000"/>
          <w:spacing w:val="0"/>
          <w:w w:val="100"/>
          <w:position w:val="0"/>
        </w:rPr>
        <w:t>15.5%</w:t>
      </w:r>
      <w:r>
        <w:rPr>
          <w:color w:val="000000"/>
          <w:spacing w:val="0"/>
          <w:w w:val="100"/>
          <w:position w:val="0"/>
        </w:rPr>
        <w:t>。软件业务收入保持较快增长。</w:t>
      </w:r>
      <w:r>
        <w:rPr>
          <w:rFonts w:ascii="Times New Roman" w:eastAsia="Times New Roman" w:hAnsi="Times New Roman" w:cs="Times New Roman"/>
          <w:color w:val="000000"/>
          <w:spacing w:val="0"/>
          <w:w w:val="100"/>
          <w:position w:val="0"/>
        </w:rPr>
        <w:t>2021</w:t>
      </w:r>
      <w:r>
        <w:rPr>
          <w:color w:val="000000"/>
          <w:spacing w:val="0"/>
          <w:w w:val="100"/>
          <w:position w:val="0"/>
        </w:rPr>
        <w:t>年，软件业利润总额</w:t>
      </w:r>
      <w:r>
        <w:rPr>
          <w:rFonts w:ascii="Times New Roman" w:eastAsia="Times New Roman" w:hAnsi="Times New Roman" w:cs="Times New Roman"/>
          <w:color w:val="000000"/>
          <w:spacing w:val="0"/>
          <w:w w:val="100"/>
          <w:position w:val="0"/>
        </w:rPr>
        <w:t>11,875</w:t>
      </w:r>
      <w:r>
        <w:rPr>
          <w:color w:val="000000"/>
          <w:spacing w:val="0"/>
          <w:w w:val="100"/>
          <w:position w:val="0"/>
        </w:rPr>
        <w:t>亿元，同比增长</w:t>
      </w:r>
      <w:r>
        <w:rPr>
          <w:rFonts w:ascii="Times New Roman" w:eastAsia="Times New Roman" w:hAnsi="Times New Roman" w:cs="Times New Roman"/>
          <w:color w:val="000000"/>
          <w:spacing w:val="0"/>
          <w:w w:val="100"/>
          <w:position w:val="0"/>
        </w:rPr>
        <w:t>7.6%</w:t>
      </w:r>
      <w:r>
        <w:rPr>
          <w:color w:val="000000"/>
          <w:spacing w:val="0"/>
          <w:w w:val="100"/>
          <w:position w:val="0"/>
        </w:rPr>
        <w:t>， 两年复合增长率为</w:t>
      </w:r>
      <w:r>
        <w:rPr>
          <w:rFonts w:ascii="Times New Roman" w:eastAsia="Times New Roman" w:hAnsi="Times New Roman" w:cs="Times New Roman"/>
          <w:color w:val="000000"/>
          <w:spacing w:val="0"/>
          <w:w w:val="100"/>
          <w:position w:val="0"/>
        </w:rPr>
        <w:t>7.7%</w:t>
      </w:r>
      <w:r>
        <w:rPr>
          <w:color w:val="000000"/>
          <w:spacing w:val="0"/>
          <w:w w:val="100"/>
          <w:position w:val="0"/>
        </w:rPr>
        <w:t>；主营业务利润率提高</w:t>
      </w:r>
      <w:r>
        <w:rPr>
          <w:rFonts w:ascii="Times New Roman" w:eastAsia="Times New Roman" w:hAnsi="Times New Roman" w:cs="Times New Roman"/>
          <w:color w:val="000000"/>
          <w:spacing w:val="0"/>
          <w:w w:val="100"/>
          <w:position w:val="0"/>
        </w:rPr>
        <w:t>0.1</w:t>
      </w:r>
      <w:r>
        <w:rPr>
          <w:color w:val="000000"/>
          <w:spacing w:val="0"/>
          <w:w w:val="100"/>
          <w:position w:val="0"/>
        </w:rPr>
        <w:t>个百分点达</w:t>
      </w:r>
      <w:r>
        <w:rPr>
          <w:rFonts w:ascii="Times New Roman" w:eastAsia="Times New Roman" w:hAnsi="Times New Roman" w:cs="Times New Roman"/>
          <w:color w:val="000000"/>
          <w:spacing w:val="0"/>
          <w:w w:val="100"/>
          <w:position w:val="0"/>
        </w:rPr>
        <w:t>9.2%</w:t>
      </w:r>
      <w:r>
        <w:rPr>
          <w:color w:val="000000"/>
          <w:spacing w:val="0"/>
          <w:w w:val="100"/>
          <w:position w:val="0"/>
        </w:rPr>
        <w:t>。盈利能力稳步提升。</w:t>
      </w:r>
    </w:p>
    <w:p>
      <w:pPr>
        <w:pStyle w:val="Style12"/>
        <w:keepNext w:val="0"/>
        <w:keepLines w:val="0"/>
        <w:widowControl w:val="0"/>
        <w:shd w:val="clear" w:color="auto" w:fill="auto"/>
        <w:tabs>
          <w:tab w:pos="742" w:val="left"/>
        </w:tabs>
        <w:bidi w:val="0"/>
        <w:spacing w:before="0" w:after="0" w:line="470" w:lineRule="exact"/>
        <w:ind w:left="0" w:right="0" w:firstLine="420"/>
        <w:jc w:val="both"/>
      </w:pPr>
      <w:bookmarkStart w:id="60" w:name="bookmark60"/>
      <w:r>
        <w:rPr>
          <w:rFonts w:ascii="Times New Roman" w:eastAsia="Times New Roman" w:hAnsi="Times New Roman" w:cs="Times New Roman"/>
          <w:color w:val="000000"/>
          <w:spacing w:val="0"/>
          <w:w w:val="100"/>
          <w:position w:val="0"/>
        </w:rPr>
        <w:t>1</w:t>
      </w:r>
      <w:bookmarkEnd w:id="60"/>
      <w:r>
        <w:rPr>
          <w:color w:val="000000"/>
          <w:spacing w:val="0"/>
          <w:w w:val="100"/>
          <w:position w:val="0"/>
        </w:rPr>
        <w:t>、</w:t>
        <w:tab/>
        <w:t>信息技术外包能够快速赋能客户应用新兴技术</w:t>
      </w:r>
    </w:p>
    <w:p>
      <w:pPr>
        <w:pStyle w:val="Style1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进入</w:t>
      </w:r>
      <w:r>
        <w:rPr>
          <w:rFonts w:ascii="Times New Roman" w:eastAsia="Times New Roman" w:hAnsi="Times New Roman" w:cs="Times New Roman"/>
          <w:color w:val="000000"/>
          <w:spacing w:val="0"/>
          <w:w w:val="100"/>
          <w:position w:val="0"/>
        </w:rPr>
        <w:t>21</w:t>
      </w:r>
      <w:r>
        <w:rPr>
          <w:color w:val="000000"/>
          <w:spacing w:val="0"/>
          <w:w w:val="100"/>
          <w:position w:val="0"/>
        </w:rPr>
        <w:t>世纪以来，信息技术已逐渐成为推动国民经济发展和促进全社会生产效率提升的强大动力，相 关产业受到了越来越多国家和地区的重视。随着应用程度的不断提升，信息技术服务与企业生态链的结合 越来越紧密，其对于提高运营效率，改进管理方式的重要作用越发凸显，对企业用户长期发展的战略价值 也在不断扩大。同时，企业为在成本、利润和效率之间权衡，提高自身竞争力，往往需要将固定成本尽可 能地置换成为可变成本，从而适应充分竞争的市场环境。因此，企业亟需通过整合流程，稳固与其重要的 业务伙伴、供应商和客户之间的紧密合作关系，以便能够对客户需求、市场机会和风险做出灵活和迅速的 反应。</w:t>
      </w:r>
    </w:p>
    <w:p>
      <w:pPr>
        <w:pStyle w:val="Style12"/>
        <w:keepNext w:val="0"/>
        <w:keepLines w:val="0"/>
        <w:widowControl w:val="0"/>
        <w:shd w:val="clear" w:color="auto" w:fill="auto"/>
        <w:bidi w:val="0"/>
        <w:spacing w:before="0" w:after="0" w:line="469" w:lineRule="exact"/>
        <w:ind w:left="0" w:right="0" w:firstLine="420"/>
        <w:jc w:val="both"/>
      </w:pPr>
      <w:r>
        <w:rPr>
          <w:rFonts w:ascii="Times New Roman" w:eastAsia="Times New Roman" w:hAnsi="Times New Roman" w:cs="Times New Roman"/>
          <w:color w:val="000000"/>
          <w:spacing w:val="0"/>
          <w:w w:val="100"/>
          <w:position w:val="0"/>
        </w:rPr>
        <w:t>IT</w:t>
      </w:r>
      <w:r>
        <w:rPr>
          <w:color w:val="000000"/>
          <w:spacing w:val="0"/>
          <w:w w:val="100"/>
          <w:position w:val="0"/>
        </w:rPr>
        <w:t>系统为企业实现上述核心能力提供重要支持。但是，企业自身运营的</w:t>
      </w:r>
      <w:r>
        <w:rPr>
          <w:rFonts w:ascii="Times New Roman" w:eastAsia="Times New Roman" w:hAnsi="Times New Roman" w:cs="Times New Roman"/>
          <w:color w:val="000000"/>
          <w:spacing w:val="0"/>
          <w:w w:val="100"/>
          <w:position w:val="0"/>
        </w:rPr>
        <w:t>IT</w:t>
      </w:r>
      <w:r>
        <w:rPr>
          <w:color w:val="000000"/>
          <w:spacing w:val="0"/>
          <w:w w:val="100"/>
          <w:position w:val="0"/>
        </w:rPr>
        <w:t>系统往往需要通过以下专业 化变革，才能与业务相整合进而实现企业能力提升：①整合各部门在各个时期分散建设的</w:t>
      </w:r>
      <w:r>
        <w:rPr>
          <w:rFonts w:ascii="Times New Roman" w:eastAsia="Times New Roman" w:hAnsi="Times New Roman" w:cs="Times New Roman"/>
          <w:color w:val="000000"/>
          <w:spacing w:val="0"/>
          <w:w w:val="100"/>
          <w:position w:val="0"/>
        </w:rPr>
        <w:t>IT</w:t>
      </w:r>
      <w:r>
        <w:rPr>
          <w:color w:val="000000"/>
          <w:spacing w:val="0"/>
          <w:w w:val="100"/>
          <w:position w:val="0"/>
        </w:rPr>
        <w:t>系统；②与合 作伙伴的系统进行对接；③经过大量的软件开发工作后，使得业务流程信息化；④跟踪最新的技术趋势。 前述专业化变革给企业</w:t>
      </w:r>
      <w:r>
        <w:rPr>
          <w:rFonts w:ascii="Times New Roman" w:eastAsia="Times New Roman" w:hAnsi="Times New Roman" w:cs="Times New Roman"/>
          <w:color w:val="000000"/>
          <w:spacing w:val="0"/>
          <w:w w:val="100"/>
          <w:position w:val="0"/>
        </w:rPr>
        <w:t>IT</w:t>
      </w:r>
      <w:r>
        <w:rPr>
          <w:color w:val="000000"/>
          <w:spacing w:val="0"/>
          <w:w w:val="100"/>
          <w:position w:val="0"/>
        </w:rPr>
        <w:t>部门带来了巨大挑战，考虑到维持一定规模和质量的专业人才队伍经济效率低下， 因此，企业迫切需要由信息技术服务企业为其提供专业服务，以实现业务与</w:t>
      </w:r>
      <w:r>
        <w:rPr>
          <w:rFonts w:ascii="Times New Roman" w:eastAsia="Times New Roman" w:hAnsi="Times New Roman" w:cs="Times New Roman"/>
          <w:color w:val="000000"/>
          <w:spacing w:val="0"/>
          <w:w w:val="100"/>
          <w:position w:val="0"/>
        </w:rPr>
        <w:t>IT</w:t>
      </w:r>
      <w:r>
        <w:rPr>
          <w:color w:val="000000"/>
          <w:spacing w:val="0"/>
          <w:w w:val="100"/>
          <w:position w:val="0"/>
        </w:rPr>
        <w:t>的结合。</w:t>
      </w:r>
    </w:p>
    <w:p>
      <w:pPr>
        <w:pStyle w:val="Style12"/>
        <w:keepNext w:val="0"/>
        <w:keepLines w:val="0"/>
        <w:widowControl w:val="0"/>
        <w:shd w:val="clear" w:color="auto" w:fill="auto"/>
        <w:tabs>
          <w:tab w:pos="761" w:val="left"/>
        </w:tabs>
        <w:bidi w:val="0"/>
        <w:spacing w:before="0" w:after="0" w:line="469" w:lineRule="exact"/>
        <w:ind w:left="0" w:right="0" w:firstLine="420"/>
        <w:jc w:val="both"/>
      </w:pPr>
      <w:bookmarkStart w:id="61" w:name="bookmark61"/>
      <w:r>
        <w:rPr>
          <w:rFonts w:ascii="Times New Roman" w:eastAsia="Times New Roman" w:hAnsi="Times New Roman" w:cs="Times New Roman"/>
          <w:color w:val="000000"/>
          <w:spacing w:val="0"/>
          <w:w w:val="100"/>
          <w:position w:val="0"/>
        </w:rPr>
        <w:t>2</w:t>
      </w:r>
      <w:bookmarkEnd w:id="61"/>
      <w:r>
        <w:rPr>
          <w:color w:val="000000"/>
          <w:spacing w:val="0"/>
          <w:w w:val="100"/>
          <w:position w:val="0"/>
        </w:rPr>
        <w:t>、</w:t>
        <w:tab/>
        <w:t>认可度日益提高，市场需求增长较快</w:t>
      </w:r>
    </w:p>
    <w:p>
      <w:pPr>
        <w:pStyle w:val="Style1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 xml:space="preserve">随着云计算、大数据、物联网、人工智能等新一代信息技术的深入发展，以及数字化业务生态系统向 </w:t>
      </w:r>
      <w:r>
        <w:rPr>
          <w:color w:val="000000"/>
          <w:spacing w:val="0"/>
          <w:w w:val="100"/>
          <w:position w:val="0"/>
        </w:rPr>
        <w:t>前迈进，</w:t>
      </w:r>
      <w:r>
        <w:rPr>
          <w:rFonts w:ascii="Times New Roman" w:eastAsia="Times New Roman" w:hAnsi="Times New Roman" w:cs="Times New Roman"/>
          <w:color w:val="000000"/>
          <w:spacing w:val="0"/>
          <w:w w:val="100"/>
          <w:position w:val="0"/>
        </w:rPr>
        <w:t>IT</w:t>
      </w:r>
      <w:r>
        <w:rPr>
          <w:color w:val="000000"/>
          <w:spacing w:val="0"/>
          <w:w w:val="100"/>
          <w:position w:val="0"/>
        </w:rPr>
        <w:t>已经不仅是支持企业机构在其基础上运行业务的平台，更成为推动业务发展的强劲引擎。目前， 行业龙头企业对</w:t>
      </w:r>
      <w:r>
        <w:rPr>
          <w:rFonts w:ascii="Times New Roman" w:eastAsia="Times New Roman" w:hAnsi="Times New Roman" w:cs="Times New Roman"/>
          <w:color w:val="000000"/>
          <w:spacing w:val="0"/>
          <w:w w:val="100"/>
          <w:position w:val="0"/>
        </w:rPr>
        <w:t>ITO</w:t>
      </w:r>
      <w:r>
        <w:rPr>
          <w:color w:val="000000"/>
          <w:spacing w:val="0"/>
          <w:w w:val="100"/>
          <w:position w:val="0"/>
        </w:rPr>
        <w:t>需求的不断增加，技术应用的推广在行业龙头企业中取得丰富成果，</w:t>
      </w:r>
      <w:r>
        <w:rPr>
          <w:rFonts w:ascii="Times New Roman" w:eastAsia="Times New Roman" w:hAnsi="Times New Roman" w:cs="Times New Roman"/>
          <w:color w:val="000000"/>
          <w:spacing w:val="0"/>
          <w:w w:val="100"/>
          <w:position w:val="0"/>
        </w:rPr>
        <w:t>ITO</w:t>
      </w:r>
      <w:r>
        <w:rPr>
          <w:color w:val="000000"/>
          <w:spacing w:val="0"/>
          <w:w w:val="100"/>
          <w:position w:val="0"/>
        </w:rPr>
        <w:t>逐渐得到广泛 认同并成为企业信息化和数字化建设推进的主流方式。</w:t>
      </w:r>
    </w:p>
    <w:p>
      <w:pPr>
        <w:pStyle w:val="Style12"/>
        <w:keepNext w:val="0"/>
        <w:keepLines w:val="0"/>
        <w:widowControl w:val="0"/>
        <w:shd w:val="clear" w:color="auto" w:fill="auto"/>
        <w:bidi w:val="0"/>
        <w:spacing w:before="0" w:after="0" w:line="469" w:lineRule="exact"/>
        <w:ind w:left="0" w:right="0" w:firstLine="220"/>
        <w:jc w:val="left"/>
      </w:pPr>
      <w:bookmarkStart w:id="62" w:name="bookmark62"/>
      <w:r>
        <w:rPr>
          <w:color w:val="000000"/>
          <w:spacing w:val="0"/>
          <w:w w:val="100"/>
          <w:position w:val="0"/>
        </w:rPr>
        <w:t>（</w:t>
      </w:r>
      <w:bookmarkEnd w:id="62"/>
      <w:r>
        <w:rPr>
          <w:color w:val="000000"/>
          <w:spacing w:val="0"/>
          <w:w w:val="100"/>
          <w:position w:val="0"/>
        </w:rPr>
        <w:t>二）行业发展趋势：</w:t>
      </w:r>
    </w:p>
    <w:p>
      <w:pPr>
        <w:pStyle w:val="Style12"/>
        <w:keepNext w:val="0"/>
        <w:keepLines w:val="0"/>
        <w:widowControl w:val="0"/>
        <w:shd w:val="clear" w:color="auto" w:fill="auto"/>
        <w:tabs>
          <w:tab w:pos="735" w:val="left"/>
        </w:tabs>
        <w:bidi w:val="0"/>
        <w:spacing w:before="0" w:after="0" w:line="469" w:lineRule="exact"/>
        <w:ind w:left="0" w:right="0" w:firstLine="420"/>
        <w:jc w:val="left"/>
      </w:pPr>
      <w:bookmarkStart w:id="63" w:name="bookmark63"/>
      <w:r>
        <w:rPr>
          <w:rFonts w:ascii="Times New Roman" w:eastAsia="Times New Roman" w:hAnsi="Times New Roman" w:cs="Times New Roman"/>
          <w:color w:val="000000"/>
          <w:spacing w:val="0"/>
          <w:w w:val="100"/>
          <w:position w:val="0"/>
        </w:rPr>
        <w:t>1</w:t>
      </w:r>
      <w:bookmarkEnd w:id="63"/>
      <w:r>
        <w:rPr>
          <w:color w:val="000000"/>
          <w:spacing w:val="0"/>
          <w:w w:val="100"/>
          <w:position w:val="0"/>
        </w:rPr>
        <w:t>、</w:t>
        <w:tab/>
        <w:t>行业技术水平逐步由技术外包服务向技术赋能发展</w:t>
      </w:r>
    </w:p>
    <w:p>
      <w:pPr>
        <w:pStyle w:val="Style1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在产品服务模式方面，欧美发达国家在方案服务、产品及平台三种服务模式上处于领先地位，印度企 业也具体一定的竞争优势，而中国企业目前还整体以</w:t>
      </w:r>
      <w:r>
        <w:rPr>
          <w:rFonts w:ascii="Times New Roman" w:eastAsia="Times New Roman" w:hAnsi="Times New Roman" w:cs="Times New Roman"/>
          <w:color w:val="000000"/>
          <w:spacing w:val="0"/>
          <w:w w:val="100"/>
          <w:position w:val="0"/>
        </w:rPr>
        <w:t>IT O</w:t>
      </w:r>
      <w:r>
        <w:rPr>
          <w:color w:val="000000"/>
          <w:spacing w:val="0"/>
          <w:w w:val="100"/>
          <w:position w:val="0"/>
        </w:rPr>
        <w:t>交付为主。</w:t>
      </w:r>
    </w:p>
    <w:p>
      <w:pPr>
        <w:pStyle w:val="Style1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随着近年来</w:t>
      </w:r>
      <w:r>
        <w:rPr>
          <w:rFonts w:ascii="Times New Roman" w:eastAsia="Times New Roman" w:hAnsi="Times New Roman" w:cs="Times New Roman"/>
          <w:color w:val="000000"/>
          <w:spacing w:val="0"/>
          <w:w w:val="100"/>
          <w:position w:val="0"/>
        </w:rPr>
        <w:t>5G</w:t>
      </w:r>
      <w:r>
        <w:rPr>
          <w:color w:val="000000"/>
          <w:spacing w:val="0"/>
          <w:w w:val="100"/>
          <w:position w:val="0"/>
        </w:rPr>
        <w:t>科技发展以及云计算时代的到来，一些拥有先进技术的公司开始通过云平台对外赋能。 这种赋能需要针对众多个体公司的业务逻辑制定和实施特定的解决方案，对软件技术合作伙伴提出更高的 要求。为满足下游客户需求，软件技术服务外包商需要增强云计算平台协作能力，强化对基于云平台的产 品与解决方案的理解和实施能力，并逐步向更高端技术赋能发展。</w:t>
      </w:r>
    </w:p>
    <w:p>
      <w:pPr>
        <w:pStyle w:val="Style12"/>
        <w:keepNext w:val="0"/>
        <w:keepLines w:val="0"/>
        <w:widowControl w:val="0"/>
        <w:shd w:val="clear" w:color="auto" w:fill="auto"/>
        <w:tabs>
          <w:tab w:pos="754" w:val="left"/>
        </w:tabs>
        <w:bidi w:val="0"/>
        <w:spacing w:before="0" w:after="0" w:line="469" w:lineRule="exact"/>
        <w:ind w:left="0" w:right="0" w:firstLine="420"/>
        <w:jc w:val="both"/>
      </w:pPr>
      <w:bookmarkStart w:id="64" w:name="bookmark64"/>
      <w:r>
        <w:rPr>
          <w:rFonts w:ascii="Times New Roman" w:eastAsia="Times New Roman" w:hAnsi="Times New Roman" w:cs="Times New Roman"/>
          <w:color w:val="000000"/>
          <w:spacing w:val="0"/>
          <w:w w:val="100"/>
          <w:position w:val="0"/>
        </w:rPr>
        <w:t>2</w:t>
      </w:r>
      <w:bookmarkEnd w:id="64"/>
      <w:r>
        <w:rPr>
          <w:color w:val="000000"/>
          <w:spacing w:val="0"/>
          <w:w w:val="100"/>
          <w:position w:val="0"/>
        </w:rPr>
        <w:t>、</w:t>
        <w:tab/>
        <w:t>信息技术外包呈现出多行业化、多区域性</w:t>
      </w:r>
    </w:p>
    <w:p>
      <w:pPr>
        <w:pStyle w:val="Style1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过去，软件技术服务外包业务集中在金融、互联网、通信等几个信息化程度较高的行业。当前，随着 移动互联、物联网、云计算、大数据、人工智能和区块链等新技术的应用推广，如智能制造、航空物流、 房地产等各个行业开始进入数字化的转型，软件技术服务外包的需求也相应增加。未来，软件技术服务外 包业将与各重点行业领域进一步融合，提供的不仅仅是可以面向任何行业需求的信息技术产品，而是要进 一步与金融、互联网、通信、智能制造、航空物流、房地产、批发零售等领域深入融合，协力推进对各领 域业务流程、业务系统的重塑和生产模式、组织形式的变革，驱动各行业领域向数字化转型升级。软件技 术服务在推动最新数字化技术与传统产业融合的过程中，不断拓展信息技术的应用范围和应用领域，提升 软件技术服务能力，加快企业自身的创新发展，以适应数字化时代的新特征。</w:t>
      </w:r>
    </w:p>
    <w:p>
      <w:pPr>
        <w:pStyle w:val="Style1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对新技术的应用在地区的传播上快速地由发达地区向欠发达地区扩散，呈现出欠发达地区的后发优势， 欠发达地区没有传统的</w:t>
      </w:r>
      <w:r>
        <w:rPr>
          <w:rFonts w:ascii="Times New Roman" w:eastAsia="Times New Roman" w:hAnsi="Times New Roman" w:cs="Times New Roman"/>
          <w:color w:val="000000"/>
          <w:spacing w:val="0"/>
          <w:w w:val="100"/>
          <w:position w:val="0"/>
        </w:rPr>
        <w:t>IT</w:t>
      </w:r>
      <w:r>
        <w:rPr>
          <w:color w:val="000000"/>
          <w:spacing w:val="0"/>
          <w:w w:val="100"/>
          <w:position w:val="0"/>
        </w:rPr>
        <w:t>系统包袱，可一步到位学习最新的技术系统。同时，随着我国一带一路政策的推 进，沿线国家积极推动经济社会的数字化转型和信息化建设。</w:t>
      </w:r>
    </w:p>
    <w:p>
      <w:pPr>
        <w:pStyle w:val="Style12"/>
        <w:keepNext w:val="0"/>
        <w:keepLines w:val="0"/>
        <w:widowControl w:val="0"/>
        <w:shd w:val="clear" w:color="auto" w:fill="auto"/>
        <w:bidi w:val="0"/>
        <w:spacing w:before="0" w:after="0" w:line="469" w:lineRule="exact"/>
        <w:ind w:left="0" w:right="0" w:firstLine="300"/>
        <w:jc w:val="left"/>
      </w:pPr>
      <w:bookmarkStart w:id="65" w:name="bookmark65"/>
      <w:r>
        <w:rPr>
          <w:color w:val="000000"/>
          <w:spacing w:val="0"/>
          <w:w w:val="100"/>
          <w:position w:val="0"/>
        </w:rPr>
        <w:t>（</w:t>
      </w:r>
      <w:bookmarkEnd w:id="65"/>
      <w:r>
        <w:rPr>
          <w:color w:val="000000"/>
          <w:spacing w:val="0"/>
          <w:w w:val="100"/>
          <w:position w:val="0"/>
        </w:rPr>
        <w:t>三）全球软件技术服务外包的发展现状：</w:t>
      </w:r>
    </w:p>
    <w:p>
      <w:pPr>
        <w:pStyle w:val="Style12"/>
        <w:keepNext w:val="0"/>
        <w:keepLines w:val="0"/>
        <w:widowControl w:val="0"/>
        <w:shd w:val="clear" w:color="auto" w:fill="auto"/>
        <w:bidi w:val="0"/>
        <w:spacing w:before="0" w:after="0" w:line="469" w:lineRule="exact"/>
        <w:ind w:left="0" w:right="0" w:firstLine="420"/>
        <w:jc w:val="left"/>
      </w:pPr>
      <w:bookmarkStart w:id="66" w:name="bookmark66"/>
      <w:r>
        <w:rPr>
          <w:rFonts w:ascii="Times New Roman" w:eastAsia="Times New Roman" w:hAnsi="Times New Roman" w:cs="Times New Roman"/>
          <w:color w:val="000000"/>
          <w:spacing w:val="0"/>
          <w:w w:val="100"/>
          <w:position w:val="0"/>
        </w:rPr>
        <w:t>1</w:t>
      </w:r>
      <w:bookmarkEnd w:id="66"/>
      <w:r>
        <w:rPr>
          <w:color w:val="000000"/>
          <w:spacing w:val="0"/>
          <w:w w:val="100"/>
          <w:position w:val="0"/>
        </w:rPr>
        <w:t>、受信息化浪潮冲击，软件技术服务外包行业得以迅速发展</w:t>
      </w:r>
    </w:p>
    <w:p>
      <w:pPr>
        <w:pStyle w:val="Style12"/>
        <w:keepNext w:val="0"/>
        <w:keepLines w:val="0"/>
        <w:widowControl w:val="0"/>
        <w:shd w:val="clear" w:color="auto" w:fill="auto"/>
        <w:bidi w:val="0"/>
        <w:spacing w:before="0" w:after="200" w:line="469" w:lineRule="exact"/>
        <w:ind w:left="0" w:right="0" w:firstLine="420"/>
        <w:jc w:val="left"/>
      </w:pPr>
      <w:r>
        <w:rPr>
          <w:color w:val="000000"/>
          <w:spacing w:val="0"/>
          <w:w w:val="100"/>
          <w:position w:val="0"/>
        </w:rPr>
        <w:t>从</w:t>
      </w:r>
      <w:r>
        <w:rPr>
          <w:rFonts w:ascii="Times New Roman" w:eastAsia="Times New Roman" w:hAnsi="Times New Roman" w:cs="Times New Roman"/>
          <w:color w:val="000000"/>
          <w:spacing w:val="0"/>
          <w:w w:val="100"/>
          <w:position w:val="0"/>
        </w:rPr>
        <w:t>20</w:t>
      </w:r>
      <w:r>
        <w:rPr>
          <w:color w:val="000000"/>
          <w:spacing w:val="0"/>
          <w:w w:val="100"/>
          <w:position w:val="0"/>
        </w:rPr>
        <w:t>世纪</w:t>
      </w:r>
      <w:r>
        <w:rPr>
          <w:rFonts w:ascii="Times New Roman" w:eastAsia="Times New Roman" w:hAnsi="Times New Roman" w:cs="Times New Roman"/>
          <w:color w:val="000000"/>
          <w:spacing w:val="0"/>
          <w:w w:val="100"/>
          <w:position w:val="0"/>
        </w:rPr>
        <w:t>80</w:t>
      </w:r>
      <w:r>
        <w:rPr>
          <w:color w:val="000000"/>
          <w:spacing w:val="0"/>
          <w:w w:val="100"/>
          <w:position w:val="0"/>
        </w:rPr>
        <w:t>年代末开始，一些欧美发达国家的跨国公司为了控制成本、提高营运效率和核心竞争力， 逐步将其</w:t>
      </w:r>
      <w:r>
        <w:rPr>
          <w:rFonts w:ascii="Times New Roman" w:eastAsia="Times New Roman" w:hAnsi="Times New Roman" w:cs="Times New Roman"/>
          <w:color w:val="000000"/>
          <w:spacing w:val="0"/>
          <w:w w:val="100"/>
          <w:position w:val="0"/>
        </w:rPr>
        <w:t>IT</w:t>
      </w:r>
      <w:r>
        <w:rPr>
          <w:color w:val="000000"/>
          <w:spacing w:val="0"/>
          <w:w w:val="100"/>
          <w:position w:val="0"/>
        </w:rPr>
        <w:t>相关业务外包给专业的信息技术服务提供商。在全球信息化浪潮的推动下，软件技术服务外包 产业快速发展，为应对信息化和数字化给企业甚至是国家带来的巨大冲击，</w:t>
      </w:r>
      <w:r>
        <w:rPr>
          <w:rFonts w:ascii="Times New Roman" w:eastAsia="Times New Roman" w:hAnsi="Times New Roman" w:cs="Times New Roman"/>
          <w:color w:val="000000"/>
          <w:spacing w:val="0"/>
          <w:w w:val="100"/>
          <w:position w:val="0"/>
        </w:rPr>
        <w:t>21</w:t>
      </w:r>
      <w:r>
        <w:rPr>
          <w:color w:val="000000"/>
          <w:spacing w:val="0"/>
          <w:w w:val="100"/>
          <w:position w:val="0"/>
        </w:rPr>
        <w:t>世纪初，软件技术服务外包 已不再仅限于欧美发达国家，越来越多的国家和企业将发展软件技术服务外包提升至国家</w:t>
      </w:r>
      <w:r>
        <w:rPr>
          <w:rFonts w:ascii="Times New Roman" w:eastAsia="Times New Roman" w:hAnsi="Times New Roman" w:cs="Times New Roman"/>
          <w:color w:val="000000"/>
          <w:spacing w:val="0"/>
          <w:w w:val="100"/>
          <w:position w:val="0"/>
        </w:rPr>
        <w:t>/</w:t>
      </w:r>
      <w:r>
        <w:rPr>
          <w:color w:val="000000"/>
          <w:spacing w:val="0"/>
          <w:w w:val="100"/>
          <w:position w:val="0"/>
        </w:rPr>
        <w:t>企业的战略规划 层面。近年来，随着云计算、大数据、物联网、人工智能、区块链、</w:t>
      </w:r>
      <w:r>
        <w:rPr>
          <w:rFonts w:ascii="Times New Roman" w:eastAsia="Times New Roman" w:hAnsi="Times New Roman" w:cs="Times New Roman"/>
          <w:color w:val="000000"/>
          <w:spacing w:val="0"/>
          <w:w w:val="100"/>
          <w:position w:val="0"/>
        </w:rPr>
        <w:t>5G</w:t>
      </w:r>
      <w:r>
        <w:rPr>
          <w:color w:val="000000"/>
          <w:spacing w:val="0"/>
          <w:w w:val="100"/>
          <w:position w:val="0"/>
        </w:rPr>
        <w:t xml:space="preserve">、信息安全等新一代信息技术的深 </w:t>
      </w:r>
      <w:r>
        <w:rPr>
          <w:color w:val="000000"/>
          <w:spacing w:val="0"/>
          <w:w w:val="100"/>
          <w:position w:val="0"/>
        </w:rPr>
        <w:t>入发展，全球软件技术服务外包市场规模持续增长，市场规模均在千亿美元以上。</w:t>
      </w:r>
    </w:p>
    <w:p>
      <w:pPr>
        <w:pStyle w:val="Style12"/>
        <w:keepNext w:val="0"/>
        <w:keepLines w:val="0"/>
        <w:widowControl w:val="0"/>
        <w:shd w:val="clear" w:color="auto" w:fill="auto"/>
        <w:bidi w:val="0"/>
        <w:spacing w:before="0" w:after="0"/>
        <w:ind w:left="0" w:right="0" w:firstLine="440"/>
        <w:jc w:val="both"/>
      </w:pPr>
      <w:bookmarkStart w:id="67" w:name="bookmark67"/>
      <w:r>
        <w:rPr>
          <w:rFonts w:ascii="Times New Roman" w:eastAsia="Times New Roman" w:hAnsi="Times New Roman" w:cs="Times New Roman"/>
          <w:color w:val="000000"/>
          <w:spacing w:val="0"/>
          <w:w w:val="100"/>
          <w:position w:val="0"/>
        </w:rPr>
        <w:t>2</w:t>
      </w:r>
      <w:bookmarkEnd w:id="67"/>
      <w:r>
        <w:rPr>
          <w:color w:val="000000"/>
          <w:spacing w:val="0"/>
          <w:w w:val="100"/>
          <w:position w:val="0"/>
        </w:rPr>
        <w:t>、全球软件产业逐步向离岸外包转移</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美国、日本、法国、英国等欧美国家等作为早期软件产业的发源地和世界软件强国，在软件产品研发 和基础研究方面，处于全球领先地位。随着软件产业在全球范围内的发展及转移，软件技术人才供应紧张、 人力成本较高的美国等国家以软件技术服务外包的形式将软件开发等工作转移到成本相对更低、软件技术 人才供应充分的东欧地区、印度、中国等。</w:t>
      </w:r>
    </w:p>
    <w:p>
      <w:pPr>
        <w:pStyle w:val="Style12"/>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w:t>
      </w:r>
      <w:r>
        <w:rPr>
          <w:color w:val="000000"/>
          <w:spacing w:val="0"/>
          <w:w w:val="100"/>
          <w:position w:val="0"/>
        </w:rPr>
        <w:t>世纪</w:t>
      </w:r>
      <w:r>
        <w:rPr>
          <w:rFonts w:ascii="Times New Roman" w:eastAsia="Times New Roman" w:hAnsi="Times New Roman" w:cs="Times New Roman"/>
          <w:color w:val="000000"/>
          <w:spacing w:val="0"/>
          <w:w w:val="100"/>
          <w:position w:val="0"/>
        </w:rPr>
        <w:t>90</w:t>
      </w:r>
      <w:r>
        <w:rPr>
          <w:color w:val="000000"/>
          <w:spacing w:val="0"/>
          <w:w w:val="100"/>
          <w:position w:val="0"/>
        </w:rPr>
        <w:t>年代中期，印度的软件技术服务外包业务快速发展。随着中国经济的快速发展以及信息化市 场快速增长，我国软件技术服务外包业务从</w:t>
      </w:r>
      <w:r>
        <w:rPr>
          <w:rFonts w:ascii="Times New Roman" w:eastAsia="Times New Roman" w:hAnsi="Times New Roman" w:cs="Times New Roman"/>
          <w:color w:val="000000"/>
          <w:spacing w:val="0"/>
          <w:w w:val="100"/>
          <w:position w:val="0"/>
        </w:rPr>
        <w:t>2000</w:t>
      </w:r>
      <w:r>
        <w:rPr>
          <w:color w:val="000000"/>
          <w:spacing w:val="0"/>
          <w:w w:val="100"/>
          <w:position w:val="0"/>
        </w:rPr>
        <w:t>年后也开始出现快速发展的局面。</w:t>
      </w:r>
    </w:p>
    <w:p>
      <w:pPr>
        <w:pStyle w:val="Style12"/>
        <w:keepNext w:val="0"/>
        <w:keepLines w:val="0"/>
        <w:widowControl w:val="0"/>
        <w:shd w:val="clear" w:color="auto" w:fill="auto"/>
        <w:bidi w:val="0"/>
        <w:spacing w:before="0" w:after="200" w:line="468" w:lineRule="exact"/>
        <w:ind w:left="0" w:right="0" w:firstLine="440"/>
        <w:jc w:val="both"/>
      </w:pPr>
      <w:bookmarkStart w:id="68" w:name="bookmark68"/>
      <w:r>
        <w:rPr>
          <w:color w:val="000000"/>
          <w:spacing w:val="0"/>
          <w:w w:val="100"/>
          <w:position w:val="0"/>
        </w:rPr>
        <w:t>（</w:t>
      </w:r>
      <w:bookmarkEnd w:id="68"/>
      <w:r>
        <w:rPr>
          <w:color w:val="000000"/>
          <w:spacing w:val="0"/>
          <w:w w:val="100"/>
          <w:position w:val="0"/>
        </w:rPr>
        <w:t>四）我国软件技术服务外包业务快速发展</w:t>
      </w:r>
    </w:p>
    <w:p>
      <w:pPr>
        <w:pStyle w:val="Style12"/>
        <w:keepNext w:val="0"/>
        <w:keepLines w:val="0"/>
        <w:widowControl w:val="0"/>
        <w:shd w:val="clear" w:color="auto" w:fill="auto"/>
        <w:tabs>
          <w:tab w:pos="795" w:val="left"/>
        </w:tabs>
        <w:bidi w:val="0"/>
        <w:spacing w:before="0" w:after="0"/>
        <w:ind w:left="0" w:right="0" w:firstLine="440"/>
        <w:jc w:val="both"/>
      </w:pPr>
      <w:bookmarkStart w:id="69" w:name="bookmark69"/>
      <w:r>
        <w:rPr>
          <w:rFonts w:ascii="Times New Roman" w:eastAsia="Times New Roman" w:hAnsi="Times New Roman" w:cs="Times New Roman"/>
          <w:color w:val="000000"/>
          <w:spacing w:val="0"/>
          <w:w w:val="100"/>
          <w:position w:val="0"/>
        </w:rPr>
        <w:t>1</w:t>
      </w:r>
      <w:bookmarkEnd w:id="69"/>
      <w:r>
        <w:rPr>
          <w:color w:val="000000"/>
          <w:spacing w:val="0"/>
          <w:w w:val="100"/>
          <w:position w:val="0"/>
        </w:rPr>
        <w:t>、</w:t>
        <w:tab/>
        <w:t>软件技术服务外包行业快速发展</w:t>
      </w:r>
    </w:p>
    <w:p>
      <w:pPr>
        <w:pStyle w:val="Style1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2000</w:t>
      </w:r>
      <w:r>
        <w:rPr>
          <w:color w:val="000000"/>
          <w:spacing w:val="0"/>
          <w:w w:val="100"/>
          <w:position w:val="0"/>
        </w:rPr>
        <w:t>年以来，国家出台了一系列的法规和政策，从投融资体制、税收、产业技术、软件出口、收入 分配、人才吸引与培养、知识产权保护、行业组织与管理等多方面为软件相关产业发展提供政策保障和扶 持。受益于中国内需市场的增长、国际性厂商与国内软件技术服务外包企业战略合作的加深以及中国企业 在产业结构升级过程中外包意识的提升等因素的影响，中国软件技术服务外包行业得到快速的发展。</w:t>
      </w:r>
    </w:p>
    <w:p>
      <w:pPr>
        <w:pStyle w:val="Style12"/>
        <w:keepNext w:val="0"/>
        <w:keepLines w:val="0"/>
        <w:widowControl w:val="0"/>
        <w:shd w:val="clear" w:color="auto" w:fill="auto"/>
        <w:tabs>
          <w:tab w:pos="814" w:val="left"/>
        </w:tabs>
        <w:bidi w:val="0"/>
        <w:spacing w:before="0" w:after="0"/>
        <w:ind w:left="0" w:right="0" w:firstLine="440"/>
        <w:jc w:val="both"/>
      </w:pPr>
      <w:bookmarkStart w:id="70" w:name="bookmark70"/>
      <w:r>
        <w:rPr>
          <w:rFonts w:ascii="Times New Roman" w:eastAsia="Times New Roman" w:hAnsi="Times New Roman" w:cs="Times New Roman"/>
          <w:color w:val="000000"/>
          <w:spacing w:val="0"/>
          <w:w w:val="100"/>
          <w:position w:val="0"/>
        </w:rPr>
        <w:t>2</w:t>
      </w:r>
      <w:bookmarkEnd w:id="70"/>
      <w:r>
        <w:rPr>
          <w:color w:val="000000"/>
          <w:spacing w:val="0"/>
          <w:w w:val="100"/>
          <w:position w:val="0"/>
        </w:rPr>
        <w:t>、</w:t>
        <w:tab/>
        <w:t>软件技术服务外包市场发展模式正不断向前演进</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发展模式是在既定的外部环境和内部因素的基础上，由内外部因素相互作用、相互组合所反映的因素 组合方式和资源利用方式。</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随着软件技术服务外包产业相关技术的不断发展，外包方式逐渐由在岸开发、离岸开发发展至应用产 品和行业平台服务，软件技术服务外包附加值逐步提高，软件技术服务外包产业发展模式也逐渐由在岸服 务发展到离岸服务和技术赋能。</w:t>
      </w:r>
    </w:p>
    <w:p>
      <w:pPr>
        <w:pStyle w:val="Style1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随着我国国民经济发展，在政府的大力支持以及企业自身研发能力提升的基础上，服务提供商从最初 从事编码、测试，即负责系统某些子模块的编程或将任务转换为可执行的程序代码设计等工作，逐步参与 到需求分析和系统测试的工作中，我国软件技术服务外包提供商也逐渐由原来附属型服务商向伙伴型服务 商转型。</w:t>
      </w:r>
    </w:p>
    <w:p>
      <w:pPr>
        <w:pStyle w:val="Style12"/>
        <w:keepNext w:val="0"/>
        <w:keepLines w:val="0"/>
        <w:widowControl w:val="0"/>
        <w:shd w:val="clear" w:color="auto" w:fill="auto"/>
        <w:tabs>
          <w:tab w:pos="814" w:val="left"/>
        </w:tabs>
        <w:bidi w:val="0"/>
        <w:spacing w:before="0" w:after="0"/>
        <w:ind w:left="0" w:right="0" w:firstLine="440"/>
        <w:jc w:val="both"/>
      </w:pPr>
      <w:bookmarkStart w:id="71" w:name="bookmark71"/>
      <w:r>
        <w:rPr>
          <w:rFonts w:ascii="Times New Roman" w:eastAsia="Times New Roman" w:hAnsi="Times New Roman" w:cs="Times New Roman"/>
          <w:color w:val="000000"/>
          <w:spacing w:val="0"/>
          <w:w w:val="100"/>
          <w:position w:val="0"/>
        </w:rPr>
        <w:t>3</w:t>
      </w:r>
      <w:bookmarkEnd w:id="71"/>
      <w:r>
        <w:rPr>
          <w:color w:val="000000"/>
          <w:spacing w:val="0"/>
          <w:w w:val="100"/>
          <w:position w:val="0"/>
        </w:rPr>
        <w:t>、</w:t>
        <w:tab/>
        <w:t>软件技术服务外包示范城市引领发展</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自我国实施服务外包</w:t>
      </w:r>
      <w:r>
        <w:rPr>
          <w:rFonts w:ascii="Times New Roman" w:eastAsia="Times New Roman" w:hAnsi="Times New Roman" w:cs="Times New Roman"/>
          <w:color w:val="000000"/>
          <w:spacing w:val="0"/>
          <w:w w:val="100"/>
          <w:position w:val="0"/>
        </w:rPr>
        <w:t>“</w:t>
      </w:r>
      <w:r>
        <w:rPr>
          <w:color w:val="000000"/>
          <w:spacing w:val="0"/>
          <w:w w:val="100"/>
          <w:position w:val="0"/>
        </w:rPr>
        <w:t>千百十''工程以来，服务外包示范城市一直是我国服务外包产业集聚、创新的核 心区，在服务外包发展中发挥了重要的引领作用。示范城市对全国服务外包发展的引领和示范作用显著。</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近年来，服务外包示范城市积极落实国家战略，不断对政策、发展模式和体制机制进行创新，服务外 包产业发展取得重要成绩。根据《中国服务外包发展报告</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年，全国</w:t>
      </w:r>
      <w:r>
        <w:rPr>
          <w:rFonts w:ascii="Times New Roman" w:eastAsia="Times New Roman" w:hAnsi="Times New Roman" w:cs="Times New Roman"/>
          <w:color w:val="000000"/>
          <w:spacing w:val="0"/>
          <w:w w:val="100"/>
          <w:position w:val="0"/>
        </w:rPr>
        <w:t>31</w:t>
      </w:r>
      <w:r>
        <w:rPr>
          <w:color w:val="000000"/>
          <w:spacing w:val="0"/>
          <w:w w:val="100"/>
          <w:position w:val="0"/>
        </w:rPr>
        <w:t>个服务外包示范城市新 增服务外包企业</w:t>
      </w:r>
      <w:r>
        <w:rPr>
          <w:rFonts w:ascii="Times New Roman" w:eastAsia="Times New Roman" w:hAnsi="Times New Roman" w:cs="Times New Roman"/>
          <w:color w:val="000000"/>
          <w:spacing w:val="0"/>
          <w:w w:val="100"/>
          <w:position w:val="0"/>
        </w:rPr>
        <w:t>3,439</w:t>
      </w:r>
      <w:r>
        <w:rPr>
          <w:color w:val="000000"/>
          <w:spacing w:val="0"/>
          <w:w w:val="100"/>
          <w:position w:val="0"/>
        </w:rPr>
        <w:t>家，同比增长</w:t>
      </w:r>
      <w:r>
        <w:rPr>
          <w:rFonts w:ascii="Times New Roman" w:eastAsia="Times New Roman" w:hAnsi="Times New Roman" w:cs="Times New Roman"/>
          <w:color w:val="000000"/>
          <w:spacing w:val="0"/>
          <w:w w:val="100"/>
          <w:position w:val="0"/>
        </w:rPr>
        <w:t>22.7%</w:t>
      </w:r>
      <w:r>
        <w:rPr>
          <w:color w:val="000000"/>
          <w:spacing w:val="0"/>
          <w:w w:val="100"/>
          <w:position w:val="0"/>
        </w:rPr>
        <w:t>；新增从业人员近</w:t>
      </w:r>
      <w:r>
        <w:rPr>
          <w:rFonts w:ascii="Times New Roman" w:eastAsia="Times New Roman" w:hAnsi="Times New Roman" w:cs="Times New Roman"/>
          <w:color w:val="000000"/>
          <w:spacing w:val="0"/>
          <w:w w:val="100"/>
          <w:position w:val="0"/>
        </w:rPr>
        <w:t>67</w:t>
      </w:r>
      <w:r>
        <w:rPr>
          <w:color w:val="000000"/>
          <w:spacing w:val="0"/>
          <w:w w:val="100"/>
          <w:position w:val="0"/>
        </w:rPr>
        <w:t>万，同比下降</w:t>
      </w:r>
      <w:r>
        <w:rPr>
          <w:rFonts w:ascii="Times New Roman" w:eastAsia="Times New Roman" w:hAnsi="Times New Roman" w:cs="Times New Roman"/>
          <w:color w:val="000000"/>
          <w:spacing w:val="0"/>
          <w:w w:val="100"/>
          <w:position w:val="0"/>
        </w:rPr>
        <w:t>30.2%</w:t>
      </w:r>
      <w:r>
        <w:rPr>
          <w:color w:val="000000"/>
          <w:spacing w:val="0"/>
          <w:w w:val="100"/>
          <w:position w:val="0"/>
        </w:rPr>
        <w:t xml:space="preserve">。承接服务外包合同额 </w:t>
      </w:r>
      <w:r>
        <w:rPr>
          <w:rStyle w:val="CharStyle3"/>
          <w:rFonts w:ascii="Times New Roman" w:eastAsia="Times New Roman" w:hAnsi="Times New Roman" w:cs="Times New Roman"/>
        </w:rPr>
        <w:t>2,016.</w:t>
      </w:r>
      <w:r>
        <w:rPr>
          <w:rStyle w:val="CharStyle3"/>
          <w:rFonts w:ascii="Times New Roman" w:eastAsia="Times New Roman" w:hAnsi="Times New Roman" w:cs="Times New Roman"/>
        </w:rPr>
        <w:t>2</w:t>
      </w:r>
      <w:r>
        <w:rPr>
          <w:rStyle w:val="CharStyle3"/>
        </w:rPr>
        <w:t>亿美元、执行额</w:t>
      </w:r>
      <w:r>
        <w:rPr>
          <w:rStyle w:val="CharStyle3"/>
          <w:rFonts w:ascii="Times New Roman" w:eastAsia="Times New Roman" w:hAnsi="Times New Roman" w:cs="Times New Roman"/>
        </w:rPr>
        <w:t>1</w:t>
      </w:r>
      <w:r>
        <w:rPr>
          <w:rStyle w:val="CharStyle3"/>
          <w:rFonts w:ascii="Times New Roman" w:eastAsia="Times New Roman" w:hAnsi="Times New Roman" w:cs="Times New Roman"/>
        </w:rPr>
        <w:t>,349.4</w:t>
      </w:r>
      <w:r>
        <w:rPr>
          <w:rStyle w:val="CharStyle3"/>
        </w:rPr>
        <w:t>亿美元，分别同比增长</w:t>
      </w:r>
      <w:r>
        <w:rPr>
          <w:rStyle w:val="CharStyle3"/>
          <w:rFonts w:ascii="Times New Roman" w:eastAsia="Times New Roman" w:hAnsi="Times New Roman" w:cs="Times New Roman"/>
        </w:rPr>
        <w:t>15.0%</w:t>
      </w:r>
      <w:r>
        <w:rPr>
          <w:rStyle w:val="CharStyle3"/>
        </w:rPr>
        <w:t>、</w:t>
      </w:r>
      <w:r>
        <w:rPr>
          <w:rStyle w:val="CharStyle3"/>
          <w:rFonts w:ascii="Times New Roman" w:eastAsia="Times New Roman" w:hAnsi="Times New Roman" w:cs="Times New Roman"/>
        </w:rPr>
        <w:t>6.2%</w:t>
      </w:r>
      <w:r>
        <w:rPr>
          <w:rStyle w:val="CharStyle3"/>
        </w:rPr>
        <w:t>，占全国的</w:t>
      </w:r>
      <w:r>
        <w:rPr>
          <w:rStyle w:val="CharStyle3"/>
          <w:rFonts w:ascii="Times New Roman" w:eastAsia="Times New Roman" w:hAnsi="Times New Roman" w:cs="Times New Roman"/>
        </w:rPr>
        <w:t>85.5%</w:t>
      </w:r>
      <w:r>
        <w:rPr>
          <w:rStyle w:val="CharStyle3"/>
        </w:rPr>
        <w:t>和</w:t>
      </w:r>
      <w:r>
        <w:rPr>
          <w:rStyle w:val="CharStyle3"/>
          <w:rFonts w:ascii="Times New Roman" w:eastAsia="Times New Roman" w:hAnsi="Times New Roman" w:cs="Times New Roman"/>
        </w:rPr>
        <w:t>85.4%</w:t>
      </w:r>
      <w:r>
        <w:rPr>
          <w:rStyle w:val="CharStyle3"/>
        </w:rPr>
        <w:t>。</w:t>
      </w:r>
    </w:p>
    <w:p>
      <w:pPr>
        <w:pStyle w:val="Style12"/>
        <w:keepNext w:val="0"/>
        <w:keepLines w:val="0"/>
        <w:widowControl w:val="0"/>
        <w:shd w:val="clear" w:color="auto" w:fill="auto"/>
        <w:tabs>
          <w:tab w:pos="794" w:val="left"/>
        </w:tabs>
        <w:bidi w:val="0"/>
        <w:spacing w:before="0" w:after="0" w:line="468" w:lineRule="exact"/>
        <w:ind w:left="0" w:right="0" w:firstLine="440"/>
        <w:jc w:val="left"/>
      </w:pPr>
      <w:bookmarkStart w:id="72" w:name="bookmark72"/>
      <w:r>
        <w:rPr>
          <w:rFonts w:ascii="Times New Roman" w:eastAsia="Times New Roman" w:hAnsi="Times New Roman" w:cs="Times New Roman"/>
          <w:color w:val="000000"/>
          <w:spacing w:val="0"/>
          <w:w w:val="100"/>
          <w:position w:val="0"/>
        </w:rPr>
        <w:t>4</w:t>
      </w:r>
      <w:bookmarkEnd w:id="72"/>
      <w:r>
        <w:rPr>
          <w:color w:val="000000"/>
          <w:spacing w:val="0"/>
          <w:w w:val="100"/>
          <w:position w:val="0"/>
        </w:rPr>
        <w:t>、</w:t>
        <w:tab/>
        <w:t>软件和信息技术服务加快向垂直行业渗透，推动企业数字化转型</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随着我国经济发展模式的演进与转变，以传统产业转型升级为背景，大量垂直行业将会重新寻找自身 的创新驱动力，数字化转型需求将迎来爆发式增长。国家各部委也积极推进数字化转型，如工信部发布《工 业互联网平台白皮书（</w:t>
      </w:r>
      <w:r>
        <w:rPr>
          <w:rFonts w:ascii="Times New Roman" w:eastAsia="Times New Roman" w:hAnsi="Times New Roman" w:cs="Times New Roman"/>
          <w:color w:val="000000"/>
          <w:spacing w:val="0"/>
          <w:w w:val="100"/>
          <w:position w:val="0"/>
        </w:rPr>
        <w:t>2019</w:t>
      </w:r>
      <w:r>
        <w:rPr>
          <w:color w:val="000000"/>
          <w:spacing w:val="0"/>
          <w:w w:val="100"/>
          <w:position w:val="0"/>
        </w:rPr>
        <w:t>年）》，农业农村部印发《数字农业农村发展规划</w:t>
      </w:r>
      <w:r>
        <w:rPr>
          <w:color w:val="000000"/>
          <w:spacing w:val="0"/>
          <w:w w:val="100"/>
          <w:position w:val="0"/>
        </w:rPr>
        <w:t>（</w:t>
      </w:r>
      <w:r>
        <w:rPr>
          <w:rFonts w:ascii="Times New Roman" w:eastAsia="Times New Roman" w:hAnsi="Times New Roman" w:cs="Times New Roman"/>
          <w:color w:val="000000"/>
          <w:spacing w:val="0"/>
          <w:w w:val="100"/>
          <w:position w:val="0"/>
        </w:rPr>
        <w:t>2019—2025</w:t>
      </w:r>
      <w:r>
        <w:rPr>
          <w:color w:val="000000"/>
          <w:spacing w:val="0"/>
          <w:w w:val="100"/>
          <w:position w:val="0"/>
        </w:rPr>
        <w:t>年）》，交通 运输部印发《数字交通发展规划纲要》等。软件与信息技术服务厂商凭借对新兴技术的把握、理解及服务 经验，围绕新一代信息技术在具体场景应用进行研发和实施，能够促进数字经济和实体经济深度融合，提 升产业链、供应链现代化水平，推动传统产业高端化、智能化、绿色化，以及服务型制造发展，加快企业 数字化转型进程。</w:t>
      </w:r>
    </w:p>
    <w:p>
      <w:pPr>
        <w:pStyle w:val="Style12"/>
        <w:keepNext w:val="0"/>
        <w:keepLines w:val="0"/>
        <w:widowControl w:val="0"/>
        <w:shd w:val="clear" w:color="auto" w:fill="auto"/>
        <w:tabs>
          <w:tab w:pos="794" w:val="left"/>
        </w:tabs>
        <w:bidi w:val="0"/>
        <w:spacing w:before="0" w:after="0" w:line="468" w:lineRule="exact"/>
        <w:ind w:left="0" w:right="0" w:firstLine="440"/>
        <w:jc w:val="left"/>
      </w:pPr>
      <w:bookmarkStart w:id="73" w:name="bookmark73"/>
      <w:r>
        <w:rPr>
          <w:rFonts w:ascii="Times New Roman" w:eastAsia="Times New Roman" w:hAnsi="Times New Roman" w:cs="Times New Roman"/>
          <w:color w:val="000000"/>
          <w:spacing w:val="0"/>
          <w:w w:val="100"/>
          <w:position w:val="0"/>
        </w:rPr>
        <w:t>5</w:t>
      </w:r>
      <w:bookmarkEnd w:id="73"/>
      <w:r>
        <w:rPr>
          <w:color w:val="000000"/>
          <w:spacing w:val="0"/>
          <w:w w:val="100"/>
          <w:position w:val="0"/>
        </w:rPr>
        <w:t>、</w:t>
        <w:tab/>
        <w:t>软件技术服务外包价值逐渐从成本控制转向价值创造</w:t>
      </w:r>
    </w:p>
    <w:p>
      <w:pPr>
        <w:pStyle w:val="Style12"/>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随着数字经济的发展，特别是云计算、大数据、物联网、人工智能等新一代信息技术日益普及，使得 企业效率得到了明显提升。与此同时，伴随着劳动力成本的不断上升，单纯依靠劳动密集优势的低成本模 式难以为继。软件技术服务外包企业加快向技术密集型转变，利用云计算、人工智能等新的技术平台，升 级原有服务内容，提升服务能力，为客户创造更多价值。技术与服务的升级加速为软件技术服务外包赋能， 服务者与被服务者合作的初衷将不再仅为控制成本，而是为了共同创造新的价值。</w:t>
      </w:r>
    </w:p>
    <w:p>
      <w:pPr>
        <w:pStyle w:val="Style31"/>
        <w:keepNext/>
        <w:keepLines/>
        <w:widowControl w:val="0"/>
        <w:shd w:val="clear" w:color="auto" w:fill="auto"/>
        <w:bidi w:val="0"/>
        <w:spacing w:before="0" w:after="22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二</w:t>
      </w:r>
      <w:bookmarkEnd w:id="76"/>
      <w:r>
        <w:rPr>
          <w:color w:val="000000"/>
          <w:spacing w:val="0"/>
          <w:w w:val="100"/>
          <w:position w:val="0"/>
          <w:sz w:val="24"/>
          <w:szCs w:val="24"/>
        </w:rPr>
        <w:t>、报告期内公司从事的主要业务</w:t>
      </w:r>
      <w:bookmarkEnd w:id="74"/>
      <w:bookmarkEnd w:id="75"/>
      <w:bookmarkEnd w:id="77"/>
    </w:p>
    <w:p>
      <w:pPr>
        <w:pStyle w:val="Style12"/>
        <w:keepNext w:val="0"/>
        <w:keepLines w:val="0"/>
        <w:widowControl w:val="0"/>
        <w:shd w:val="clear" w:color="auto" w:fill="auto"/>
        <w:tabs>
          <w:tab w:pos="774" w:val="left"/>
        </w:tabs>
        <w:bidi w:val="0"/>
        <w:spacing w:before="0" w:after="0" w:line="468" w:lineRule="exact"/>
        <w:ind w:left="0" w:right="0" w:firstLine="440"/>
        <w:jc w:val="both"/>
      </w:pPr>
      <w:bookmarkStart w:id="78" w:name="bookmark78"/>
      <w:r>
        <w:rPr>
          <w:rFonts w:ascii="Times New Roman" w:eastAsia="Times New Roman" w:hAnsi="Times New Roman" w:cs="Times New Roman"/>
          <w:color w:val="000000"/>
          <w:spacing w:val="0"/>
          <w:w w:val="100"/>
          <w:position w:val="0"/>
        </w:rPr>
        <w:t>1</w:t>
      </w:r>
      <w:bookmarkEnd w:id="78"/>
      <w:r>
        <w:rPr>
          <w:color w:val="000000"/>
          <w:spacing w:val="0"/>
          <w:w w:val="100"/>
          <w:position w:val="0"/>
        </w:rPr>
        <w:t>、</w:t>
        <w:tab/>
        <w:t>主营业务概况</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公司是一家致力于为客户提供专业的信息技术外包（</w:t>
      </w:r>
      <w:r>
        <w:rPr>
          <w:rFonts w:ascii="Times New Roman" w:eastAsia="Times New Roman" w:hAnsi="Times New Roman" w:cs="Times New Roman"/>
          <w:color w:val="000000"/>
          <w:spacing w:val="0"/>
          <w:w w:val="100"/>
          <w:position w:val="0"/>
        </w:rPr>
        <w:t>ITO</w:t>
      </w:r>
      <w:r>
        <w:rPr>
          <w:color w:val="000000"/>
          <w:spacing w:val="0"/>
          <w:w w:val="100"/>
          <w:position w:val="0"/>
        </w:rPr>
        <w:t>）服务的提供商。公司基于对信息技术的研 究与开发，结合客户的业务场景，为客户在信息化和数字化进程中的不同需求提供软件技术外包服务。</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经过多年的研发技术积累、行业经验沉淀、组织管理优化和业务市场开拓，结合强有力的客户管理能 力，公司已经与金融、互联网、软件、通信、房地产、航空物流、制造业、批发零售等多个行业的客户形 成长期而稳定的合作关系。</w:t>
      </w:r>
    </w:p>
    <w:p>
      <w:pPr>
        <w:pStyle w:val="Style12"/>
        <w:keepNext w:val="0"/>
        <w:keepLines w:val="0"/>
        <w:widowControl w:val="0"/>
        <w:shd w:val="clear" w:color="auto" w:fill="auto"/>
        <w:tabs>
          <w:tab w:pos="794" w:val="left"/>
        </w:tabs>
        <w:bidi w:val="0"/>
        <w:spacing w:before="0" w:after="0" w:line="468" w:lineRule="exact"/>
        <w:ind w:left="0" w:right="0" w:firstLine="440"/>
        <w:jc w:val="both"/>
      </w:pPr>
      <w:bookmarkStart w:id="79" w:name="bookmark79"/>
      <w:r>
        <w:rPr>
          <w:rFonts w:ascii="Times New Roman" w:eastAsia="Times New Roman" w:hAnsi="Times New Roman" w:cs="Times New Roman"/>
          <w:color w:val="000000"/>
          <w:spacing w:val="0"/>
          <w:w w:val="100"/>
          <w:position w:val="0"/>
        </w:rPr>
        <w:t>2</w:t>
      </w:r>
      <w:bookmarkEnd w:id="79"/>
      <w:r>
        <w:rPr>
          <w:color w:val="000000"/>
          <w:spacing w:val="0"/>
          <w:w w:val="100"/>
          <w:position w:val="0"/>
        </w:rPr>
        <w:t>、</w:t>
        <w:tab/>
        <w:t>主要产品和服务</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公司主要为客户提供软件技术外包服务。软件技术外包服务是指企业为了专注核心竞争力业务、提高 效率和控制</w:t>
      </w:r>
      <w:r>
        <w:rPr>
          <w:rFonts w:ascii="Times New Roman" w:eastAsia="Times New Roman" w:hAnsi="Times New Roman" w:cs="Times New Roman"/>
          <w:color w:val="000000"/>
          <w:spacing w:val="0"/>
          <w:w w:val="100"/>
          <w:position w:val="0"/>
        </w:rPr>
        <w:t>IT</w:t>
      </w:r>
      <w:r>
        <w:rPr>
          <w:color w:val="000000"/>
          <w:spacing w:val="0"/>
          <w:w w:val="100"/>
          <w:position w:val="0"/>
        </w:rPr>
        <w:t>相关成本，将与软件相关的信息技术系统或产品的全部或部分工作，发包给专业软件技术外 包服务企业去执行和完成的活动。</w:t>
      </w:r>
    </w:p>
    <w:p>
      <w:pPr>
        <w:pStyle w:val="Style12"/>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公司基于对客户业务场景的理解，依托知识库、专家资源池、产品与解决方案、技术等方面的积累， 以信息技术专业人才为载体，为客户在信息化和数字化建设的进程中，专业化地提供从需求分析到方案设 计、产品开发、测试和运维支撑等全方位的软件技术外包服务，对客户业务形成专业、高效、灵活的支撑，</w:t>
      </w:r>
      <w:r>
        <w:br w:type="page"/>
      </w: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rPr>
        <w:t>使客户聚焦自身的核心业务。</w:t>
      </w:r>
    </w:p>
    <w:p>
      <w:pPr>
        <w:pStyle w:val="Style1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公司为客户的信息技术系统和产品提供全生命周期服务，涉及分析与设计服务、开发与编程服务、测</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试与集成服务、实施与运维服务等，具体情况如下：</w:t>
      </w:r>
    </w:p>
    <w:tbl>
      <w:tblPr>
        <w:tblOverlap w:val="never"/>
        <w:jc w:val="center"/>
        <w:tblLayout w:type="fixed"/>
      </w:tblPr>
      <w:tblGrid>
        <w:gridCol w:w="1704"/>
        <w:gridCol w:w="3346"/>
        <w:gridCol w:w="4594"/>
      </w:tblGrid>
      <w:tr>
        <w:trPr>
          <w:trHeight w:val="4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业务类型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主要业务内容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对客户的意义</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分析与设计服务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方案设计、产品设计、交互设计、网站设 计、用户界面设计服务等</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269" w:val="left"/>
              </w:tabs>
              <w:bidi w:val="0"/>
              <w:spacing w:before="0" w:after="4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业务聚焦：借助服务外包提高组织弹性与灵活性，聚 焦核心业务，确保竞争优势；</w:t>
            </w:r>
          </w:p>
          <w:p>
            <w:pPr>
              <w:pStyle w:val="Style2"/>
              <w:keepNext w:val="0"/>
              <w:keepLines w:val="0"/>
              <w:widowControl w:val="0"/>
              <w:shd w:val="clear" w:color="auto" w:fill="auto"/>
              <w:tabs>
                <w:tab w:pos="274" w:val="left"/>
              </w:tabs>
              <w:bidi w:val="0"/>
              <w:spacing w:before="0" w:after="4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技术提升：改善技术服务，促进信息技术在企业的运 用及发展；</w:t>
            </w:r>
          </w:p>
          <w:p>
            <w:pPr>
              <w:pStyle w:val="Style2"/>
              <w:keepNext w:val="0"/>
              <w:keepLines w:val="0"/>
              <w:widowControl w:val="0"/>
              <w:shd w:val="clear" w:color="auto" w:fill="auto"/>
              <w:tabs>
                <w:tab w:pos="278" w:val="left"/>
              </w:tabs>
              <w:bidi w:val="0"/>
              <w:spacing w:before="0" w:after="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企业战略：提高服务响应速度和效率，降低</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系统维 护和企业管理风险；</w:t>
            </w:r>
          </w:p>
          <w:p>
            <w:pPr>
              <w:pStyle w:val="Style2"/>
              <w:keepNext w:val="0"/>
              <w:keepLines w:val="0"/>
              <w:widowControl w:val="0"/>
              <w:shd w:val="clear" w:color="auto" w:fill="auto"/>
              <w:tabs>
                <w:tab w:pos="278" w:val="left"/>
              </w:tabs>
              <w:bidi w:val="0"/>
              <w:spacing w:before="0" w:after="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人力资源：减少成本压力、增加人员配置的灵活性；</w:t>
            </w:r>
          </w:p>
          <w:p>
            <w:pPr>
              <w:pStyle w:val="Style2"/>
              <w:keepNext w:val="0"/>
              <w:keepLines w:val="0"/>
              <w:widowControl w:val="0"/>
              <w:shd w:val="clear" w:color="auto" w:fill="auto"/>
              <w:tabs>
                <w:tab w:pos="274" w:val="left"/>
              </w:tabs>
              <w:bidi w:val="0"/>
              <w:spacing w:before="0" w:after="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tab/>
              <w:t>财务管理：重构信息系统预算，增强成本控制。</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开发与编程服务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JAVA</w:t>
            </w:r>
            <w:r>
              <w:rPr>
                <w:color w:val="000000"/>
                <w:spacing w:val="0"/>
                <w:w w:val="100"/>
                <w:position w:val="0"/>
                <w:sz w:val="18"/>
                <w:szCs w:val="18"/>
              </w:rPr>
              <w:t>开发、</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8"/>
                <w:szCs w:val="18"/>
              </w:rPr>
              <w:t>开发、互联网前端开发、 大数据开发、人工智能应用服务等</w:t>
            </w:r>
          </w:p>
        </w:tc>
        <w:tc>
          <w:tcPr>
            <w:vMerge/>
            <w:tcBorders>
              <w:left w:val="single" w:sz="4"/>
              <w:right w:val="single" w:sz="4"/>
            </w:tcBorders>
            <w:shd w:val="clear" w:color="auto" w:fill="FFFFFF"/>
            <w:vAlign w:val="top"/>
          </w:tcPr>
          <w:p>
            <w:pP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测试与集成服务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系统测试、功能测试、性能测试、自动化 测试服务、用户体验测试等</w:t>
            </w:r>
          </w:p>
        </w:tc>
        <w:tc>
          <w:tcPr>
            <w:vMerge/>
            <w:tcBorders>
              <w:left w:val="single" w:sz="4"/>
              <w:right w:val="single" w:sz="4"/>
            </w:tcBorders>
            <w:shd w:val="clear" w:color="auto" w:fill="FFFFFF"/>
            <w:vAlign w:val="top"/>
          </w:tcPr>
          <w:p>
            <w:pPr/>
          </w:p>
        </w:tc>
      </w:tr>
      <w:tr>
        <w:trPr>
          <w:trHeight w:val="7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实施与运维服务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运行维护、网络管理、信息安全、技术支 持、数据支持服务等</w:t>
            </w:r>
          </w:p>
        </w:tc>
        <w:tc>
          <w:tcPr>
            <w:vMerge/>
            <w:tcBorders>
              <w:left w:val="single" w:sz="4"/>
              <w:bottom w:val="single" w:sz="4"/>
              <w:right w:val="single" w:sz="4"/>
            </w:tcBorders>
            <w:shd w:val="clear" w:color="auto" w:fill="FFFFFF"/>
            <w:vAlign w:val="top"/>
          </w:tcPr>
          <w:p>
            <w:pPr/>
          </w:p>
        </w:tc>
      </w:tr>
    </w:tbl>
    <w:p>
      <w:pPr>
        <w:pStyle w:val="Style12"/>
        <w:keepNext w:val="0"/>
        <w:keepLines w:val="0"/>
        <w:widowControl w:val="0"/>
        <w:shd w:val="clear" w:color="auto" w:fill="auto"/>
        <w:bidi w:val="0"/>
        <w:spacing w:before="0" w:after="0" w:line="469" w:lineRule="exact"/>
        <w:ind w:left="0" w:right="0" w:firstLine="440"/>
        <w:jc w:val="both"/>
      </w:pPr>
      <w:bookmarkStart w:id="80" w:name="bookmark80"/>
      <w:r>
        <w:rPr>
          <w:rFonts w:ascii="Times New Roman" w:eastAsia="Times New Roman" w:hAnsi="Times New Roman" w:cs="Times New Roman"/>
          <w:color w:val="000000"/>
          <w:spacing w:val="0"/>
          <w:w w:val="100"/>
          <w:position w:val="0"/>
        </w:rPr>
        <w:t>3</w:t>
      </w:r>
      <w:bookmarkEnd w:id="80"/>
      <w:r>
        <w:rPr>
          <w:color w:val="000000"/>
          <w:spacing w:val="0"/>
          <w:w w:val="100"/>
          <w:position w:val="0"/>
        </w:rPr>
        <w:t>、公司的主要经营模式</w:t>
      </w:r>
    </w:p>
    <w:p>
      <w:pPr>
        <w:pStyle w:val="Style12"/>
        <w:keepNext w:val="0"/>
        <w:keepLines w:val="0"/>
        <w:widowControl w:val="0"/>
        <w:shd w:val="clear" w:color="auto" w:fill="auto"/>
        <w:bidi w:val="0"/>
        <w:spacing w:before="0" w:after="140" w:line="469" w:lineRule="exact"/>
        <w:ind w:left="0" w:right="0" w:firstLine="460"/>
        <w:jc w:val="both"/>
      </w:pPr>
      <w:r>
        <w:rPr>
          <w:color w:val="000000"/>
          <w:spacing w:val="0"/>
          <w:w w:val="100"/>
          <w:position w:val="0"/>
        </w:rPr>
        <w:t>公司通过对软件技术外包服务业务进行全生命周期管理，以有效满足客户服务的需求。公司拥有完整 的经营架构，以营销与交付管理平台、解决方案与研发平台、综合管理平台为核心支撑平台，向客户提供 服务。公司通过各平台间的协同，形成了一套稳定有效的经营模式，通过能力四要素对员工赋能，以人为 载体对客户进行服务交付，向客户提供高质量的软件技术外包服务实现公司的盈利。</w:t>
      </w:r>
    </w:p>
    <w:p>
      <w:pPr>
        <w:pStyle w:val="Style12"/>
        <w:keepNext w:val="0"/>
        <w:keepLines w:val="0"/>
        <w:widowControl w:val="0"/>
        <w:shd w:val="clear" w:color="auto" w:fill="auto"/>
        <w:bidi w:val="0"/>
        <w:spacing w:before="0" w:after="300" w:line="240" w:lineRule="auto"/>
        <w:ind w:left="0" w:right="0" w:firstLine="0"/>
        <w:jc w:val="center"/>
      </w:pPr>
      <w:r>
        <w:rPr>
          <w:b/>
          <w:bCs/>
          <w:color w:val="000000"/>
          <w:spacing w:val="0"/>
          <w:w w:val="100"/>
          <w:position w:val="0"/>
        </w:rPr>
        <w:t>公司的运营模式</w:t>
      </w:r>
    </w:p>
    <w:p>
      <w:pPr>
        <w:pStyle w:val="Style12"/>
        <w:keepNext w:val="0"/>
        <w:keepLines w:val="0"/>
        <w:widowControl w:val="0"/>
        <w:pBdr>
          <w:top w:val="single" w:sz="4" w:space="0" w:color="4873C1"/>
          <w:left w:val="single" w:sz="4" w:space="0" w:color="4873C1"/>
          <w:bottom w:val="single" w:sz="4" w:space="0" w:color="4873C1"/>
          <w:right w:val="single" w:sz="4" w:space="0" w:color="4873C1"/>
        </w:pBdr>
        <w:shd w:val="clear" w:color="auto" w:fill="4873C1"/>
        <w:bidi w:val="0"/>
        <w:spacing w:before="0" w:after="0" w:line="240" w:lineRule="auto"/>
        <w:ind w:left="0" w:right="0" w:firstLine="0"/>
        <w:jc w:val="center"/>
        <w:rPr>
          <w:sz w:val="22"/>
          <w:szCs w:val="22"/>
        </w:rPr>
      </w:pPr>
      <w:r>
        <w:rPr>
          <w:b/>
          <w:bCs/>
          <w:color w:val="DEEBF7"/>
          <w:spacing w:val="0"/>
          <w:w w:val="100"/>
          <w:position w:val="0"/>
          <w:sz w:val="22"/>
          <w:szCs w:val="22"/>
        </w:rPr>
        <w:t>能力四要素（知识库、专家资源池、产品与解决方案、技术）对全业务流程赋能</w:t>
      </w:r>
    </w:p>
    <w:p>
      <w:pPr>
        <w:widowControl w:val="0"/>
        <w:spacing w:line="1" w:lineRule="exact"/>
      </w:pPr>
      <w:r>
        <w:drawing>
          <wp:anchor distT="165100" distB="0" distL="0" distR="0" simplePos="0" relativeHeight="125829378" behindDoc="0" locked="0" layoutInCell="1" allowOverlap="1">
            <wp:simplePos x="0" y="0"/>
            <wp:positionH relativeFrom="page">
              <wp:posOffset>835025</wp:posOffset>
            </wp:positionH>
            <wp:positionV relativeFrom="paragraph">
              <wp:posOffset>165100</wp:posOffset>
            </wp:positionV>
            <wp:extent cx="1761490" cy="217614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761490" cy="21761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950595</wp:posOffset>
                </wp:positionH>
                <wp:positionV relativeFrom="paragraph">
                  <wp:posOffset>329565</wp:posOffset>
                </wp:positionV>
                <wp:extent cx="484505" cy="149225"/>
                <wp:wrapNone/>
                <wp:docPr id="3" name="Shape 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7"/>
                              <w:keepNext w:val="0"/>
                              <w:keepLines w:val="0"/>
                              <w:widowControl w:val="0"/>
                              <w:pBdr>
                                <w:top w:val="single" w:sz="0" w:space="0" w:color="579AD8"/>
                                <w:left w:val="single" w:sz="0" w:space="0" w:color="579AD8"/>
                                <w:bottom w:val="single" w:sz="0" w:space="0" w:color="579AD8"/>
                                <w:right w:val="single" w:sz="0" w:space="0" w:color="579AD8"/>
                              </w:pBdr>
                              <w:shd w:val="clear" w:color="auto" w:fill="579AD8"/>
                              <w:bidi w:val="0"/>
                              <w:spacing w:before="0" w:after="0" w:line="240" w:lineRule="auto"/>
                              <w:ind w:left="0" w:right="0" w:firstLine="0"/>
                              <w:jc w:val="left"/>
                            </w:pPr>
                            <w:r>
                              <w:rPr>
                                <w:spacing w:val="0"/>
                                <w:w w:val="100"/>
                                <w:position w:val="0"/>
                              </w:rPr>
                              <w:t>商机获取</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74.850000000000009pt;margin-top:25.949999999999999pt;width:38.149999999999999pt;height:11.75pt;z-index:251657729;mso-wrap-distance-left:0;mso-wrap-distance-right:0;mso-position-horizontal-relative:page" filled="f" stroked="f">
                <v:textbox inset="0,0,0,0">
                  <w:txbxContent>
                    <w:p>
                      <w:pPr>
                        <w:pStyle w:val="Style27"/>
                        <w:keepNext w:val="0"/>
                        <w:keepLines w:val="0"/>
                        <w:widowControl w:val="0"/>
                        <w:pBdr>
                          <w:top w:val="single" w:sz="0" w:space="0" w:color="579AD8"/>
                          <w:left w:val="single" w:sz="0" w:space="0" w:color="579AD8"/>
                          <w:bottom w:val="single" w:sz="0" w:space="0" w:color="579AD8"/>
                          <w:right w:val="single" w:sz="0" w:space="0" w:color="579AD8"/>
                        </w:pBdr>
                        <w:shd w:val="clear" w:color="auto" w:fill="579AD8"/>
                        <w:bidi w:val="0"/>
                        <w:spacing w:before="0" w:after="0" w:line="240" w:lineRule="auto"/>
                        <w:ind w:left="0" w:right="0" w:firstLine="0"/>
                        <w:jc w:val="left"/>
                      </w:pPr>
                      <w:r>
                        <w:rPr>
                          <w:spacing w:val="0"/>
                          <w:w w:val="100"/>
                          <w:position w:val="0"/>
                        </w:rPr>
                        <w:t>商机获取</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1999615</wp:posOffset>
                </wp:positionH>
                <wp:positionV relativeFrom="paragraph">
                  <wp:posOffset>329565</wp:posOffset>
                </wp:positionV>
                <wp:extent cx="490855" cy="149225"/>
                <wp:wrapNone/>
                <wp:docPr id="5" name="Shape 5"/>
                <a:graphic xmlns:a="http://schemas.openxmlformats.org/drawingml/2006/main">
                  <a:graphicData uri="http://schemas.microsoft.com/office/word/2010/wordprocessingShape">
                    <wps:wsp>
                      <wps:cNvSpPr txBox="1"/>
                      <wps:spPr>
                        <a:xfrm>
                          <a:ext cx="490855" cy="149225"/>
                        </a:xfrm>
                        <a:prstGeom prst="rect"/>
                        <a:noFill/>
                      </wps:spPr>
                      <wps:txbx>
                        <w:txbxContent>
                          <w:p>
                            <w:pPr>
                              <w:pStyle w:val="Style27"/>
                              <w:keepNext w:val="0"/>
                              <w:keepLines w:val="0"/>
                              <w:widowControl w:val="0"/>
                              <w:pBdr>
                                <w:top w:val="single" w:sz="0" w:space="0" w:color="579AD8"/>
                                <w:left w:val="single" w:sz="0" w:space="0" w:color="579AD8"/>
                                <w:bottom w:val="single" w:sz="0" w:space="0" w:color="579AD8"/>
                                <w:right w:val="single" w:sz="0" w:space="0" w:color="579AD8"/>
                              </w:pBdr>
                              <w:shd w:val="clear" w:color="auto" w:fill="579AD8"/>
                              <w:bidi w:val="0"/>
                              <w:spacing w:before="0" w:after="0" w:line="240" w:lineRule="auto"/>
                              <w:ind w:left="0" w:right="0" w:firstLine="0"/>
                              <w:jc w:val="left"/>
                            </w:pPr>
                            <w:r>
                              <w:rPr>
                                <w:spacing w:val="0"/>
                                <w:w w:val="100"/>
                                <w:position w:val="0"/>
                              </w:rPr>
                              <w:t>客户需求</w:t>
                            </w:r>
                          </w:p>
                        </w:txbxContent>
                      </wps:txbx>
                      <wps:bodyPr lIns="0" tIns="0" rIns="0" bIns="0">
                        <a:noAutoFit/>
                      </wps:bodyPr>
                    </wps:wsp>
                  </a:graphicData>
                </a:graphic>
              </wp:anchor>
            </w:drawing>
          </mc:Choice>
          <mc:Fallback>
            <w:pict>
              <v:shape id="_x0000_s1031" type="#_x0000_t202" style="position:absolute;margin-left:157.45000000000002pt;margin-top:25.949999999999999pt;width:38.649999999999999pt;height:11.75pt;z-index:251657731;mso-wrap-distance-left:0;mso-wrap-distance-right:0;mso-position-horizontal-relative:page" filled="f" stroked="f">
                <v:textbox inset="0,0,0,0">
                  <w:txbxContent>
                    <w:p>
                      <w:pPr>
                        <w:pStyle w:val="Style27"/>
                        <w:keepNext w:val="0"/>
                        <w:keepLines w:val="0"/>
                        <w:widowControl w:val="0"/>
                        <w:pBdr>
                          <w:top w:val="single" w:sz="0" w:space="0" w:color="579AD8"/>
                          <w:left w:val="single" w:sz="0" w:space="0" w:color="579AD8"/>
                          <w:bottom w:val="single" w:sz="0" w:space="0" w:color="579AD8"/>
                          <w:right w:val="single" w:sz="0" w:space="0" w:color="579AD8"/>
                        </w:pBdr>
                        <w:shd w:val="clear" w:color="auto" w:fill="579AD8"/>
                        <w:bidi w:val="0"/>
                        <w:spacing w:before="0" w:after="0" w:line="240" w:lineRule="auto"/>
                        <w:ind w:left="0" w:right="0" w:firstLine="0"/>
                        <w:jc w:val="left"/>
                      </w:pPr>
                      <w:r>
                        <w:rPr>
                          <w:spacing w:val="0"/>
                          <w:w w:val="100"/>
                          <w:position w:val="0"/>
                        </w:rPr>
                        <w:t>客户需求</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1993265</wp:posOffset>
                </wp:positionH>
                <wp:positionV relativeFrom="paragraph">
                  <wp:posOffset>1009650</wp:posOffset>
                </wp:positionV>
                <wp:extent cx="490855" cy="149225"/>
                <wp:wrapNone/>
                <wp:docPr id="7" name="Shape 7"/>
                <a:graphic xmlns:a="http://schemas.openxmlformats.org/drawingml/2006/main">
                  <a:graphicData uri="http://schemas.microsoft.com/office/word/2010/wordprocessingShape">
                    <wps:wsp>
                      <wps:cNvSpPr txBox="1"/>
                      <wps:spPr>
                        <a:xfrm>
                          <a:ext cx="490855" cy="149225"/>
                        </a:xfrm>
                        <a:prstGeom prst="rect"/>
                        <a:noFill/>
                      </wps:spPr>
                      <wps:txbx>
                        <w:txbxContent>
                          <w:p>
                            <w:pPr>
                              <w:pStyle w:val="Style27"/>
                              <w:keepNext w:val="0"/>
                              <w:keepLines w:val="0"/>
                              <w:widowControl w:val="0"/>
                              <w:pBdr>
                                <w:top w:val="single" w:sz="0" w:space="0" w:color="63A0DA"/>
                                <w:left w:val="single" w:sz="0" w:space="0" w:color="63A0DA"/>
                                <w:bottom w:val="single" w:sz="0" w:space="0" w:color="63A0DA"/>
                                <w:right w:val="single" w:sz="0" w:space="0" w:color="63A0DA"/>
                              </w:pBdr>
                              <w:shd w:val="clear" w:color="auto" w:fill="63A0DA"/>
                              <w:bidi w:val="0"/>
                              <w:spacing w:before="0" w:after="0" w:line="240" w:lineRule="auto"/>
                              <w:ind w:left="0" w:right="0" w:firstLine="0"/>
                              <w:jc w:val="right"/>
                            </w:pPr>
                            <w:r>
                              <w:rPr>
                                <w:spacing w:val="0"/>
                                <w:w w:val="100"/>
                                <w:position w:val="0"/>
                              </w:rPr>
                              <w:t>解决方案</w:t>
                            </w:r>
                          </w:p>
                        </w:txbxContent>
                      </wps:txbx>
                      <wps:bodyPr lIns="0" tIns="0" rIns="0" bIns="0">
                        <a:noAutoFit/>
                      </wps:bodyPr>
                    </wps:wsp>
                  </a:graphicData>
                </a:graphic>
              </wp:anchor>
            </w:drawing>
          </mc:Choice>
          <mc:Fallback>
            <w:pict>
              <v:shape id="_x0000_s1033" type="#_x0000_t202" style="position:absolute;margin-left:156.95000000000002pt;margin-top:79.5pt;width:38.649999999999999pt;height:11.75pt;z-index:251657733;mso-wrap-distance-left:0;mso-wrap-distance-right:0;mso-position-horizontal-relative:page" filled="f" stroked="f">
                <v:textbox inset="0,0,0,0">
                  <w:txbxContent>
                    <w:p>
                      <w:pPr>
                        <w:pStyle w:val="Style27"/>
                        <w:keepNext w:val="0"/>
                        <w:keepLines w:val="0"/>
                        <w:widowControl w:val="0"/>
                        <w:pBdr>
                          <w:top w:val="single" w:sz="0" w:space="0" w:color="63A0DA"/>
                          <w:left w:val="single" w:sz="0" w:space="0" w:color="63A0DA"/>
                          <w:bottom w:val="single" w:sz="0" w:space="0" w:color="63A0DA"/>
                          <w:right w:val="single" w:sz="0" w:space="0" w:color="63A0DA"/>
                        </w:pBdr>
                        <w:shd w:val="clear" w:color="auto" w:fill="63A0DA"/>
                        <w:bidi w:val="0"/>
                        <w:spacing w:before="0" w:after="0" w:line="240" w:lineRule="auto"/>
                        <w:ind w:left="0" w:right="0" w:firstLine="0"/>
                        <w:jc w:val="right"/>
                      </w:pPr>
                      <w:r>
                        <w:rPr>
                          <w:spacing w:val="0"/>
                          <w:w w:val="100"/>
                          <w:position w:val="0"/>
                        </w:rPr>
                        <w:t>解决方案</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1996440</wp:posOffset>
                </wp:positionH>
                <wp:positionV relativeFrom="paragraph">
                  <wp:posOffset>1414780</wp:posOffset>
                </wp:positionV>
                <wp:extent cx="487680" cy="146050"/>
                <wp:wrapNone/>
                <wp:docPr id="9" name="Shape 9"/>
                <a:graphic xmlns:a="http://schemas.openxmlformats.org/drawingml/2006/main">
                  <a:graphicData uri="http://schemas.microsoft.com/office/word/2010/wordprocessingShape">
                    <wps:wsp>
                      <wps:cNvSpPr txBox="1"/>
                      <wps:spPr>
                        <a:xfrm>
                          <a:ext cx="487680" cy="146050"/>
                        </a:xfrm>
                        <a:prstGeom prst="rect"/>
                        <a:noFill/>
                      </wps:spPr>
                      <wps:txbx>
                        <w:txbxContent>
                          <w:p>
                            <w:pPr>
                              <w:pStyle w:val="Style27"/>
                              <w:keepNext w:val="0"/>
                              <w:keepLines w:val="0"/>
                              <w:widowControl w:val="0"/>
                              <w:pBdr>
                                <w:top w:val="single" w:sz="0" w:space="0" w:color="559AD9"/>
                                <w:left w:val="single" w:sz="0" w:space="0" w:color="559AD9"/>
                                <w:bottom w:val="single" w:sz="0" w:space="0" w:color="559AD9"/>
                                <w:right w:val="single" w:sz="0" w:space="0" w:color="559AD9"/>
                              </w:pBdr>
                              <w:shd w:val="clear" w:color="auto" w:fill="559AD9"/>
                              <w:bidi w:val="0"/>
                              <w:spacing w:before="0" w:after="0" w:line="240" w:lineRule="auto"/>
                              <w:ind w:left="0" w:right="0" w:firstLine="0"/>
                              <w:jc w:val="left"/>
                            </w:pPr>
                            <w:r>
                              <w:rPr>
                                <w:spacing w:val="0"/>
                                <w:w w:val="100"/>
                                <w:position w:val="0"/>
                              </w:rPr>
                              <w:t>项目定制</w:t>
                            </w:r>
                          </w:p>
                        </w:txbxContent>
                      </wps:txbx>
                      <wps:bodyPr lIns="0" tIns="0" rIns="0" bIns="0">
                        <a:noAutoFit/>
                      </wps:bodyPr>
                    </wps:wsp>
                  </a:graphicData>
                </a:graphic>
              </wp:anchor>
            </w:drawing>
          </mc:Choice>
          <mc:Fallback>
            <w:pict>
              <v:shape id="_x0000_s1035" type="#_x0000_t202" style="position:absolute;margin-left:157.20000000000002pt;margin-top:111.40000000000001pt;width:38.399999999999999pt;height:11.5pt;z-index:251657735;mso-wrap-distance-left:0;mso-wrap-distance-right:0;mso-position-horizontal-relative:page" filled="f" stroked="f">
                <v:textbox inset="0,0,0,0">
                  <w:txbxContent>
                    <w:p>
                      <w:pPr>
                        <w:pStyle w:val="Style27"/>
                        <w:keepNext w:val="0"/>
                        <w:keepLines w:val="0"/>
                        <w:widowControl w:val="0"/>
                        <w:pBdr>
                          <w:top w:val="single" w:sz="0" w:space="0" w:color="559AD9"/>
                          <w:left w:val="single" w:sz="0" w:space="0" w:color="559AD9"/>
                          <w:bottom w:val="single" w:sz="0" w:space="0" w:color="559AD9"/>
                          <w:right w:val="single" w:sz="0" w:space="0" w:color="559AD9"/>
                        </w:pBdr>
                        <w:shd w:val="clear" w:color="auto" w:fill="559AD9"/>
                        <w:bidi w:val="0"/>
                        <w:spacing w:before="0" w:after="0" w:line="240" w:lineRule="auto"/>
                        <w:ind w:left="0" w:right="0" w:firstLine="0"/>
                        <w:jc w:val="left"/>
                      </w:pPr>
                      <w:r>
                        <w:rPr>
                          <w:spacing w:val="0"/>
                          <w:w w:val="100"/>
                          <w:position w:val="0"/>
                        </w:rPr>
                        <w:t>项目定制</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1996440</wp:posOffset>
                </wp:positionH>
                <wp:positionV relativeFrom="paragraph">
                  <wp:posOffset>1819910</wp:posOffset>
                </wp:positionV>
                <wp:extent cx="487680" cy="149225"/>
                <wp:wrapNone/>
                <wp:docPr id="11" name="Shape 11"/>
                <a:graphic xmlns:a="http://schemas.openxmlformats.org/drawingml/2006/main">
                  <a:graphicData uri="http://schemas.microsoft.com/office/word/2010/wordprocessingShape">
                    <wps:wsp>
                      <wps:cNvSpPr txBox="1"/>
                      <wps:spPr>
                        <a:xfrm>
                          <a:ext cx="487680" cy="149225"/>
                        </a:xfrm>
                        <a:prstGeom prst="rect"/>
                        <a:noFill/>
                      </wps:spPr>
                      <wps:txbx>
                        <w:txbxContent>
                          <w:p>
                            <w:pPr>
                              <w:pStyle w:val="Style27"/>
                              <w:keepNext w:val="0"/>
                              <w:keepLines w:val="0"/>
                              <w:widowControl w:val="0"/>
                              <w:pBdr>
                                <w:top w:val="single" w:sz="0" w:space="0" w:color="4C92D1"/>
                                <w:left w:val="single" w:sz="0" w:space="0" w:color="4C92D1"/>
                                <w:bottom w:val="single" w:sz="0" w:space="0" w:color="4C92D1"/>
                                <w:right w:val="single" w:sz="0" w:space="0" w:color="4C92D1"/>
                              </w:pBdr>
                              <w:shd w:val="clear" w:color="auto" w:fill="4C92D1"/>
                              <w:bidi w:val="0"/>
                              <w:spacing w:before="0" w:after="0" w:line="240" w:lineRule="auto"/>
                              <w:ind w:left="0" w:right="0" w:firstLine="0"/>
                              <w:jc w:val="left"/>
                            </w:pPr>
                            <w:r>
                              <w:rPr>
                                <w:spacing w:val="0"/>
                                <w:w w:val="100"/>
                                <w:position w:val="0"/>
                              </w:rPr>
                              <w:t>人力需求</w:t>
                            </w:r>
                          </w:p>
                        </w:txbxContent>
                      </wps:txbx>
                      <wps:bodyPr lIns="0" tIns="0" rIns="0" bIns="0">
                        <a:noAutoFit/>
                      </wps:bodyPr>
                    </wps:wsp>
                  </a:graphicData>
                </a:graphic>
              </wp:anchor>
            </w:drawing>
          </mc:Choice>
          <mc:Fallback>
            <w:pict>
              <v:shape id="_x0000_s1037" type="#_x0000_t202" style="position:absolute;margin-left:157.20000000000002pt;margin-top:143.30000000000001pt;width:38.399999999999999pt;height:11.75pt;z-index:251657737;mso-wrap-distance-left:0;mso-wrap-distance-right:0;mso-position-horizontal-relative:page" filled="f" stroked="f">
                <v:textbox inset="0,0,0,0">
                  <w:txbxContent>
                    <w:p>
                      <w:pPr>
                        <w:pStyle w:val="Style27"/>
                        <w:keepNext w:val="0"/>
                        <w:keepLines w:val="0"/>
                        <w:widowControl w:val="0"/>
                        <w:pBdr>
                          <w:top w:val="single" w:sz="0" w:space="0" w:color="4C92D1"/>
                          <w:left w:val="single" w:sz="0" w:space="0" w:color="4C92D1"/>
                          <w:bottom w:val="single" w:sz="0" w:space="0" w:color="4C92D1"/>
                          <w:right w:val="single" w:sz="0" w:space="0" w:color="4C92D1"/>
                        </w:pBdr>
                        <w:shd w:val="clear" w:color="auto" w:fill="4C92D1"/>
                        <w:bidi w:val="0"/>
                        <w:spacing w:before="0" w:after="0" w:line="240" w:lineRule="auto"/>
                        <w:ind w:left="0" w:right="0" w:firstLine="0"/>
                        <w:jc w:val="left"/>
                      </w:pPr>
                      <w:r>
                        <w:rPr>
                          <w:spacing w:val="0"/>
                          <w:w w:val="100"/>
                          <w:position w:val="0"/>
                        </w:rPr>
                        <w:t>人力需求</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950595</wp:posOffset>
                </wp:positionH>
                <wp:positionV relativeFrom="paragraph">
                  <wp:posOffset>1021715</wp:posOffset>
                </wp:positionV>
                <wp:extent cx="487680" cy="956945"/>
                <wp:wrapNone/>
                <wp:docPr id="13" name="Shape 13"/>
                <a:graphic xmlns:a="http://schemas.openxmlformats.org/drawingml/2006/main">
                  <a:graphicData uri="http://schemas.microsoft.com/office/word/2010/wordprocessingShape">
                    <wps:wsp>
                      <wps:cNvSpPr txBox="1"/>
                      <wps:spPr>
                        <a:xfrm>
                          <a:ext cx="487680" cy="956945"/>
                        </a:xfrm>
                        <a:prstGeom prst="rect"/>
                        <a:noFill/>
                      </wps:spPr>
                      <wps:txbx>
                        <w:txbxContent>
                          <w:p>
                            <w:pPr>
                              <w:pStyle w:val="Style27"/>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440" w:line="240" w:lineRule="auto"/>
                              <w:ind w:left="0" w:right="0" w:firstLine="0"/>
                              <w:jc w:val="left"/>
                            </w:pPr>
                            <w:r>
                              <w:rPr>
                                <w:spacing w:val="0"/>
                                <w:w w:val="100"/>
                                <w:position w:val="0"/>
                              </w:rPr>
                              <w:t>市场洞察</w:t>
                            </w:r>
                          </w:p>
                          <w:p>
                            <w:pPr>
                              <w:pStyle w:val="Style27"/>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440" w:line="240" w:lineRule="auto"/>
                              <w:ind w:left="0" w:right="0" w:firstLine="0"/>
                              <w:jc w:val="left"/>
                            </w:pPr>
                            <w:r>
                              <w:rPr>
                                <w:spacing w:val="0"/>
                                <w:w w:val="100"/>
                                <w:position w:val="0"/>
                              </w:rPr>
                              <w:t>商机识别</w:t>
                            </w:r>
                          </w:p>
                          <w:p>
                            <w:pPr>
                              <w:pStyle w:val="Style27"/>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440" w:line="240" w:lineRule="auto"/>
                              <w:ind w:left="0" w:right="0" w:firstLine="0"/>
                              <w:jc w:val="left"/>
                            </w:pPr>
                            <w:r>
                              <w:rPr>
                                <w:spacing w:val="0"/>
                                <w:w w:val="100"/>
                                <w:position w:val="0"/>
                              </w:rPr>
                              <w:t>商机获取</w:t>
                            </w:r>
                          </w:p>
                        </w:txbxContent>
                      </wps:txbx>
                      <wps:bodyPr lIns="0" tIns="0" rIns="0" bIns="0">
                        <a:noAutoFit/>
                      </wps:bodyPr>
                    </wps:wsp>
                  </a:graphicData>
                </a:graphic>
              </wp:anchor>
            </w:drawing>
          </mc:Choice>
          <mc:Fallback>
            <w:pict>
              <v:shape id="_x0000_s1039" type="#_x0000_t202" style="position:absolute;margin-left:74.850000000000009pt;margin-top:80.450000000000003pt;width:38.399999999999999pt;height:75.350000000000009pt;z-index:251657739;mso-wrap-distance-left:0;mso-wrap-distance-right:0;mso-position-horizontal-relative:page" filled="f" stroked="f">
                <v:textbox inset="0,0,0,0">
                  <w:txbxContent>
                    <w:p>
                      <w:pPr>
                        <w:pStyle w:val="Style27"/>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440" w:line="240" w:lineRule="auto"/>
                        <w:ind w:left="0" w:right="0" w:firstLine="0"/>
                        <w:jc w:val="left"/>
                      </w:pPr>
                      <w:r>
                        <w:rPr>
                          <w:spacing w:val="0"/>
                          <w:w w:val="100"/>
                          <w:position w:val="0"/>
                        </w:rPr>
                        <w:t>市场洞察</w:t>
                      </w:r>
                    </w:p>
                    <w:p>
                      <w:pPr>
                        <w:pStyle w:val="Style27"/>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440" w:line="240" w:lineRule="auto"/>
                        <w:ind w:left="0" w:right="0" w:firstLine="0"/>
                        <w:jc w:val="left"/>
                      </w:pPr>
                      <w:r>
                        <w:rPr>
                          <w:spacing w:val="0"/>
                          <w:w w:val="100"/>
                          <w:position w:val="0"/>
                        </w:rPr>
                        <w:t>商机识别</w:t>
                      </w:r>
                    </w:p>
                    <w:p>
                      <w:pPr>
                        <w:pStyle w:val="Style27"/>
                        <w:keepNext w:val="0"/>
                        <w:keepLines w:val="0"/>
                        <w:widowControl w:val="0"/>
                        <w:pBdr>
                          <w:top w:val="single" w:sz="0" w:space="0" w:color="5599D8"/>
                          <w:left w:val="single" w:sz="0" w:space="0" w:color="5599D8"/>
                          <w:bottom w:val="single" w:sz="0" w:space="0" w:color="5599D8"/>
                          <w:right w:val="single" w:sz="0" w:space="0" w:color="5599D8"/>
                        </w:pBdr>
                        <w:shd w:val="clear" w:color="auto" w:fill="5599D8"/>
                        <w:bidi w:val="0"/>
                        <w:spacing w:before="0" w:after="440" w:line="240" w:lineRule="auto"/>
                        <w:ind w:left="0" w:right="0" w:firstLine="0"/>
                        <w:jc w:val="left"/>
                      </w:pPr>
                      <w:r>
                        <w:rPr>
                          <w:spacing w:val="0"/>
                          <w:w w:val="100"/>
                          <w:position w:val="0"/>
                        </w:rPr>
                        <w:t>商机获取</w:t>
                      </w:r>
                    </w:p>
                  </w:txbxContent>
                </v:textbox>
                <w10:wrap anchorx="page"/>
              </v:shape>
            </w:pict>
          </mc:Fallback>
        </mc:AlternateContent>
      </w:r>
      <w:r>
        <w:drawing>
          <wp:anchor distT="186690" distB="2540" distL="0" distR="0" simplePos="0" relativeHeight="125829379" behindDoc="0" locked="0" layoutInCell="1" allowOverlap="1">
            <wp:simplePos x="0" y="0"/>
            <wp:positionH relativeFrom="page">
              <wp:posOffset>2618105</wp:posOffset>
            </wp:positionH>
            <wp:positionV relativeFrom="paragraph">
              <wp:posOffset>186690</wp:posOffset>
            </wp:positionV>
            <wp:extent cx="4047490" cy="215201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7"/>
                    <a:stretch/>
                  </pic:blipFill>
                  <pic:spPr>
                    <a:xfrm>
                      <a:ext cx="4047490" cy="215201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5013960</wp:posOffset>
                </wp:positionH>
                <wp:positionV relativeFrom="paragraph">
                  <wp:posOffset>330200</wp:posOffset>
                </wp:positionV>
                <wp:extent cx="487680" cy="149225"/>
                <wp:wrapNone/>
                <wp:docPr id="17" name="Shape 17"/>
                <a:graphic xmlns:a="http://schemas.openxmlformats.org/drawingml/2006/main">
                  <a:graphicData uri="http://schemas.microsoft.com/office/word/2010/wordprocessingShape">
                    <wps:wsp>
                      <wps:cNvSpPr txBox="1"/>
                      <wps:spPr>
                        <a:xfrm>
                          <a:ext cx="487680" cy="149225"/>
                        </a:xfrm>
                        <a:prstGeom prst="rect"/>
                        <a:noFill/>
                      </wps:spPr>
                      <wps:txbx>
                        <w:txbxContent>
                          <w:p>
                            <w:pPr>
                              <w:pStyle w:val="Style27"/>
                              <w:keepNext w:val="0"/>
                              <w:keepLines w:val="0"/>
                              <w:widowControl w:val="0"/>
                              <w:pBdr>
                                <w:top w:val="single" w:sz="0" w:space="0" w:color="579AD8"/>
                                <w:left w:val="single" w:sz="0" w:space="0" w:color="579AD8"/>
                                <w:bottom w:val="single" w:sz="0" w:space="0" w:color="579AD8"/>
                                <w:right w:val="single" w:sz="0" w:space="0" w:color="579AD8"/>
                              </w:pBdr>
                              <w:shd w:val="clear" w:color="auto" w:fill="579AD8"/>
                              <w:bidi w:val="0"/>
                              <w:spacing w:before="0" w:after="0" w:line="240" w:lineRule="auto"/>
                              <w:ind w:left="0" w:right="0" w:firstLine="0"/>
                              <w:jc w:val="left"/>
                            </w:pPr>
                            <w:r>
                              <w:rPr>
                                <w:spacing w:val="0"/>
                                <w:w w:val="100"/>
                                <w:position w:val="0"/>
                              </w:rPr>
                              <w:t>技术交付</w:t>
                            </w:r>
                          </w:p>
                        </w:txbxContent>
                      </wps:txbx>
                      <wps:bodyPr lIns="0" tIns="0" rIns="0" bIns="0">
                        <a:noAutoFit/>
                      </wps:bodyPr>
                    </wps:wsp>
                  </a:graphicData>
                </a:graphic>
              </wp:anchor>
            </w:drawing>
          </mc:Choice>
          <mc:Fallback>
            <w:pict>
              <v:shape id="_x0000_s1043" type="#_x0000_t202" style="position:absolute;margin-left:394.80000000000001pt;margin-top:26.pt;width:38.399999999999999pt;height:11.75pt;z-index:251657741;mso-wrap-distance-left:0;mso-wrap-distance-right:0;mso-position-horizontal-relative:page" filled="f" stroked="f">
                <v:textbox inset="0,0,0,0">
                  <w:txbxContent>
                    <w:p>
                      <w:pPr>
                        <w:pStyle w:val="Style27"/>
                        <w:keepNext w:val="0"/>
                        <w:keepLines w:val="0"/>
                        <w:widowControl w:val="0"/>
                        <w:pBdr>
                          <w:top w:val="single" w:sz="0" w:space="0" w:color="579AD8"/>
                          <w:left w:val="single" w:sz="0" w:space="0" w:color="579AD8"/>
                          <w:bottom w:val="single" w:sz="0" w:space="0" w:color="579AD8"/>
                          <w:right w:val="single" w:sz="0" w:space="0" w:color="579AD8"/>
                        </w:pBdr>
                        <w:shd w:val="clear" w:color="auto" w:fill="579AD8"/>
                        <w:bidi w:val="0"/>
                        <w:spacing w:before="0" w:after="0" w:line="240" w:lineRule="auto"/>
                        <w:ind w:left="0" w:right="0" w:firstLine="0"/>
                        <w:jc w:val="left"/>
                      </w:pPr>
                      <w:r>
                        <w:rPr>
                          <w:spacing w:val="0"/>
                          <w:w w:val="100"/>
                          <w:position w:val="0"/>
                        </w:rPr>
                        <w:t>技术交付</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6083935</wp:posOffset>
                </wp:positionH>
                <wp:positionV relativeFrom="paragraph">
                  <wp:posOffset>339090</wp:posOffset>
                </wp:positionV>
                <wp:extent cx="481330" cy="146050"/>
                <wp:wrapNone/>
                <wp:docPr id="19" name="Shape 19"/>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7"/>
                              <w:keepNext w:val="0"/>
                              <w:keepLines w:val="0"/>
                              <w:widowControl w:val="0"/>
                              <w:pBdr>
                                <w:top w:val="single" w:sz="0" w:space="0" w:color="5799D8"/>
                                <w:left w:val="single" w:sz="0" w:space="0" w:color="5799D8"/>
                                <w:bottom w:val="single" w:sz="0" w:space="0" w:color="5799D8"/>
                                <w:right w:val="single" w:sz="0" w:space="0" w:color="5799D8"/>
                              </w:pBdr>
                              <w:shd w:val="clear" w:color="auto" w:fill="5799D8"/>
                              <w:bidi w:val="0"/>
                              <w:spacing w:before="0" w:after="0" w:line="240" w:lineRule="auto"/>
                              <w:ind w:left="0" w:right="0" w:firstLine="0"/>
                              <w:jc w:val="left"/>
                            </w:pPr>
                            <w:r>
                              <w:rPr>
                                <w:spacing w:val="0"/>
                                <w:w w:val="100"/>
                                <w:position w:val="0"/>
                              </w:rPr>
                              <w:t>需求满足</w:t>
                            </w:r>
                          </w:p>
                        </w:txbxContent>
                      </wps:txbx>
                      <wps:bodyPr lIns="0" tIns="0" rIns="0" bIns="0">
                        <a:noAutoFit/>
                      </wps:bodyPr>
                    </wps:wsp>
                  </a:graphicData>
                </a:graphic>
              </wp:anchor>
            </w:drawing>
          </mc:Choice>
          <mc:Fallback>
            <w:pict>
              <v:shape id="_x0000_s1045" type="#_x0000_t202" style="position:absolute;margin-left:479.05000000000001pt;margin-top:26.699999999999999pt;width:37.899999999999999pt;height:11.5pt;z-index:251657743;mso-wrap-distance-left:0;mso-wrap-distance-right:0;mso-position-horizontal-relative:page" filled="f" stroked="f">
                <v:textbox inset="0,0,0,0">
                  <w:txbxContent>
                    <w:p>
                      <w:pPr>
                        <w:pStyle w:val="Style27"/>
                        <w:keepNext w:val="0"/>
                        <w:keepLines w:val="0"/>
                        <w:widowControl w:val="0"/>
                        <w:pBdr>
                          <w:top w:val="single" w:sz="0" w:space="0" w:color="5799D8"/>
                          <w:left w:val="single" w:sz="0" w:space="0" w:color="5799D8"/>
                          <w:bottom w:val="single" w:sz="0" w:space="0" w:color="5799D8"/>
                          <w:right w:val="single" w:sz="0" w:space="0" w:color="5799D8"/>
                        </w:pBdr>
                        <w:shd w:val="clear" w:color="auto" w:fill="5799D8"/>
                        <w:bidi w:val="0"/>
                        <w:spacing w:before="0" w:after="0" w:line="240" w:lineRule="auto"/>
                        <w:ind w:left="0" w:right="0" w:firstLine="0"/>
                        <w:jc w:val="left"/>
                      </w:pPr>
                      <w:r>
                        <w:rPr>
                          <w:spacing w:val="0"/>
                          <w:w w:val="100"/>
                          <w:position w:val="0"/>
                        </w:rPr>
                        <w:t>需求满足</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3361690</wp:posOffset>
                </wp:positionH>
                <wp:positionV relativeFrom="paragraph">
                  <wp:posOffset>1668145</wp:posOffset>
                </wp:positionV>
                <wp:extent cx="786130" cy="194945"/>
                <wp:wrapNone/>
                <wp:docPr id="21" name="Shape 21"/>
                <a:graphic xmlns:a="http://schemas.openxmlformats.org/drawingml/2006/main">
                  <a:graphicData uri="http://schemas.microsoft.com/office/word/2010/wordprocessingShape">
                    <wps:wsp>
                      <wps:cNvSpPr txBox="1"/>
                      <wps:spPr>
                        <a:xfrm>
                          <a:ext cx="786130" cy="194945"/>
                        </a:xfrm>
                        <a:prstGeom prst="rect"/>
                        <a:noFill/>
                      </wps:spPr>
                      <wps:txbx>
                        <w:txbxContent>
                          <w:p>
                            <w:pPr>
                              <w:pStyle w:val="Style27"/>
                              <w:keepNext w:val="0"/>
                              <w:keepLines w:val="0"/>
                              <w:widowControl w:val="0"/>
                              <w:pBdr>
                                <w:top w:val="single" w:sz="0" w:space="0" w:color="7496D1"/>
                                <w:left w:val="single" w:sz="0" w:space="0" w:color="7496D1"/>
                                <w:bottom w:val="single" w:sz="0" w:space="0" w:color="7496D1"/>
                                <w:right w:val="single" w:sz="0" w:space="0" w:color="7496D1"/>
                              </w:pBdr>
                              <w:shd w:val="clear" w:color="auto" w:fill="7496D1"/>
                              <w:bidi w:val="0"/>
                              <w:spacing w:before="0" w:after="0" w:line="240" w:lineRule="auto"/>
                              <w:ind w:left="0" w:right="0" w:firstLine="0"/>
                              <w:jc w:val="center"/>
                              <w:rPr>
                                <w:sz w:val="20"/>
                                <w:szCs w:val="20"/>
                              </w:rPr>
                            </w:pPr>
                            <w:r>
                              <w:rPr>
                                <w:b w:val="0"/>
                                <w:bCs w:val="0"/>
                                <w:color w:val="FFFFFF"/>
                                <w:spacing w:val="0"/>
                                <w:w w:val="100"/>
                                <w:position w:val="0"/>
                                <w:sz w:val="20"/>
                                <w:szCs w:val="20"/>
                              </w:rPr>
                              <w:t>专业技术人员</w:t>
                            </w:r>
                          </w:p>
                        </w:txbxContent>
                      </wps:txbx>
                      <wps:bodyPr lIns="0" tIns="0" rIns="0" bIns="0">
                        <a:noAutoFit/>
                      </wps:bodyPr>
                    </wps:wsp>
                  </a:graphicData>
                </a:graphic>
              </wp:anchor>
            </w:drawing>
          </mc:Choice>
          <mc:Fallback>
            <w:pict>
              <v:shape id="_x0000_s1047" type="#_x0000_t202" style="position:absolute;margin-left:264.69999999999999pt;margin-top:131.34999999999999pt;width:61.899999999999999pt;height:15.35pt;z-index:251657745;mso-wrap-distance-left:0;mso-wrap-distance-right:0;mso-position-horizontal-relative:page" filled="f" stroked="f">
                <v:textbox inset="0,0,0,0">
                  <w:txbxContent>
                    <w:p>
                      <w:pPr>
                        <w:pStyle w:val="Style27"/>
                        <w:keepNext w:val="0"/>
                        <w:keepLines w:val="0"/>
                        <w:widowControl w:val="0"/>
                        <w:pBdr>
                          <w:top w:val="single" w:sz="0" w:space="0" w:color="7496D1"/>
                          <w:left w:val="single" w:sz="0" w:space="0" w:color="7496D1"/>
                          <w:bottom w:val="single" w:sz="0" w:space="0" w:color="7496D1"/>
                          <w:right w:val="single" w:sz="0" w:space="0" w:color="7496D1"/>
                        </w:pBdr>
                        <w:shd w:val="clear" w:color="auto" w:fill="7496D1"/>
                        <w:bidi w:val="0"/>
                        <w:spacing w:before="0" w:after="0" w:line="240" w:lineRule="auto"/>
                        <w:ind w:left="0" w:right="0" w:firstLine="0"/>
                        <w:jc w:val="center"/>
                        <w:rPr>
                          <w:sz w:val="20"/>
                          <w:szCs w:val="20"/>
                        </w:rPr>
                      </w:pPr>
                      <w:r>
                        <w:rPr>
                          <w:b w:val="0"/>
                          <w:bCs w:val="0"/>
                          <w:color w:val="FFFFFF"/>
                          <w:spacing w:val="0"/>
                          <w:w w:val="100"/>
                          <w:position w:val="0"/>
                          <w:sz w:val="20"/>
                          <w:szCs w:val="20"/>
                        </w:rPr>
                        <w:t>专业技术人员</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6193155</wp:posOffset>
                </wp:positionH>
                <wp:positionV relativeFrom="paragraph">
                  <wp:posOffset>1016000</wp:posOffset>
                </wp:positionV>
                <wp:extent cx="252730" cy="149225"/>
                <wp:wrapNone/>
                <wp:docPr id="23" name="Shape 23"/>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7"/>
                              <w:keepNext w:val="0"/>
                              <w:keepLines w:val="0"/>
                              <w:widowControl w:val="0"/>
                              <w:pBdr>
                                <w:top w:val="single" w:sz="0" w:space="0" w:color="64A1DA"/>
                                <w:left w:val="single" w:sz="0" w:space="0" w:color="64A1DA"/>
                                <w:bottom w:val="single" w:sz="0" w:space="0" w:color="64A1DA"/>
                                <w:right w:val="single" w:sz="0" w:space="0" w:color="64A1DA"/>
                              </w:pBdr>
                              <w:shd w:val="clear" w:color="auto" w:fill="64A1DA"/>
                              <w:bidi w:val="0"/>
                              <w:spacing w:before="0" w:after="0" w:line="240" w:lineRule="auto"/>
                              <w:ind w:left="0" w:right="0" w:firstLine="0"/>
                              <w:jc w:val="left"/>
                            </w:pPr>
                            <w:r>
                              <w:rPr>
                                <w:spacing w:val="0"/>
                                <w:w w:val="100"/>
                                <w:position w:val="0"/>
                              </w:rPr>
                              <w:t>收入</w:t>
                            </w:r>
                          </w:p>
                        </w:txbxContent>
                      </wps:txbx>
                      <wps:bodyPr lIns="0" tIns="0" rIns="0" bIns="0">
                        <a:noAutoFit/>
                      </wps:bodyPr>
                    </wps:wsp>
                  </a:graphicData>
                </a:graphic>
              </wp:anchor>
            </w:drawing>
          </mc:Choice>
          <mc:Fallback>
            <w:pict>
              <v:shape id="_x0000_s1049" type="#_x0000_t202" style="position:absolute;margin-left:487.65000000000003pt;margin-top:80.pt;width:19.900000000000002pt;height:11.75pt;z-index:251657747;mso-wrap-distance-left:0;mso-wrap-distance-right:0;mso-position-horizontal-relative:page" filled="f" stroked="f">
                <v:textbox inset="0,0,0,0">
                  <w:txbxContent>
                    <w:p>
                      <w:pPr>
                        <w:pStyle w:val="Style27"/>
                        <w:keepNext w:val="0"/>
                        <w:keepLines w:val="0"/>
                        <w:widowControl w:val="0"/>
                        <w:pBdr>
                          <w:top w:val="single" w:sz="0" w:space="0" w:color="64A1DA"/>
                          <w:left w:val="single" w:sz="0" w:space="0" w:color="64A1DA"/>
                          <w:bottom w:val="single" w:sz="0" w:space="0" w:color="64A1DA"/>
                          <w:right w:val="single" w:sz="0" w:space="0" w:color="64A1DA"/>
                        </w:pBdr>
                        <w:shd w:val="clear" w:color="auto" w:fill="64A1DA"/>
                        <w:bidi w:val="0"/>
                        <w:spacing w:before="0" w:after="0" w:line="240" w:lineRule="auto"/>
                        <w:ind w:left="0" w:right="0" w:firstLine="0"/>
                        <w:jc w:val="left"/>
                      </w:pPr>
                      <w:r>
                        <w:rPr>
                          <w:spacing w:val="0"/>
                          <w:w w:val="100"/>
                          <w:position w:val="0"/>
                        </w:rPr>
                        <w:t>收入</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6187440</wp:posOffset>
                </wp:positionH>
                <wp:positionV relativeFrom="paragraph">
                  <wp:posOffset>1424305</wp:posOffset>
                </wp:positionV>
                <wp:extent cx="255905" cy="146050"/>
                <wp:wrapNone/>
                <wp:docPr id="25" name="Shape 25"/>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7"/>
                              <w:keepNext w:val="0"/>
                              <w:keepLines w:val="0"/>
                              <w:widowControl w:val="0"/>
                              <w:pBdr>
                                <w:top w:val="single" w:sz="0" w:space="0" w:color="559AD9"/>
                                <w:left w:val="single" w:sz="0" w:space="0" w:color="559AD9"/>
                                <w:bottom w:val="single" w:sz="0" w:space="0" w:color="559AD9"/>
                                <w:right w:val="single" w:sz="0" w:space="0" w:color="559AD9"/>
                              </w:pBdr>
                              <w:shd w:val="clear" w:color="auto" w:fill="559AD9"/>
                              <w:bidi w:val="0"/>
                              <w:spacing w:before="0" w:after="0" w:line="240" w:lineRule="auto"/>
                              <w:ind w:left="0" w:right="0" w:firstLine="0"/>
                              <w:jc w:val="right"/>
                            </w:pPr>
                            <w:r>
                              <w:rPr>
                                <w:spacing w:val="0"/>
                                <w:w w:val="100"/>
                                <w:position w:val="0"/>
                              </w:rPr>
                              <w:t>利润</w:t>
                            </w:r>
                          </w:p>
                        </w:txbxContent>
                      </wps:txbx>
                      <wps:bodyPr lIns="0" tIns="0" rIns="0" bIns="0">
                        <a:noAutoFit/>
                      </wps:bodyPr>
                    </wps:wsp>
                  </a:graphicData>
                </a:graphic>
              </wp:anchor>
            </w:drawing>
          </mc:Choice>
          <mc:Fallback>
            <w:pict>
              <v:shape id="_x0000_s1051" type="#_x0000_t202" style="position:absolute;margin-left:487.19999999999999pt;margin-top:112.15000000000001pt;width:20.150000000000002pt;height:11.5pt;z-index:251657749;mso-wrap-distance-left:0;mso-wrap-distance-right:0;mso-position-horizontal-relative:page" filled="f" stroked="f">
                <v:textbox inset="0,0,0,0">
                  <w:txbxContent>
                    <w:p>
                      <w:pPr>
                        <w:pStyle w:val="Style27"/>
                        <w:keepNext w:val="0"/>
                        <w:keepLines w:val="0"/>
                        <w:widowControl w:val="0"/>
                        <w:pBdr>
                          <w:top w:val="single" w:sz="0" w:space="0" w:color="559AD9"/>
                          <w:left w:val="single" w:sz="0" w:space="0" w:color="559AD9"/>
                          <w:bottom w:val="single" w:sz="0" w:space="0" w:color="559AD9"/>
                          <w:right w:val="single" w:sz="0" w:space="0" w:color="559AD9"/>
                        </w:pBdr>
                        <w:shd w:val="clear" w:color="auto" w:fill="559AD9"/>
                        <w:bidi w:val="0"/>
                        <w:spacing w:before="0" w:after="0" w:line="240" w:lineRule="auto"/>
                        <w:ind w:left="0" w:right="0" w:firstLine="0"/>
                        <w:jc w:val="right"/>
                      </w:pPr>
                      <w:r>
                        <w:rPr>
                          <w:spacing w:val="0"/>
                          <w:w w:val="100"/>
                          <w:position w:val="0"/>
                        </w:rPr>
                        <w:t>利润</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6077585</wp:posOffset>
                </wp:positionH>
                <wp:positionV relativeFrom="paragraph">
                  <wp:posOffset>1829435</wp:posOffset>
                </wp:positionV>
                <wp:extent cx="487680" cy="146050"/>
                <wp:wrapNone/>
                <wp:docPr id="27" name="Shape 27"/>
                <a:graphic xmlns:a="http://schemas.openxmlformats.org/drawingml/2006/main">
                  <a:graphicData uri="http://schemas.microsoft.com/office/word/2010/wordprocessingShape">
                    <wps:wsp>
                      <wps:cNvSpPr txBox="1"/>
                      <wps:spPr>
                        <a:xfrm>
                          <a:ext cx="487680" cy="146050"/>
                        </a:xfrm>
                        <a:prstGeom prst="rect"/>
                        <a:noFill/>
                      </wps:spPr>
                      <wps:txbx>
                        <w:txbxContent>
                          <w:p>
                            <w:pPr>
                              <w:pStyle w:val="Style27"/>
                              <w:keepNext w:val="0"/>
                              <w:keepLines w:val="0"/>
                              <w:widowControl w:val="0"/>
                              <w:pBdr>
                                <w:top w:val="single" w:sz="0" w:space="0" w:color="4C92D1"/>
                                <w:left w:val="single" w:sz="0" w:space="0" w:color="4C92D1"/>
                                <w:bottom w:val="single" w:sz="0" w:space="0" w:color="4C92D1"/>
                                <w:right w:val="single" w:sz="0" w:space="0" w:color="4C92D1"/>
                              </w:pBdr>
                              <w:shd w:val="clear" w:color="auto" w:fill="4C92D1"/>
                              <w:bidi w:val="0"/>
                              <w:spacing w:before="0" w:after="0" w:line="240" w:lineRule="auto"/>
                              <w:ind w:left="0" w:right="0" w:firstLine="0"/>
                              <w:jc w:val="left"/>
                            </w:pPr>
                            <w:r>
                              <w:rPr>
                                <w:spacing w:val="0"/>
                                <w:w w:val="100"/>
                                <w:position w:val="0"/>
                              </w:rPr>
                              <w:t>经验积累</w:t>
                            </w:r>
                          </w:p>
                        </w:txbxContent>
                      </wps:txbx>
                      <wps:bodyPr lIns="0" tIns="0" rIns="0" bIns="0">
                        <a:noAutoFit/>
                      </wps:bodyPr>
                    </wps:wsp>
                  </a:graphicData>
                </a:graphic>
              </wp:anchor>
            </w:drawing>
          </mc:Choice>
          <mc:Fallback>
            <w:pict>
              <v:shape id="_x0000_s1053" type="#_x0000_t202" style="position:absolute;margin-left:478.55000000000001pt;margin-top:144.05000000000001pt;width:38.399999999999999pt;height:11.5pt;z-index:251657751;mso-wrap-distance-left:0;mso-wrap-distance-right:0;mso-position-horizontal-relative:page" filled="f" stroked="f">
                <v:textbox inset="0,0,0,0">
                  <w:txbxContent>
                    <w:p>
                      <w:pPr>
                        <w:pStyle w:val="Style27"/>
                        <w:keepNext w:val="0"/>
                        <w:keepLines w:val="0"/>
                        <w:widowControl w:val="0"/>
                        <w:pBdr>
                          <w:top w:val="single" w:sz="0" w:space="0" w:color="4C92D1"/>
                          <w:left w:val="single" w:sz="0" w:space="0" w:color="4C92D1"/>
                          <w:bottom w:val="single" w:sz="0" w:space="0" w:color="4C92D1"/>
                          <w:right w:val="single" w:sz="0" w:space="0" w:color="4C92D1"/>
                        </w:pBdr>
                        <w:shd w:val="clear" w:color="auto" w:fill="4C92D1"/>
                        <w:bidi w:val="0"/>
                        <w:spacing w:before="0" w:after="0" w:line="240" w:lineRule="auto"/>
                        <w:ind w:left="0" w:right="0" w:firstLine="0"/>
                        <w:jc w:val="left"/>
                      </w:pPr>
                      <w:r>
                        <w:rPr>
                          <w:spacing w:val="0"/>
                          <w:w w:val="100"/>
                          <w:position w:val="0"/>
                        </w:rPr>
                        <w:t>经验积累</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4961890</wp:posOffset>
                </wp:positionH>
                <wp:positionV relativeFrom="paragraph">
                  <wp:posOffset>1006475</wp:posOffset>
                </wp:positionV>
                <wp:extent cx="606425" cy="956945"/>
                <wp:wrapNone/>
                <wp:docPr id="29" name="Shape 29"/>
                <a:graphic xmlns:a="http://schemas.openxmlformats.org/drawingml/2006/main">
                  <a:graphicData uri="http://schemas.microsoft.com/office/word/2010/wordprocessingShape">
                    <wps:wsp>
                      <wps:cNvSpPr txBox="1"/>
                      <wps:spPr>
                        <a:xfrm>
                          <a:ext cx="606425" cy="956945"/>
                        </a:xfrm>
                        <a:prstGeom prst="rect"/>
                        <a:noFill/>
                      </wps:spPr>
                      <wps:txbx>
                        <w:txbxContent>
                          <w:p>
                            <w:pPr>
                              <w:pStyle w:val="Style27"/>
                              <w:keepNext w:val="0"/>
                              <w:keepLines w:val="0"/>
                              <w:widowControl w:val="0"/>
                              <w:pBdr>
                                <w:top w:val="single" w:sz="0" w:space="0" w:color="5699D8"/>
                                <w:left w:val="single" w:sz="0" w:space="0" w:color="5699D8"/>
                                <w:bottom w:val="single" w:sz="0" w:space="0" w:color="5699D8"/>
                                <w:right w:val="single" w:sz="0" w:space="0" w:color="5699D8"/>
                              </w:pBdr>
                              <w:shd w:val="clear" w:color="auto" w:fill="5699D8"/>
                              <w:bidi w:val="0"/>
                              <w:spacing w:before="0" w:after="220" w:line="240" w:lineRule="auto"/>
                              <w:ind w:left="0" w:right="0" w:firstLine="0"/>
                              <w:jc w:val="left"/>
                            </w:pPr>
                            <w:r>
                              <w:rPr>
                                <w:spacing w:val="0"/>
                                <w:w w:val="100"/>
                                <w:position w:val="0"/>
                              </w:rPr>
                              <w:t>分析与设计</w:t>
                            </w:r>
                          </w:p>
                          <w:p>
                            <w:pPr>
                              <w:pStyle w:val="Style27"/>
                              <w:keepNext w:val="0"/>
                              <w:keepLines w:val="0"/>
                              <w:widowControl w:val="0"/>
                              <w:pBdr>
                                <w:top w:val="single" w:sz="0" w:space="0" w:color="5699D8"/>
                                <w:left w:val="single" w:sz="0" w:space="0" w:color="5699D8"/>
                                <w:bottom w:val="single" w:sz="0" w:space="0" w:color="5699D8"/>
                                <w:right w:val="single" w:sz="0" w:space="0" w:color="5699D8"/>
                              </w:pBdr>
                              <w:shd w:val="clear" w:color="auto" w:fill="5699D8"/>
                              <w:bidi w:val="0"/>
                              <w:spacing w:before="0" w:after="220" w:line="240" w:lineRule="auto"/>
                              <w:ind w:left="0" w:right="0" w:firstLine="0"/>
                              <w:jc w:val="left"/>
                            </w:pPr>
                            <w:r>
                              <w:rPr>
                                <w:spacing w:val="0"/>
                                <w:w w:val="100"/>
                                <w:position w:val="0"/>
                              </w:rPr>
                              <w:t>开发与编程</w:t>
                            </w:r>
                          </w:p>
                          <w:p>
                            <w:pPr>
                              <w:pStyle w:val="Style27"/>
                              <w:keepNext w:val="0"/>
                              <w:keepLines w:val="0"/>
                              <w:widowControl w:val="0"/>
                              <w:pBdr>
                                <w:top w:val="single" w:sz="0" w:space="0" w:color="5699D8"/>
                                <w:left w:val="single" w:sz="0" w:space="0" w:color="5699D8"/>
                                <w:bottom w:val="single" w:sz="0" w:space="0" w:color="5699D8"/>
                                <w:right w:val="single" w:sz="0" w:space="0" w:color="5699D8"/>
                              </w:pBdr>
                              <w:shd w:val="clear" w:color="auto" w:fill="5699D8"/>
                              <w:bidi w:val="0"/>
                              <w:spacing w:before="0" w:after="220" w:line="240" w:lineRule="auto"/>
                              <w:ind w:left="0" w:right="0" w:firstLine="0"/>
                              <w:jc w:val="left"/>
                            </w:pPr>
                            <w:r>
                              <w:rPr>
                                <w:spacing w:val="0"/>
                                <w:w w:val="100"/>
                                <w:position w:val="0"/>
                              </w:rPr>
                              <w:t>测试与集成</w:t>
                            </w:r>
                          </w:p>
                          <w:p>
                            <w:pPr>
                              <w:pStyle w:val="Style27"/>
                              <w:keepNext w:val="0"/>
                              <w:keepLines w:val="0"/>
                              <w:widowControl w:val="0"/>
                              <w:pBdr>
                                <w:top w:val="single" w:sz="0" w:space="0" w:color="5699D8"/>
                                <w:left w:val="single" w:sz="0" w:space="0" w:color="5699D8"/>
                                <w:bottom w:val="single" w:sz="0" w:space="0" w:color="5699D8"/>
                                <w:right w:val="single" w:sz="0" w:space="0" w:color="5699D8"/>
                              </w:pBdr>
                              <w:shd w:val="clear" w:color="auto" w:fill="5699D8"/>
                              <w:bidi w:val="0"/>
                              <w:spacing w:before="0" w:after="220" w:line="240" w:lineRule="auto"/>
                              <w:ind w:left="0" w:right="0" w:firstLine="0"/>
                              <w:jc w:val="left"/>
                            </w:pPr>
                            <w:r>
                              <w:rPr>
                                <w:spacing w:val="0"/>
                                <w:w w:val="100"/>
                                <w:position w:val="0"/>
                              </w:rPr>
                              <w:t>实施与运维</w:t>
                            </w:r>
                          </w:p>
                        </w:txbxContent>
                      </wps:txbx>
                      <wps:bodyPr lIns="0" tIns="0" rIns="0" bIns="0">
                        <a:noAutoFit/>
                      </wps:bodyPr>
                    </wps:wsp>
                  </a:graphicData>
                </a:graphic>
              </wp:anchor>
            </w:drawing>
          </mc:Choice>
          <mc:Fallback>
            <w:pict>
              <v:shape id="_x0000_s1055" type="#_x0000_t202" style="position:absolute;margin-left:390.69999999999999pt;margin-top:79.25pt;width:47.75pt;height:75.350000000000009pt;z-index:251657753;mso-wrap-distance-left:0;mso-wrap-distance-right:0;mso-position-horizontal-relative:page" filled="f" stroked="f">
                <v:textbox inset="0,0,0,0">
                  <w:txbxContent>
                    <w:p>
                      <w:pPr>
                        <w:pStyle w:val="Style27"/>
                        <w:keepNext w:val="0"/>
                        <w:keepLines w:val="0"/>
                        <w:widowControl w:val="0"/>
                        <w:pBdr>
                          <w:top w:val="single" w:sz="0" w:space="0" w:color="5699D8"/>
                          <w:left w:val="single" w:sz="0" w:space="0" w:color="5699D8"/>
                          <w:bottom w:val="single" w:sz="0" w:space="0" w:color="5699D8"/>
                          <w:right w:val="single" w:sz="0" w:space="0" w:color="5699D8"/>
                        </w:pBdr>
                        <w:shd w:val="clear" w:color="auto" w:fill="5699D8"/>
                        <w:bidi w:val="0"/>
                        <w:spacing w:before="0" w:after="220" w:line="240" w:lineRule="auto"/>
                        <w:ind w:left="0" w:right="0" w:firstLine="0"/>
                        <w:jc w:val="left"/>
                      </w:pPr>
                      <w:r>
                        <w:rPr>
                          <w:spacing w:val="0"/>
                          <w:w w:val="100"/>
                          <w:position w:val="0"/>
                        </w:rPr>
                        <w:t>分析与设计</w:t>
                      </w:r>
                    </w:p>
                    <w:p>
                      <w:pPr>
                        <w:pStyle w:val="Style27"/>
                        <w:keepNext w:val="0"/>
                        <w:keepLines w:val="0"/>
                        <w:widowControl w:val="0"/>
                        <w:pBdr>
                          <w:top w:val="single" w:sz="0" w:space="0" w:color="5699D8"/>
                          <w:left w:val="single" w:sz="0" w:space="0" w:color="5699D8"/>
                          <w:bottom w:val="single" w:sz="0" w:space="0" w:color="5699D8"/>
                          <w:right w:val="single" w:sz="0" w:space="0" w:color="5699D8"/>
                        </w:pBdr>
                        <w:shd w:val="clear" w:color="auto" w:fill="5699D8"/>
                        <w:bidi w:val="0"/>
                        <w:spacing w:before="0" w:after="220" w:line="240" w:lineRule="auto"/>
                        <w:ind w:left="0" w:right="0" w:firstLine="0"/>
                        <w:jc w:val="left"/>
                      </w:pPr>
                      <w:r>
                        <w:rPr>
                          <w:spacing w:val="0"/>
                          <w:w w:val="100"/>
                          <w:position w:val="0"/>
                        </w:rPr>
                        <w:t>开发与编程</w:t>
                      </w:r>
                    </w:p>
                    <w:p>
                      <w:pPr>
                        <w:pStyle w:val="Style27"/>
                        <w:keepNext w:val="0"/>
                        <w:keepLines w:val="0"/>
                        <w:widowControl w:val="0"/>
                        <w:pBdr>
                          <w:top w:val="single" w:sz="0" w:space="0" w:color="5699D8"/>
                          <w:left w:val="single" w:sz="0" w:space="0" w:color="5699D8"/>
                          <w:bottom w:val="single" w:sz="0" w:space="0" w:color="5699D8"/>
                          <w:right w:val="single" w:sz="0" w:space="0" w:color="5699D8"/>
                        </w:pBdr>
                        <w:shd w:val="clear" w:color="auto" w:fill="5699D8"/>
                        <w:bidi w:val="0"/>
                        <w:spacing w:before="0" w:after="220" w:line="240" w:lineRule="auto"/>
                        <w:ind w:left="0" w:right="0" w:firstLine="0"/>
                        <w:jc w:val="left"/>
                      </w:pPr>
                      <w:r>
                        <w:rPr>
                          <w:spacing w:val="0"/>
                          <w:w w:val="100"/>
                          <w:position w:val="0"/>
                        </w:rPr>
                        <w:t>测试与集成</w:t>
                      </w:r>
                    </w:p>
                    <w:p>
                      <w:pPr>
                        <w:pStyle w:val="Style27"/>
                        <w:keepNext w:val="0"/>
                        <w:keepLines w:val="0"/>
                        <w:widowControl w:val="0"/>
                        <w:pBdr>
                          <w:top w:val="single" w:sz="0" w:space="0" w:color="5699D8"/>
                          <w:left w:val="single" w:sz="0" w:space="0" w:color="5699D8"/>
                          <w:bottom w:val="single" w:sz="0" w:space="0" w:color="5699D8"/>
                          <w:right w:val="single" w:sz="0" w:space="0" w:color="5699D8"/>
                        </w:pBdr>
                        <w:shd w:val="clear" w:color="auto" w:fill="5699D8"/>
                        <w:bidi w:val="0"/>
                        <w:spacing w:before="0" w:after="220" w:line="240" w:lineRule="auto"/>
                        <w:ind w:left="0" w:right="0" w:firstLine="0"/>
                        <w:jc w:val="left"/>
                      </w:pPr>
                      <w:r>
                        <w:rPr>
                          <w:spacing w:val="0"/>
                          <w:w w:val="100"/>
                          <w:position w:val="0"/>
                        </w:rPr>
                        <w:t>实施与运维</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3474720</wp:posOffset>
                </wp:positionH>
                <wp:positionV relativeFrom="paragraph">
                  <wp:posOffset>320675</wp:posOffset>
                </wp:positionV>
                <wp:extent cx="551815" cy="167640"/>
                <wp:wrapNone/>
                <wp:docPr id="31" name="Shape 31"/>
                <a:graphic xmlns:a="http://schemas.openxmlformats.org/drawingml/2006/main">
                  <a:graphicData uri="http://schemas.microsoft.com/office/word/2010/wordprocessingShape">
                    <wps:wsp>
                      <wps:cNvSpPr txBox="1"/>
                      <wps:spPr>
                        <a:xfrm>
                          <a:ext cx="551815" cy="167640"/>
                        </a:xfrm>
                        <a:prstGeom prst="rect"/>
                        <a:noFill/>
                      </wps:spPr>
                      <wps:txbx>
                        <w:txbxContent>
                          <w:p>
                            <w:pPr>
                              <w:pStyle w:val="Style27"/>
                              <w:keepNext w:val="0"/>
                              <w:keepLines w:val="0"/>
                              <w:widowControl w:val="0"/>
                              <w:pBdr>
                                <w:top w:val="single" w:sz="0" w:space="0" w:color="7596D1"/>
                                <w:left w:val="single" w:sz="0" w:space="0" w:color="7596D1"/>
                                <w:bottom w:val="single" w:sz="0" w:space="0" w:color="7596D1"/>
                                <w:right w:val="single" w:sz="0" w:space="0" w:color="7596D1"/>
                              </w:pBdr>
                              <w:shd w:val="clear" w:color="auto" w:fill="7596D1"/>
                              <w:bidi w:val="0"/>
                              <w:spacing w:before="0" w:after="0" w:line="240" w:lineRule="auto"/>
                              <w:ind w:left="0" w:right="0" w:firstLine="0"/>
                              <w:jc w:val="left"/>
                              <w:rPr>
                                <w:sz w:val="20"/>
                                <w:szCs w:val="20"/>
                              </w:rPr>
                            </w:pPr>
                            <w:r>
                              <w:rPr>
                                <w:spacing w:val="0"/>
                                <w:w w:val="100"/>
                                <w:position w:val="0"/>
                                <w:sz w:val="20"/>
                                <w:szCs w:val="20"/>
                              </w:rPr>
                              <w:t>持续赋能</w:t>
                            </w:r>
                          </w:p>
                        </w:txbxContent>
                      </wps:txbx>
                      <wps:bodyPr lIns="0" tIns="0" rIns="0" bIns="0">
                        <a:noAutoFit/>
                      </wps:bodyPr>
                    </wps:wsp>
                  </a:graphicData>
                </a:graphic>
              </wp:anchor>
            </w:drawing>
          </mc:Choice>
          <mc:Fallback>
            <w:pict>
              <v:shape id="_x0000_s1057" type="#_x0000_t202" style="position:absolute;margin-left:273.60000000000002pt;margin-top:25.25pt;width:43.450000000000003pt;height:13.200000000000001pt;z-index:251657755;mso-wrap-distance-left:0;mso-wrap-distance-right:0;mso-position-horizontal-relative:page" filled="f" stroked="f">
                <v:textbox inset="0,0,0,0">
                  <w:txbxContent>
                    <w:p>
                      <w:pPr>
                        <w:pStyle w:val="Style27"/>
                        <w:keepNext w:val="0"/>
                        <w:keepLines w:val="0"/>
                        <w:widowControl w:val="0"/>
                        <w:pBdr>
                          <w:top w:val="single" w:sz="0" w:space="0" w:color="7596D1"/>
                          <w:left w:val="single" w:sz="0" w:space="0" w:color="7596D1"/>
                          <w:bottom w:val="single" w:sz="0" w:space="0" w:color="7596D1"/>
                          <w:right w:val="single" w:sz="0" w:space="0" w:color="7596D1"/>
                        </w:pBdr>
                        <w:shd w:val="clear" w:color="auto" w:fill="7596D1"/>
                        <w:bidi w:val="0"/>
                        <w:spacing w:before="0" w:after="0" w:line="240" w:lineRule="auto"/>
                        <w:ind w:left="0" w:right="0" w:firstLine="0"/>
                        <w:jc w:val="left"/>
                        <w:rPr>
                          <w:sz w:val="20"/>
                          <w:szCs w:val="20"/>
                        </w:rPr>
                      </w:pPr>
                      <w:r>
                        <w:rPr>
                          <w:spacing w:val="0"/>
                          <w:w w:val="100"/>
                          <w:position w:val="0"/>
                          <w:sz w:val="20"/>
                          <w:szCs w:val="20"/>
                        </w:rPr>
                        <w:t>持续赋能</w:t>
                      </w:r>
                    </w:p>
                  </w:txbxContent>
                </v:textbox>
                <w10:wrap anchorx="page"/>
              </v:shape>
            </w:pict>
          </mc:Fallback>
        </mc:AlternateContent>
      </w:r>
    </w:p>
    <w:p>
      <w:pPr>
        <w:pStyle w:val="Style12"/>
        <w:keepNext w:val="0"/>
        <w:keepLines w:val="0"/>
        <w:widowControl w:val="0"/>
        <w:pBdr>
          <w:top w:val="single" w:sz="4" w:space="1" w:color="376AC3"/>
          <w:left w:val="single" w:sz="4" w:space="0" w:color="376AC3"/>
          <w:bottom w:val="single" w:sz="4" w:space="12" w:color="376AC3"/>
          <w:right w:val="single" w:sz="4" w:space="0" w:color="376AC3"/>
        </w:pBdr>
        <w:shd w:val="clear" w:color="auto" w:fill="376AC3"/>
        <w:bidi w:val="0"/>
        <w:spacing w:before="0" w:after="200" w:line="240" w:lineRule="auto"/>
        <w:ind w:left="0" w:right="0" w:firstLine="0"/>
        <w:jc w:val="center"/>
        <w:rPr>
          <w:sz w:val="22"/>
          <w:szCs w:val="22"/>
        </w:rPr>
      </w:pPr>
      <w:r>
        <w:rPr>
          <w:b/>
          <w:bCs/>
          <w:color w:val="DEEBF7"/>
          <w:spacing w:val="0"/>
          <w:w w:val="100"/>
          <w:position w:val="0"/>
          <w:sz w:val="22"/>
          <w:szCs w:val="22"/>
        </w:rPr>
        <w:t>管理平台（三支柱）：营销与交付管理平台、解决方案与研发平台、综合管理平台</w:t>
      </w:r>
    </w:p>
    <w:p>
      <w:pPr>
        <w:pStyle w:val="Style12"/>
        <w:keepNext w:val="0"/>
        <w:keepLines w:val="0"/>
        <w:widowControl w:val="0"/>
        <w:shd w:val="clear" w:color="auto" w:fill="auto"/>
        <w:bidi w:val="0"/>
        <w:spacing w:before="0" w:after="200" w:line="240" w:lineRule="auto"/>
        <w:ind w:left="0" w:right="0" w:firstLine="440"/>
        <w:jc w:val="left"/>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1</w:t>
      </w:r>
      <w:r>
        <w:rPr>
          <w:color w:val="000000"/>
          <w:spacing w:val="0"/>
          <w:w w:val="100"/>
          <w:position w:val="0"/>
        </w:rPr>
        <w:t>）盈利模式</w:t>
      </w:r>
    </w:p>
    <w:p>
      <w:pPr>
        <w:pStyle w:val="Style12"/>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公司主要通过提供软件技术外包服务实现盈利，具体情况如下：</w:t>
      </w:r>
      <w:r>
        <w:br w:type="page"/>
      </w:r>
    </w:p>
    <w:tbl>
      <w:tblPr>
        <w:tblOverlap w:val="never"/>
        <w:jc w:val="center"/>
        <w:tblLayout w:type="fixed"/>
      </w:tblPr>
      <w:tblGrid>
        <w:gridCol w:w="1704"/>
        <w:gridCol w:w="6739"/>
        <w:gridCol w:w="1200"/>
      </w:tblGrid>
      <w:tr>
        <w:trPr>
          <w:trHeight w:val="4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产品或服务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概述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收入类型</w:t>
            </w:r>
          </w:p>
        </w:tc>
      </w:tr>
      <w:tr>
        <w:trPr>
          <w:trHeight w:val="21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软件技术外包服务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456" w:val="left"/>
              </w:tabs>
              <w:bidi w:val="0"/>
              <w:spacing w:before="0" w:after="4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根据客户的需求，公司安排技术实施开发人员在客户指定的环节中提供技术服 务，并收取技术服务费的服务模式；</w:t>
            </w:r>
          </w:p>
          <w:p>
            <w:pPr>
              <w:pStyle w:val="Style2"/>
              <w:keepNext w:val="0"/>
              <w:keepLines w:val="0"/>
              <w:widowControl w:val="0"/>
              <w:shd w:val="clear" w:color="auto" w:fill="auto"/>
              <w:tabs>
                <w:tab w:pos="379" w:val="left"/>
              </w:tabs>
              <w:bidi w:val="0"/>
              <w:spacing w:before="0" w:after="4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由客户方主导管理项目进度、人员安排、质量控制等相关工作；</w:t>
            </w:r>
          </w:p>
          <w:p>
            <w:pPr>
              <w:pStyle w:val="Style2"/>
              <w:keepNext w:val="0"/>
              <w:keepLines w:val="0"/>
              <w:widowControl w:val="0"/>
              <w:shd w:val="clear" w:color="auto" w:fill="auto"/>
              <w:tabs>
                <w:tab w:pos="456" w:val="left"/>
              </w:tabs>
              <w:bidi w:val="0"/>
              <w:spacing w:before="0" w:after="4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一般为客户提供长期服务，公司按月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时根据技术实施开发人员的人月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时 单价和工作量收取服务费；</w:t>
            </w:r>
          </w:p>
          <w:p>
            <w:pPr>
              <w:pStyle w:val="Style2"/>
              <w:keepNext w:val="0"/>
              <w:keepLines w:val="0"/>
              <w:widowControl w:val="0"/>
              <w:shd w:val="clear" w:color="auto" w:fill="auto"/>
              <w:tabs>
                <w:tab w:pos="370" w:val="left"/>
              </w:tabs>
              <w:bidi w:val="0"/>
              <w:spacing w:before="0" w:after="40" w:line="31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既可以在公司场地完成，也可以在客户场地完成。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服务费</w:t>
            </w:r>
          </w:p>
        </w:tc>
      </w:tr>
    </w:tbl>
    <w:p>
      <w:pPr>
        <w:pStyle w:val="Style36"/>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）管理及服务模式</w:t>
      </w:r>
    </w:p>
    <w:p>
      <w:pPr>
        <w:pStyle w:val="Style12"/>
        <w:keepNext w:val="0"/>
        <w:keepLines w:val="0"/>
        <w:widowControl w:val="0"/>
        <w:shd w:val="clear" w:color="auto" w:fill="auto"/>
        <w:bidi w:val="0"/>
        <w:spacing w:before="0" w:after="140" w:line="470" w:lineRule="exact"/>
        <w:ind w:left="0" w:right="0" w:firstLine="460"/>
        <w:jc w:val="both"/>
      </w:pPr>
      <w:r>
        <w:rPr>
          <w:color w:val="000000"/>
          <w:spacing w:val="0"/>
          <w:w w:val="100"/>
          <w:position w:val="0"/>
        </w:rPr>
        <w:t>公司的管理架构采用</w:t>
      </w:r>
      <w:r>
        <w:rPr>
          <w:rFonts w:ascii="Times New Roman" w:eastAsia="Times New Roman" w:hAnsi="Times New Roman" w:cs="Times New Roman"/>
          <w:color w:val="000000"/>
          <w:spacing w:val="0"/>
          <w:w w:val="100"/>
          <w:position w:val="0"/>
        </w:rPr>
        <w:t>“</w:t>
      </w:r>
      <w:r>
        <w:rPr>
          <w:color w:val="000000"/>
          <w:spacing w:val="0"/>
          <w:w w:val="100"/>
          <w:position w:val="0"/>
        </w:rPr>
        <w:t>矩阵化''的扁平管理模式，组织架构包括业务单元平台、营销与交付管理平台、 解决方案与研发平台、综合管理平台等四个平台中心。</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公司矩阵化管理简图</w:t>
      </w:r>
    </w:p>
    <w:p>
      <w:pPr>
        <w:widowControl w:val="0"/>
        <w:jc w:val="center"/>
        <w:rPr>
          <w:sz w:val="2"/>
          <w:szCs w:val="2"/>
        </w:rPr>
      </w:pPr>
      <w:r>
        <w:drawing>
          <wp:inline>
            <wp:extent cx="5913120" cy="262763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
                    <a:stretch/>
                  </pic:blipFill>
                  <pic:spPr>
                    <a:xfrm>
                      <a:ext cx="5913120" cy="2627630"/>
                    </a:xfrm>
                    <a:prstGeom prst="rect"/>
                  </pic:spPr>
                </pic:pic>
              </a:graphicData>
            </a:graphic>
          </wp:inline>
        </w:drawing>
      </w:r>
    </w:p>
    <w:p>
      <w:pPr>
        <w:pStyle w:val="Style12"/>
        <w:keepNext w:val="0"/>
        <w:keepLines w:val="0"/>
        <w:widowControl w:val="0"/>
        <w:shd w:val="clear" w:color="auto" w:fill="auto"/>
        <w:bidi w:val="0"/>
        <w:spacing w:before="0" w:after="200" w:line="469" w:lineRule="exact"/>
        <w:ind w:left="0" w:right="0" w:firstLine="460"/>
        <w:jc w:val="both"/>
      </w:pPr>
      <w:r>
        <w:rPr>
          <w:color w:val="000000"/>
          <w:spacing w:val="0"/>
          <w:w w:val="100"/>
          <w:position w:val="0"/>
        </w:rPr>
        <w:t>公司各平台有机结合、协同作战，形成了包含销售、产品</w:t>
      </w:r>
      <w:r>
        <w:rPr>
          <w:rFonts w:ascii="Times New Roman" w:eastAsia="Times New Roman" w:hAnsi="Times New Roman" w:cs="Times New Roman"/>
          <w:color w:val="000000"/>
          <w:spacing w:val="0"/>
          <w:w w:val="100"/>
          <w:position w:val="0"/>
        </w:rPr>
        <w:t>/</w:t>
      </w:r>
      <w:r>
        <w:rPr>
          <w:color w:val="000000"/>
          <w:spacing w:val="0"/>
          <w:w w:val="100"/>
          <w:position w:val="0"/>
        </w:rPr>
        <w:t>服务解决方案、交付在内的</w:t>
      </w:r>
      <w:r>
        <w:rPr>
          <w:rFonts w:ascii="Times New Roman" w:eastAsia="Times New Roman" w:hAnsi="Times New Roman" w:cs="Times New Roman"/>
          <w:color w:val="000000"/>
          <w:spacing w:val="0"/>
          <w:w w:val="100"/>
          <w:position w:val="0"/>
        </w:rPr>
        <w:t>“</w:t>
      </w:r>
      <w:r>
        <w:rPr>
          <w:color w:val="000000"/>
          <w:spacing w:val="0"/>
          <w:w w:val="100"/>
          <w:position w:val="0"/>
        </w:rPr>
        <w:t>铁三角</w:t>
      </w:r>
      <w:r>
        <w:rPr>
          <w:rFonts w:ascii="Times New Roman" w:eastAsia="Times New Roman" w:hAnsi="Times New Roman" w:cs="Times New Roman"/>
          <w:color w:val="000000"/>
          <w:spacing w:val="0"/>
          <w:w w:val="100"/>
          <w:position w:val="0"/>
        </w:rPr>
        <w:t>”</w:t>
      </w:r>
      <w:r>
        <w:rPr>
          <w:color w:val="000000"/>
          <w:spacing w:val="0"/>
          <w:w w:val="100"/>
          <w:position w:val="0"/>
        </w:rPr>
        <w:t>服务架 构。基于能力四要素（指知识库、专家资源池、产品与解决方案、技术，下同），公司通过</w:t>
      </w:r>
      <w:r>
        <w:rPr>
          <w:rFonts w:ascii="Times New Roman" w:eastAsia="Times New Roman" w:hAnsi="Times New Roman" w:cs="Times New Roman"/>
          <w:color w:val="000000"/>
          <w:spacing w:val="0"/>
          <w:w w:val="100"/>
          <w:position w:val="0"/>
        </w:rPr>
        <w:t>“</w:t>
      </w:r>
      <w:r>
        <w:rPr>
          <w:color w:val="000000"/>
          <w:spacing w:val="0"/>
          <w:w w:val="100"/>
          <w:position w:val="0"/>
        </w:rPr>
        <w:t>铁三角''服务 架构，在客户开发与服务过程中，充分理解需求，为客户提供满意的服务，进而增加客户黏性，提高品牌 影响力，为推动公司的业务快速发展奠定了组织基础。</w:t>
      </w:r>
    </w:p>
    <w:p>
      <w:pPr>
        <w:pStyle w:val="Style12"/>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铁三角</w:t>
      </w:r>
      <w:r>
        <w:rPr>
          <w:rFonts w:ascii="Times New Roman" w:eastAsia="Times New Roman" w:hAnsi="Times New Roman" w:cs="Times New Roman"/>
          <w:color w:val="000000"/>
          <w:spacing w:val="0"/>
          <w:w w:val="100"/>
          <w:position w:val="0"/>
        </w:rPr>
        <w:t>”</w:t>
      </w:r>
      <w:r>
        <w:rPr>
          <w:color w:val="000000"/>
          <w:spacing w:val="0"/>
          <w:w w:val="100"/>
          <w:position w:val="0"/>
        </w:rPr>
        <w:t>组织支撑全流程运作如下：</w:t>
      </w:r>
    </w:p>
    <w:p>
      <w:pPr>
        <w:pStyle w:val="Style1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公司铁三角服务架构图</w:t>
      </w:r>
      <w:r>
        <w:br w:type="page"/>
      </w:r>
    </w:p>
    <w:p>
      <w:pPr>
        <w:widowControl w:val="0"/>
        <w:jc w:val="center"/>
        <w:rPr>
          <w:sz w:val="2"/>
          <w:szCs w:val="2"/>
        </w:rPr>
      </w:pPr>
      <w:r>
        <w:drawing>
          <wp:inline>
            <wp:extent cx="4358640" cy="254190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1"/>
                    <a:stretch/>
                  </pic:blipFill>
                  <pic:spPr>
                    <a:xfrm>
                      <a:ext cx="4358640" cy="2541905"/>
                    </a:xfrm>
                    <a:prstGeom prst="rect"/>
                  </pic:spPr>
                </pic:pic>
              </a:graphicData>
            </a:graphic>
          </wp:inline>
        </w:drawing>
      </w:r>
    </w:p>
    <w:p>
      <w:pPr>
        <w:widowControl w:val="0"/>
        <w:spacing w:after="119" w:line="1" w:lineRule="exact"/>
      </w:pPr>
    </w:p>
    <w:p>
      <w:pPr>
        <w:pStyle w:val="Style1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val="0"/>
        <w:keepLines w:val="0"/>
        <w:widowControl w:val="0"/>
        <w:shd w:val="clear" w:color="auto" w:fill="auto"/>
        <w:bidi w:val="0"/>
        <w:spacing w:before="0" w:after="0" w:line="480" w:lineRule="exact"/>
        <w:ind w:left="0" w:right="0" w:firstLine="0"/>
        <w:jc w:val="left"/>
      </w:pPr>
      <w:r>
        <w:rPr>
          <w:rFonts w:ascii="Times New Roman" w:eastAsia="Times New Roman" w:hAnsi="Times New Roman" w:cs="Times New Roman"/>
          <w:color w:val="000000"/>
          <w:spacing w:val="0"/>
          <w:w w:val="100"/>
          <w:position w:val="0"/>
        </w:rPr>
        <w:t>AR</w:t>
      </w:r>
      <w:r>
        <w:rPr>
          <w:color w:val="000000"/>
          <w:spacing w:val="0"/>
          <w:w w:val="100"/>
          <w:position w:val="0"/>
        </w:rPr>
        <w:t>为</w:t>
      </w:r>
      <w:r>
        <w:rPr>
          <w:rFonts w:ascii="Times New Roman" w:eastAsia="Times New Roman" w:hAnsi="Times New Roman" w:cs="Times New Roman"/>
          <w:color w:val="000000"/>
          <w:spacing w:val="0"/>
          <w:w w:val="100"/>
          <w:position w:val="0"/>
        </w:rPr>
        <w:t>Account Representative</w:t>
      </w:r>
      <w:r>
        <w:rPr>
          <w:color w:val="000000"/>
          <w:spacing w:val="0"/>
          <w:w w:val="100"/>
          <w:position w:val="0"/>
        </w:rPr>
        <w:t>，</w:t>
      </w:r>
      <w:r>
        <w:rPr>
          <w:color w:val="000000"/>
          <w:spacing w:val="0"/>
          <w:w w:val="100"/>
          <w:position w:val="0"/>
        </w:rPr>
        <w:t>客户代表责任人，其主要职责是确保客户的满意度，与客户建立起良好的 合作关系，在整个架构中负责将产品</w:t>
      </w:r>
      <w:r>
        <w:rPr>
          <w:rFonts w:ascii="Times New Roman" w:eastAsia="Times New Roman" w:hAnsi="Times New Roman" w:cs="Times New Roman"/>
          <w:color w:val="000000"/>
          <w:spacing w:val="0"/>
          <w:w w:val="100"/>
          <w:position w:val="0"/>
        </w:rPr>
        <w:t>/</w:t>
      </w:r>
      <w:r>
        <w:rPr>
          <w:color w:val="000000"/>
          <w:spacing w:val="0"/>
          <w:w w:val="100"/>
          <w:position w:val="0"/>
        </w:rPr>
        <w:t>服务解决方案传导至客户并转化为可执行的合同；</w:t>
      </w:r>
    </w:p>
    <w:p>
      <w:pPr>
        <w:pStyle w:val="Style12"/>
        <w:keepNext w:val="0"/>
        <w:keepLines w:val="0"/>
        <w:widowControl w:val="0"/>
        <w:shd w:val="clear" w:color="auto" w:fill="auto"/>
        <w:bidi w:val="0"/>
        <w:spacing w:before="0" w:after="0" w:line="480" w:lineRule="exact"/>
        <w:ind w:left="0" w:right="0" w:firstLine="0"/>
        <w:jc w:val="left"/>
      </w:pPr>
      <w:r>
        <w:rPr>
          <w:rFonts w:ascii="Times New Roman" w:eastAsia="Times New Roman" w:hAnsi="Times New Roman" w:cs="Times New Roman"/>
          <w:color w:val="000000"/>
          <w:spacing w:val="0"/>
          <w:w w:val="100"/>
          <w:position w:val="0"/>
        </w:rPr>
        <w:t>SR</w:t>
      </w:r>
      <w:r>
        <w:rPr>
          <w:color w:val="000000"/>
          <w:spacing w:val="0"/>
          <w:w w:val="100"/>
          <w:position w:val="0"/>
        </w:rPr>
        <w:t>为</w:t>
      </w:r>
      <w:r>
        <w:rPr>
          <w:rFonts w:ascii="Times New Roman" w:eastAsia="Times New Roman" w:hAnsi="Times New Roman" w:cs="Times New Roman"/>
          <w:color w:val="000000"/>
          <w:spacing w:val="0"/>
          <w:w w:val="100"/>
          <w:position w:val="0"/>
        </w:rPr>
        <w:t>Solution Representative</w:t>
      </w:r>
      <w:r>
        <w:rPr>
          <w:color w:val="000000"/>
          <w:spacing w:val="0"/>
          <w:w w:val="100"/>
          <w:position w:val="0"/>
        </w:rPr>
        <w:t>，产品代表，或解决方案负责人，解决方案责任人结合业务场景及技术特点， 洞察客户需求，形成一整套能够获得客户认可的方案。</w:t>
      </w:r>
    </w:p>
    <w:p>
      <w:pPr>
        <w:pStyle w:val="Style12"/>
        <w:keepNext w:val="0"/>
        <w:keepLines w:val="0"/>
        <w:widowControl w:val="0"/>
        <w:shd w:val="clear" w:color="auto" w:fill="auto"/>
        <w:bidi w:val="0"/>
        <w:spacing w:before="0" w:after="0" w:line="480" w:lineRule="exact"/>
        <w:ind w:left="0" w:right="0" w:firstLine="0"/>
        <w:jc w:val="left"/>
      </w:pPr>
      <w:r>
        <w:rPr>
          <w:rFonts w:ascii="Times New Roman" w:eastAsia="Times New Roman" w:hAnsi="Times New Roman" w:cs="Times New Roman"/>
          <w:color w:val="000000"/>
          <w:spacing w:val="0"/>
          <w:w w:val="100"/>
          <w:position w:val="0"/>
        </w:rPr>
        <w:t>FR</w:t>
      </w:r>
      <w:r>
        <w:rPr>
          <w:color w:val="000000"/>
          <w:spacing w:val="0"/>
          <w:w w:val="100"/>
          <w:position w:val="0"/>
        </w:rPr>
        <w:t>为</w:t>
      </w:r>
      <w:r>
        <w:rPr>
          <w:rFonts w:ascii="Times New Roman" w:eastAsia="Times New Roman" w:hAnsi="Times New Roman" w:cs="Times New Roman"/>
          <w:color w:val="000000"/>
          <w:spacing w:val="0"/>
          <w:w w:val="100"/>
          <w:position w:val="0"/>
        </w:rPr>
        <w:t>Full fill Representative</w:t>
      </w:r>
      <w:r>
        <w:rPr>
          <w:color w:val="000000"/>
          <w:spacing w:val="0"/>
          <w:w w:val="100"/>
          <w:position w:val="0"/>
        </w:rPr>
        <w:t>，交付代表，定位为</w:t>
      </w:r>
      <w:r>
        <w:rPr>
          <w:rFonts w:ascii="Times New Roman" w:eastAsia="Times New Roman" w:hAnsi="Times New Roman" w:cs="Times New Roman"/>
          <w:color w:val="000000"/>
          <w:spacing w:val="0"/>
          <w:w w:val="100"/>
          <w:position w:val="0"/>
        </w:rPr>
        <w:t>“</w:t>
      </w:r>
      <w:r>
        <w:rPr>
          <w:color w:val="000000"/>
          <w:spacing w:val="0"/>
          <w:w w:val="100"/>
          <w:position w:val="0"/>
        </w:rPr>
        <w:t>履行责任人</w:t>
      </w:r>
      <w:r>
        <w:rPr>
          <w:rFonts w:ascii="Times New Roman" w:eastAsia="Times New Roman" w:hAnsi="Times New Roman" w:cs="Times New Roman"/>
          <w:color w:val="000000"/>
          <w:spacing w:val="0"/>
          <w:w w:val="100"/>
          <w:position w:val="0"/>
        </w:rPr>
        <w:t>”</w:t>
      </w:r>
      <w:r>
        <w:rPr>
          <w:color w:val="000000"/>
          <w:spacing w:val="0"/>
          <w:w w:val="100"/>
          <w:position w:val="0"/>
        </w:rPr>
        <w:t>，职责是保障合同成功履行，即客户对合同 履行满意度。</w:t>
      </w:r>
    </w:p>
    <w:p>
      <w:pPr>
        <w:pStyle w:val="Style12"/>
        <w:keepNext w:val="0"/>
        <w:keepLines w:val="0"/>
        <w:widowControl w:val="0"/>
        <w:shd w:val="clear" w:color="auto" w:fill="auto"/>
        <w:bidi w:val="0"/>
        <w:spacing w:before="0" w:after="0" w:line="470" w:lineRule="exact"/>
        <w:ind w:left="0" w:right="0" w:firstLine="660"/>
        <w:jc w:val="both"/>
      </w:pPr>
      <w:r>
        <w:rPr>
          <w:color w:val="000000"/>
          <w:spacing w:val="0"/>
          <w:w w:val="100"/>
          <w:position w:val="0"/>
        </w:rPr>
        <w:t>铁三角的三个顶点分别是负责客户关系的</w:t>
      </w:r>
      <w:r>
        <w:rPr>
          <w:rFonts w:ascii="Times New Roman" w:eastAsia="Times New Roman" w:hAnsi="Times New Roman" w:cs="Times New Roman"/>
          <w:color w:val="000000"/>
          <w:spacing w:val="0"/>
          <w:w w:val="100"/>
          <w:position w:val="0"/>
        </w:rPr>
        <w:t>AR</w:t>
      </w:r>
      <w:r>
        <w:rPr>
          <w:color w:val="000000"/>
          <w:spacing w:val="0"/>
          <w:w w:val="100"/>
          <w:position w:val="0"/>
        </w:rPr>
        <w:t>，</w:t>
      </w:r>
      <w:r>
        <w:rPr>
          <w:color w:val="000000"/>
          <w:spacing w:val="0"/>
          <w:w w:val="100"/>
          <w:position w:val="0"/>
        </w:rPr>
        <w:t>技术支持及方案提供的</w:t>
      </w:r>
      <w:r>
        <w:rPr>
          <w:rFonts w:ascii="Times New Roman" w:eastAsia="Times New Roman" w:hAnsi="Times New Roman" w:cs="Times New Roman"/>
          <w:color w:val="000000"/>
          <w:spacing w:val="0"/>
          <w:w w:val="100"/>
          <w:position w:val="0"/>
        </w:rPr>
        <w:t>SR</w:t>
      </w:r>
      <w:r>
        <w:rPr>
          <w:color w:val="000000"/>
          <w:spacing w:val="0"/>
          <w:w w:val="100"/>
          <w:position w:val="0"/>
        </w:rPr>
        <w:t>以及具体实施的</w:t>
      </w:r>
      <w:r>
        <w:rPr>
          <w:rFonts w:ascii="Times New Roman" w:eastAsia="Times New Roman" w:hAnsi="Times New Roman" w:cs="Times New Roman"/>
          <w:color w:val="000000"/>
          <w:spacing w:val="0"/>
          <w:w w:val="100"/>
          <w:position w:val="0"/>
        </w:rPr>
        <w:t>FR</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铁 三角''既体现在公司管理层面也具体至各业务单元。公司的铁三角的有效运行，为业务的快速发展奠定了 组织基础。</w:t>
      </w:r>
    </w:p>
    <w:p>
      <w:pPr>
        <w:pStyle w:val="Style12"/>
        <w:keepNext w:val="0"/>
        <w:keepLines w:val="0"/>
        <w:widowControl w:val="0"/>
        <w:shd w:val="clear" w:color="auto" w:fill="auto"/>
        <w:bidi w:val="0"/>
        <w:spacing w:before="0" w:after="0" w:line="470" w:lineRule="exact"/>
        <w:ind w:left="0" w:right="0" w:firstLine="44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3</w:t>
      </w:r>
      <w:r>
        <w:rPr>
          <w:color w:val="000000"/>
          <w:spacing w:val="0"/>
          <w:w w:val="100"/>
          <w:position w:val="0"/>
        </w:rPr>
        <w:t>）市场开发及销售模式</w:t>
      </w:r>
    </w:p>
    <w:p>
      <w:pPr>
        <w:pStyle w:val="Style12"/>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公司采用直接销售模式，相关人员依据线索管理、立项、方案转化、投标</w:t>
      </w:r>
      <w:r>
        <w:rPr>
          <w:rFonts w:ascii="Times New Roman" w:eastAsia="Times New Roman" w:hAnsi="Times New Roman" w:cs="Times New Roman"/>
          <w:color w:val="000000"/>
          <w:spacing w:val="0"/>
          <w:w w:val="100"/>
          <w:position w:val="0"/>
        </w:rPr>
        <w:t>/</w:t>
      </w:r>
      <w:r>
        <w:rPr>
          <w:color w:val="000000"/>
          <w:spacing w:val="0"/>
          <w:w w:val="100"/>
          <w:position w:val="0"/>
        </w:rPr>
        <w:t>谈判、合同签订五大关键模 块进行销售业务的标准化拓展，公司销售模式流程如下：</w:t>
      </w:r>
    </w:p>
    <w:p>
      <w:pPr>
        <w:pStyle w:val="Style1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市场开发及销售模式流程图</w:t>
      </w:r>
    </w:p>
    <w:p>
      <w:pPr>
        <w:widowControl w:val="0"/>
        <w:jc w:val="center"/>
        <w:rPr>
          <w:sz w:val="2"/>
          <w:szCs w:val="2"/>
        </w:rPr>
      </w:pPr>
      <w:r>
        <w:drawing>
          <wp:inline>
            <wp:extent cx="5266690" cy="197485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a:stretch/>
                  </pic:blipFill>
                  <pic:spPr>
                    <a:xfrm>
                      <a:ext cx="5266690" cy="1974850"/>
                    </a:xfrm>
                    <a:prstGeom prst="rect"/>
                  </pic:spPr>
                </pic:pic>
              </a:graphicData>
            </a:graphic>
          </wp:inline>
        </w:drawing>
      </w:r>
    </w:p>
    <w:p>
      <w:pPr>
        <w:pStyle w:val="Style12"/>
        <w:keepNext w:val="0"/>
        <w:keepLines w:val="0"/>
        <w:widowControl w:val="0"/>
        <w:shd w:val="clear" w:color="auto" w:fill="auto"/>
        <w:tabs>
          <w:tab w:pos="913" w:val="left"/>
        </w:tabs>
        <w:bidi w:val="0"/>
        <w:spacing w:before="0" w:after="0" w:line="468" w:lineRule="exact"/>
        <w:ind w:left="0" w:right="0" w:firstLine="440"/>
        <w:jc w:val="left"/>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4</w:t>
      </w:r>
      <w:r>
        <w:rPr>
          <w:color w:val="000000"/>
          <w:spacing w:val="0"/>
          <w:w w:val="100"/>
          <w:position w:val="0"/>
        </w:rPr>
        <w:t>）</w:t>
        <w:tab/>
        <w:t>服务交付管理模式</w:t>
      </w:r>
    </w:p>
    <w:p>
      <w:pPr>
        <w:pStyle w:val="Style1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公司的服务交付模式按照是否在客户现场提供服务分为非现场交付模式和现场交付模式，非现场交付 模式是指公司的员工仅在公司办公场地工作，不在客户现场提供服务；现场交付模式是指公司的员工在客 户办公场地工作。</w:t>
      </w:r>
    </w:p>
    <w:p>
      <w:pPr>
        <w:pStyle w:val="Style1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公司的软件技术外包服务主要为现场交付模式。公司交付部门</w:t>
      </w:r>
      <w:r>
        <w:rPr>
          <w:rFonts w:ascii="Times New Roman" w:eastAsia="Times New Roman" w:hAnsi="Times New Roman" w:cs="Times New Roman"/>
          <w:color w:val="000000"/>
          <w:spacing w:val="0"/>
          <w:w w:val="100"/>
          <w:position w:val="0"/>
        </w:rPr>
        <w:t>“</w:t>
      </w:r>
      <w:r>
        <w:rPr>
          <w:color w:val="000000"/>
          <w:spacing w:val="0"/>
          <w:w w:val="100"/>
          <w:position w:val="0"/>
        </w:rPr>
        <w:t>快、准''地组织满足客户需求的人员向 其提供服务，对在客户现场的公司人员实施考核与管理、培训与能力提升，以稳定的服务质量满足客户 的需求。</w:t>
      </w:r>
    </w:p>
    <w:p>
      <w:pPr>
        <w:pStyle w:val="Style12"/>
        <w:keepNext w:val="0"/>
        <w:keepLines w:val="0"/>
        <w:widowControl w:val="0"/>
        <w:shd w:val="clear" w:color="auto" w:fill="auto"/>
        <w:tabs>
          <w:tab w:pos="933" w:val="left"/>
        </w:tabs>
        <w:bidi w:val="0"/>
        <w:spacing w:before="0" w:after="0" w:line="467" w:lineRule="exact"/>
        <w:ind w:left="0" w:right="0" w:firstLine="460"/>
        <w:jc w:val="both"/>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5</w:t>
      </w:r>
      <w:r>
        <w:rPr>
          <w:color w:val="000000"/>
          <w:spacing w:val="0"/>
          <w:w w:val="100"/>
          <w:position w:val="0"/>
        </w:rPr>
        <w:t>）</w:t>
        <w:tab/>
        <w:t>采购模式</w:t>
      </w:r>
    </w:p>
    <w:p>
      <w:pPr>
        <w:pStyle w:val="Style1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公司的采购主要是技术支持及人力资源服务、房屋和设备租赁、固定资产采购、鉴证咨询费、水电物 业及办公用品等。其中，技术支持及人力资源服务是指公司在内部资源有限的情况下，通过其他专业渠道 快速获取技术支持和优质人力资源及服务的一种方式。房屋和设备租赁支出主要是办公场所和办公设备的 经营租赁，公司对办公场所的需求均为通用型办公用房，公司对办公设备的需求主要为常用电子办公设备。</w:t>
      </w:r>
    </w:p>
    <w:p>
      <w:pPr>
        <w:pStyle w:val="Style1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日常采购中，公司以直接采购为主。公司采购是由需求部门提出，根据授权由各分管领导审批后， 交由相应部门进行采购。</w:t>
      </w:r>
    </w:p>
    <w:p>
      <w:pPr>
        <w:pStyle w:val="Style12"/>
        <w:keepNext w:val="0"/>
        <w:keepLines w:val="0"/>
        <w:widowControl w:val="0"/>
        <w:shd w:val="clear" w:color="auto" w:fill="auto"/>
        <w:tabs>
          <w:tab w:pos="913" w:val="left"/>
        </w:tabs>
        <w:bidi w:val="0"/>
        <w:spacing w:before="0" w:after="0" w:line="467" w:lineRule="exact"/>
        <w:ind w:left="0" w:right="0" w:firstLine="44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6</w:t>
      </w:r>
      <w:r>
        <w:rPr>
          <w:color w:val="000000"/>
          <w:spacing w:val="0"/>
          <w:w w:val="100"/>
          <w:position w:val="0"/>
        </w:rPr>
        <w:t>）</w:t>
        <w:tab/>
        <w:t>研发模式</w:t>
      </w:r>
    </w:p>
    <w:p>
      <w:pPr>
        <w:pStyle w:val="Style12"/>
        <w:keepNext w:val="0"/>
        <w:keepLines w:val="0"/>
        <w:widowControl w:val="0"/>
        <w:shd w:val="clear" w:color="auto" w:fill="auto"/>
        <w:bidi w:val="0"/>
        <w:spacing w:before="0" w:after="440" w:line="467" w:lineRule="exact"/>
        <w:ind w:left="0" w:right="0" w:firstLine="460"/>
        <w:jc w:val="both"/>
      </w:pPr>
      <w:r>
        <w:rPr>
          <w:color w:val="000000"/>
          <w:spacing w:val="0"/>
          <w:w w:val="100"/>
          <w:position w:val="0"/>
        </w:rPr>
        <w:t>公司作为高新技术企业，在业务发展过程中逐步形成了技术研发和业务场景研究的双轮驱动模式，构 建了研发中心和产品与解决方案中心的</w:t>
      </w:r>
      <w:r>
        <w:rPr>
          <w:rFonts w:ascii="Times New Roman" w:eastAsia="Times New Roman" w:hAnsi="Times New Roman" w:cs="Times New Roman"/>
          <w:color w:val="000000"/>
          <w:spacing w:val="0"/>
          <w:w w:val="100"/>
          <w:position w:val="0"/>
        </w:rPr>
        <w:t>“</w:t>
      </w:r>
      <w:r>
        <w:rPr>
          <w:color w:val="000000"/>
          <w:spacing w:val="0"/>
          <w:w w:val="100"/>
          <w:position w:val="0"/>
        </w:rPr>
        <w:t>双能力中心</w:t>
      </w:r>
      <w:r>
        <w:rPr>
          <w:rFonts w:ascii="Times New Roman" w:eastAsia="Times New Roman" w:hAnsi="Times New Roman" w:cs="Times New Roman"/>
          <w:color w:val="000000"/>
          <w:spacing w:val="0"/>
          <w:w w:val="100"/>
          <w:position w:val="0"/>
        </w:rPr>
        <w:t>”</w:t>
      </w:r>
      <w:r>
        <w:rPr>
          <w:color w:val="000000"/>
          <w:spacing w:val="0"/>
          <w:w w:val="100"/>
          <w:position w:val="0"/>
        </w:rPr>
        <w:t>平台，搭建了先行技术研究、共性技术研究、应用技 术研究、交付技术研究的四级研发体系，在云计算、人工智能、大数据、物联网、移动互联网等技术领域 持续创新积累，形成了智慧金融、智慧物流、智能大数据、企业数字化、智能电商等一系列技术解决方案， 并通过了软件能力成熟度模型集成</w:t>
      </w:r>
      <w:r>
        <w:rPr>
          <w:rFonts w:ascii="Times New Roman" w:eastAsia="Times New Roman" w:hAnsi="Times New Roman" w:cs="Times New Roman"/>
          <w:color w:val="000000"/>
          <w:spacing w:val="0"/>
          <w:w w:val="100"/>
          <w:position w:val="0"/>
        </w:rPr>
        <w:t xml:space="preserve">CMMI </w:t>
      </w:r>
      <w:r>
        <w:rPr>
          <w:rFonts w:ascii="Times New Roman" w:eastAsia="Times New Roman" w:hAnsi="Times New Roman" w:cs="Times New Roman"/>
          <w:color w:val="000000"/>
          <w:spacing w:val="0"/>
          <w:w w:val="100"/>
          <w:position w:val="0"/>
        </w:rPr>
        <w:t>5</w:t>
      </w:r>
      <w:r>
        <w:rPr>
          <w:color w:val="000000"/>
          <w:spacing w:val="0"/>
          <w:w w:val="100"/>
          <w:position w:val="0"/>
        </w:rPr>
        <w:t>级、</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w:t>
      </w:r>
      <w:r>
        <w:rPr>
          <w:rFonts w:ascii="Times New Roman" w:eastAsia="Times New Roman" w:hAnsi="Times New Roman" w:cs="Times New Roman"/>
          <w:color w:val="000000"/>
          <w:spacing w:val="0"/>
          <w:w w:val="100"/>
          <w:position w:val="0"/>
        </w:rPr>
        <w:t>ISO27001</w:t>
      </w:r>
      <w:r>
        <w:rPr>
          <w:color w:val="000000"/>
          <w:spacing w:val="0"/>
          <w:w w:val="100"/>
          <w:position w:val="0"/>
        </w:rPr>
        <w:t xml:space="preserve">信息安全管理体系、 </w:t>
      </w:r>
      <w:r>
        <w:rPr>
          <w:rFonts w:ascii="Times New Roman" w:eastAsia="Times New Roman" w:hAnsi="Times New Roman" w:cs="Times New Roman"/>
          <w:color w:val="000000"/>
          <w:spacing w:val="0"/>
          <w:w w:val="100"/>
          <w:position w:val="0"/>
        </w:rPr>
        <w:t>ISO/IEC20000-1</w:t>
      </w:r>
      <w:r>
        <w:rPr>
          <w:color w:val="000000"/>
          <w:spacing w:val="0"/>
          <w:w w:val="100"/>
          <w:position w:val="0"/>
        </w:rPr>
        <w:t>的服务管理体系和</w:t>
      </w:r>
      <w:r>
        <w:rPr>
          <w:rFonts w:ascii="Times New Roman" w:eastAsia="Times New Roman" w:hAnsi="Times New Roman" w:cs="Times New Roman"/>
          <w:color w:val="000000"/>
          <w:spacing w:val="0"/>
          <w:w w:val="100"/>
          <w:position w:val="0"/>
        </w:rPr>
        <w:t>ISO20000</w:t>
      </w:r>
      <w:r>
        <w:rPr>
          <w:color w:val="000000"/>
          <w:spacing w:val="0"/>
          <w:w w:val="100"/>
          <w:position w:val="0"/>
        </w:rPr>
        <w:t>信息技术服务管理体系等认证，以及取得了</w:t>
      </w:r>
      <w:r>
        <w:rPr>
          <w:rFonts w:ascii="Times New Roman" w:eastAsia="Times New Roman" w:hAnsi="Times New Roman" w:cs="Times New Roman"/>
          <w:color w:val="000000"/>
          <w:spacing w:val="0"/>
          <w:w w:val="100"/>
          <w:position w:val="0"/>
        </w:rPr>
        <w:t>300</w:t>
      </w:r>
      <w:r>
        <w:rPr>
          <w:color w:val="000000"/>
          <w:spacing w:val="0"/>
          <w:w w:val="100"/>
          <w:position w:val="0"/>
        </w:rPr>
        <w:t>余项软件著作 权及十余项软件产品证书。</w:t>
      </w:r>
    </w:p>
    <w:p>
      <w:pPr>
        <w:pStyle w:val="Style31"/>
        <w:keepNext/>
        <w:keepLines/>
        <w:widowControl w:val="0"/>
        <w:shd w:val="clear" w:color="auto" w:fill="auto"/>
        <w:bidi w:val="0"/>
        <w:spacing w:before="0" w:after="20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sz w:val="24"/>
          <w:szCs w:val="24"/>
        </w:rPr>
        <w:t>三</w:t>
      </w:r>
      <w:bookmarkEnd w:id="88"/>
      <w:r>
        <w:rPr>
          <w:color w:val="000000"/>
          <w:spacing w:val="0"/>
          <w:w w:val="100"/>
          <w:position w:val="0"/>
          <w:sz w:val="24"/>
          <w:szCs w:val="24"/>
        </w:rPr>
        <w:t>、核心竞争力分析</w:t>
      </w:r>
      <w:bookmarkEnd w:id="86"/>
      <w:bookmarkEnd w:id="87"/>
      <w:bookmarkEnd w:id="89"/>
    </w:p>
    <w:p>
      <w:pPr>
        <w:pStyle w:val="Style12"/>
        <w:keepNext w:val="0"/>
        <w:keepLines w:val="0"/>
        <w:widowControl w:val="0"/>
        <w:shd w:val="clear" w:color="auto" w:fill="auto"/>
        <w:tabs>
          <w:tab w:pos="820" w:val="left"/>
        </w:tabs>
        <w:bidi w:val="0"/>
        <w:spacing w:before="0" w:after="0" w:line="470" w:lineRule="exact"/>
        <w:ind w:left="0" w:right="0" w:firstLine="440"/>
        <w:jc w:val="left"/>
      </w:pPr>
      <w:bookmarkStart w:id="90" w:name="bookmark90"/>
      <w:r>
        <w:rPr>
          <w:rFonts w:ascii="Times New Roman" w:eastAsia="Times New Roman" w:hAnsi="Times New Roman" w:cs="Times New Roman"/>
          <w:color w:val="000000"/>
          <w:spacing w:val="0"/>
          <w:w w:val="100"/>
          <w:position w:val="0"/>
        </w:rPr>
        <w:t>1</w:t>
      </w:r>
      <w:bookmarkEnd w:id="90"/>
      <w:r>
        <w:rPr>
          <w:color w:val="000000"/>
          <w:spacing w:val="0"/>
          <w:w w:val="100"/>
          <w:position w:val="0"/>
        </w:rPr>
        <w:t>、</w:t>
        <w:tab/>
        <w:t>优质的客户群体优势</w:t>
      </w:r>
    </w:p>
    <w:p>
      <w:pPr>
        <w:pStyle w:val="Style1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经过多年发展，公司已经与金融、互联网、软件、通信、房地产、航空物流、制造业、批发零售等多 个行业中的优质客户建立稳定的合作关系，陆续进入国内外知名企业的合格供应商名录，并通过高效的业 务能力及客户管理能力增强客户粘性，与客户展开长期稳定的合作。</w:t>
      </w:r>
    </w:p>
    <w:p>
      <w:pPr>
        <w:pStyle w:val="Style12"/>
        <w:keepNext w:val="0"/>
        <w:keepLines w:val="0"/>
        <w:widowControl w:val="0"/>
        <w:shd w:val="clear" w:color="auto" w:fill="auto"/>
        <w:tabs>
          <w:tab w:pos="828" w:val="left"/>
        </w:tabs>
        <w:bidi w:val="0"/>
        <w:spacing w:before="0" w:after="0" w:line="470" w:lineRule="exact"/>
        <w:ind w:left="0" w:right="0" w:firstLine="460"/>
        <w:jc w:val="both"/>
      </w:pPr>
      <w:bookmarkStart w:id="91" w:name="bookmark91"/>
      <w:r>
        <w:rPr>
          <w:rFonts w:ascii="Times New Roman" w:eastAsia="Times New Roman" w:hAnsi="Times New Roman" w:cs="Times New Roman"/>
          <w:color w:val="000000"/>
          <w:spacing w:val="0"/>
          <w:w w:val="100"/>
          <w:position w:val="0"/>
        </w:rPr>
        <w:t>2</w:t>
      </w:r>
      <w:bookmarkEnd w:id="91"/>
      <w:r>
        <w:rPr>
          <w:color w:val="000000"/>
          <w:spacing w:val="0"/>
          <w:w w:val="100"/>
          <w:position w:val="0"/>
        </w:rPr>
        <w:t>、</w:t>
        <w:tab/>
        <w:t>敏捷的交付能力优势</w:t>
      </w:r>
    </w:p>
    <w:p>
      <w:pPr>
        <w:pStyle w:val="Style12"/>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 xml:space="preserve">在管理成本、人才储备等方面具有明显的规模优势。公司在北京、上海、广州、杭州、南京、成都、 </w:t>
      </w:r>
      <w:r>
        <w:rPr>
          <w:color w:val="000000"/>
          <w:spacing w:val="0"/>
          <w:w w:val="100"/>
          <w:position w:val="0"/>
        </w:rPr>
        <w:t>武汉等国内主要城市设有分公司或办事处，业务范围覆盖全国大部分地区，具备全时快速响应、多区域同 步交付的能力。通过跨区域、多网点布局，使得公司业务在覆盖全国大部分地区的同时，仍能保持敏捷的 交付能力，为客户提供更高效率、更低风险、更优品质的信息技术服务。</w:t>
      </w:r>
    </w:p>
    <w:p>
      <w:pPr>
        <w:pStyle w:val="Style12"/>
        <w:keepNext w:val="0"/>
        <w:keepLines w:val="0"/>
        <w:widowControl w:val="0"/>
        <w:shd w:val="clear" w:color="auto" w:fill="auto"/>
        <w:tabs>
          <w:tab w:pos="769" w:val="left"/>
        </w:tabs>
        <w:bidi w:val="0"/>
        <w:spacing w:before="0" w:after="0"/>
        <w:ind w:left="0" w:right="0" w:firstLine="440"/>
        <w:jc w:val="both"/>
      </w:pPr>
      <w:bookmarkStart w:id="92" w:name="bookmark92"/>
      <w:r>
        <w:rPr>
          <w:rFonts w:ascii="Times New Roman" w:eastAsia="Times New Roman" w:hAnsi="Times New Roman" w:cs="Times New Roman"/>
          <w:color w:val="000000"/>
          <w:spacing w:val="0"/>
          <w:w w:val="100"/>
          <w:position w:val="0"/>
        </w:rPr>
        <w:t>3</w:t>
      </w:r>
      <w:bookmarkEnd w:id="92"/>
      <w:r>
        <w:rPr>
          <w:color w:val="000000"/>
          <w:spacing w:val="0"/>
          <w:w w:val="100"/>
          <w:position w:val="0"/>
        </w:rPr>
        <w:t>、</w:t>
        <w:tab/>
        <w:t>高效的管理模式优势</w:t>
      </w:r>
    </w:p>
    <w:p>
      <w:pPr>
        <w:pStyle w:val="Style12"/>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公司的管理架构采用</w:t>
      </w:r>
      <w:r>
        <w:rPr>
          <w:rFonts w:ascii="Times New Roman" w:eastAsia="Times New Roman" w:hAnsi="Times New Roman" w:cs="Times New Roman"/>
          <w:color w:val="000000"/>
          <w:spacing w:val="0"/>
          <w:w w:val="100"/>
          <w:position w:val="0"/>
        </w:rPr>
        <w:t>“</w:t>
      </w:r>
      <w:r>
        <w:rPr>
          <w:color w:val="000000"/>
          <w:spacing w:val="0"/>
          <w:w w:val="100"/>
          <w:position w:val="0"/>
        </w:rPr>
        <w:t>矩阵化''的扁平管理模式，组织架构包括业务单元平台、营销与交付管理平台、 解决方案与研发平台、综合管理平台等四个平台中心。公司各平台有机结合、协同作战，形成了包含销售、 产品</w:t>
      </w:r>
      <w:r>
        <w:rPr>
          <w:rFonts w:ascii="Times New Roman" w:eastAsia="Times New Roman" w:hAnsi="Times New Roman" w:cs="Times New Roman"/>
          <w:color w:val="000000"/>
          <w:spacing w:val="0"/>
          <w:w w:val="100"/>
          <w:position w:val="0"/>
        </w:rPr>
        <w:t>/</w:t>
      </w:r>
      <w:r>
        <w:rPr>
          <w:color w:val="000000"/>
          <w:spacing w:val="0"/>
          <w:w w:val="100"/>
          <w:position w:val="0"/>
        </w:rPr>
        <w:t>解决方案、交付在内的</w:t>
      </w:r>
      <w:r>
        <w:rPr>
          <w:rFonts w:ascii="Times New Roman" w:eastAsia="Times New Roman" w:hAnsi="Times New Roman" w:cs="Times New Roman"/>
          <w:color w:val="000000"/>
          <w:spacing w:val="0"/>
          <w:w w:val="100"/>
          <w:position w:val="0"/>
        </w:rPr>
        <w:t>“</w:t>
      </w:r>
      <w:r>
        <w:rPr>
          <w:color w:val="000000"/>
          <w:spacing w:val="0"/>
          <w:w w:val="100"/>
          <w:position w:val="0"/>
        </w:rPr>
        <w:t>铁三角''服务架构。</w:t>
      </w:r>
      <w:r>
        <w:rPr>
          <w:rFonts w:ascii="Times New Roman" w:eastAsia="Times New Roman" w:hAnsi="Times New Roman" w:cs="Times New Roman"/>
          <w:color w:val="000000"/>
          <w:spacing w:val="0"/>
          <w:w w:val="100"/>
          <w:position w:val="0"/>
        </w:rPr>
        <w:t>“</w:t>
      </w:r>
      <w:r>
        <w:rPr>
          <w:color w:val="000000"/>
          <w:spacing w:val="0"/>
          <w:w w:val="100"/>
          <w:position w:val="0"/>
        </w:rPr>
        <w:t>铁三角''既体现在公司管理层面也具体至各业务单元，为 快速响应客户、解决客户业务痛点、满足客户需求奠定了组织基础。</w:t>
      </w:r>
    </w:p>
    <w:p>
      <w:pPr>
        <w:pStyle w:val="Style12"/>
        <w:keepNext w:val="0"/>
        <w:keepLines w:val="0"/>
        <w:widowControl w:val="0"/>
        <w:shd w:val="clear" w:color="auto" w:fill="auto"/>
        <w:tabs>
          <w:tab w:pos="769" w:val="left"/>
        </w:tabs>
        <w:bidi w:val="0"/>
        <w:spacing w:before="0" w:after="0"/>
        <w:ind w:left="0" w:right="0" w:firstLine="440"/>
        <w:jc w:val="both"/>
      </w:pPr>
      <w:bookmarkStart w:id="93" w:name="bookmark93"/>
      <w:r>
        <w:rPr>
          <w:rFonts w:ascii="Times New Roman" w:eastAsia="Times New Roman" w:hAnsi="Times New Roman" w:cs="Times New Roman"/>
          <w:color w:val="000000"/>
          <w:spacing w:val="0"/>
          <w:w w:val="100"/>
          <w:position w:val="0"/>
        </w:rPr>
        <w:t>4</w:t>
      </w:r>
      <w:bookmarkEnd w:id="93"/>
      <w:r>
        <w:rPr>
          <w:color w:val="000000"/>
          <w:spacing w:val="0"/>
          <w:w w:val="100"/>
          <w:position w:val="0"/>
        </w:rPr>
        <w:t>、</w:t>
        <w:tab/>
        <w:t>特有的能力四要素优势</w:t>
      </w:r>
    </w:p>
    <w:p>
      <w:pPr>
        <w:pStyle w:val="Style12"/>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在多年的业务探索中，形成公司特有的以</w:t>
      </w:r>
      <w:r>
        <w:rPr>
          <w:rFonts w:ascii="Times New Roman" w:eastAsia="Times New Roman" w:hAnsi="Times New Roman" w:cs="Times New Roman"/>
          <w:color w:val="000000"/>
          <w:spacing w:val="0"/>
          <w:w w:val="100"/>
          <w:position w:val="0"/>
        </w:rPr>
        <w:t>“</w:t>
      </w:r>
      <w:r>
        <w:rPr>
          <w:color w:val="000000"/>
          <w:spacing w:val="0"/>
          <w:w w:val="100"/>
          <w:position w:val="0"/>
        </w:rPr>
        <w:t>知识库、专家资源池、产品与解决方案、技术''为代表的能 力四要素，能力四要素相互促进，为深度服务客户提供能力基础，从而也带来业务的快速发展。公司持续 加大力度引入行业专家，持续积累项目经验沉淀知识库，并根据这些一体化、专业化的项目总结经验，加 大行业解决方案的投入与应用研究，高效制定符合客户信息预期的解决方案，提升综合服务质量及交付能 力。</w:t>
      </w:r>
    </w:p>
    <w:p>
      <w:pPr>
        <w:pStyle w:val="Style12"/>
        <w:keepNext w:val="0"/>
        <w:keepLines w:val="0"/>
        <w:widowControl w:val="0"/>
        <w:shd w:val="clear" w:color="auto" w:fill="auto"/>
        <w:tabs>
          <w:tab w:pos="769" w:val="left"/>
        </w:tabs>
        <w:bidi w:val="0"/>
        <w:spacing w:before="0" w:after="0"/>
        <w:ind w:left="0" w:right="0" w:firstLine="440"/>
        <w:jc w:val="both"/>
      </w:pPr>
      <w:bookmarkStart w:id="94" w:name="bookmark94"/>
      <w:r>
        <w:rPr>
          <w:rFonts w:ascii="Times New Roman" w:eastAsia="Times New Roman" w:hAnsi="Times New Roman" w:cs="Times New Roman"/>
          <w:color w:val="000000"/>
          <w:spacing w:val="0"/>
          <w:w w:val="100"/>
          <w:position w:val="0"/>
        </w:rPr>
        <w:t>5</w:t>
      </w:r>
      <w:bookmarkEnd w:id="94"/>
      <w:r>
        <w:rPr>
          <w:color w:val="000000"/>
          <w:spacing w:val="0"/>
          <w:w w:val="100"/>
          <w:position w:val="0"/>
        </w:rPr>
        <w:t>、</w:t>
        <w:tab/>
        <w:t>精细化运营平台优势</w:t>
      </w:r>
    </w:p>
    <w:p>
      <w:pPr>
        <w:pStyle w:val="Style12"/>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公司开发并运用信息化平台</w:t>
      </w:r>
      <w:r>
        <w:rPr>
          <w:rFonts w:ascii="Times New Roman" w:eastAsia="Times New Roman" w:hAnsi="Times New Roman" w:cs="Times New Roman"/>
          <w:color w:val="000000"/>
          <w:spacing w:val="0"/>
          <w:w w:val="100"/>
          <w:position w:val="0"/>
        </w:rPr>
        <w:t>“FarHOMS</w:t>
      </w:r>
      <w:r>
        <w:rPr>
          <w:color w:val="000000"/>
          <w:spacing w:val="0"/>
          <w:w w:val="100"/>
          <w:position w:val="0"/>
        </w:rPr>
        <w:t>系统、</w:t>
      </w:r>
      <w:r>
        <w:rPr>
          <w:rFonts w:ascii="Times New Roman" w:eastAsia="Times New Roman" w:hAnsi="Times New Roman" w:cs="Times New Roman"/>
          <w:color w:val="000000"/>
          <w:spacing w:val="0"/>
          <w:w w:val="100"/>
          <w:position w:val="0"/>
        </w:rPr>
        <w:t>FarRMS</w:t>
      </w:r>
      <w:r>
        <w:rPr>
          <w:color w:val="000000"/>
          <w:spacing w:val="0"/>
          <w:w w:val="100"/>
          <w:position w:val="0"/>
        </w:rPr>
        <w:t>系统''对招聘和交付工作实施流程化管理，形成 自身独特的</w:t>
      </w:r>
      <w:r>
        <w:rPr>
          <w:rFonts w:ascii="Times New Roman" w:eastAsia="Times New Roman" w:hAnsi="Times New Roman" w:cs="Times New Roman"/>
          <w:color w:val="000000"/>
          <w:spacing w:val="0"/>
          <w:w w:val="100"/>
          <w:position w:val="0"/>
        </w:rPr>
        <w:t>“</w:t>
      </w:r>
      <w:r>
        <w:rPr>
          <w:color w:val="000000"/>
          <w:spacing w:val="0"/>
          <w:w w:val="100"/>
          <w:position w:val="0"/>
        </w:rPr>
        <w:t>快、准''的招聘和交付能力优势，完成了技术实施人员</w:t>
      </w:r>
      <w:r>
        <w:rPr>
          <w:rFonts w:ascii="Times New Roman" w:eastAsia="Times New Roman" w:hAnsi="Times New Roman" w:cs="Times New Roman"/>
          <w:color w:val="000000"/>
          <w:spacing w:val="0"/>
          <w:w w:val="100"/>
          <w:position w:val="0"/>
        </w:rPr>
        <w:t>“</w:t>
      </w:r>
      <w:r>
        <w:rPr>
          <w:color w:val="000000"/>
          <w:spacing w:val="0"/>
          <w:w w:val="100"/>
          <w:position w:val="0"/>
        </w:rPr>
        <w:t>入、离、调、转''的人员管高效理及</w:t>
      </w:r>
      <w:r>
        <w:rPr>
          <w:rFonts w:ascii="Times New Roman" w:eastAsia="Times New Roman" w:hAnsi="Times New Roman" w:cs="Times New Roman"/>
          <w:color w:val="000000"/>
          <w:spacing w:val="0"/>
          <w:w w:val="100"/>
          <w:position w:val="0"/>
        </w:rPr>
        <w:t>“</w:t>
      </w:r>
      <w:r>
        <w:rPr>
          <w:color w:val="000000"/>
          <w:spacing w:val="0"/>
          <w:w w:val="100"/>
          <w:position w:val="0"/>
        </w:rPr>
        <w:t>成 本、进度、质量</w:t>
      </w:r>
      <w:r>
        <w:rPr>
          <w:rFonts w:ascii="Times New Roman" w:eastAsia="Times New Roman" w:hAnsi="Times New Roman" w:cs="Times New Roman"/>
          <w:color w:val="000000"/>
          <w:spacing w:val="0"/>
          <w:w w:val="100"/>
          <w:position w:val="0"/>
        </w:rPr>
        <w:t>”</w:t>
      </w:r>
      <w:r>
        <w:rPr>
          <w:color w:val="000000"/>
          <w:spacing w:val="0"/>
          <w:w w:val="100"/>
          <w:position w:val="0"/>
        </w:rPr>
        <w:t>的项目管理有效运转，实现了业务与财务的一体化，减少人为干预，财务核算更精准有效。</w:t>
      </w:r>
    </w:p>
    <w:p>
      <w:pPr>
        <w:pStyle w:val="Style12"/>
        <w:keepNext w:val="0"/>
        <w:keepLines w:val="0"/>
        <w:widowControl w:val="0"/>
        <w:shd w:val="clear" w:color="auto" w:fill="auto"/>
        <w:tabs>
          <w:tab w:pos="769" w:val="left"/>
        </w:tabs>
        <w:bidi w:val="0"/>
        <w:spacing w:before="0" w:after="0"/>
        <w:ind w:left="0" w:right="0" w:firstLine="440"/>
        <w:jc w:val="both"/>
      </w:pPr>
      <w:bookmarkStart w:id="95" w:name="bookmark95"/>
      <w:r>
        <w:rPr>
          <w:rFonts w:ascii="Times New Roman" w:eastAsia="Times New Roman" w:hAnsi="Times New Roman" w:cs="Times New Roman"/>
          <w:color w:val="000000"/>
          <w:spacing w:val="0"/>
          <w:w w:val="100"/>
          <w:position w:val="0"/>
        </w:rPr>
        <w:t>6</w:t>
      </w:r>
      <w:bookmarkEnd w:id="95"/>
      <w:r>
        <w:rPr>
          <w:color w:val="000000"/>
          <w:spacing w:val="0"/>
          <w:w w:val="100"/>
          <w:position w:val="0"/>
        </w:rPr>
        <w:t>、</w:t>
        <w:tab/>
        <w:t>核心资质优势及人才优势</w:t>
      </w:r>
    </w:p>
    <w:p>
      <w:pPr>
        <w:pStyle w:val="Style12"/>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作为国家高新技术企业，公司已拥有一系列核心资质。公司通过了软件能力成熟度模型集成</w:t>
      </w:r>
      <w:r>
        <w:rPr>
          <w:rFonts w:ascii="Times New Roman" w:eastAsia="Times New Roman" w:hAnsi="Times New Roman" w:cs="Times New Roman"/>
          <w:color w:val="000000"/>
          <w:spacing w:val="0"/>
          <w:w w:val="100"/>
          <w:position w:val="0"/>
        </w:rPr>
        <w:t>CMMI5</w:t>
      </w:r>
      <w:r>
        <w:rPr>
          <w:color w:val="000000"/>
          <w:spacing w:val="0"/>
          <w:w w:val="100"/>
          <w:position w:val="0"/>
        </w:rPr>
        <w:t>级 认证、</w:t>
      </w:r>
      <w:r>
        <w:rPr>
          <w:rFonts w:ascii="Times New Roman" w:eastAsia="Times New Roman" w:hAnsi="Times New Roman" w:cs="Times New Roman"/>
          <w:color w:val="000000"/>
          <w:spacing w:val="0"/>
          <w:w w:val="100"/>
          <w:position w:val="0"/>
        </w:rPr>
        <w:t>TMMi3</w:t>
      </w:r>
      <w:r>
        <w:rPr>
          <w:color w:val="000000"/>
          <w:spacing w:val="0"/>
          <w:w w:val="100"/>
          <w:position w:val="0"/>
        </w:rPr>
        <w:t>级测试成熟度模型集成认证、</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rPr>
        <w:t>ISO27001</w:t>
      </w:r>
      <w:r>
        <w:rPr>
          <w:color w:val="000000"/>
          <w:spacing w:val="0"/>
          <w:w w:val="100"/>
          <w:position w:val="0"/>
        </w:rPr>
        <w:t xml:space="preserve">信息安全管理体系认证、 </w:t>
      </w:r>
      <w:r>
        <w:rPr>
          <w:rFonts w:ascii="Times New Roman" w:eastAsia="Times New Roman" w:hAnsi="Times New Roman" w:cs="Times New Roman"/>
          <w:color w:val="000000"/>
          <w:spacing w:val="0"/>
          <w:w w:val="100"/>
          <w:position w:val="0"/>
        </w:rPr>
        <w:t>ISO/IEC 20000-1</w:t>
      </w:r>
      <w:r>
        <w:rPr>
          <w:color w:val="000000"/>
          <w:spacing w:val="0"/>
          <w:w w:val="100"/>
          <w:position w:val="0"/>
        </w:rPr>
        <w:t>的服务管理体系认证和</w:t>
      </w:r>
      <w:r>
        <w:rPr>
          <w:rFonts w:ascii="Times New Roman" w:eastAsia="Times New Roman" w:hAnsi="Times New Roman" w:cs="Times New Roman"/>
          <w:color w:val="000000"/>
          <w:spacing w:val="0"/>
          <w:w w:val="100"/>
          <w:position w:val="0"/>
        </w:rPr>
        <w:t>ISO20000</w:t>
      </w:r>
      <w:r>
        <w:rPr>
          <w:color w:val="000000"/>
          <w:spacing w:val="0"/>
          <w:w w:val="100"/>
          <w:position w:val="0"/>
        </w:rPr>
        <w:t>信息技术服务管理体系认证等。企业核心管理团队从业多 年，具有丰富的行业经验，对于行业发展以及客户需求有较为深刻的理解，能够适时把握行业拓展机会。 公司不断吸引和稳定优秀人才，通过股权激励、培训赋能、福利政策等多种措施稳定人才、吸引人才，截 至本报告披露之日，公司已推出</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年限制性股票激励计划，并于近期通过回购公司股票的方式延续激励 手段，使优秀人才共享公司发展红利。</w:t>
      </w:r>
    </w:p>
    <w:p>
      <w:pPr>
        <w:pStyle w:val="Style31"/>
        <w:keepNext/>
        <w:keepLines/>
        <w:widowControl w:val="0"/>
        <w:shd w:val="clear" w:color="auto" w:fill="auto"/>
        <w:bidi w:val="0"/>
        <w:spacing w:before="0" w:after="320" w:line="240" w:lineRule="auto"/>
        <w:ind w:left="0" w:right="0" w:firstLine="0"/>
        <w:jc w:val="both"/>
      </w:pPr>
      <w:bookmarkStart w:id="96" w:name="bookmark96"/>
      <w:bookmarkStart w:id="97" w:name="bookmark97"/>
      <w:bookmarkStart w:id="98" w:name="bookmark98"/>
      <w:bookmarkStart w:id="99" w:name="bookmark99"/>
      <w:r>
        <w:rPr>
          <w:color w:val="000000"/>
          <w:spacing w:val="0"/>
          <w:w w:val="100"/>
          <w:position w:val="0"/>
          <w:sz w:val="24"/>
          <w:szCs w:val="24"/>
        </w:rPr>
        <w:t>四</w:t>
      </w:r>
      <w:bookmarkEnd w:id="98"/>
      <w:r>
        <w:rPr>
          <w:color w:val="000000"/>
          <w:spacing w:val="0"/>
          <w:w w:val="100"/>
          <w:position w:val="0"/>
          <w:sz w:val="24"/>
          <w:szCs w:val="24"/>
        </w:rPr>
        <w:t>、主营业务分析</w:t>
      </w:r>
      <w:bookmarkEnd w:id="96"/>
      <w:bookmarkEnd w:id="97"/>
      <w:bookmarkEnd w:id="99"/>
    </w:p>
    <w:p>
      <w:pPr>
        <w:pStyle w:val="Style38"/>
        <w:keepNext/>
        <w:keepLines/>
        <w:widowControl w:val="0"/>
        <w:shd w:val="clear" w:color="auto" w:fill="auto"/>
        <w:bidi w:val="0"/>
        <w:spacing w:before="0" w:after="0" w:line="480" w:lineRule="auto"/>
        <w:ind w:left="0" w:right="0" w:firstLine="0"/>
        <w:jc w:val="both"/>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、概述</w:t>
      </w:r>
      <w:bookmarkEnd w:id="100"/>
      <w:bookmarkEnd w:id="101"/>
      <w:bookmarkEnd w:id="103"/>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公司基于对客户业务场景的理解，为客户的信息技术系统和产品提供全生命周期服务，通过创新技术 帮助客户快速实现业务目标。公司秉承以客户为中心的服务理念，专注于数字化技术服务，致力为客户提 供先进的数字化平台、技术和解决方案，以数字化技术为依托，以咨询为驱动，以技术和方案为牵引，以 交付为手段，全力为客户打造综合一体化的数字化赋能服务，助力金融、互联网、软件、通信、智能制造 和公共服务等行业客户的产品与技术创新和业务变革，助力企业数字化转型。</w:t>
      </w:r>
    </w:p>
    <w:p>
      <w:pPr>
        <w:pStyle w:val="Style12"/>
        <w:keepNext w:val="0"/>
        <w:keepLines w:val="0"/>
        <w:widowControl w:val="0"/>
        <w:shd w:val="clear" w:color="auto" w:fill="auto"/>
        <w:bidi w:val="0"/>
        <w:spacing w:before="0" w:after="0" w:line="468" w:lineRule="exact"/>
        <w:ind w:left="0" w:right="0" w:firstLine="440"/>
        <w:jc w:val="both"/>
      </w:pPr>
      <w:bookmarkStart w:id="104" w:name="bookmark104"/>
      <w:r>
        <w:rPr>
          <w:color w:val="000000"/>
          <w:spacing w:val="0"/>
          <w:w w:val="100"/>
          <w:position w:val="0"/>
        </w:rPr>
        <w:t>一</w:t>
      </w:r>
      <w:bookmarkEnd w:id="104"/>
      <w:r>
        <w:rPr>
          <w:color w:val="000000"/>
          <w:spacing w:val="0"/>
          <w:w w:val="100"/>
          <w:position w:val="0"/>
        </w:rPr>
        <w:t>、经营业绩持续稳定增长</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30.88</w:t>
      </w:r>
      <w:r>
        <w:rPr>
          <w:color w:val="000000"/>
          <w:spacing w:val="0"/>
          <w:w w:val="100"/>
          <w:position w:val="0"/>
        </w:rPr>
        <w:t>亿元，同比增长</w:t>
      </w:r>
      <w:r>
        <w:rPr>
          <w:rFonts w:ascii="Times New Roman" w:eastAsia="Times New Roman" w:hAnsi="Times New Roman" w:cs="Times New Roman"/>
          <w:color w:val="000000"/>
          <w:spacing w:val="0"/>
          <w:w w:val="100"/>
          <w:position w:val="0"/>
        </w:rPr>
        <w:t>58.55%</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.35</w:t>
      </w:r>
      <w:r>
        <w:rPr>
          <w:color w:val="000000"/>
          <w:spacing w:val="0"/>
          <w:w w:val="100"/>
          <w:position w:val="0"/>
        </w:rPr>
        <w:t>亿元， 同比增长</w:t>
      </w:r>
      <w:r>
        <w:rPr>
          <w:rFonts w:ascii="Times New Roman" w:eastAsia="Times New Roman" w:hAnsi="Times New Roman" w:cs="Times New Roman"/>
          <w:color w:val="000000"/>
          <w:spacing w:val="0"/>
          <w:w w:val="100"/>
          <w:position w:val="0"/>
        </w:rPr>
        <w:t>11.28%</w:t>
      </w:r>
      <w:r>
        <w:rPr>
          <w:color w:val="000000"/>
          <w:spacing w:val="0"/>
          <w:w w:val="100"/>
          <w:position w:val="0"/>
        </w:rPr>
        <w:t>，归属于上市公司股东的扣除非经常性损益的净利润为</w:t>
      </w:r>
      <w:r>
        <w:rPr>
          <w:rFonts w:ascii="Times New Roman" w:eastAsia="Times New Roman" w:hAnsi="Times New Roman" w:cs="Times New Roman"/>
          <w:color w:val="000000"/>
          <w:spacing w:val="0"/>
          <w:w w:val="100"/>
          <w:position w:val="0"/>
        </w:rPr>
        <w:t>1.14</w:t>
      </w:r>
      <w:r>
        <w:rPr>
          <w:color w:val="000000"/>
          <w:spacing w:val="0"/>
          <w:w w:val="100"/>
          <w:position w:val="0"/>
        </w:rPr>
        <w:t>亿元，同比增长</w:t>
      </w:r>
      <w:r>
        <w:rPr>
          <w:rFonts w:ascii="Times New Roman" w:eastAsia="Times New Roman" w:hAnsi="Times New Roman" w:cs="Times New Roman"/>
          <w:color w:val="000000"/>
          <w:spacing w:val="0"/>
          <w:w w:val="100"/>
          <w:position w:val="0"/>
        </w:rPr>
        <w:t>1.98%</w:t>
      </w:r>
      <w:r>
        <w:rPr>
          <w:color w:val="000000"/>
          <w:spacing w:val="0"/>
          <w:w w:val="100"/>
          <w:position w:val="0"/>
        </w:rPr>
        <w:t>。业务规 模的快速增长，主要得益于以下方面：</w:t>
      </w:r>
    </w:p>
    <w:p>
      <w:pPr>
        <w:pStyle w:val="Style12"/>
        <w:keepNext w:val="0"/>
        <w:keepLines w:val="0"/>
        <w:widowControl w:val="0"/>
        <w:shd w:val="clear" w:color="auto" w:fill="auto"/>
        <w:tabs>
          <w:tab w:pos="769" w:val="left"/>
        </w:tabs>
        <w:bidi w:val="0"/>
        <w:spacing w:before="0" w:after="0" w:line="468" w:lineRule="exact"/>
        <w:ind w:left="0" w:right="0" w:firstLine="440"/>
        <w:jc w:val="both"/>
      </w:pPr>
      <w:bookmarkStart w:id="105" w:name="bookmark105"/>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信息化与数字化趋势下，数字化转型企业软件技术服务外包需求激增</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在数字化时代，各个行业均在积极利用移动互联、物联网、大数据、云计算、人工智能、区块链等新 兴技术进行数字化转型，对</w:t>
      </w:r>
      <w:r>
        <w:rPr>
          <w:rFonts w:ascii="Times New Roman" w:eastAsia="Times New Roman" w:hAnsi="Times New Roman" w:cs="Times New Roman"/>
          <w:color w:val="000000"/>
          <w:spacing w:val="0"/>
          <w:w w:val="100"/>
          <w:position w:val="0"/>
        </w:rPr>
        <w:t>IT</w:t>
      </w:r>
      <w:r>
        <w:rPr>
          <w:color w:val="000000"/>
          <w:spacing w:val="0"/>
          <w:w w:val="100"/>
          <w:position w:val="0"/>
        </w:rPr>
        <w:t>系统相关需求的不断增加，软件技术服务外包市场的规模也在持续增长。软 件技术服务外包行业是软件和信息技术服务业的重要组成部分，近年来新一代信息技术在金融、互联网、 软件、通信、房地产、航空物流、制造业、批发零售等多个行业领域的广泛运用，为行业发展提供了强大 动力。一方面，在信息化和数字化转型驱动下，各行业企业不断增加对</w:t>
      </w:r>
      <w:r>
        <w:rPr>
          <w:rFonts w:ascii="Times New Roman" w:eastAsia="Times New Roman" w:hAnsi="Times New Roman" w:cs="Times New Roman"/>
          <w:color w:val="000000"/>
          <w:spacing w:val="0"/>
          <w:w w:val="100"/>
          <w:position w:val="0"/>
        </w:rPr>
        <w:t>IT</w:t>
      </w:r>
      <w:r>
        <w:rPr>
          <w:color w:val="000000"/>
          <w:spacing w:val="0"/>
          <w:w w:val="100"/>
          <w:position w:val="0"/>
        </w:rPr>
        <w:t>投入，从而带动了软件技术服务 外包市场的增长；另一方面，面对软件技术的快速发展和持续深入，一些企业并不擅长</w:t>
      </w:r>
      <w:r>
        <w:rPr>
          <w:rFonts w:ascii="Times New Roman" w:eastAsia="Times New Roman" w:hAnsi="Times New Roman" w:cs="Times New Roman"/>
          <w:color w:val="000000"/>
          <w:spacing w:val="0"/>
          <w:w w:val="100"/>
          <w:position w:val="0"/>
        </w:rPr>
        <w:t>IT</w:t>
      </w:r>
      <w:r>
        <w:rPr>
          <w:color w:val="000000"/>
          <w:spacing w:val="0"/>
          <w:w w:val="100"/>
          <w:position w:val="0"/>
        </w:rPr>
        <w:t>相关管理，难以 系统性地组织软件开发相关人才，采用软件技术服务外包能够提高系统开发和管理、运营和维护效率，实 现企业快速转型升级，增强其核心竞争力，且成本可控。因此，在新技术、新应用和新模式以及外包服务 供应链全球化不断深入的推动下，全球软件技术服务外包行业持续增长。</w:t>
      </w:r>
    </w:p>
    <w:p>
      <w:pPr>
        <w:pStyle w:val="Style12"/>
        <w:keepNext w:val="0"/>
        <w:keepLines w:val="0"/>
        <w:widowControl w:val="0"/>
        <w:shd w:val="clear" w:color="auto" w:fill="auto"/>
        <w:tabs>
          <w:tab w:pos="769" w:val="left"/>
        </w:tabs>
        <w:bidi w:val="0"/>
        <w:spacing w:before="0" w:after="0" w:line="468" w:lineRule="exact"/>
        <w:ind w:left="0" w:right="0" w:firstLine="440"/>
        <w:jc w:val="both"/>
      </w:pPr>
      <w:bookmarkStart w:id="106" w:name="bookmark106"/>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良好的政策环境为公司的快速发展提供了有力支撑</w:t>
      </w:r>
    </w:p>
    <w:p>
      <w:pPr>
        <w:pStyle w:val="Style1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根据国家工业和信息化部发布的《</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软件和信息技术服务业发展规划》《</w:t>
      </w:r>
      <w:r>
        <w:rPr>
          <w:rFonts w:ascii="Times New Roman" w:eastAsia="Times New Roman" w:hAnsi="Times New Roman" w:cs="Times New Roman"/>
          <w:color w:val="000000"/>
          <w:spacing w:val="0"/>
          <w:w w:val="100"/>
          <w:position w:val="0"/>
        </w:rPr>
        <w:t>“</w:t>
      </w:r>
      <w:r>
        <w:rPr>
          <w:color w:val="000000"/>
          <w:spacing w:val="0"/>
          <w:w w:val="100"/>
          <w:position w:val="0"/>
        </w:rPr>
        <w:t>十四五''信息通信行 业发展规划》，</w:t>
      </w:r>
      <w:r>
        <w:rPr>
          <w:rFonts w:ascii="Times New Roman" w:eastAsia="Times New Roman" w:hAnsi="Times New Roman" w:cs="Times New Roman"/>
          <w:color w:val="000000"/>
          <w:spacing w:val="0"/>
          <w:w w:val="100"/>
          <w:position w:val="0"/>
        </w:rPr>
        <w:t>“</w:t>
      </w:r>
      <w:r>
        <w:rPr>
          <w:color w:val="000000"/>
          <w:spacing w:val="0"/>
          <w:w w:val="100"/>
          <w:position w:val="0"/>
        </w:rPr>
        <w:t>十四五''时期是我国开启全面建设社会主义现代化国家新征程的第一个五年，全球新一轮 科技革命和产业变革深入发展，软件和信息技术服务业迎来新的发展机遇，提出到</w:t>
      </w:r>
      <w:r>
        <w:rPr>
          <w:rFonts w:ascii="Times New Roman" w:eastAsia="Times New Roman" w:hAnsi="Times New Roman" w:cs="Times New Roman"/>
          <w:color w:val="000000"/>
          <w:spacing w:val="0"/>
          <w:w w:val="100"/>
          <w:position w:val="0"/>
        </w:rPr>
        <w:t>2025</w:t>
      </w:r>
      <w:r>
        <w:rPr>
          <w:color w:val="000000"/>
          <w:spacing w:val="0"/>
          <w:w w:val="100"/>
          <w:position w:val="0"/>
        </w:rPr>
        <w:t>年，主营业务收入 达百亿级企业过百家，千亿级企业超过</w:t>
      </w:r>
      <w:r>
        <w:rPr>
          <w:rFonts w:ascii="Times New Roman" w:eastAsia="Times New Roman" w:hAnsi="Times New Roman" w:cs="Times New Roman"/>
          <w:color w:val="000000"/>
          <w:spacing w:val="0"/>
          <w:w w:val="100"/>
          <w:position w:val="0"/>
        </w:rPr>
        <w:t>15</w:t>
      </w:r>
      <w:r>
        <w:rPr>
          <w:color w:val="000000"/>
          <w:spacing w:val="0"/>
          <w:w w:val="100"/>
          <w:position w:val="0"/>
        </w:rPr>
        <w:t>家。信息通信行业整体规模进一步壮大，发展质量显著提升，基 本建成集成互联、智能绿色、安全可靠的新型数字基础设施，创新能力大幅增强，新兴业态蓬勃发展，赋 能经济社会数字化转型升级的能力全面提升，成为建设网络强国、数字中国的坚强柱石。央行《金融科技 发展规划（</w:t>
      </w:r>
      <w:r>
        <w:rPr>
          <w:rFonts w:ascii="Times New Roman" w:eastAsia="Times New Roman" w:hAnsi="Times New Roman" w:cs="Times New Roman"/>
          <w:color w:val="000000"/>
          <w:spacing w:val="0"/>
          <w:w w:val="100"/>
          <w:position w:val="0"/>
        </w:rPr>
        <w:t>2022</w:t>
      </w:r>
      <w:r>
        <w:rPr>
          <w:color w:val="000000"/>
          <w:spacing w:val="0"/>
          <w:w w:val="100"/>
          <w:position w:val="0"/>
        </w:rPr>
        <w:t>—</w:t>
      </w:r>
      <w:r>
        <w:rPr>
          <w:rFonts w:ascii="Times New Roman" w:eastAsia="Times New Roman" w:hAnsi="Times New Roman" w:cs="Times New Roman"/>
          <w:color w:val="000000"/>
          <w:spacing w:val="0"/>
          <w:w w:val="100"/>
          <w:position w:val="0"/>
        </w:rPr>
        <w:t>2025</w:t>
      </w:r>
      <w:r>
        <w:rPr>
          <w:color w:val="000000"/>
          <w:spacing w:val="0"/>
          <w:w w:val="100"/>
          <w:position w:val="0"/>
        </w:rPr>
        <w:t>年）》指出，要坚持</w:t>
      </w:r>
      <w:r>
        <w:rPr>
          <w:rFonts w:ascii="Times New Roman" w:eastAsia="Times New Roman" w:hAnsi="Times New Roman" w:cs="Times New Roman"/>
          <w:color w:val="000000"/>
          <w:spacing w:val="0"/>
          <w:w w:val="100"/>
          <w:position w:val="0"/>
        </w:rPr>
        <w:t>“</w:t>
      </w:r>
      <w:r>
        <w:rPr>
          <w:color w:val="000000"/>
          <w:spacing w:val="0"/>
          <w:w w:val="100"/>
          <w:position w:val="0"/>
        </w:rPr>
        <w:t>数字驱动、智慧为民、绿色低碳、公平普惠</w:t>
      </w:r>
      <w:r>
        <w:rPr>
          <w:rFonts w:ascii="Times New Roman" w:eastAsia="Times New Roman" w:hAnsi="Times New Roman" w:cs="Times New Roman"/>
          <w:color w:val="000000"/>
          <w:spacing w:val="0"/>
          <w:w w:val="100"/>
          <w:position w:val="0"/>
        </w:rPr>
        <w:t>”</w:t>
      </w:r>
      <w:r>
        <w:rPr>
          <w:color w:val="000000"/>
          <w:spacing w:val="0"/>
          <w:w w:val="100"/>
          <w:position w:val="0"/>
        </w:rPr>
        <w:t xml:space="preserve">的发展原则，以 </w:t>
      </w:r>
      <w:r>
        <w:rPr>
          <w:color w:val="000000"/>
          <w:spacing w:val="0"/>
          <w:w w:val="100"/>
          <w:position w:val="0"/>
        </w:rPr>
        <w:t>加强金融数据要素应用为基础，以深化金融供给侧结构性改革为目标，以加快金融机构数字化转型、强化 金融科技审慎监管为主线，将数字元素注入金融服务全流程，将数字思维贯穿业务运营全链条，注重金融 创新的科技驱动和数据赋能，推动我国金融科技从</w:t>
      </w:r>
      <w:r>
        <w:rPr>
          <w:rFonts w:ascii="Times New Roman" w:eastAsia="Times New Roman" w:hAnsi="Times New Roman" w:cs="Times New Roman"/>
          <w:color w:val="000000"/>
          <w:spacing w:val="0"/>
          <w:w w:val="100"/>
          <w:position w:val="0"/>
        </w:rPr>
        <w:t>“</w:t>
      </w:r>
      <w:r>
        <w:rPr>
          <w:color w:val="000000"/>
          <w:spacing w:val="0"/>
          <w:w w:val="100"/>
          <w:position w:val="0"/>
        </w:rPr>
        <w:t>立柱架梁''全面迈入</w:t>
      </w:r>
      <w:r>
        <w:rPr>
          <w:rFonts w:ascii="Times New Roman" w:eastAsia="Times New Roman" w:hAnsi="Times New Roman" w:cs="Times New Roman"/>
          <w:color w:val="000000"/>
          <w:spacing w:val="0"/>
          <w:w w:val="100"/>
          <w:position w:val="0"/>
        </w:rPr>
        <w:t>“</w:t>
      </w:r>
      <w:r>
        <w:rPr>
          <w:color w:val="000000"/>
          <w:spacing w:val="0"/>
          <w:w w:val="100"/>
          <w:position w:val="0"/>
        </w:rPr>
        <w:t>积厚成势</w:t>
      </w:r>
      <w:r>
        <w:rPr>
          <w:rFonts w:ascii="Times New Roman" w:eastAsia="Times New Roman" w:hAnsi="Times New Roman" w:cs="Times New Roman"/>
          <w:color w:val="000000"/>
          <w:spacing w:val="0"/>
          <w:w w:val="100"/>
          <w:position w:val="0"/>
        </w:rPr>
        <w:t>”</w:t>
      </w:r>
      <w:r>
        <w:rPr>
          <w:color w:val="000000"/>
          <w:spacing w:val="0"/>
          <w:w w:val="100"/>
          <w:position w:val="0"/>
        </w:rPr>
        <w:t>新阶段，力争到</w:t>
      </w:r>
      <w:r>
        <w:rPr>
          <w:rFonts w:ascii="Times New Roman" w:eastAsia="Times New Roman" w:hAnsi="Times New Roman" w:cs="Times New Roman"/>
          <w:color w:val="000000"/>
          <w:spacing w:val="0"/>
          <w:w w:val="100"/>
          <w:position w:val="0"/>
        </w:rPr>
        <w:t>2025</w:t>
      </w:r>
      <w:r>
        <w:rPr>
          <w:color w:val="000000"/>
          <w:spacing w:val="0"/>
          <w:w w:val="100"/>
          <w:position w:val="0"/>
        </w:rPr>
        <w:t>年 实现整体水平与核心竞争力跨越式提升。</w:t>
      </w:r>
    </w:p>
    <w:p>
      <w:pPr>
        <w:pStyle w:val="Style12"/>
        <w:keepNext w:val="0"/>
        <w:keepLines w:val="0"/>
        <w:widowControl w:val="0"/>
        <w:shd w:val="clear" w:color="auto" w:fill="auto"/>
        <w:bidi w:val="0"/>
        <w:spacing w:before="0" w:after="0"/>
        <w:ind w:left="0" w:right="0" w:firstLine="440"/>
        <w:jc w:val="both"/>
      </w:pPr>
      <w:bookmarkStart w:id="107" w:name="bookmark107"/>
      <w:r>
        <w:rPr>
          <w:rFonts w:ascii="Times New Roman" w:eastAsia="Times New Roman" w:hAnsi="Times New Roman" w:cs="Times New Roman"/>
          <w:color w:val="000000"/>
          <w:spacing w:val="0"/>
          <w:w w:val="100"/>
          <w:position w:val="0"/>
        </w:rPr>
        <w:t>3</w:t>
      </w:r>
      <w:bookmarkEnd w:id="107"/>
      <w:r>
        <w:rPr>
          <w:color w:val="000000"/>
          <w:spacing w:val="0"/>
          <w:w w:val="100"/>
          <w:position w:val="0"/>
        </w:rPr>
        <w:t>、聚焦主营业务，着眼长期目标</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报告期内，公司立足于现有的软件技术服务外包业务，在良好外部环境的加持下，以扩大市场占有率 为首要目标，在行业、区域、客户三位一体做大业务规模，同时加大投入人才组织能力建设和技术研发能 力构建，以支撑业务的快速增长，即通过规模化的快速成长拉动内部能力建设，通过规模化快速增长来创 造更多战场和更多平台机会，为人才</w:t>
      </w:r>
      <w:r>
        <w:rPr>
          <w:rFonts w:ascii="Times New Roman" w:eastAsia="Times New Roman" w:hAnsi="Times New Roman" w:cs="Times New Roman"/>
          <w:color w:val="000000"/>
          <w:spacing w:val="0"/>
          <w:w w:val="100"/>
          <w:position w:val="0"/>
        </w:rPr>
        <w:t>“</w:t>
      </w:r>
      <w:r>
        <w:rPr>
          <w:color w:val="000000"/>
          <w:spacing w:val="0"/>
          <w:w w:val="100"/>
          <w:position w:val="0"/>
        </w:rPr>
        <w:t>筑巢引凤</w:t>
      </w:r>
      <w:r>
        <w:rPr>
          <w:rFonts w:ascii="Times New Roman" w:eastAsia="Times New Roman" w:hAnsi="Times New Roman" w:cs="Times New Roman"/>
          <w:color w:val="000000"/>
          <w:spacing w:val="0"/>
          <w:w w:val="100"/>
          <w:position w:val="0"/>
        </w:rPr>
        <w:t>”</w:t>
      </w:r>
      <w:r>
        <w:rPr>
          <w:color w:val="000000"/>
          <w:spacing w:val="0"/>
          <w:w w:val="100"/>
          <w:position w:val="0"/>
        </w:rPr>
        <w:t>，谋求更大发展。公司已初步形成以咨询为驱动，以技术 和方案为牵引，以稳定敏捷的交付管理为落地手段的服务模式，全面覆盖客户从战略咨询，到业务规划， 到</w:t>
      </w:r>
      <w:r>
        <w:rPr>
          <w:rFonts w:ascii="Times New Roman" w:eastAsia="Times New Roman" w:hAnsi="Times New Roman" w:cs="Times New Roman"/>
          <w:color w:val="000000"/>
          <w:spacing w:val="0"/>
          <w:w w:val="100"/>
          <w:position w:val="0"/>
        </w:rPr>
        <w:t>IT</w:t>
      </w:r>
      <w:r>
        <w:rPr>
          <w:color w:val="000000"/>
          <w:spacing w:val="0"/>
          <w:w w:val="100"/>
          <w:position w:val="0"/>
        </w:rPr>
        <w:t>落地实施的全流程业务，全力赋能各行业的数字化转型。此为公司现阶段主要运营模式，在该模式下， 会牺牲部分短期收益，但可以快速抢占市场份额，不断积累新的优质客户、人才，谋求更强的厚积薄发。</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各信息系统平台持续更迭升级，业务管理流程化进一步体现，随着交付中心在全国范围内的持续建设 和以客户为中心的</w:t>
      </w:r>
      <w:r>
        <w:rPr>
          <w:rFonts w:ascii="Times New Roman" w:eastAsia="Times New Roman" w:hAnsi="Times New Roman" w:cs="Times New Roman"/>
          <w:color w:val="000000"/>
          <w:spacing w:val="0"/>
          <w:w w:val="100"/>
          <w:position w:val="0"/>
        </w:rPr>
        <w:t>“</w:t>
      </w:r>
      <w:r>
        <w:rPr>
          <w:color w:val="000000"/>
          <w:spacing w:val="0"/>
          <w:w w:val="100"/>
          <w:position w:val="0"/>
        </w:rPr>
        <w:t>铁三角</w:t>
      </w:r>
      <w:r>
        <w:rPr>
          <w:rFonts w:ascii="Times New Roman" w:eastAsia="Times New Roman" w:hAnsi="Times New Roman" w:cs="Times New Roman"/>
          <w:color w:val="000000"/>
          <w:spacing w:val="0"/>
          <w:w w:val="100"/>
          <w:position w:val="0"/>
        </w:rPr>
        <w:t>”</w:t>
      </w:r>
      <w:r>
        <w:rPr>
          <w:color w:val="000000"/>
          <w:spacing w:val="0"/>
          <w:w w:val="100"/>
          <w:position w:val="0"/>
        </w:rPr>
        <w:t>服务模式有效运作，公司为客户提供的软件技术服务将更加灵活高效。公司继 续深化</w:t>
      </w:r>
      <w:r>
        <w:rPr>
          <w:rFonts w:ascii="Times New Roman" w:eastAsia="Times New Roman" w:hAnsi="Times New Roman" w:cs="Times New Roman"/>
          <w:color w:val="000000"/>
          <w:spacing w:val="0"/>
          <w:w w:val="100"/>
          <w:position w:val="0"/>
        </w:rPr>
        <w:t>LTC</w:t>
      </w:r>
      <w:r>
        <w:rPr>
          <w:color w:val="000000"/>
          <w:spacing w:val="0"/>
          <w:w w:val="100"/>
          <w:position w:val="0"/>
        </w:rPr>
        <w:t>流程管控，积极导入</w:t>
      </w:r>
      <w:r>
        <w:rPr>
          <w:rFonts w:ascii="Times New Roman" w:eastAsia="Times New Roman" w:hAnsi="Times New Roman" w:cs="Times New Roman"/>
          <w:color w:val="000000"/>
          <w:spacing w:val="0"/>
          <w:w w:val="100"/>
          <w:position w:val="0"/>
        </w:rPr>
        <w:t>IPD-S</w:t>
      </w:r>
      <w:r>
        <w:rPr>
          <w:color w:val="000000"/>
          <w:spacing w:val="0"/>
          <w:w w:val="100"/>
          <w:position w:val="0"/>
        </w:rPr>
        <w:t>流程，加强数字化运营平台整合，强化销售行为管理和客户价值链资 产数字化。通过不断提高精细化运营水平，规范内部运作，保障运营效率持续提升。</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同时公司重视人才与技术积累，一如既往的持续加大在知识库、专家资源池、技术研发方面的投入， 做大做强解决方案业务，不断提升自身行业经验、管理水平、技术创新等能力。面向未来，公司坚持做长 期主义者。乘势各行业数字化、智能化转型的契机，持续快速做大技术服务外包业务，做强产品及解决方 案业务，为客户与股东持续创造价值。</w:t>
      </w:r>
    </w:p>
    <w:p>
      <w:pPr>
        <w:pStyle w:val="Style12"/>
        <w:keepNext w:val="0"/>
        <w:keepLines w:val="0"/>
        <w:widowControl w:val="0"/>
        <w:shd w:val="clear" w:color="auto" w:fill="auto"/>
        <w:tabs>
          <w:tab w:pos="420" w:val="left"/>
        </w:tabs>
        <w:bidi w:val="0"/>
        <w:spacing w:before="0" w:after="0" w:line="469" w:lineRule="exact"/>
        <w:ind w:left="0" w:right="0" w:firstLine="0"/>
        <w:jc w:val="left"/>
      </w:pPr>
      <w:bookmarkStart w:id="108" w:name="bookmark108"/>
      <w:r>
        <w:rPr>
          <w:color w:val="000000"/>
          <w:spacing w:val="0"/>
          <w:w w:val="100"/>
          <w:position w:val="0"/>
        </w:rPr>
        <w:t>二</w:t>
      </w:r>
      <w:bookmarkEnd w:id="108"/>
      <w:r>
        <w:rPr>
          <w:color w:val="000000"/>
          <w:spacing w:val="0"/>
          <w:w w:val="100"/>
          <w:position w:val="0"/>
        </w:rPr>
        <w:t>、</w:t>
        <w:tab/>
        <w:t>业务拓展不断深化</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报告期内，公司通过开拓新客户、深耕老客户持续占领市场份额，突破了多家行业龙头客户，与</w:t>
      </w:r>
      <w:r>
        <w:rPr>
          <w:rFonts w:ascii="Times New Roman" w:eastAsia="Times New Roman" w:hAnsi="Times New Roman" w:cs="Times New Roman"/>
          <w:color w:val="000000"/>
          <w:spacing w:val="0"/>
          <w:w w:val="100"/>
          <w:position w:val="0"/>
        </w:rPr>
        <w:t>800</w:t>
      </w:r>
      <w:r>
        <w:rPr>
          <w:color w:val="000000"/>
          <w:spacing w:val="0"/>
          <w:w w:val="100"/>
          <w:position w:val="0"/>
        </w:rPr>
        <w:t>余 家优质客户保持稳定的合作关系，业务范围覆盖软件技术服务、咨询服务和产品与定制服务等。</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地域扩张方面，公司以一线城市为基础向二线城市延伸，加速地域扩张，在北京、上海、广州、杭州、 成都、西安、武汉、长沙等多个城市设有分支机构，逐步完善全国范围行业客户布局，公司成长质量得到 进一步提高。</w:t>
      </w:r>
    </w:p>
    <w:p>
      <w:pPr>
        <w:pStyle w:val="Style12"/>
        <w:keepNext w:val="0"/>
        <w:keepLines w:val="0"/>
        <w:widowControl w:val="0"/>
        <w:shd w:val="clear" w:color="auto" w:fill="auto"/>
        <w:tabs>
          <w:tab w:pos="420" w:val="left"/>
        </w:tabs>
        <w:bidi w:val="0"/>
        <w:spacing w:before="0" w:after="0" w:line="469" w:lineRule="exact"/>
        <w:ind w:left="0" w:right="0" w:firstLine="0"/>
        <w:jc w:val="left"/>
      </w:pPr>
      <w:bookmarkStart w:id="109" w:name="bookmark109"/>
      <w:r>
        <w:rPr>
          <w:color w:val="000000"/>
          <w:spacing w:val="0"/>
          <w:w w:val="100"/>
          <w:position w:val="0"/>
        </w:rPr>
        <w:t>三</w:t>
      </w:r>
      <w:bookmarkEnd w:id="109"/>
      <w:r>
        <w:rPr>
          <w:color w:val="000000"/>
          <w:spacing w:val="0"/>
          <w:w w:val="100"/>
          <w:position w:val="0"/>
        </w:rPr>
        <w:t>、</w:t>
        <w:tab/>
        <w:t>研发与技术积累</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报告期内公司持续加大研发投入。公司作为高新技术企业，在业务发展过程中逐步形成了技术研发和 业务场景研究的双轮驱动模式，构建了研发中心和产品与解决方案中心的</w:t>
      </w:r>
      <w:r>
        <w:rPr>
          <w:rFonts w:ascii="Times New Roman" w:eastAsia="Times New Roman" w:hAnsi="Times New Roman" w:cs="Times New Roman"/>
          <w:color w:val="000000"/>
          <w:spacing w:val="0"/>
          <w:w w:val="100"/>
          <w:position w:val="0"/>
        </w:rPr>
        <w:t>“</w:t>
      </w:r>
      <w:r>
        <w:rPr>
          <w:color w:val="000000"/>
          <w:spacing w:val="0"/>
          <w:w w:val="100"/>
          <w:position w:val="0"/>
        </w:rPr>
        <w:t>双能力中心</w:t>
      </w:r>
      <w:r>
        <w:rPr>
          <w:rFonts w:ascii="Times New Roman" w:eastAsia="Times New Roman" w:hAnsi="Times New Roman" w:cs="Times New Roman"/>
          <w:color w:val="000000"/>
          <w:spacing w:val="0"/>
          <w:w w:val="100"/>
          <w:position w:val="0"/>
        </w:rPr>
        <w:t>”</w:t>
      </w:r>
      <w:r>
        <w:rPr>
          <w:color w:val="000000"/>
          <w:spacing w:val="0"/>
          <w:w w:val="100"/>
          <w:position w:val="0"/>
        </w:rPr>
        <w:t xml:space="preserve">平台，搭建了先行 技术研究、共性技术研究、应用技术研究、交付技术研究的四级研发体系，在云计算、人工智能、大数据、 </w:t>
      </w:r>
      <w:r>
        <w:rPr>
          <w:color w:val="000000"/>
          <w:spacing w:val="0"/>
          <w:w w:val="100"/>
          <w:position w:val="0"/>
        </w:rPr>
        <w:t>物联网、移动互联网等技术领域持续创新积累，形成了智慧金融、智慧物流、</w:t>
      </w:r>
      <w:r>
        <w:rPr>
          <w:rFonts w:ascii="Times New Roman" w:eastAsia="Times New Roman" w:hAnsi="Times New Roman" w:cs="Times New Roman"/>
          <w:color w:val="000000"/>
          <w:spacing w:val="0"/>
          <w:w w:val="100"/>
          <w:position w:val="0"/>
        </w:rPr>
        <w:t>AI-DaaS</w:t>
      </w:r>
      <w:r>
        <w:rPr>
          <w:color w:val="000000"/>
          <w:spacing w:val="0"/>
          <w:w w:val="100"/>
          <w:position w:val="0"/>
        </w:rPr>
        <w:t>智能大数据、企业数 字化、智能电商等一系列技术解决方案，并通过了软件能力成熟度模型集成</w:t>
      </w:r>
      <w:r>
        <w:rPr>
          <w:rFonts w:ascii="Times New Roman" w:eastAsia="Times New Roman" w:hAnsi="Times New Roman" w:cs="Times New Roman"/>
          <w:color w:val="000000"/>
          <w:spacing w:val="0"/>
          <w:w w:val="100"/>
          <w:position w:val="0"/>
        </w:rPr>
        <w:t xml:space="preserve">CMMI </w:t>
      </w:r>
      <w:r>
        <w:rPr>
          <w:rFonts w:ascii="Times New Roman" w:eastAsia="Times New Roman" w:hAnsi="Times New Roman" w:cs="Times New Roman"/>
          <w:color w:val="000000"/>
          <w:spacing w:val="0"/>
          <w:w w:val="100"/>
          <w:position w:val="0"/>
        </w:rPr>
        <w:t>5</w:t>
      </w:r>
      <w:r>
        <w:rPr>
          <w:color w:val="000000"/>
          <w:spacing w:val="0"/>
          <w:w w:val="100"/>
          <w:position w:val="0"/>
        </w:rPr>
        <w:t>级、</w:t>
      </w:r>
      <w:r>
        <w:rPr>
          <w:rFonts w:ascii="Times New Roman" w:eastAsia="Times New Roman" w:hAnsi="Times New Roman" w:cs="Times New Roman"/>
          <w:color w:val="000000"/>
          <w:spacing w:val="0"/>
          <w:w w:val="100"/>
          <w:position w:val="0"/>
        </w:rPr>
        <w:t>ISO9001</w:t>
      </w:r>
      <w:r>
        <w:rPr>
          <w:color w:val="000000"/>
          <w:spacing w:val="0"/>
          <w:w w:val="100"/>
          <w:position w:val="0"/>
        </w:rPr>
        <w:t>质量管理 体系、</w:t>
      </w:r>
      <w:r>
        <w:rPr>
          <w:rFonts w:ascii="Times New Roman" w:eastAsia="Times New Roman" w:hAnsi="Times New Roman" w:cs="Times New Roman"/>
          <w:color w:val="000000"/>
          <w:spacing w:val="0"/>
          <w:w w:val="100"/>
          <w:position w:val="0"/>
        </w:rPr>
        <w:t>ISO27001</w:t>
      </w:r>
      <w:r>
        <w:rPr>
          <w:color w:val="000000"/>
          <w:spacing w:val="0"/>
          <w:w w:val="100"/>
          <w:position w:val="0"/>
        </w:rPr>
        <w:t>信息安全管理体系、</w:t>
      </w:r>
      <w:r>
        <w:rPr>
          <w:rFonts w:ascii="Times New Roman" w:eastAsia="Times New Roman" w:hAnsi="Times New Roman" w:cs="Times New Roman"/>
          <w:color w:val="000000"/>
          <w:spacing w:val="0"/>
          <w:w w:val="100"/>
          <w:position w:val="0"/>
        </w:rPr>
        <w:t>ISO/IEC20000-1</w:t>
      </w:r>
      <w:r>
        <w:rPr>
          <w:color w:val="000000"/>
          <w:spacing w:val="0"/>
          <w:w w:val="100"/>
          <w:position w:val="0"/>
        </w:rPr>
        <w:t>的服务管理体系和</w:t>
      </w:r>
      <w:r>
        <w:rPr>
          <w:rFonts w:ascii="Times New Roman" w:eastAsia="Times New Roman" w:hAnsi="Times New Roman" w:cs="Times New Roman"/>
          <w:color w:val="000000"/>
          <w:spacing w:val="0"/>
          <w:w w:val="100"/>
          <w:position w:val="0"/>
        </w:rPr>
        <w:t>ISO20000</w:t>
      </w:r>
      <w:r>
        <w:rPr>
          <w:color w:val="000000"/>
          <w:spacing w:val="0"/>
          <w:w w:val="100"/>
          <w:position w:val="0"/>
        </w:rPr>
        <w:t>信息技术服务管理体系等 认证，以及取得了</w:t>
      </w:r>
      <w:r>
        <w:rPr>
          <w:rFonts w:ascii="Times New Roman" w:eastAsia="Times New Roman" w:hAnsi="Times New Roman" w:cs="Times New Roman"/>
          <w:color w:val="000000"/>
          <w:spacing w:val="0"/>
          <w:w w:val="100"/>
          <w:position w:val="0"/>
        </w:rPr>
        <w:t>300</w:t>
      </w:r>
      <w:r>
        <w:rPr>
          <w:color w:val="000000"/>
          <w:spacing w:val="0"/>
          <w:w w:val="100"/>
          <w:position w:val="0"/>
        </w:rPr>
        <w:t>余项软件著作权及十余项软件产品证书。</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在夯实基础软件工程技术体系的同时，法本信息持续在实时大数据处理</w:t>
      </w:r>
      <w:r>
        <w:rPr>
          <w:rFonts w:ascii="Times New Roman" w:eastAsia="Times New Roman" w:hAnsi="Times New Roman" w:cs="Times New Roman"/>
          <w:color w:val="000000"/>
          <w:spacing w:val="0"/>
          <w:w w:val="100"/>
          <w:position w:val="0"/>
        </w:rPr>
        <w:t>(FarData</w:t>
      </w:r>
      <w:r>
        <w:rPr>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rPr>
        <w:t>(FarAI</w:t>
      </w:r>
      <w:r>
        <w:rPr>
          <w:color w:val="000000"/>
          <w:spacing w:val="0"/>
          <w:w w:val="100"/>
          <w:position w:val="0"/>
        </w:rPr>
        <w:t xml:space="preserve">)、 </w:t>
      </w:r>
      <w:r>
        <w:rPr>
          <w:color w:val="000000"/>
          <w:spacing w:val="0"/>
          <w:w w:val="100"/>
          <w:position w:val="0"/>
        </w:rPr>
        <w:t>流程自动化和信息安全等技术领域加大投入，打造数字化产品与技术创新、高效能数字化运营和业务数字 化变革的全栈一体化服务体系，为行业的数字化转型升级全面赋能，为实现数字中国的国家战略贡献自己 的力量，实现企业价值的跨越式发展。</w:t>
      </w:r>
    </w:p>
    <w:p>
      <w:pPr>
        <w:pStyle w:val="Style12"/>
        <w:keepNext w:val="0"/>
        <w:keepLines w:val="0"/>
        <w:widowControl w:val="0"/>
        <w:shd w:val="clear" w:color="auto" w:fill="auto"/>
        <w:bidi w:val="0"/>
        <w:spacing w:before="0" w:after="0" w:line="468" w:lineRule="exact"/>
        <w:ind w:left="0" w:right="0" w:firstLine="0"/>
        <w:jc w:val="left"/>
      </w:pPr>
      <w:bookmarkStart w:id="110" w:name="bookmark110"/>
      <w:r>
        <w:rPr>
          <w:color w:val="000000"/>
          <w:spacing w:val="0"/>
          <w:w w:val="100"/>
          <w:position w:val="0"/>
        </w:rPr>
        <w:t>四</w:t>
      </w:r>
      <w:bookmarkEnd w:id="110"/>
      <w:r>
        <w:rPr>
          <w:color w:val="000000"/>
          <w:spacing w:val="0"/>
          <w:w w:val="100"/>
          <w:position w:val="0"/>
        </w:rPr>
        <w:t>、产品与解决方案业务</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报告期内公司基于软件技术服务外包在人才、业务场景、客户资源等方面的积累，加大产品与解决方 案业务领域的投入，并取得了一定的成效。</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在夯实基础软件工程技术体系的同时，公司不断向数字化平台、技术和解决方案领域深度拓展，持续 在大数据处理</w:t>
      </w:r>
      <w:r>
        <w:rPr>
          <w:color w:val="000000"/>
          <w:spacing w:val="0"/>
          <w:w w:val="100"/>
          <w:position w:val="0"/>
        </w:rPr>
        <w:t>(</w:t>
      </w:r>
      <w:r>
        <w:rPr>
          <w:rFonts w:ascii="Times New Roman" w:eastAsia="Times New Roman" w:hAnsi="Times New Roman" w:cs="Times New Roman"/>
          <w:color w:val="000000"/>
          <w:spacing w:val="0"/>
          <w:w w:val="100"/>
          <w:position w:val="0"/>
        </w:rPr>
        <w:t>FarData</w:t>
      </w:r>
      <w:r>
        <w:rPr>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rPr>
        <w:t>FarAI</w:t>
      </w:r>
      <w:r>
        <w:rPr>
          <w:color w:val="000000"/>
          <w:spacing w:val="0"/>
          <w:w w:val="100"/>
          <w:position w:val="0"/>
        </w:rPr>
        <w:t>)</w:t>
      </w:r>
      <w:r>
        <w:rPr>
          <w:color w:val="000000"/>
          <w:spacing w:val="0"/>
          <w:w w:val="100"/>
          <w:position w:val="0"/>
        </w:rPr>
        <w:t>、流程自动化和信息安全等技术领域加大投入，为行业的数 字化转型升级全面赋能，实现企业价值的跨越式发展。</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在大数据业务方面，公司主要聚焦金融、智能制造、高科技等行业，逐步建成从数据治理</w:t>
      </w:r>
      <w:r>
        <w:rPr>
          <w:rFonts w:ascii="Times New Roman" w:eastAsia="Times New Roman" w:hAnsi="Times New Roman" w:cs="Times New Roman"/>
          <w:color w:val="000000"/>
          <w:spacing w:val="0"/>
          <w:w w:val="100"/>
          <w:position w:val="0"/>
        </w:rPr>
        <w:t>/</w:t>
      </w:r>
      <w:r>
        <w:rPr>
          <w:color w:val="000000"/>
          <w:spacing w:val="0"/>
          <w:w w:val="100"/>
          <w:position w:val="0"/>
        </w:rPr>
        <w:t>实时数仓到 数据中台</w:t>
      </w:r>
      <w:r>
        <w:rPr>
          <w:rFonts w:ascii="Times New Roman" w:eastAsia="Times New Roman" w:hAnsi="Times New Roman" w:cs="Times New Roman"/>
          <w:color w:val="000000"/>
          <w:spacing w:val="0"/>
          <w:w w:val="100"/>
          <w:position w:val="0"/>
        </w:rPr>
        <w:t>/</w:t>
      </w:r>
      <w:r>
        <w:rPr>
          <w:color w:val="000000"/>
          <w:spacing w:val="0"/>
          <w:w w:val="100"/>
          <w:position w:val="0"/>
        </w:rPr>
        <w:t>管理驾驶舱</w:t>
      </w:r>
      <w:r>
        <w:rPr>
          <w:rFonts w:ascii="Times New Roman" w:eastAsia="Times New Roman" w:hAnsi="Times New Roman" w:cs="Times New Roman"/>
          <w:color w:val="000000"/>
          <w:spacing w:val="0"/>
          <w:w w:val="100"/>
          <w:position w:val="0"/>
        </w:rPr>
        <w:t>/</w:t>
      </w:r>
      <w:r>
        <w:rPr>
          <w:color w:val="000000"/>
          <w:spacing w:val="0"/>
          <w:w w:val="100"/>
          <w:position w:val="0"/>
        </w:rPr>
        <w:t>监管报送，到全面风险控制</w:t>
      </w:r>
      <w:r>
        <w:rPr>
          <w:rFonts w:ascii="Times New Roman" w:eastAsia="Times New Roman" w:hAnsi="Times New Roman" w:cs="Times New Roman"/>
          <w:color w:val="000000"/>
          <w:spacing w:val="0"/>
          <w:w w:val="100"/>
          <w:position w:val="0"/>
        </w:rPr>
        <w:t>/</w:t>
      </w:r>
      <w:r>
        <w:rPr>
          <w:color w:val="000000"/>
          <w:spacing w:val="0"/>
          <w:w w:val="100"/>
          <w:position w:val="0"/>
        </w:rPr>
        <w:t>供应链金融</w:t>
      </w:r>
      <w:r>
        <w:rPr>
          <w:rFonts w:ascii="Times New Roman" w:eastAsia="Times New Roman" w:hAnsi="Times New Roman" w:cs="Times New Roman"/>
          <w:color w:val="000000"/>
          <w:spacing w:val="0"/>
          <w:w w:val="100"/>
          <w:position w:val="0"/>
        </w:rPr>
        <w:t>/</w:t>
      </w:r>
      <w:r>
        <w:rPr>
          <w:color w:val="000000"/>
          <w:spacing w:val="0"/>
          <w:w w:val="100"/>
          <w:position w:val="0"/>
        </w:rPr>
        <w:t>产业金融，再到智慧精准营销、数据运营等 全栈式的数据服务能力，为各行业数字化升级提供强劲助力。当下公司已与多家股份制银行、城商行、农 商行、保险公司、证券公司、大型制造业、大型科技企业、独角兽企业保持良好的合作关系，公司已经具 多行业数字化转型端到端解决方案能力，</w:t>
      </w:r>
      <w:r>
        <w:rPr>
          <w:rFonts w:ascii="Times New Roman" w:eastAsia="Times New Roman" w:hAnsi="Times New Roman" w:cs="Times New Roman"/>
          <w:color w:val="000000"/>
          <w:spacing w:val="0"/>
          <w:w w:val="100"/>
          <w:position w:val="0"/>
        </w:rPr>
        <w:t>“</w:t>
      </w:r>
      <w:r>
        <w:rPr>
          <w:color w:val="000000"/>
          <w:spacing w:val="0"/>
          <w:w w:val="100"/>
          <w:position w:val="0"/>
        </w:rPr>
        <w:t>法本信息银行大数据中台系统</w:t>
      </w:r>
      <w:r>
        <w:rPr>
          <w:rFonts w:ascii="Times New Roman" w:eastAsia="Times New Roman" w:hAnsi="Times New Roman" w:cs="Times New Roman"/>
          <w:color w:val="000000"/>
          <w:spacing w:val="0"/>
          <w:w w:val="100"/>
          <w:position w:val="0"/>
        </w:rPr>
        <w:t>V1.0”</w:t>
      </w:r>
      <w:r>
        <w:rPr>
          <w:color w:val="000000"/>
          <w:spacing w:val="0"/>
          <w:w w:val="100"/>
          <w:position w:val="0"/>
        </w:rPr>
        <w:t>荣获中国软件行业协会颁发 的</w:t>
      </w:r>
      <w:r>
        <w:rPr>
          <w:rFonts w:ascii="Times New Roman" w:eastAsia="Times New Roman" w:hAnsi="Times New Roman" w:cs="Times New Roman"/>
          <w:color w:val="000000"/>
          <w:spacing w:val="0"/>
          <w:w w:val="100"/>
          <w:position w:val="0"/>
        </w:rPr>
        <w:t>“2021</w:t>
      </w:r>
      <w:r>
        <w:rPr>
          <w:color w:val="000000"/>
          <w:spacing w:val="0"/>
          <w:w w:val="100"/>
          <w:position w:val="0"/>
        </w:rPr>
        <w:t>年度优秀软件产品</w:t>
      </w:r>
      <w:r>
        <w:rPr>
          <w:rFonts w:ascii="Times New Roman" w:eastAsia="Times New Roman" w:hAnsi="Times New Roman" w:cs="Times New Roman"/>
          <w:color w:val="000000"/>
          <w:spacing w:val="0"/>
          <w:w w:val="100"/>
          <w:position w:val="0"/>
        </w:rPr>
        <w:t>”</w:t>
      </w:r>
      <w:r>
        <w:rPr>
          <w:color w:val="000000"/>
          <w:spacing w:val="0"/>
          <w:w w:val="100"/>
          <w:position w:val="0"/>
        </w:rPr>
        <w:t>奖项。</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在产品及解决方案的垂直领域上，公司也积极构建在行业及技术维度的专业化能力，特别在云服务及 智慧汽车方向上，公司持续战略投入，积极探索。</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在云业务方面，公司成立云业务产品线，积极参与云赛道竞争，打造自身多场景云智能服务能力，在 云咨询、云管理、云服务、云相关产品及解决方案业务等方面持续探索，在上云、用云和管云上构建核心 能力，并在金融、通信、互联网等多行业实现产品及解决方案云化，同时拓展多个新兴领域及应用场景， 为客户提供多元化、一站式云服务，向高价值领域快速发展与延伸。公司利用存量客户优势，依托于现有 客户中的云厂商积极构建公司自身的云服务能力。</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在智慧汽车方面，公司成立汽车行业线，瞄准万亿级智能汽车赛道，依托现有汽车主机厂及车联网客 户，快速在汽车智能座舱，自动驾驶，智能网联，创新营销和大数据建模等方面构建自身的产品及解决方 案能力，并已和多家品牌厂商展开合作。未来，公司将加速行业资源整合，不断优化服务模式，创新推进 </w:t>
      </w:r>
      <w:r>
        <w:rPr>
          <w:color w:val="000000"/>
          <w:spacing w:val="0"/>
          <w:w w:val="100"/>
          <w:position w:val="0"/>
        </w:rPr>
        <w:t>智慧汽车一站式服务，在人才引进、软件全生命周期开发、解决方案落地等持续为客户推进全价值链服务， 在国家新能源战略大的时代背景下，与更多合作伙伴共同推进智慧汽车软件行业的新格局高质量发展。</w:t>
      </w:r>
    </w:p>
    <w:p>
      <w:pPr>
        <w:pStyle w:val="Style12"/>
        <w:keepNext w:val="0"/>
        <w:keepLines w:val="0"/>
        <w:widowControl w:val="0"/>
        <w:shd w:val="clear" w:color="auto" w:fill="auto"/>
        <w:tabs>
          <w:tab w:pos="463" w:val="left"/>
        </w:tabs>
        <w:bidi w:val="0"/>
        <w:spacing w:before="0" w:after="0" w:line="468" w:lineRule="exact"/>
        <w:ind w:left="0" w:right="0" w:firstLine="0"/>
        <w:jc w:val="left"/>
      </w:pPr>
      <w:bookmarkStart w:id="111" w:name="bookmark111"/>
      <w:r>
        <w:rPr>
          <w:color w:val="000000"/>
          <w:spacing w:val="0"/>
          <w:w w:val="100"/>
          <w:position w:val="0"/>
        </w:rPr>
        <w:t>五</w:t>
      </w:r>
      <w:bookmarkEnd w:id="111"/>
      <w:r>
        <w:rPr>
          <w:color w:val="000000"/>
          <w:spacing w:val="0"/>
          <w:w w:val="100"/>
          <w:position w:val="0"/>
        </w:rPr>
        <w:t>、</w:t>
        <w:tab/>
        <w:t>组织与人才管理持续加强</w:t>
      </w:r>
    </w:p>
    <w:p>
      <w:pPr>
        <w:pStyle w:val="Style12"/>
        <w:keepNext w:val="0"/>
        <w:keepLines w:val="0"/>
        <w:widowControl w:val="0"/>
        <w:shd w:val="clear" w:color="auto" w:fill="auto"/>
        <w:bidi w:val="0"/>
        <w:spacing w:before="0" w:after="0" w:line="468" w:lineRule="exact"/>
        <w:ind w:left="0" w:right="0" w:firstLine="460"/>
        <w:jc w:val="left"/>
      </w:pPr>
      <w:r>
        <w:rPr>
          <w:color w:val="000000"/>
          <w:spacing w:val="0"/>
          <w:w w:val="100"/>
          <w:position w:val="0"/>
        </w:rPr>
        <w:t>报告期内，公司贯彻人才为本的管理理念，持续引入优秀的管理人才、技术人才等，研发、销售等主 要管理人员拥有多年行业相关经验，能够对行业的发展趋势做出良好的专业判断，以更好的满足客户需求， 提升客户服务质量。</w:t>
      </w:r>
    </w:p>
    <w:p>
      <w:pPr>
        <w:pStyle w:val="Style12"/>
        <w:keepNext w:val="0"/>
        <w:keepLines w:val="0"/>
        <w:widowControl w:val="0"/>
        <w:shd w:val="clear" w:color="auto" w:fill="auto"/>
        <w:bidi w:val="0"/>
        <w:spacing w:before="0" w:after="0" w:line="468" w:lineRule="exact"/>
        <w:ind w:left="0" w:right="0" w:firstLine="460"/>
        <w:jc w:val="left"/>
      </w:pPr>
      <w:r>
        <w:rPr>
          <w:color w:val="000000"/>
          <w:spacing w:val="0"/>
          <w:w w:val="100"/>
          <w:position w:val="0"/>
        </w:rPr>
        <w:t>此外，公司高度重视人才体系建设，通过线上线下灵活的培训方式持续为不同专业类别的人员赋能， 除内部推选讲师外公司还聘请各类专家对公司技术及管理人员进行定期授课。构建具有市场竞争力的员工 薪酬体系和激励政策，共同分享企业发展所带来的收益，促进员工价值观念的凝合。报告期内公司积极推 进</w:t>
      </w:r>
      <w:r>
        <w:rPr>
          <w:rFonts w:ascii="Times New Roman" w:eastAsia="Times New Roman" w:hAnsi="Times New Roman" w:cs="Times New Roman"/>
          <w:color w:val="000000"/>
          <w:spacing w:val="0"/>
          <w:w w:val="100"/>
          <w:position w:val="0"/>
        </w:rPr>
        <w:t>2021</w:t>
      </w:r>
      <w:r>
        <w:rPr>
          <w:color w:val="000000"/>
          <w:spacing w:val="0"/>
          <w:w w:val="100"/>
          <w:position w:val="0"/>
        </w:rPr>
        <w:t>年度股权激励计划，并于近期通过回购公司股票的方式延续激励手段，努力保持核心团队的稳定及 吸引更多的优秀人才，为达成公司的战略目标和可持续发展奠定基础。</w:t>
      </w:r>
    </w:p>
    <w:p>
      <w:pPr>
        <w:pStyle w:val="Style12"/>
        <w:keepNext w:val="0"/>
        <w:keepLines w:val="0"/>
        <w:widowControl w:val="0"/>
        <w:shd w:val="clear" w:color="auto" w:fill="auto"/>
        <w:tabs>
          <w:tab w:pos="468" w:val="left"/>
        </w:tabs>
        <w:bidi w:val="0"/>
        <w:spacing w:before="0" w:after="0" w:line="468" w:lineRule="exact"/>
        <w:ind w:left="0" w:right="0" w:firstLine="0"/>
        <w:jc w:val="left"/>
      </w:pPr>
      <w:bookmarkStart w:id="112" w:name="bookmark112"/>
      <w:r>
        <w:rPr>
          <w:color w:val="000000"/>
          <w:spacing w:val="0"/>
          <w:w w:val="100"/>
          <w:position w:val="0"/>
        </w:rPr>
        <w:t>六</w:t>
      </w:r>
      <w:bookmarkEnd w:id="112"/>
      <w:r>
        <w:rPr>
          <w:color w:val="000000"/>
          <w:spacing w:val="0"/>
          <w:w w:val="100"/>
          <w:position w:val="0"/>
        </w:rPr>
        <w:t>、</w:t>
        <w:tab/>
        <w:t>品牌建设</w:t>
      </w:r>
    </w:p>
    <w:p>
      <w:pPr>
        <w:pStyle w:val="Style12"/>
        <w:keepNext w:val="0"/>
        <w:keepLines w:val="0"/>
        <w:widowControl w:val="0"/>
        <w:shd w:val="clear" w:color="auto" w:fill="auto"/>
        <w:bidi w:val="0"/>
        <w:spacing w:before="0" w:after="0" w:line="468" w:lineRule="exact"/>
        <w:ind w:left="0" w:right="0" w:firstLine="460"/>
        <w:jc w:val="left"/>
      </w:pPr>
      <w:r>
        <w:rPr>
          <w:color w:val="000000"/>
          <w:spacing w:val="0"/>
          <w:w w:val="100"/>
          <w:position w:val="0"/>
        </w:rPr>
        <w:t>报告期内，公司荣获中国电子信息行业联合会颁发的</w:t>
      </w:r>
      <w:r>
        <w:rPr>
          <w:rFonts w:ascii="Times New Roman" w:eastAsia="Times New Roman" w:hAnsi="Times New Roman" w:cs="Times New Roman"/>
          <w:color w:val="000000"/>
          <w:spacing w:val="0"/>
          <w:w w:val="100"/>
          <w:position w:val="0"/>
        </w:rPr>
        <w:t>“2021</w:t>
      </w:r>
      <w:r>
        <w:rPr>
          <w:color w:val="000000"/>
          <w:spacing w:val="0"/>
          <w:w w:val="100"/>
          <w:position w:val="0"/>
        </w:rPr>
        <w:t>年度软件和信息技术服务竞争力</w:t>
      </w:r>
      <w:r>
        <w:rPr>
          <w:rFonts w:ascii="Times New Roman" w:eastAsia="Times New Roman" w:hAnsi="Times New Roman" w:cs="Times New Roman"/>
          <w:color w:val="000000"/>
          <w:spacing w:val="0"/>
          <w:w w:val="100"/>
          <w:position w:val="0"/>
        </w:rPr>
        <w:t>-</w:t>
      </w:r>
      <w:r>
        <w:rPr>
          <w:color w:val="000000"/>
          <w:spacing w:val="0"/>
          <w:w w:val="100"/>
          <w:position w:val="0"/>
        </w:rPr>
        <w:t>百强企业</w:t>
      </w:r>
      <w:r>
        <w:rPr>
          <w:rFonts w:ascii="Times New Roman" w:eastAsia="Times New Roman" w:hAnsi="Times New Roman" w:cs="Times New Roman"/>
          <w:color w:val="000000"/>
          <w:spacing w:val="0"/>
          <w:w w:val="100"/>
          <w:position w:val="0"/>
        </w:rPr>
        <w:t>”</w:t>
      </w:r>
      <w:r>
        <w:rPr>
          <w:color w:val="000000"/>
          <w:spacing w:val="0"/>
          <w:w w:val="100"/>
          <w:position w:val="0"/>
        </w:rPr>
        <w:t>、 中国</w:t>
      </w:r>
      <w:r>
        <w:rPr>
          <w:rFonts w:ascii="Times New Roman" w:eastAsia="Times New Roman" w:hAnsi="Times New Roman" w:cs="Times New Roman"/>
          <w:color w:val="000000"/>
          <w:spacing w:val="0"/>
          <w:w w:val="100"/>
          <w:position w:val="0"/>
        </w:rPr>
        <w:t>SaaS</w:t>
      </w:r>
      <w:r>
        <w:rPr>
          <w:color w:val="000000"/>
          <w:spacing w:val="0"/>
          <w:w w:val="100"/>
          <w:position w:val="0"/>
        </w:rPr>
        <w:t>应用大会组委会评选的</w:t>
      </w:r>
      <w:r>
        <w:rPr>
          <w:rFonts w:ascii="Times New Roman" w:eastAsia="Times New Roman" w:hAnsi="Times New Roman" w:cs="Times New Roman"/>
          <w:color w:val="000000"/>
          <w:spacing w:val="0"/>
          <w:w w:val="100"/>
          <w:position w:val="0"/>
        </w:rPr>
        <w:t>“</w:t>
      </w:r>
      <w:r>
        <w:rPr>
          <w:color w:val="000000"/>
          <w:spacing w:val="0"/>
          <w:w w:val="100"/>
          <w:position w:val="0"/>
        </w:rPr>
        <w:t>年度最佳</w:t>
      </w:r>
      <w:r>
        <w:rPr>
          <w:rFonts w:ascii="Times New Roman" w:eastAsia="Times New Roman" w:hAnsi="Times New Roman" w:cs="Times New Roman"/>
          <w:color w:val="000000"/>
          <w:spacing w:val="0"/>
          <w:w w:val="100"/>
          <w:position w:val="0"/>
        </w:rPr>
        <w:t>SaaS</w:t>
      </w:r>
      <w:r>
        <w:rPr>
          <w:color w:val="000000"/>
          <w:spacing w:val="0"/>
          <w:w w:val="100"/>
          <w:position w:val="0"/>
        </w:rPr>
        <w:t>服务商</w:t>
      </w:r>
      <w:r>
        <w:rPr>
          <w:rFonts w:ascii="Times New Roman" w:eastAsia="Times New Roman" w:hAnsi="Times New Roman" w:cs="Times New Roman"/>
          <w:color w:val="000000"/>
          <w:spacing w:val="0"/>
          <w:w w:val="100"/>
          <w:position w:val="0"/>
        </w:rPr>
        <w:t>”</w:t>
      </w:r>
      <w:r>
        <w:rPr>
          <w:color w:val="000000"/>
          <w:spacing w:val="0"/>
          <w:w w:val="100"/>
          <w:position w:val="0"/>
        </w:rPr>
        <w:t>、深圳市企业联合会及深圳市企业家协会联合评 选的</w:t>
      </w:r>
      <w:r>
        <w:rPr>
          <w:rFonts w:ascii="Times New Roman" w:eastAsia="Times New Roman" w:hAnsi="Times New Roman" w:cs="Times New Roman"/>
          <w:color w:val="000000"/>
          <w:spacing w:val="0"/>
          <w:w w:val="100"/>
          <w:position w:val="0"/>
        </w:rPr>
        <w:t>“2021</w:t>
      </w:r>
      <w:r>
        <w:rPr>
          <w:color w:val="000000"/>
          <w:spacing w:val="0"/>
          <w:w w:val="100"/>
          <w:position w:val="0"/>
        </w:rPr>
        <w:t>深圳</w:t>
      </w:r>
      <w:r>
        <w:rPr>
          <w:rFonts w:ascii="Times New Roman" w:eastAsia="Times New Roman" w:hAnsi="Times New Roman" w:cs="Times New Roman"/>
          <w:color w:val="000000"/>
          <w:spacing w:val="0"/>
          <w:w w:val="100"/>
          <w:position w:val="0"/>
        </w:rPr>
        <w:t>500</w:t>
      </w:r>
      <w:r>
        <w:rPr>
          <w:color w:val="000000"/>
          <w:spacing w:val="0"/>
          <w:w w:val="100"/>
          <w:position w:val="0"/>
        </w:rPr>
        <w:t>强企业</w:t>
      </w:r>
      <w:r>
        <w:rPr>
          <w:rFonts w:ascii="Times New Roman" w:eastAsia="Times New Roman" w:hAnsi="Times New Roman" w:cs="Times New Roman"/>
          <w:color w:val="000000"/>
          <w:spacing w:val="0"/>
          <w:w w:val="100"/>
          <w:position w:val="0"/>
        </w:rPr>
        <w:t>”</w:t>
      </w:r>
      <w:r>
        <w:rPr>
          <w:color w:val="000000"/>
          <w:spacing w:val="0"/>
          <w:w w:val="100"/>
          <w:position w:val="0"/>
        </w:rPr>
        <w:t>、广东省电子政务协会颁发的</w:t>
      </w:r>
      <w:r>
        <w:rPr>
          <w:rFonts w:ascii="Times New Roman" w:eastAsia="Times New Roman" w:hAnsi="Times New Roman" w:cs="Times New Roman"/>
          <w:color w:val="000000"/>
          <w:spacing w:val="0"/>
          <w:w w:val="100"/>
          <w:position w:val="0"/>
        </w:rPr>
        <w:t>“2021</w:t>
      </w:r>
      <w:r>
        <w:rPr>
          <w:color w:val="000000"/>
          <w:spacing w:val="0"/>
          <w:w w:val="100"/>
          <w:position w:val="0"/>
        </w:rPr>
        <w:t>年广东省政务服务创新案例一智慧应急管 理平台解决方案</w:t>
      </w:r>
      <w:r>
        <w:rPr>
          <w:rFonts w:ascii="Times New Roman" w:eastAsia="Times New Roman" w:hAnsi="Times New Roman" w:cs="Times New Roman"/>
          <w:color w:val="000000"/>
          <w:spacing w:val="0"/>
          <w:w w:val="100"/>
          <w:position w:val="0"/>
        </w:rPr>
        <w:t>”</w:t>
      </w:r>
      <w:r>
        <w:rPr>
          <w:color w:val="000000"/>
          <w:spacing w:val="0"/>
          <w:w w:val="100"/>
          <w:position w:val="0"/>
        </w:rPr>
        <w:t>、数字生态大会评选的</w:t>
      </w:r>
      <w:r>
        <w:rPr>
          <w:rFonts w:ascii="Times New Roman" w:eastAsia="Times New Roman" w:hAnsi="Times New Roman" w:cs="Times New Roman"/>
          <w:color w:val="000000"/>
          <w:spacing w:val="0"/>
          <w:w w:val="100"/>
          <w:position w:val="0"/>
        </w:rPr>
        <w:t>“</w:t>
      </w:r>
      <w:r>
        <w:rPr>
          <w:color w:val="000000"/>
          <w:spacing w:val="0"/>
          <w:w w:val="100"/>
          <w:position w:val="0"/>
        </w:rPr>
        <w:t>行业数字化服务商</w:t>
      </w:r>
      <w:r>
        <w:rPr>
          <w:rFonts w:ascii="Times New Roman" w:eastAsia="Times New Roman" w:hAnsi="Times New Roman" w:cs="Times New Roman"/>
          <w:color w:val="000000"/>
          <w:spacing w:val="0"/>
          <w:w w:val="100"/>
          <w:position w:val="0"/>
        </w:rPr>
        <w:t>-</w:t>
      </w:r>
      <w:r>
        <w:rPr>
          <w:color w:val="000000"/>
          <w:spacing w:val="0"/>
          <w:w w:val="100"/>
          <w:position w:val="0"/>
        </w:rPr>
        <w:t>银行十佳</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第九届中国电子信息博览会创新 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数字生态</w:t>
      </w:r>
      <w:r>
        <w:rPr>
          <w:rFonts w:ascii="Times New Roman" w:eastAsia="Times New Roman" w:hAnsi="Times New Roman" w:cs="Times New Roman"/>
          <w:color w:val="000000"/>
          <w:spacing w:val="0"/>
          <w:w w:val="100"/>
          <w:position w:val="0"/>
        </w:rPr>
        <w:t>500</w:t>
      </w:r>
      <w:r>
        <w:rPr>
          <w:color w:val="000000"/>
          <w:spacing w:val="0"/>
          <w:w w:val="100"/>
          <w:position w:val="0"/>
        </w:rPr>
        <w:t>强——行业数字化服务商银行十佳</w:t>
      </w:r>
      <w:r>
        <w:rPr>
          <w:rFonts w:ascii="Times New Roman" w:eastAsia="Times New Roman" w:hAnsi="Times New Roman" w:cs="Times New Roman"/>
          <w:color w:val="000000"/>
          <w:spacing w:val="0"/>
          <w:w w:val="100"/>
          <w:position w:val="0"/>
        </w:rPr>
        <w:t>”</w:t>
      </w:r>
      <w:r>
        <w:rPr>
          <w:color w:val="000000"/>
          <w:spacing w:val="0"/>
          <w:w w:val="100"/>
          <w:position w:val="0"/>
        </w:rPr>
        <w:t>等一系列奖项。</w:t>
      </w:r>
    </w:p>
    <w:p>
      <w:pPr>
        <w:pStyle w:val="Style12"/>
        <w:keepNext w:val="0"/>
        <w:keepLines w:val="0"/>
        <w:widowControl w:val="0"/>
        <w:shd w:val="clear" w:color="auto" w:fill="auto"/>
        <w:bidi w:val="0"/>
        <w:spacing w:before="0" w:after="400" w:line="468" w:lineRule="exact"/>
        <w:ind w:left="0" w:right="0" w:firstLine="460"/>
        <w:jc w:val="left"/>
      </w:pPr>
      <w:r>
        <w:rPr>
          <w:color w:val="000000"/>
          <w:spacing w:val="0"/>
          <w:w w:val="100"/>
          <w:position w:val="0"/>
        </w:rPr>
        <w:t>公司优秀的软件技术服务能力也获得了广大客户的认可，报告期内获评</w:t>
      </w:r>
      <w:r>
        <w:rPr>
          <w:rFonts w:ascii="Times New Roman" w:eastAsia="Times New Roman" w:hAnsi="Times New Roman" w:cs="Times New Roman"/>
          <w:color w:val="000000"/>
          <w:spacing w:val="0"/>
          <w:w w:val="100"/>
          <w:position w:val="0"/>
        </w:rPr>
        <w:t>“</w:t>
      </w:r>
      <w:r>
        <w:rPr>
          <w:color w:val="000000"/>
          <w:spacing w:val="0"/>
          <w:w w:val="100"/>
          <w:position w:val="0"/>
        </w:rPr>
        <w:t>平安智慧城市最佳合作伙伴</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高德共享出行</w:t>
      </w:r>
      <w:r>
        <w:rPr>
          <w:rFonts w:ascii="Times New Roman" w:eastAsia="Times New Roman" w:hAnsi="Times New Roman" w:cs="Times New Roman"/>
          <w:color w:val="000000"/>
          <w:spacing w:val="0"/>
          <w:w w:val="100"/>
          <w:position w:val="0"/>
        </w:rPr>
        <w:t>2021</w:t>
      </w:r>
      <w:r>
        <w:rPr>
          <w:color w:val="000000"/>
          <w:spacing w:val="0"/>
          <w:w w:val="100"/>
          <w:position w:val="0"/>
        </w:rPr>
        <w:t>客户体验最佳稳定交付</w:t>
      </w:r>
      <w:r>
        <w:rPr>
          <w:rFonts w:ascii="Times New Roman" w:eastAsia="Times New Roman" w:hAnsi="Times New Roman" w:cs="Times New Roman"/>
          <w:color w:val="000000"/>
          <w:spacing w:val="0"/>
          <w:w w:val="100"/>
          <w:position w:val="0"/>
        </w:rPr>
        <w:t>”</w:t>
      </w:r>
      <w:r>
        <w:rPr>
          <w:color w:val="000000"/>
          <w:spacing w:val="0"/>
          <w:w w:val="100"/>
          <w:position w:val="0"/>
        </w:rPr>
        <w:t>等客户奖项。</w:t>
      </w:r>
    </w:p>
    <w:p>
      <w:pPr>
        <w:pStyle w:val="Style38"/>
        <w:keepNext/>
        <w:keepLines/>
        <w:widowControl w:val="0"/>
        <w:shd w:val="clear" w:color="auto" w:fill="auto"/>
        <w:bidi w:val="0"/>
        <w:spacing w:before="0" w:after="0" w:line="48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、收入与成本</w:t>
      </w:r>
      <w:bookmarkEnd w:id="113"/>
      <w:bookmarkEnd w:id="114"/>
      <w:bookmarkEnd w:id="116"/>
    </w:p>
    <w:p>
      <w:pPr>
        <w:pStyle w:val="Style46"/>
        <w:keepNext/>
        <w:keepLines/>
        <w:widowControl w:val="0"/>
        <w:shd w:val="clear" w:color="auto" w:fill="auto"/>
        <w:bidi w:val="0"/>
        <w:spacing w:before="0" w:after="120" w:line="468" w:lineRule="exact"/>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7"/>
      <w:bookmarkEnd w:id="118"/>
      <w:bookmarkEnd w:id="120"/>
    </w:p>
    <w:p>
      <w:pPr>
        <w:pStyle w:val="Style12"/>
        <w:keepNext w:val="0"/>
        <w:keepLines w:val="0"/>
        <w:widowControl w:val="0"/>
        <w:shd w:val="clear" w:color="auto" w:fill="auto"/>
        <w:bidi w:val="0"/>
        <w:spacing w:before="0" w:after="120" w:line="468" w:lineRule="exact"/>
        <w:ind w:left="0" w:right="0" w:firstLine="0"/>
        <w:jc w:val="left"/>
      </w:pPr>
      <w:r>
        <w:rPr>
          <w:color w:val="000000"/>
          <w:spacing w:val="0"/>
          <w:w w:val="100"/>
          <w:position w:val="0"/>
        </w:rPr>
        <w:t>营业收入整体情况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同比增减</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3,088,227,503.90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1,947,737,519.73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w:t>
            </w:r>
          </w:p>
        </w:tc>
      </w:tr>
      <w:tr>
        <w:trPr>
          <w:trHeight w:val="39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1,241,913,685.84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624,656,771.32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925,251,417.21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620,861,085.94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347,021,128.41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278,183,217.63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146,190,741.30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144,820,186.01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118,723,669.89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67,874,017.68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91,984,270.82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57,268,060.95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航空、物流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58,566,648.63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54,166,425.19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批发零售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45,613,827.32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40,124,605.31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112,962,114.48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59,783,149.70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分析与设计服务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230,851,503.93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158,386,230.39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开发与编程服务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1,636,401,570.63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1,106,606,015.32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测试与集成服务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606,514,087.88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351,219,367.34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实施与运维服务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556,157,400.80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292,189,734.66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58,302,940.66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39,336,172.02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1,406,239,416.63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1,032,195,291.17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955,377,517.33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566,094,211.17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558,326,252.81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276,340,363.78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46,507,593.13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13,235,984.75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38,659,119.80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20,468,921.32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83,117,604.20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39,402,747.54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110.94%</w:t>
            </w:r>
          </w:p>
        </w:tc>
      </w:tr>
      <w:tr>
        <w:trPr>
          <w:trHeight w:val="408"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分销售模式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3,088,227,503.90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1,947,737,519.73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w:t>
            </w:r>
          </w:p>
        </w:tc>
      </w:tr>
    </w:tbl>
    <w:p>
      <w:pPr>
        <w:pStyle w:val="Style12"/>
        <w:keepNext w:val="0"/>
        <w:keepLines w:val="0"/>
        <w:widowControl w:val="0"/>
        <w:shd w:val="clear" w:color="auto" w:fill="auto"/>
        <w:bidi w:val="0"/>
        <w:spacing w:before="0" w:after="0" w:line="473" w:lineRule="exact"/>
        <w:ind w:left="0" w:right="0" w:firstLine="0"/>
        <w:jc w:val="left"/>
      </w:pPr>
      <w:r>
        <w:rPr>
          <w:color w:val="000000"/>
          <w:spacing w:val="0"/>
          <w:w w:val="100"/>
          <w:position w:val="0"/>
        </w:rPr>
        <w:t>注：公司应当结合行业特征和自身实际情况，分别按行业、产品及地区说明报告期内公司营业收入构成 情况。</w:t>
      </w:r>
    </w:p>
    <w:p>
      <w:pPr>
        <w:pStyle w:val="Style12"/>
        <w:keepNext w:val="0"/>
        <w:keepLines w:val="0"/>
        <w:widowControl w:val="0"/>
        <w:shd w:val="clear" w:color="auto" w:fill="auto"/>
        <w:bidi w:val="0"/>
        <w:spacing w:before="0" w:after="200" w:line="47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 务业''的披露要求</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13"/>
        <w:gridCol w:w="1008"/>
        <w:gridCol w:w="1008"/>
        <w:gridCol w:w="1008"/>
        <w:gridCol w:w="1008"/>
        <w:gridCol w:w="1003"/>
        <w:gridCol w:w="1008"/>
        <w:gridCol w:w="100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641,381,879.00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743,292,134.23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818,672,551.77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884,880,938.90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357,254,439.55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439,916,777.31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523,850,027.14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626,716,275.73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归属于上市公司股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21,019,082.94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36,042,763.86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40,150,551.07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38,464,084.65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20,203,474.16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27,567,887.66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35,403,477.84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38,365,365.71</w:t>
            </w:r>
          </w:p>
        </w:tc>
      </w:tr>
    </w:tbl>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说明经营季节性（或周期性）发生的原因及波动风险：不适用。</w:t>
      </w:r>
    </w:p>
    <w:p>
      <w:pPr>
        <w:pStyle w:val="Style46"/>
        <w:keepNext/>
        <w:keepLines/>
        <w:widowControl w:val="0"/>
        <w:shd w:val="clear" w:color="auto" w:fill="auto"/>
        <w:bidi w:val="0"/>
        <w:spacing w:before="0" w:after="42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1"/>
      <w:bookmarkEnd w:id="122"/>
      <w:bookmarkEnd w:id="124"/>
    </w:p>
    <w:p>
      <w:pPr>
        <w:pStyle w:val="Style1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w:t>
      </w: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务业''的披露要求</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363"/>
        <w:gridCol w:w="1368"/>
        <w:gridCol w:w="1368"/>
        <w:gridCol w:w="1368"/>
        <w:gridCol w:w="1402"/>
      </w:tblGrid>
      <w:tr>
        <w:trPr>
          <w:trHeight w:val="126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420" w:line="240" w:lineRule="auto"/>
              <w:ind w:left="0" w:right="0" w:firstLine="0"/>
              <w:jc w:val="left"/>
              <w:rPr>
                <w:sz w:val="18"/>
                <w:szCs w:val="18"/>
              </w:rPr>
            </w:pPr>
            <w:r>
              <w:rPr>
                <w:color w:val="000000"/>
                <w:spacing w:val="0"/>
                <w:w w:val="100"/>
                <w:position w:val="0"/>
                <w:sz w:val="18"/>
                <w:szCs w:val="18"/>
              </w:rPr>
              <w:t>营业收入比上年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420" w:line="240" w:lineRule="auto"/>
              <w:ind w:left="0" w:right="0" w:firstLine="0"/>
              <w:jc w:val="left"/>
              <w:rPr>
                <w:sz w:val="18"/>
                <w:szCs w:val="18"/>
              </w:rPr>
            </w:pPr>
            <w:r>
              <w:rPr>
                <w:color w:val="000000"/>
                <w:spacing w:val="0"/>
                <w:w w:val="100"/>
                <w:position w:val="0"/>
                <w:sz w:val="18"/>
                <w:szCs w:val="18"/>
              </w:rPr>
              <w:t>营业成本比上年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420" w:line="240" w:lineRule="auto"/>
              <w:ind w:left="0" w:right="0" w:firstLine="0"/>
              <w:jc w:val="left"/>
              <w:rPr>
                <w:sz w:val="18"/>
                <w:szCs w:val="18"/>
              </w:rPr>
            </w:pPr>
            <w:r>
              <w:rPr>
                <w:color w:val="000000"/>
                <w:spacing w:val="0"/>
                <w:w w:val="100"/>
                <w:position w:val="0"/>
                <w:sz w:val="18"/>
                <w:szCs w:val="18"/>
              </w:rPr>
              <w:t>毛利率比上年同</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期增减</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1,241,913,685.84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896,475,985.05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925,251,417.21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674,478,169.43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347,021,128.41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272,040,334.58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开发与编程服务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1,636,401,570.63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1,212,632,579.38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测试与集成服务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606,514,087.88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453,383,633.35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实施与运维服务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556,157,400.80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401,017,912.35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1,406,239,416.63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1,028,344,708.99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955,377,517.33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696,195,747.37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558,326,252.81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429,005,984.63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bl>
    <w:p>
      <w:pPr>
        <w:widowControl w:val="0"/>
        <w:spacing w:after="79" w:line="1" w:lineRule="exact"/>
      </w:pP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w:t>
      </w: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务数据</w:t>
      </w:r>
    </w:p>
    <w:p>
      <w:pPr>
        <w:pStyle w:val="Style1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6"/>
        <w:keepNext/>
        <w:keepLines/>
        <w:widowControl w:val="0"/>
        <w:shd w:val="clear" w:color="auto" w:fill="auto"/>
        <w:tabs>
          <w:tab w:pos="493" w:val="left"/>
        </w:tabs>
        <w:bidi w:val="0"/>
        <w:spacing w:before="0" w:after="34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5"/>
      <w:bookmarkEnd w:id="126"/>
      <w:bookmarkEnd w:id="128"/>
    </w:p>
    <w:p>
      <w:pPr>
        <w:pStyle w:val="Style1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46"/>
        <w:keepNext/>
        <w:keepLines/>
        <w:widowControl w:val="0"/>
        <w:shd w:val="clear" w:color="auto" w:fill="auto"/>
        <w:tabs>
          <w:tab w:pos="493" w:val="left"/>
        </w:tabs>
        <w:bidi w:val="0"/>
        <w:spacing w:before="0" w:after="34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9"/>
      <w:bookmarkEnd w:id="130"/>
      <w:bookmarkEnd w:id="132"/>
    </w:p>
    <w:p>
      <w:pPr>
        <w:pStyle w:val="Style1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6"/>
        <w:keepNext/>
        <w:keepLines/>
        <w:widowControl w:val="0"/>
        <w:shd w:val="clear" w:color="auto" w:fill="auto"/>
        <w:tabs>
          <w:tab w:pos="493" w:val="left"/>
        </w:tabs>
        <w:bidi w:val="0"/>
        <w:spacing w:before="0" w:after="34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3"/>
      <w:bookmarkEnd w:id="134"/>
      <w:bookmarkEnd w:id="136"/>
      <w:r>
        <w:rPr>
          <w:color w:val="000000"/>
          <w:spacing w:val="0"/>
          <w:w w:val="100"/>
          <w:position w:val="0"/>
        </w:rPr>
        <w:t xml:space="preserve"> </w:t>
      </w:r>
      <w:r>
        <w:rPr>
          <w:rStyle w:val="CharStyle13"/>
          <w:b w:val="0"/>
          <w:bCs w:val="0"/>
        </w:rPr>
        <w:t>行业和产品分类</w:t>
      </w:r>
      <w:r>
        <w:br w:type="page"/>
      </w:r>
    </w:p>
    <w:p>
      <w:pPr>
        <w:pStyle w:val="Style2"/>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965"/>
        <w:gridCol w:w="1781"/>
        <w:gridCol w:w="1363"/>
        <w:gridCol w:w="1368"/>
        <w:gridCol w:w="1368"/>
        <w:gridCol w:w="1363"/>
        <w:gridCol w:w="127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896,475,985.05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432,420,678.16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674,478,169.43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442,881,837.46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272,040,334.58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213,673,188.02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111,205,500.42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103,272,789.47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90,762,607.21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47,710,509.44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68,338,171.84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42,721,334.08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航空、物流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42,359,677.46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38,127,214.58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批发零售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31,415,551.80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28,071,711.53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86,038,430.89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45,125,520.05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w:t>
            </w:r>
          </w:p>
        </w:tc>
      </w:tr>
    </w:tbl>
    <w:p>
      <w:pPr>
        <w:widowControl w:val="0"/>
        <w:spacing w:after="7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714"/>
        <w:gridCol w:w="1421"/>
        <w:gridCol w:w="1416"/>
        <w:gridCol w:w="1277"/>
        <w:gridCol w:w="1416"/>
        <w:gridCol w:w="96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产品分类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分析与设计服务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172,834,111.59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115,172,185.87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开发与编程服务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1,212,632,579.38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789,780,819.60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测试与集成服务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453,383,633.35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252,699,553.77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实施与运维服务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401,017,912.35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207,766,090.40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人工成本及相关费用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33,246,192.01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28,586,133.15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w:t>
            </w:r>
          </w:p>
        </w:tc>
      </w:tr>
    </w:tbl>
    <w:p>
      <w:pPr>
        <w:widowControl w:val="0"/>
        <w:spacing w:after="79" w:line="1" w:lineRule="exact"/>
      </w:pP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主营业务成本构成</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成本构成</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2,183,372,235.90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1,345,538,554.43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89,742,192.78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48,051,181.51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bl>
    <w:p>
      <w:pPr>
        <w:widowControl w:val="0"/>
        <w:spacing w:after="299" w:line="1" w:lineRule="exact"/>
      </w:pPr>
    </w:p>
    <w:p>
      <w:pPr>
        <w:pStyle w:val="Style46"/>
        <w:keepNext/>
        <w:keepLines/>
        <w:widowControl w:val="0"/>
        <w:shd w:val="clear" w:color="auto" w:fill="auto"/>
        <w:bidi w:val="0"/>
        <w:spacing w:before="0" w:after="42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7"/>
      <w:bookmarkEnd w:id="138"/>
      <w:bookmarkEnd w:id="140"/>
    </w:p>
    <w:p>
      <w:pPr>
        <w:pStyle w:val="Style1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2"/>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其他原因的合并范围变动</w:t>
      </w:r>
    </w:p>
    <w:tbl>
      <w:tblPr>
        <w:tblOverlap w:val="never"/>
        <w:jc w:val="center"/>
        <w:tblLayout w:type="fixed"/>
      </w:tblPr>
      <w:tblGrid>
        <w:gridCol w:w="2218"/>
        <w:gridCol w:w="1853"/>
        <w:gridCol w:w="1858"/>
        <w:gridCol w:w="1848"/>
        <w:gridCol w:w="1867"/>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注册资本（元）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出资比例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上海法本信息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法本通信［注］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2"/>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［注］公司购买深圳市欢欢充科技有限公司</w:t>
      </w:r>
      <w:r>
        <w:rPr>
          <w:rFonts w:ascii="Times New Roman" w:eastAsia="Times New Roman" w:hAnsi="Times New Roman" w:cs="Times New Roman"/>
          <w:color w:val="000000"/>
          <w:spacing w:val="0"/>
          <w:w w:val="100"/>
          <w:position w:val="0"/>
        </w:rPr>
        <w:t>（</w:t>
      </w:r>
      <w:r>
        <w:rPr>
          <w:color w:val="000000"/>
          <w:spacing w:val="0"/>
          <w:w w:val="100"/>
          <w:position w:val="0"/>
        </w:rPr>
        <w:t>公司名称已变更为法本通信</w:t>
      </w:r>
      <w:r>
        <w:rPr>
          <w:rFonts w:ascii="Times New Roman" w:eastAsia="Times New Roman" w:hAnsi="Times New Roman" w:cs="Times New Roman"/>
          <w:color w:val="000000"/>
          <w:spacing w:val="0"/>
          <w:w w:val="100"/>
          <w:position w:val="0"/>
        </w:rPr>
        <w:t>）</w:t>
      </w:r>
      <w:r>
        <w:rPr>
          <w:color w:val="000000"/>
          <w:spacing w:val="0"/>
          <w:w w:val="100"/>
          <w:position w:val="0"/>
        </w:rPr>
        <w:t>时，深圳市欢欢充科技有限 公司尚未开展实质经营业务活动，其账面净资产为</w:t>
      </w:r>
      <w:r>
        <w:rPr>
          <w:rFonts w:ascii="Times New Roman" w:eastAsia="Times New Roman" w:hAnsi="Times New Roman" w:cs="Times New Roman"/>
          <w:color w:val="000000"/>
          <w:spacing w:val="0"/>
          <w:w w:val="100"/>
          <w:position w:val="0"/>
        </w:rPr>
        <w:t>0</w:t>
      </w:r>
      <w:r>
        <w:rPr>
          <w:color w:val="000000"/>
          <w:spacing w:val="0"/>
          <w:w w:val="100"/>
          <w:position w:val="0"/>
        </w:rPr>
        <w:t>元，不具备《企业会计准则解释第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号》所规定的应当 至少同时具有一项投入和一项实质性加工处理过程，因而不构成企业合并会计准则所指的一项</w:t>
      </w:r>
      <w:r>
        <w:rPr>
          <w:rFonts w:ascii="Times New Roman" w:eastAsia="Times New Roman" w:hAnsi="Times New Roman" w:cs="Times New Roman"/>
          <w:color w:val="000000"/>
          <w:spacing w:val="0"/>
          <w:w w:val="100"/>
          <w:position w:val="0"/>
        </w:rPr>
        <w:t>“</w:t>
      </w:r>
      <w:r>
        <w:rPr>
          <w:color w:val="000000"/>
          <w:spacing w:val="0"/>
          <w:w w:val="100"/>
          <w:position w:val="0"/>
        </w:rPr>
        <w:t>业务</w:t>
      </w:r>
      <w:r>
        <w:rPr>
          <w:rFonts w:ascii="Times New Roman" w:eastAsia="Times New Roman" w:hAnsi="Times New Roman" w:cs="Times New Roman"/>
          <w:color w:val="000000"/>
          <w:spacing w:val="0"/>
          <w:w w:val="100"/>
          <w:position w:val="0"/>
        </w:rPr>
        <w:t>”</w:t>
      </w:r>
      <w:r>
        <w:rPr>
          <w:color w:val="000000"/>
          <w:spacing w:val="0"/>
          <w:w w:val="100"/>
          <w:position w:val="0"/>
        </w:rPr>
        <w:t>，因 此公司收购深圳市欢欢充科技有限公司不按照合并准则进行处理，公司将收购的支付的</w:t>
      </w:r>
      <w:r>
        <w:rPr>
          <w:rFonts w:ascii="Times New Roman" w:eastAsia="Times New Roman" w:hAnsi="Times New Roman" w:cs="Times New Roman"/>
          <w:color w:val="000000"/>
          <w:spacing w:val="0"/>
          <w:w w:val="100"/>
          <w:position w:val="0"/>
        </w:rPr>
        <w:t>130,000.00</w:t>
      </w:r>
      <w:r>
        <w:rPr>
          <w:color w:val="000000"/>
          <w:spacing w:val="0"/>
          <w:w w:val="100"/>
          <w:position w:val="0"/>
        </w:rPr>
        <w:t>元计入 管理费用。</w:t>
      </w:r>
    </w:p>
    <w:p>
      <w:pPr>
        <w:pStyle w:val="Style46"/>
        <w:keepNext/>
        <w:keepLines/>
        <w:widowControl w:val="0"/>
        <w:shd w:val="clear" w:color="auto" w:fill="auto"/>
        <w:tabs>
          <w:tab w:pos="493" w:val="left"/>
        </w:tabs>
        <w:bidi w:val="0"/>
        <w:spacing w:before="0" w:after="440" w:line="469" w:lineRule="exact"/>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1"/>
      <w:bookmarkEnd w:id="142"/>
      <w:bookmarkEnd w:id="144"/>
    </w:p>
    <w:p>
      <w:pPr>
        <w:pStyle w:val="Style1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6"/>
        <w:keepNext/>
        <w:keepLines/>
        <w:widowControl w:val="0"/>
        <w:shd w:val="clear" w:color="auto" w:fill="auto"/>
        <w:tabs>
          <w:tab w:pos="493" w:val="left"/>
        </w:tabs>
        <w:bidi w:val="0"/>
        <w:spacing w:before="0" w:after="200" w:line="469" w:lineRule="exact"/>
        <w:ind w:left="0" w:right="0" w:firstLine="0"/>
        <w:jc w:val="both"/>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12"/>
        <w:keepNext w:val="0"/>
        <w:keepLines w:val="0"/>
        <w:widowControl w:val="0"/>
        <w:shd w:val="clear" w:color="auto" w:fill="auto"/>
        <w:bidi w:val="0"/>
        <w:spacing w:before="0" w:after="100" w:line="469" w:lineRule="exact"/>
        <w:ind w:left="0" w:right="0" w:firstLine="0"/>
        <w:jc w:val="both"/>
      </w:pPr>
      <w:r>
        <w:rPr>
          <w:color w:val="000000"/>
          <w:spacing w:val="0"/>
          <w:w w:val="100"/>
          <w:position w:val="0"/>
        </w:rPr>
        <w:t>公司主要销售客户情况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1,158,627,389.11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311,779,370.75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309,912,581.82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10.04%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292,311,864.98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9.47%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122,703,893.09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121,919,678.47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1,158,627,389.11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37.52%</w:t>
            </w:r>
          </w:p>
        </w:tc>
      </w:tr>
    </w:tbl>
    <w:p>
      <w:pPr>
        <w:widowControl w:val="0"/>
        <w:spacing w:after="99" w:line="1" w:lineRule="exact"/>
      </w:pP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主要客户其他情况说明</w:t>
      </w:r>
    </w:p>
    <w:p>
      <w:pPr>
        <w:pStyle w:val="Style12"/>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651"/>
        <w:gridCol w:w="493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52,342,772.52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15,279,083.12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8.45%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11,988,254.47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6.63%</w:t>
            </w:r>
          </w:p>
        </w:tc>
      </w:tr>
    </w:tbl>
    <w:p>
      <w:pPr>
        <w:widowControl w:val="0"/>
        <w:spacing w:line="1" w:lineRule="exact"/>
      </w:pPr>
      <w:r>
        <w:br w:type="page"/>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11,446,606.42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7,925,998.32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5,702,830.19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52,342,772.52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w:t>
            </w:r>
          </w:p>
        </w:tc>
      </w:tr>
    </w:tbl>
    <w:p>
      <w:pPr>
        <w:widowControl w:val="0"/>
        <w:spacing w:after="99" w:line="1" w:lineRule="exact"/>
      </w:pP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主要供应商其他情况说明</w:t>
      </w:r>
    </w:p>
    <w:p>
      <w:pPr>
        <w:pStyle w:val="Style1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90"/>
        <w:gridCol w:w="1373"/>
        <w:gridCol w:w="1368"/>
        <w:gridCol w:w="1368"/>
        <w:gridCol w:w="434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83,774,947.38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68,172,151.32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主要系公司业务量增加，销售人员人工成本增加，且 在大力开拓新地区市场，差旅费和招待费增加所致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374,444,972.07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220,955,635.27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主要系加大人才引进，以及精细化管理所致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575,234.38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3,063,458.50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主要系收到存款利息增加所致</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186,166,576.43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113,734,884.24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主要系加大在信息系统、微服务治理等项目的投入所 致</w:t>
            </w:r>
          </w:p>
        </w:tc>
      </w:tr>
    </w:tbl>
    <w:p>
      <w:pPr>
        <w:widowControl w:val="0"/>
        <w:spacing w:after="299" w:line="1" w:lineRule="exact"/>
      </w:pPr>
    </w:p>
    <w:p>
      <w:pPr>
        <w:pStyle w:val="Style38"/>
        <w:keepNext/>
        <w:keepLines/>
        <w:widowControl w:val="0"/>
        <w:shd w:val="clear" w:color="auto" w:fill="auto"/>
        <w:bidi w:val="0"/>
        <w:spacing w:before="0" w:after="10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r>
        <w:rPr>
          <w:color w:val="000000"/>
          <w:spacing w:val="0"/>
          <w:w w:val="100"/>
          <w:position w:val="0"/>
        </w:rPr>
        <w:t xml:space="preserve"> </w:t>
      </w:r>
      <w:r>
        <w:rPr>
          <w:rStyle w:val="CharStyle13"/>
          <w:rFonts w:ascii="Times New Roman" w:eastAsia="Times New Roman" w:hAnsi="Times New Roman" w:cs="Times New Roman"/>
          <w:b w:val="0"/>
          <w:bCs w:val="0"/>
        </w:rPr>
        <w:t>q</w:t>
      </w:r>
      <w:r>
        <w:rPr>
          <w:rStyle w:val="CharStyle13"/>
          <w:b w:val="0"/>
          <w:bCs w:val="0"/>
        </w:rPr>
        <w:t>适用</w:t>
      </w:r>
      <w:r>
        <w:rPr>
          <w:rStyle w:val="CharStyle13"/>
          <w:b w:val="0"/>
          <w:bCs w:val="0"/>
        </w:rPr>
        <w:t>口</w:t>
      </w:r>
      <w:r>
        <w:rPr>
          <w:rStyle w:val="CharStyle13"/>
          <w:b w:val="0"/>
          <w:bCs w:val="0"/>
        </w:rPr>
        <w:t>不适用</w:t>
      </w:r>
    </w:p>
    <w:tbl>
      <w:tblPr>
        <w:tblOverlap w:val="never"/>
        <w:jc w:val="center"/>
        <w:tblLayout w:type="fixed"/>
      </w:tblPr>
      <w:tblGrid>
        <w:gridCol w:w="1109"/>
        <w:gridCol w:w="3826"/>
        <w:gridCol w:w="850"/>
        <w:gridCol w:w="2520"/>
        <w:gridCol w:w="131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主要研发项 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项目目的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项目进展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拟达到的目标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预计对公司未</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来发展的影响</w:t>
            </w:r>
          </w:p>
        </w:tc>
      </w:tr>
      <w:tr>
        <w:trPr>
          <w:trHeight w:val="22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180"/>
              <w:jc w:val="left"/>
              <w:rPr>
                <w:sz w:val="18"/>
                <w:szCs w:val="18"/>
              </w:rPr>
            </w:pPr>
            <w:r>
              <w:rPr>
                <w:color w:val="000000"/>
                <w:spacing w:val="0"/>
                <w:w w:val="100"/>
                <w:position w:val="0"/>
                <w:sz w:val="18"/>
                <w:szCs w:val="18"/>
              </w:rPr>
              <w:t>法本信息</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企业</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DevOps </w:t>
            </w:r>
            <w:r>
              <w:rPr>
                <w:color w:val="000000"/>
                <w:spacing w:val="0"/>
                <w:w w:val="100"/>
                <w:position w:val="0"/>
                <w:sz w:val="18"/>
                <w:szCs w:val="18"/>
              </w:rPr>
              <w:t>平</w:t>
            </w:r>
          </w:p>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在</w:t>
            </w:r>
            <w:r>
              <w:rPr>
                <w:rFonts w:ascii="Times New Roman" w:eastAsia="Times New Roman" w:hAnsi="Times New Roman" w:cs="Times New Roman"/>
                <w:color w:val="000000"/>
                <w:spacing w:val="0"/>
                <w:w w:val="100"/>
                <w:position w:val="0"/>
                <w:sz w:val="18"/>
                <w:szCs w:val="18"/>
              </w:rPr>
              <w:t>Kubernetes</w:t>
            </w:r>
            <w:r>
              <w:rPr>
                <w:color w:val="000000"/>
                <w:spacing w:val="0"/>
                <w:w w:val="100"/>
                <w:position w:val="0"/>
                <w:sz w:val="18"/>
                <w:szCs w:val="18"/>
              </w:rPr>
              <w:t>容器云平台之上构建的以应用 开发和运维为中心的企业级</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sz w:val="18"/>
                <w:szCs w:val="18"/>
              </w:rPr>
              <w:t>平台，提 供简单易用的操作界面以及向导式操作方式， 极大减轻开发、测试、运维的日常工作的复杂 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26"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月已 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构建企业级</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sz w:val="18"/>
                <w:szCs w:val="18"/>
              </w:rPr>
              <w:t>平台，项 目完成的内容包括：多租户 管理、工作负载管理、微服</w:t>
            </w:r>
          </w:p>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务治理、</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sz w:val="18"/>
                <w:szCs w:val="18"/>
              </w:rPr>
              <w:t>工程、应用 管理、基础设施管理、镜像 管理、应用配置密钥管理、</w:t>
            </w:r>
          </w:p>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系统监控告警等。</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增强核心技术 能力，提升竞 争力，为公司 的</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sz w:val="18"/>
                <w:szCs w:val="18"/>
              </w:rPr>
              <w:t>解 决方案提供支 撑。</w:t>
            </w:r>
          </w:p>
        </w:tc>
      </w:tr>
      <w:tr>
        <w:trPr>
          <w:trHeight w:val="25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法本信息 微服务治 理与开发 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建立以</w:t>
            </w:r>
            <w:r>
              <w:rPr>
                <w:rFonts w:ascii="Times New Roman" w:eastAsia="Times New Roman" w:hAnsi="Times New Roman" w:cs="Times New Roman"/>
                <w:color w:val="000000"/>
                <w:spacing w:val="0"/>
                <w:w w:val="100"/>
                <w:position w:val="0"/>
                <w:sz w:val="18"/>
                <w:szCs w:val="18"/>
              </w:rPr>
              <w:t>SpringCloud+AliCloud</w:t>
            </w:r>
            <w:r>
              <w:rPr>
                <w:color w:val="000000"/>
                <w:spacing w:val="0"/>
                <w:w w:val="100"/>
                <w:position w:val="0"/>
                <w:sz w:val="18"/>
                <w:szCs w:val="18"/>
              </w:rPr>
              <w:t>为中心的，包括 注册中心、配置中心、接口网关、链路跟踪、 日志收集及基础</w:t>
            </w:r>
            <w:r>
              <w:rPr>
                <w:rFonts w:ascii="Times New Roman" w:eastAsia="Times New Roman" w:hAnsi="Times New Roman" w:cs="Times New Roman"/>
                <w:color w:val="000000"/>
                <w:spacing w:val="0"/>
                <w:w w:val="100"/>
                <w:position w:val="0"/>
                <w:sz w:val="18"/>
                <w:szCs w:val="18"/>
              </w:rPr>
              <w:t>RBAC</w:t>
            </w:r>
            <w:r>
              <w:rPr>
                <w:color w:val="000000"/>
                <w:spacing w:val="0"/>
                <w:w w:val="100"/>
                <w:position w:val="0"/>
                <w:sz w:val="18"/>
                <w:szCs w:val="18"/>
              </w:rPr>
              <w:t>权限为一体，能够便 于扩展、并推广于各个行业中去的通用基础组 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月已 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构建基于微服务技术的治理 与开发平台，项目完成的内 容包括：（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）构建技术中 台，提升软件生产效率；展 现技术能力，给用户提供创 新方案；（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）实现各系统的 重复模块：登录</w:t>
            </w:r>
            <w:r>
              <w:rPr>
                <w:rFonts w:ascii="Times New Roman" w:eastAsia="Times New Roman" w:hAnsi="Times New Roman" w:cs="Times New Roman"/>
                <w:color w:val="000000"/>
                <w:spacing w:val="0"/>
                <w:w w:val="100"/>
                <w:position w:val="0"/>
                <w:sz w:val="18"/>
                <w:szCs w:val="18"/>
              </w:rPr>
              <w:t>&amp;</w:t>
            </w:r>
            <w:r>
              <w:rPr>
                <w:color w:val="000000"/>
                <w:spacing w:val="0"/>
                <w:w w:val="100"/>
                <w:position w:val="0"/>
                <w:sz w:val="18"/>
                <w:szCs w:val="18"/>
              </w:rPr>
              <w:t>注册、权限 管理、分析报表等功能。</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增强核心技术 能力，提升竞 争力，为基于 微服务技术的 完善的治理与 开发解决方案 提供支撑。</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法本信息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法本信息工作流系统是一个可快速开发的业务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构建完善的业务流程管理平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增强核心技术</w:t>
            </w:r>
          </w:p>
        </w:tc>
      </w:tr>
    </w:tbl>
    <w:p>
      <w:pPr>
        <w:widowControl w:val="0"/>
        <w:spacing w:line="1" w:lineRule="exact"/>
      </w:pPr>
      <w:r>
        <w:br w:type="page"/>
      </w:r>
    </w:p>
    <w:tbl>
      <w:tblPr>
        <w:tblOverlap w:val="never"/>
        <w:jc w:val="center"/>
        <w:tblLayout w:type="fixed"/>
      </w:tblPr>
      <w:tblGrid>
        <w:gridCol w:w="1109"/>
        <w:gridCol w:w="3826"/>
        <w:gridCol w:w="850"/>
        <w:gridCol w:w="2520"/>
        <w:gridCol w:w="1310"/>
      </w:tblGrid>
      <w:tr>
        <w:trPr>
          <w:trHeight w:val="286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工作流系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流程管理平台，是一套达成企业各种业务环节 整合的全面管理系统。</w:t>
            </w:r>
            <w:r>
              <w:rPr>
                <w:rFonts w:ascii="Times New Roman" w:eastAsia="Times New Roman" w:hAnsi="Times New Roman" w:cs="Times New Roman"/>
                <w:color w:val="000000"/>
                <w:spacing w:val="0"/>
                <w:w w:val="100"/>
                <w:position w:val="0"/>
                <w:sz w:val="18"/>
                <w:szCs w:val="18"/>
              </w:rPr>
              <w:t>Farben BPM</w:t>
            </w:r>
            <w:r>
              <w:rPr>
                <w:color w:val="000000"/>
                <w:spacing w:val="0"/>
                <w:w w:val="100"/>
                <w:position w:val="0"/>
                <w:sz w:val="18"/>
                <w:szCs w:val="18"/>
              </w:rPr>
              <w:t>系统实现 前后端分离，基于本系统，管理人员与业务人 员可快速进行组织架构管理、表单设计、流程 梳理、流程设计、流程管理等管理及业务操 作。配合本系统已有的多种表单控件、流程任 务、流程网关、流程配置等可满足多种简单或 复杂的业务场景，还可基于本系统进行个性化 配置和开发实现个性化业务需求。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月已 完成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180"/>
              <w:jc w:val="both"/>
              <w:rPr>
                <w:sz w:val="18"/>
                <w:szCs w:val="18"/>
              </w:rPr>
            </w:pPr>
            <w:r>
              <w:rPr>
                <w:color w:val="000000"/>
                <w:spacing w:val="0"/>
                <w:w w:val="100"/>
                <w:position w:val="0"/>
                <w:sz w:val="18"/>
                <w:szCs w:val="18"/>
              </w:rPr>
              <w:t>台，项目完成的内容包括： 表单设计、元件管理、报表 管理、模板管理、门户设</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计、流程定义、实例管理、 任务代理、附件管理等</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能力，提升竞 争力，为基于 工作流技术的 完善解决方案 提供支撑。</w:t>
            </w:r>
          </w:p>
        </w:tc>
      </w:tr>
      <w:tr>
        <w:trPr>
          <w:trHeight w:val="16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310" w:lineRule="exact"/>
              <w:ind w:left="0" w:right="0" w:firstLine="0"/>
              <w:jc w:val="center"/>
              <w:rPr>
                <w:sz w:val="18"/>
                <w:szCs w:val="18"/>
              </w:rPr>
            </w:pPr>
            <w:r>
              <w:rPr>
                <w:color w:val="000000"/>
                <w:spacing w:val="0"/>
                <w:w w:val="100"/>
                <w:position w:val="0"/>
                <w:sz w:val="18"/>
                <w:szCs w:val="18"/>
              </w:rPr>
              <w:t>法本信息 在线培训 学习平台</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有效落实适岗培训项目有关部署，解决培训人 数受场地限制的问题，建立多种培训模式，构 建企业知识库。培训平台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sz w:val="18"/>
                <w:szCs w:val="18"/>
              </w:rPr>
              <w:t xml:space="preserve">在培训平台 </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8"/>
                <w:szCs w:val="18"/>
              </w:rPr>
              <w:t>的基础上对培训平台进行升级，完善功 能，提升性能，满足企业对在线培训的需求。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月已 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本次系统升级进行性能优化 和功能完善，继续完善的主 要内容如下：（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）学习计划 管理；（</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）统计分析；（</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系统管理。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4" w:lineRule="exact"/>
              <w:ind w:left="0" w:right="0" w:firstLine="0"/>
              <w:jc w:val="left"/>
              <w:rPr>
                <w:sz w:val="18"/>
                <w:szCs w:val="18"/>
              </w:rPr>
            </w:pPr>
            <w:r>
              <w:rPr>
                <w:color w:val="000000"/>
                <w:spacing w:val="0"/>
                <w:w w:val="100"/>
                <w:position w:val="0"/>
                <w:sz w:val="18"/>
                <w:szCs w:val="18"/>
              </w:rPr>
              <w:t>完善已有解决 方案，提升核 心竞争力，筑 牢业务壁垒。</w:t>
            </w:r>
          </w:p>
        </w:tc>
      </w:tr>
      <w:tr>
        <w:trPr>
          <w:trHeight w:val="19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140" w:right="0" w:firstLine="40"/>
              <w:jc w:val="both"/>
              <w:rPr>
                <w:sz w:val="18"/>
                <w:szCs w:val="18"/>
              </w:rPr>
            </w:pPr>
            <w:r>
              <w:rPr>
                <w:color w:val="000000"/>
                <w:spacing w:val="0"/>
                <w:w w:val="100"/>
                <w:position w:val="0"/>
                <w:sz w:val="18"/>
                <w:szCs w:val="18"/>
              </w:rPr>
              <w:t>法本信息 云之家系</w:t>
            </w:r>
          </w:p>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 xml:space="preserve">统 </w:t>
            </w:r>
            <w:r>
              <w:rPr>
                <w:rFonts w:ascii="Times New Roman" w:eastAsia="Times New Roman" w:hAnsi="Times New Roman" w:cs="Times New Roman"/>
                <w:color w:val="000000"/>
                <w:spacing w:val="0"/>
                <w:w w:val="100"/>
                <w:position w:val="0"/>
                <w:sz w:val="18"/>
                <w:szCs w:val="18"/>
              </w:rPr>
              <w:t xml:space="preserve">V2.0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Homs3.0 </w:t>
            </w:r>
            <w:r>
              <w:rPr>
                <w:color w:val="000000"/>
                <w:spacing w:val="0"/>
                <w:w w:val="100"/>
                <w:position w:val="0"/>
                <w:sz w:val="18"/>
                <w:szCs w:val="18"/>
              </w:rPr>
              <w:t>更名）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1" w:lineRule="exact"/>
              <w:ind w:left="0" w:right="0" w:firstLine="0"/>
              <w:jc w:val="both"/>
              <w:rPr>
                <w:sz w:val="18"/>
                <w:szCs w:val="18"/>
              </w:rPr>
            </w:pPr>
            <w:r>
              <w:rPr>
                <w:color w:val="000000"/>
                <w:spacing w:val="0"/>
                <w:w w:val="100"/>
                <w:position w:val="0"/>
                <w:sz w:val="18"/>
                <w:szCs w:val="18"/>
              </w:rPr>
              <w:t>建立覆盖外包管理全流程的信息化系统，打破 传统外包管理的部门、项目壁垒，固化外包人 员面试、考评、考勤及外包供应商绩效评估流 程，坚持效益与风险防控并举，建立外包闭环 风险管控管理机制。法本云之家系统</w:t>
            </w:r>
            <w:r>
              <w:rPr>
                <w:rFonts w:ascii="Times New Roman" w:eastAsia="Times New Roman" w:hAnsi="Times New Roman" w:cs="Times New Roman"/>
                <w:color w:val="000000"/>
                <w:spacing w:val="0"/>
                <w:w w:val="100"/>
                <w:position w:val="0"/>
                <w:sz w:val="18"/>
                <w:szCs w:val="18"/>
              </w:rPr>
              <w:t>V2.0</w:t>
            </w:r>
            <w:r>
              <w:rPr>
                <w:color w:val="000000"/>
                <w:spacing w:val="0"/>
                <w:w w:val="100"/>
                <w:position w:val="0"/>
                <w:sz w:val="18"/>
                <w:szCs w:val="18"/>
              </w:rPr>
              <w:t>在</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8"/>
                <w:szCs w:val="18"/>
              </w:rPr>
              <w:t>的基础上进行功能完善和性能优化。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月已 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本次系统升级进行性能优化 和功能完善，继续完善的内 容包括招聘、面试、入池、 加班、请假、绩效考核、工 时结算、日报、调级、出池 等功能模块。</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完善已有解决 方案，提升核 心竞争力，筑 牢业务壁垒。</w:t>
            </w:r>
          </w:p>
        </w:tc>
      </w:tr>
      <w:tr>
        <w:trPr>
          <w:trHeight w:val="25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法本信息</w:t>
            </w:r>
          </w:p>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大数据平 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法本信息大数据平台以工作流式的图形化拖拽 开发体验，满足从数据交换、脱敏清洗、分析 挖掘、质量检测、可视化展现、定时调度到数 据输出应用等数据应用开发全流程场景需求。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月已 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构建完善的大数据平台，项 目完成的内容包括：大数据 存储和计算引擎、数据采 集、数据建模、数据应用开 发平台、数据治理（元数据 管理，数据血缘，数据质量 管理）、数据服务和数据可视 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增强核心技术 能力，提升竞 争力，打造大 数据技术解决 方案在银行与 政务等领域的 企业品牌形 象。</w:t>
            </w:r>
          </w:p>
        </w:tc>
      </w:tr>
      <w:tr>
        <w:trPr>
          <w:trHeight w:val="353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center"/>
              <w:rPr>
                <w:sz w:val="18"/>
                <w:szCs w:val="18"/>
              </w:rPr>
            </w:pPr>
            <w:r>
              <w:rPr>
                <w:color w:val="000000"/>
                <w:spacing w:val="0"/>
                <w:w w:val="100"/>
                <w:position w:val="0"/>
                <w:sz w:val="18"/>
                <w:szCs w:val="18"/>
              </w:rPr>
              <w:t>法本信息</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CRM</w:t>
            </w:r>
            <w:r>
              <w:rPr>
                <w:color w:val="000000"/>
                <w:spacing w:val="0"/>
                <w:w w:val="100"/>
                <w:position w:val="0"/>
                <w:sz w:val="18"/>
                <w:szCs w:val="18"/>
              </w:rPr>
              <w:t>系统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法本信息</w:t>
            </w:r>
            <w:r>
              <w:rPr>
                <w:rFonts w:ascii="Times New Roman" w:eastAsia="Times New Roman" w:hAnsi="Times New Roman" w:cs="Times New Roman"/>
                <w:color w:val="000000"/>
                <w:spacing w:val="0"/>
                <w:w w:val="100"/>
                <w:position w:val="0"/>
                <w:sz w:val="18"/>
                <w:szCs w:val="18"/>
              </w:rPr>
              <w:t>CRM</w:t>
            </w:r>
            <w:r>
              <w:rPr>
                <w:color w:val="000000"/>
                <w:spacing w:val="0"/>
                <w:w w:val="100"/>
                <w:position w:val="0"/>
                <w:sz w:val="18"/>
                <w:szCs w:val="18"/>
              </w:rPr>
              <w:t>系统能帮助客户提供全方位的 管理视角，赋予企业完善的客户交流能力，最 大化客户的收益率；从市场营销层面，能整合 获取潜在客户，管理市场活动，和评估市场活 动后效果；从销售层面，将所有销售环节有机 结合起，管理商机、客户以及销售渠道；能缩 短销售周期，提高销售成功率；从客户服务层 面，可实现标准化服务流程，增强服务能力； 从客户反馈中挖掘潜在机会，让其为企业贡献 更多价值。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 xml:space="preserve">完成了 需求和 设计工 作，已 经进入 开发阶 段，项 目预计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月完 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构建完善的</w:t>
            </w:r>
            <w:r>
              <w:rPr>
                <w:rFonts w:ascii="Times New Roman" w:eastAsia="Times New Roman" w:hAnsi="Times New Roman" w:cs="Times New Roman"/>
                <w:color w:val="000000"/>
                <w:spacing w:val="0"/>
                <w:w w:val="100"/>
                <w:position w:val="0"/>
                <w:sz w:val="18"/>
                <w:szCs w:val="18"/>
              </w:rPr>
              <w:t>CRM</w:t>
            </w:r>
            <w:r>
              <w:rPr>
                <w:color w:val="000000"/>
                <w:spacing w:val="0"/>
                <w:w w:val="100"/>
                <w:position w:val="0"/>
                <w:sz w:val="18"/>
                <w:szCs w:val="18"/>
              </w:rPr>
              <w:t>系统，项目 完成的内容包括：（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）实现 系统基础管理和系统集成；</w:t>
            </w:r>
          </w:p>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）实现主数据管理：组 织架构、产品与服务信息、 客户信息；（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）实现销售管 理功能；（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）实现报表：客</w:t>
            </w:r>
          </w:p>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户分析、销售业绩分析；</w:t>
            </w:r>
          </w:p>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）实现营销数字化试运 行。</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增强核心技术 能力，提升竞 争力，树立公 司在</w:t>
            </w:r>
            <w:r>
              <w:rPr>
                <w:rFonts w:ascii="Times New Roman" w:eastAsia="Times New Roman" w:hAnsi="Times New Roman" w:cs="Times New Roman"/>
                <w:color w:val="000000"/>
                <w:spacing w:val="0"/>
                <w:w w:val="100"/>
                <w:position w:val="0"/>
                <w:sz w:val="18"/>
                <w:szCs w:val="18"/>
              </w:rPr>
              <w:t>CRM</w:t>
            </w:r>
            <w:r>
              <w:rPr>
                <w:color w:val="000000"/>
                <w:spacing w:val="0"/>
                <w:w w:val="100"/>
                <w:position w:val="0"/>
                <w:sz w:val="18"/>
                <w:szCs w:val="18"/>
              </w:rPr>
              <w:t>解 决方案领域的 行业影响力。</w:t>
            </w:r>
          </w:p>
        </w:tc>
      </w:tr>
    </w:tbl>
    <w:p>
      <w:pPr>
        <w:widowControl w:val="0"/>
        <w:spacing w:after="99" w:line="1" w:lineRule="exact"/>
      </w:pP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注：公司应当说明本年度所进行主要研发项目的目的、项目进展和拟达到的目标，并预计对公司未来发</w:t>
      </w: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展的影响。</w:t>
      </w: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公司研发人员情况</w:t>
      </w: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研发人员学历</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71.09%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研发人员年龄构成</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88.70%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sz w:val="18"/>
                <w:szCs w:val="18"/>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24.43%</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近三年公司研发投入金额及占营业收入的比例</w:t>
      </w:r>
    </w:p>
    <w:tbl>
      <w:tblPr>
        <w:tblOverlap w:val="never"/>
        <w:jc w:val="center"/>
        <w:tblLayout w:type="fixed"/>
      </w:tblPr>
      <w:tblGrid>
        <w:gridCol w:w="3120"/>
        <w:gridCol w:w="2059"/>
        <w:gridCol w:w="2198"/>
        <w:gridCol w:w="220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186,166,576.43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113,734,884.24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67,811,264.69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公司研发人员构成发生重大变化的原因及影响</w:t>
      </w:r>
    </w:p>
    <w:p>
      <w:pPr>
        <w:pStyle w:val="Style12"/>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rPr>
        <w:t>研发投入总额占营业收入的比重较上年发生显著变化的原因</w:t>
      </w:r>
    </w:p>
    <w:p>
      <w:pPr>
        <w:pStyle w:val="Style12"/>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rPr>
        <w:t>研发投入资本化率大幅变动的原因及其合理性说明</w:t>
      </w:r>
    </w:p>
    <w:p>
      <w:pPr>
        <w:pStyle w:val="Style1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2,908,125,470.16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1,886,535,376.96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54.15%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2,971,867,461.83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1,819,844,158.40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63.30%</w:t>
            </w:r>
          </w:p>
        </w:tc>
      </w:tr>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-63,741,991.67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66,691,218.56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1,474,739,065.74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706,032,828.73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108.88%</w:t>
            </w:r>
          </w:p>
        </w:tc>
      </w:tr>
    </w:tbl>
    <w:p>
      <w:pPr>
        <w:widowControl w:val="0"/>
        <w:spacing w:line="1" w:lineRule="exact"/>
      </w:pP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1,730,429,426.75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659,847,872.20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-255,690,361.01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46,184,956.53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-653.62%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126,247,628.05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743,765,758.49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181,034,919.20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132,293,064.87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-54,787,291.15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611,472,693.62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-108.96%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-374,306,716.41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724,249,354.98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-151.68%</w:t>
            </w:r>
          </w:p>
        </w:tc>
      </w:tr>
    </w:tbl>
    <w:p>
      <w:pPr>
        <w:pStyle w:val="Style12"/>
        <w:keepNext w:val="0"/>
        <w:keepLines w:val="0"/>
        <w:widowControl w:val="0"/>
        <w:shd w:val="clear" w:color="auto" w:fill="auto"/>
        <w:bidi w:val="0"/>
        <w:spacing w:before="0" w:after="200" w:line="474" w:lineRule="exact"/>
        <w:ind w:left="0" w:right="0" w:firstLine="0"/>
        <w:jc w:val="left"/>
      </w:pPr>
      <w:r>
        <w:rPr>
          <w:color w:val="000000"/>
          <w:spacing w:val="0"/>
          <w:w w:val="100"/>
          <w:position w:val="0"/>
        </w:rPr>
        <w:t>相关数据同比发生重大变动的主要影响因素说明</w:t>
      </w:r>
    </w:p>
    <w:p>
      <w:pPr>
        <w:pStyle w:val="Style12"/>
        <w:keepNext w:val="0"/>
        <w:keepLines w:val="0"/>
        <w:widowControl w:val="0"/>
        <w:shd w:val="clear" w:color="auto" w:fill="auto"/>
        <w:bidi w:val="0"/>
        <w:spacing w:before="0" w:after="0" w:line="494"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tabs>
          <w:tab w:pos="598" w:val="left"/>
        </w:tabs>
        <w:bidi w:val="0"/>
        <w:spacing w:before="0" w:after="0" w:line="474" w:lineRule="exact"/>
        <w:ind w:left="0" w:right="0" w:firstLine="0"/>
        <w:jc w:val="left"/>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rPr>
        <w:t>1</w:t>
      </w:r>
      <w:r>
        <w:rPr>
          <w:color w:val="000000"/>
          <w:spacing w:val="0"/>
          <w:w w:val="100"/>
          <w:position w:val="0"/>
        </w:rPr>
        <w:t>）</w:t>
        <w:tab/>
        <w:t>经营活动现金流入较上年同期增加</w:t>
      </w:r>
      <w:r>
        <w:rPr>
          <w:rFonts w:ascii="Times New Roman" w:eastAsia="Times New Roman" w:hAnsi="Times New Roman" w:cs="Times New Roman"/>
          <w:color w:val="000000"/>
          <w:spacing w:val="0"/>
          <w:w w:val="100"/>
          <w:position w:val="0"/>
        </w:rPr>
        <w:t>54.15%</w:t>
      </w:r>
      <w:r>
        <w:rPr>
          <w:color w:val="000000"/>
          <w:spacing w:val="0"/>
          <w:w w:val="100"/>
          <w:position w:val="0"/>
        </w:rPr>
        <w:t>，主要系报告期内随着业务发展，销售回款相应增加及政 府补助增加所致；</w:t>
      </w:r>
    </w:p>
    <w:p>
      <w:pPr>
        <w:pStyle w:val="Style12"/>
        <w:keepNext w:val="0"/>
        <w:keepLines w:val="0"/>
        <w:widowControl w:val="0"/>
        <w:shd w:val="clear" w:color="auto" w:fill="auto"/>
        <w:tabs>
          <w:tab w:pos="598" w:val="left"/>
        </w:tabs>
        <w:bidi w:val="0"/>
        <w:spacing w:before="0" w:after="0" w:line="474" w:lineRule="exact"/>
        <w:ind w:left="0" w:right="0" w:firstLine="0"/>
        <w:jc w:val="left"/>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rPr>
        <w:t>2</w:t>
      </w:r>
      <w:r>
        <w:rPr>
          <w:color w:val="000000"/>
          <w:spacing w:val="0"/>
          <w:w w:val="100"/>
          <w:position w:val="0"/>
        </w:rPr>
        <w:t>）</w:t>
        <w:tab/>
        <w:t>经营活动现金流出较上年同期增加</w:t>
      </w:r>
      <w:r>
        <w:rPr>
          <w:rFonts w:ascii="Times New Roman" w:eastAsia="Times New Roman" w:hAnsi="Times New Roman" w:cs="Times New Roman"/>
          <w:color w:val="000000"/>
          <w:spacing w:val="0"/>
          <w:w w:val="100"/>
          <w:position w:val="0"/>
        </w:rPr>
        <w:t>63.30%</w:t>
      </w:r>
      <w:r>
        <w:rPr>
          <w:color w:val="000000"/>
          <w:spacing w:val="0"/>
          <w:w w:val="100"/>
          <w:position w:val="0"/>
        </w:rPr>
        <w:t>，主要系报告期内随着业务发展，购买商品及劳务、支付 职工薪酬以及各项税费均大幅增加所致；</w:t>
      </w:r>
    </w:p>
    <w:p>
      <w:pPr>
        <w:pStyle w:val="Style12"/>
        <w:keepNext w:val="0"/>
        <w:keepLines w:val="0"/>
        <w:widowControl w:val="0"/>
        <w:shd w:val="clear" w:color="auto" w:fill="auto"/>
        <w:tabs>
          <w:tab w:pos="598" w:val="left"/>
        </w:tabs>
        <w:bidi w:val="0"/>
        <w:spacing w:before="0" w:after="0" w:line="474" w:lineRule="exact"/>
        <w:ind w:left="0" w:right="0" w:firstLine="0"/>
        <w:jc w:val="left"/>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rPr>
        <w:t>3</w:t>
      </w:r>
      <w:r>
        <w:rPr>
          <w:color w:val="000000"/>
          <w:spacing w:val="0"/>
          <w:w w:val="100"/>
          <w:position w:val="0"/>
        </w:rPr>
        <w:t>）</w:t>
        <w:tab/>
        <w:t>经营活动产生的现金流量净额较上年同期增加</w:t>
      </w:r>
      <w:r>
        <w:rPr>
          <w:rFonts w:ascii="Times New Roman" w:eastAsia="Times New Roman" w:hAnsi="Times New Roman" w:cs="Times New Roman"/>
          <w:color w:val="000000"/>
          <w:spacing w:val="0"/>
          <w:w w:val="100"/>
          <w:position w:val="0"/>
        </w:rPr>
        <w:t>-195.58%</w:t>
      </w:r>
      <w:r>
        <w:rPr>
          <w:color w:val="000000"/>
          <w:spacing w:val="0"/>
          <w:w w:val="100"/>
          <w:position w:val="0"/>
        </w:rPr>
        <w:t>，主要系报告期随着业务发展，经营支付的 现金增长较快所致；</w:t>
      </w:r>
    </w:p>
    <w:p>
      <w:pPr>
        <w:pStyle w:val="Style12"/>
        <w:keepNext w:val="0"/>
        <w:keepLines w:val="0"/>
        <w:widowControl w:val="0"/>
        <w:shd w:val="clear" w:color="auto" w:fill="auto"/>
        <w:tabs>
          <w:tab w:pos="499" w:val="left"/>
        </w:tabs>
        <w:bidi w:val="0"/>
        <w:spacing w:before="0" w:after="0" w:line="474" w:lineRule="exact"/>
        <w:ind w:left="0" w:right="0" w:firstLine="0"/>
        <w:jc w:val="left"/>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rPr>
        <w:t>4</w:t>
      </w:r>
      <w:r>
        <w:rPr>
          <w:color w:val="000000"/>
          <w:spacing w:val="0"/>
          <w:w w:val="100"/>
          <w:position w:val="0"/>
        </w:rPr>
        <w:t>）</w:t>
        <w:tab/>
        <w:t>投资活动现金流入较上年同期增加</w:t>
      </w:r>
      <w:r>
        <w:rPr>
          <w:rFonts w:ascii="Times New Roman" w:eastAsia="Times New Roman" w:hAnsi="Times New Roman" w:cs="Times New Roman"/>
          <w:color w:val="000000"/>
          <w:spacing w:val="0"/>
          <w:w w:val="100"/>
          <w:position w:val="0"/>
        </w:rPr>
        <w:t>108.88%</w:t>
      </w:r>
      <w:r>
        <w:rPr>
          <w:color w:val="000000"/>
          <w:spacing w:val="0"/>
          <w:w w:val="100"/>
          <w:position w:val="0"/>
        </w:rPr>
        <w:t>，主要系报告期内赎回理财产品、获得理财收益所致；</w:t>
      </w:r>
    </w:p>
    <w:p>
      <w:pPr>
        <w:pStyle w:val="Style12"/>
        <w:keepNext w:val="0"/>
        <w:keepLines w:val="0"/>
        <w:widowControl w:val="0"/>
        <w:shd w:val="clear" w:color="auto" w:fill="auto"/>
        <w:tabs>
          <w:tab w:pos="598" w:val="left"/>
        </w:tabs>
        <w:bidi w:val="0"/>
        <w:spacing w:before="0" w:after="0" w:line="474" w:lineRule="exact"/>
        <w:ind w:left="0" w:right="0" w:firstLine="0"/>
        <w:jc w:val="left"/>
      </w:pPr>
      <w:bookmarkStart w:id="165" w:name="bookmark165"/>
      <w:r>
        <w:rPr>
          <w:color w:val="000000"/>
          <w:spacing w:val="0"/>
          <w:w w:val="100"/>
          <w:position w:val="0"/>
        </w:rPr>
        <w:t>（</w:t>
      </w:r>
      <w:bookmarkEnd w:id="165"/>
      <w:r>
        <w:rPr>
          <w:rFonts w:ascii="Times New Roman" w:eastAsia="Times New Roman" w:hAnsi="Times New Roman" w:cs="Times New Roman"/>
          <w:color w:val="000000"/>
          <w:spacing w:val="0"/>
          <w:w w:val="100"/>
          <w:position w:val="0"/>
        </w:rPr>
        <w:t>5</w:t>
      </w:r>
      <w:r>
        <w:rPr>
          <w:color w:val="000000"/>
          <w:spacing w:val="0"/>
          <w:w w:val="100"/>
          <w:position w:val="0"/>
        </w:rPr>
        <w:t>）</w:t>
        <w:tab/>
        <w:t>投资活动现金流出较上年同期增加</w:t>
      </w:r>
      <w:r>
        <w:rPr>
          <w:rFonts w:ascii="Times New Roman" w:eastAsia="Times New Roman" w:hAnsi="Times New Roman" w:cs="Times New Roman"/>
          <w:color w:val="000000"/>
          <w:spacing w:val="0"/>
          <w:w w:val="100"/>
          <w:position w:val="0"/>
        </w:rPr>
        <w:t>162.25%</w:t>
      </w:r>
      <w:r>
        <w:rPr>
          <w:color w:val="000000"/>
          <w:spacing w:val="0"/>
          <w:w w:val="100"/>
          <w:position w:val="0"/>
        </w:rPr>
        <w:t>，主要系报告期内公司购买固定资产及购买理财产品增 加所致；</w:t>
      </w:r>
    </w:p>
    <w:p>
      <w:pPr>
        <w:pStyle w:val="Style12"/>
        <w:keepNext w:val="0"/>
        <w:keepLines w:val="0"/>
        <w:widowControl w:val="0"/>
        <w:shd w:val="clear" w:color="auto" w:fill="auto"/>
        <w:tabs>
          <w:tab w:pos="598" w:val="left"/>
        </w:tabs>
        <w:bidi w:val="0"/>
        <w:spacing w:before="0" w:after="0" w:line="474" w:lineRule="exact"/>
        <w:ind w:left="0" w:right="0" w:firstLine="0"/>
        <w:jc w:val="left"/>
      </w:pPr>
      <w:bookmarkStart w:id="166" w:name="bookmark166"/>
      <w:r>
        <w:rPr>
          <w:color w:val="000000"/>
          <w:spacing w:val="0"/>
          <w:w w:val="100"/>
          <w:position w:val="0"/>
        </w:rPr>
        <w:t>（</w:t>
      </w:r>
      <w:bookmarkEnd w:id="166"/>
      <w:r>
        <w:rPr>
          <w:rFonts w:ascii="Times New Roman" w:eastAsia="Times New Roman" w:hAnsi="Times New Roman" w:cs="Times New Roman"/>
          <w:color w:val="000000"/>
          <w:spacing w:val="0"/>
          <w:w w:val="100"/>
          <w:position w:val="0"/>
        </w:rPr>
        <w:t>6</w:t>
      </w:r>
      <w:r>
        <w:rPr>
          <w:color w:val="000000"/>
          <w:spacing w:val="0"/>
          <w:w w:val="100"/>
          <w:position w:val="0"/>
        </w:rPr>
        <w:t>）</w:t>
        <w:tab/>
        <w:t>投资活动产生的现金流量净额较上年同期增加</w:t>
      </w:r>
      <w:r>
        <w:rPr>
          <w:rFonts w:ascii="Times New Roman" w:eastAsia="Times New Roman" w:hAnsi="Times New Roman" w:cs="Times New Roman"/>
          <w:color w:val="000000"/>
          <w:spacing w:val="0"/>
          <w:w w:val="100"/>
          <w:position w:val="0"/>
        </w:rPr>
        <w:t>-653.62%</w:t>
      </w:r>
      <w:r>
        <w:rPr>
          <w:color w:val="000000"/>
          <w:spacing w:val="0"/>
          <w:w w:val="100"/>
          <w:position w:val="0"/>
        </w:rPr>
        <w:t>，主要系报告期内购买固定资产及购买理 财产品增加所致；</w:t>
      </w:r>
    </w:p>
    <w:p>
      <w:pPr>
        <w:pStyle w:val="Style12"/>
        <w:keepNext w:val="0"/>
        <w:keepLines w:val="0"/>
        <w:widowControl w:val="0"/>
        <w:shd w:val="clear" w:color="auto" w:fill="auto"/>
        <w:tabs>
          <w:tab w:pos="499" w:val="left"/>
        </w:tabs>
        <w:bidi w:val="0"/>
        <w:spacing w:before="0" w:after="0" w:line="474" w:lineRule="exact"/>
        <w:ind w:left="0" w:right="0" w:firstLine="0"/>
        <w:jc w:val="left"/>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rPr>
        <w:t>7</w:t>
      </w:r>
      <w:r>
        <w:rPr>
          <w:color w:val="000000"/>
          <w:spacing w:val="0"/>
          <w:w w:val="100"/>
          <w:position w:val="0"/>
        </w:rPr>
        <w:t>）</w:t>
        <w:tab/>
        <w:t>筹资活动现金流入较上年同期增加</w:t>
      </w:r>
      <w:r>
        <w:rPr>
          <w:rFonts w:ascii="Times New Roman" w:eastAsia="Times New Roman" w:hAnsi="Times New Roman" w:cs="Times New Roman"/>
          <w:color w:val="000000"/>
          <w:spacing w:val="0"/>
          <w:w w:val="100"/>
          <w:position w:val="0"/>
        </w:rPr>
        <w:t>-83.03%</w:t>
      </w:r>
      <w:r>
        <w:rPr>
          <w:color w:val="000000"/>
          <w:spacing w:val="0"/>
          <w:w w:val="100"/>
          <w:position w:val="0"/>
        </w:rPr>
        <w:t>，主要系上年首次公开发行股票收到募集资金所致；</w:t>
      </w:r>
    </w:p>
    <w:p>
      <w:pPr>
        <w:pStyle w:val="Style12"/>
        <w:keepNext w:val="0"/>
        <w:keepLines w:val="0"/>
        <w:widowControl w:val="0"/>
        <w:shd w:val="clear" w:color="auto" w:fill="auto"/>
        <w:tabs>
          <w:tab w:pos="598" w:val="left"/>
        </w:tabs>
        <w:bidi w:val="0"/>
        <w:spacing w:before="0" w:after="0" w:line="474" w:lineRule="exact"/>
        <w:ind w:left="0" w:right="0" w:firstLine="0"/>
        <w:jc w:val="left"/>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rPr>
        <w:t>8</w:t>
      </w:r>
      <w:r>
        <w:rPr>
          <w:color w:val="000000"/>
          <w:spacing w:val="0"/>
          <w:w w:val="100"/>
          <w:position w:val="0"/>
        </w:rPr>
        <w:t>）</w:t>
        <w:tab/>
        <w:t>筹资活动产生的现金流量净额较上年同期增加</w:t>
      </w:r>
      <w:r>
        <w:rPr>
          <w:rFonts w:ascii="Times New Roman" w:eastAsia="Times New Roman" w:hAnsi="Times New Roman" w:cs="Times New Roman"/>
          <w:color w:val="000000"/>
          <w:spacing w:val="0"/>
          <w:w w:val="100"/>
          <w:position w:val="0"/>
        </w:rPr>
        <w:t>-108.96%</w:t>
      </w:r>
      <w:r>
        <w:rPr>
          <w:color w:val="000000"/>
          <w:spacing w:val="0"/>
          <w:w w:val="100"/>
          <w:position w:val="0"/>
        </w:rPr>
        <w:t>，主要系上年首次公开发行股票收到募集资 金所致；</w:t>
      </w:r>
    </w:p>
    <w:p>
      <w:pPr>
        <w:pStyle w:val="Style12"/>
        <w:keepNext w:val="0"/>
        <w:keepLines w:val="0"/>
        <w:widowControl w:val="0"/>
        <w:shd w:val="clear" w:color="auto" w:fill="auto"/>
        <w:tabs>
          <w:tab w:pos="589" w:val="left"/>
        </w:tabs>
        <w:bidi w:val="0"/>
        <w:spacing w:before="0" w:after="0" w:line="474" w:lineRule="exact"/>
        <w:ind w:left="0" w:right="0" w:firstLine="0"/>
        <w:jc w:val="left"/>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rPr>
        <w:t>9</w:t>
      </w:r>
      <w:r>
        <w:rPr>
          <w:color w:val="000000"/>
          <w:spacing w:val="0"/>
          <w:w w:val="100"/>
          <w:position w:val="0"/>
        </w:rPr>
        <w:t>）</w:t>
        <w:tab/>
        <w:t>现金及现金等价物净增加额较上年同期增加</w:t>
      </w:r>
      <w:r>
        <w:rPr>
          <w:rFonts w:ascii="Times New Roman" w:eastAsia="Times New Roman" w:hAnsi="Times New Roman" w:cs="Times New Roman"/>
          <w:color w:val="000000"/>
          <w:spacing w:val="0"/>
          <w:w w:val="100"/>
          <w:position w:val="0"/>
        </w:rPr>
        <w:t>-151.68%</w:t>
      </w:r>
      <w:r>
        <w:rPr>
          <w:color w:val="000000"/>
          <w:spacing w:val="0"/>
          <w:w w:val="100"/>
          <w:position w:val="0"/>
        </w:rPr>
        <w:t>，主要系报告期内购买理财产品、支付使用权 资产租金、发放职工薪酬所致。</w:t>
      </w:r>
    </w:p>
    <w:p>
      <w:pPr>
        <w:pStyle w:val="Style12"/>
        <w:keepNext w:val="0"/>
        <w:keepLines w:val="0"/>
        <w:widowControl w:val="0"/>
        <w:shd w:val="clear" w:color="auto" w:fill="auto"/>
        <w:bidi w:val="0"/>
        <w:spacing w:before="0" w:after="200" w:line="474"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2"/>
        <w:keepNext w:val="0"/>
        <w:keepLines w:val="0"/>
        <w:widowControl w:val="0"/>
        <w:shd w:val="clear" w:color="auto" w:fill="auto"/>
        <w:bidi w:val="0"/>
        <w:spacing w:before="0" w:after="0" w:line="494"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100" w:line="474" w:lineRule="exact"/>
        <w:ind w:left="0" w:right="0" w:firstLine="440"/>
        <w:jc w:val="left"/>
      </w:pPr>
      <w:r>
        <w:rPr>
          <w:color w:val="000000"/>
          <w:spacing w:val="0"/>
          <w:w w:val="100"/>
          <w:position w:val="0"/>
        </w:rPr>
        <w:t>报告期内，经营活动产生的现金流量净额与净利润的差额主要系应收账款增加所致。公司业务处于 快速发展阶段，随着销售规模的快速增长，公司的应收账款也相应增长，但由于公司客户收款存在一定 账期，而公司的负债主要集中在应付职工薪酬和应交税费等付款周期较短的项目，从而影响经营活动产</w:t>
      </w:r>
      <w:r>
        <w:br w:type="page"/>
      </w:r>
    </w:p>
    <w:p>
      <w:pPr>
        <w:pStyle w:val="Style12"/>
        <w:keepNext w:val="0"/>
        <w:keepLines w:val="0"/>
        <w:widowControl w:val="0"/>
        <w:shd w:val="clear" w:color="auto" w:fill="auto"/>
        <w:bidi w:val="0"/>
        <w:spacing w:before="0" w:after="420" w:line="240" w:lineRule="auto"/>
        <w:ind w:left="0" w:right="0" w:firstLine="0"/>
        <w:jc w:val="left"/>
      </w:pPr>
      <w:r>
        <w:rPr>
          <w:color w:val="000000"/>
          <w:spacing w:val="0"/>
          <w:w w:val="100"/>
          <w:position w:val="0"/>
        </w:rPr>
        <w:t>生的现金流量净额。</w:t>
      </w:r>
    </w:p>
    <w:p>
      <w:pPr>
        <w:pStyle w:val="Style31"/>
        <w:keepNext/>
        <w:keepLines/>
        <w:widowControl w:val="0"/>
        <w:shd w:val="clear" w:color="auto" w:fill="auto"/>
        <w:bidi w:val="0"/>
        <w:spacing w:before="0" w:after="42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五</w:t>
      </w:r>
      <w:bookmarkEnd w:id="172"/>
      <w:r>
        <w:rPr>
          <w:color w:val="000000"/>
          <w:spacing w:val="0"/>
          <w:w w:val="100"/>
          <w:position w:val="0"/>
          <w:sz w:val="24"/>
          <w:szCs w:val="24"/>
        </w:rPr>
        <w:t>、非主营业务情况</w:t>
      </w:r>
      <w:bookmarkEnd w:id="170"/>
      <w:bookmarkEnd w:id="171"/>
      <w:bookmarkEnd w:id="173"/>
    </w:p>
    <w:p>
      <w:pPr>
        <w:pStyle w:val="Style1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1421"/>
        <w:gridCol w:w="989"/>
        <w:gridCol w:w="5107"/>
        <w:gridCol w:w="850"/>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占利润总额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是否具有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可持续性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8,015,272.27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主要系公司报告期内购买结构性存款等理财产品产生的收益；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45,311.09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主要系公司报告期内收到的合同违约金；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633,842.64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主要系公司报告期内支付的场地提前退租违约金及捐赠支出；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16,243,546.50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主要系公司报告期内收到与日常经营活动相关的政府补助；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-38,940,953.94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主要系公司报告期内计提的应收账款、其他应收款、应收票据等 金融资产计提的坏账准备所致；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主要系公司报告期内计提质保尾款减值损失；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1,521,007.05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主要系公司报告期内办公场地转让收益；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sz w:val="24"/>
          <w:szCs w:val="24"/>
        </w:rPr>
        <w:t>六</w:t>
      </w:r>
      <w:bookmarkEnd w:id="176"/>
      <w:r>
        <w:rPr>
          <w:color w:val="000000"/>
          <w:spacing w:val="0"/>
          <w:w w:val="100"/>
          <w:position w:val="0"/>
          <w:sz w:val="24"/>
          <w:szCs w:val="24"/>
        </w:rPr>
        <w:t>、资产及负债状况分析</w:t>
      </w:r>
      <w:bookmarkEnd w:id="174"/>
      <w:bookmarkEnd w:id="175"/>
      <w:bookmarkEnd w:id="177"/>
    </w:p>
    <w:p>
      <w:pPr>
        <w:pStyle w:val="Style38"/>
        <w:keepNext/>
        <w:keepLines/>
        <w:widowControl w:val="0"/>
        <w:shd w:val="clear" w:color="auto" w:fill="auto"/>
        <w:bidi w:val="0"/>
        <w:spacing w:before="0" w:after="32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、资产构成重大变动情况</w:t>
      </w:r>
      <w:bookmarkEnd w:id="178"/>
      <w:bookmarkEnd w:id="179"/>
      <w:bookmarkEnd w:id="18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1315"/>
        <w:gridCol w:w="816"/>
        <w:gridCol w:w="1315"/>
        <w:gridCol w:w="830"/>
        <w:gridCol w:w="864"/>
        <w:gridCol w:w="3106"/>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占总资产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占总资产 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498,880,693.09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870,578,935.00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主要系报告期内购买理财及日常经营 支出增加所致；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916,689,128.99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557,399,784.56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主要系业务快速增长，未结算应收账 款相应增长所致；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9,894,801.01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4,687,406.74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主要系以技术成果交付的服务合同履 约成本增加所致；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32,988,141.28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22,544,612.38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主要系报告期内为员工购置办公电脑 所致；</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397"/>
        <w:gridCol w:w="1315"/>
        <w:gridCol w:w="816"/>
        <w:gridCol w:w="1315"/>
        <w:gridCol w:w="830"/>
        <w:gridCol w:w="864"/>
        <w:gridCol w:w="3106"/>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57,998,536.32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66,833,051.31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主要系报告期内计提使用权资产折旧 及转让个别办公场地所致；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65,813,821.12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64,600,718.06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8,218,749.64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1,655,821.15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主要系以技术成果交付的服务业务收 到的预付款增加所致；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31,127,856.25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41,943,429.22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主要系报告期内支付租赁费用及转让 个别办公场地所致；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主要系报告期内银行理财产品增加所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51,623,299.59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1,548,310.46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主要系报告期内购买保本固定型收益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17,087,719.40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7,098,612.39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主要系应收账款信用减值损失增加及 子公司可抵扣亏损所致；</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15,493,242.10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23,330,703.47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主要系报告内采购尚未支付的服务 类、办公资产类款项减少所致；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328,455,899.01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248,682,380.74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主要系报告期内随着业务规模的扩 张，公司人力规模迅速扩张所致；</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62,836,841.15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40,261,271.62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主要系报告期内随着业务规模的扩 张，应付增值税、企业所得税以及个 税增加所致；</w:t>
            </w:r>
          </w:p>
        </w:tc>
      </w:tr>
    </w:tbl>
    <w:p>
      <w:pPr>
        <w:widowControl w:val="0"/>
        <w:spacing w:after="119" w:line="1" w:lineRule="exact"/>
      </w:pP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境外资产占比较高</w:t>
      </w:r>
    </w:p>
    <w:p>
      <w:pPr>
        <w:pStyle w:val="Style1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、以公允价值计量的资产和负债</w:t>
      </w:r>
      <w:bookmarkEnd w:id="182"/>
      <w:bookmarkEnd w:id="183"/>
      <w:bookmarkEnd w:id="185"/>
    </w:p>
    <w:p>
      <w:pPr>
        <w:pStyle w:val="Style1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0"/>
        <w:gridCol w:w="869"/>
        <w:gridCol w:w="845"/>
        <w:gridCol w:w="989"/>
        <w:gridCol w:w="850"/>
        <w:gridCol w:w="1421"/>
        <w:gridCol w:w="1411"/>
        <w:gridCol w:w="509"/>
        <w:gridCol w:w="1190"/>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本期公允</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价值变动</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计入权益的 累计公允价 值变动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本期计提 的减值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本期购买金额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本期出售金额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变动</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期末数</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交易性金融资产</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（不含衍生金融资</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其他权益工具投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1560"/>
        <w:gridCol w:w="869"/>
        <w:gridCol w:w="845"/>
        <w:gridCol w:w="989"/>
        <w:gridCol w:w="850"/>
        <w:gridCol w:w="1421"/>
        <w:gridCol w:w="1411"/>
        <w:gridCol w:w="509"/>
        <w:gridCol w:w="1190"/>
      </w:tblGrid>
      <w:tr>
        <w:trPr>
          <w:trHeight w:val="37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8,930,323.93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6,127,009.85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3,679,714.08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1,810,930,323.93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1,548,127,009.85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213,679,714.08</w:t>
            </w:r>
          </w:p>
        </w:tc>
      </w:tr>
    </w:tbl>
    <w:p>
      <w:pPr>
        <w:widowControl w:val="0"/>
        <w:spacing w:after="79" w:line="1" w:lineRule="exact"/>
      </w:pP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注</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、上表中的</w:t>
      </w:r>
      <w:r>
        <w:rPr>
          <w:rFonts w:ascii="Times New Roman" w:eastAsia="Times New Roman" w:hAnsi="Times New Roman" w:cs="Times New Roman"/>
          <w:color w:val="000000"/>
          <w:spacing w:val="0"/>
          <w:w w:val="100"/>
          <w:position w:val="0"/>
        </w:rPr>
        <w:t>“</w:t>
      </w: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应统一折算成人民币列示；</w:t>
      </w:r>
    </w:p>
    <w:p>
      <w:pPr>
        <w:pStyle w:val="Style12"/>
        <w:keepNext w:val="0"/>
        <w:keepLines w:val="0"/>
        <w:widowControl w:val="0"/>
        <w:shd w:val="clear" w:color="auto" w:fill="auto"/>
        <w:tabs>
          <w:tab w:pos="378" w:val="left"/>
        </w:tabs>
        <w:bidi w:val="0"/>
        <w:spacing w:before="0" w:after="180" w:line="240" w:lineRule="auto"/>
        <w:ind w:left="0" w:right="0" w:firstLine="0"/>
        <w:jc w:val="left"/>
      </w:pPr>
      <w:bookmarkStart w:id="186" w:name="bookmark186"/>
      <w:r>
        <w:rPr>
          <w:rFonts w:ascii="Times New Roman" w:eastAsia="Times New Roman" w:hAnsi="Times New Roman" w:cs="Times New Roman"/>
          <w:color w:val="000000"/>
          <w:spacing w:val="0"/>
          <w:w w:val="100"/>
          <w:position w:val="0"/>
        </w:rPr>
        <w:t>2</w:t>
      </w:r>
      <w:bookmarkEnd w:id="186"/>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中金额重大的项目，可以在表中单独列示;</w:t>
      </w:r>
    </w:p>
    <w:p>
      <w:pPr>
        <w:pStyle w:val="Style12"/>
        <w:keepNext w:val="0"/>
        <w:keepLines w:val="0"/>
        <w:widowControl w:val="0"/>
        <w:shd w:val="clear" w:color="auto" w:fill="auto"/>
        <w:tabs>
          <w:tab w:pos="378" w:val="left"/>
        </w:tabs>
        <w:bidi w:val="0"/>
        <w:spacing w:before="0" w:after="180" w:line="240" w:lineRule="auto"/>
        <w:ind w:left="0" w:right="0" w:firstLine="0"/>
        <w:jc w:val="left"/>
      </w:pPr>
      <w:bookmarkStart w:id="187" w:name="bookmark187"/>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直接计入权益的累计公允价值变动；</w:t>
      </w:r>
    </w:p>
    <w:p>
      <w:pPr>
        <w:pStyle w:val="Style12"/>
        <w:keepNext w:val="0"/>
        <w:keepLines w:val="0"/>
        <w:widowControl w:val="0"/>
        <w:shd w:val="clear" w:color="auto" w:fill="auto"/>
        <w:tabs>
          <w:tab w:pos="378" w:val="left"/>
        </w:tabs>
        <w:bidi w:val="0"/>
        <w:spacing w:before="0" w:after="220" w:line="240" w:lineRule="auto"/>
        <w:ind w:left="0" w:right="0" w:firstLine="0"/>
        <w:jc w:val="left"/>
      </w:pPr>
      <w:bookmarkStart w:id="188" w:name="bookmark188"/>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上表不存在必然的勾稽关系。</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其他变动的内容</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报告期内公司主要资产计量属性是否发生重大变化</w:t>
      </w:r>
    </w:p>
    <w:p>
      <w:pPr>
        <w:pStyle w:val="Style1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8"/>
        <w:keepNext/>
        <w:keepLines/>
        <w:widowControl w:val="0"/>
        <w:shd w:val="clear" w:color="auto" w:fill="auto"/>
        <w:bidi w:val="0"/>
        <w:spacing w:before="0" w:after="32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、截至报告期末的资产权利受限情况</w:t>
      </w:r>
      <w:bookmarkEnd w:id="189"/>
      <w:bookmarkEnd w:id="190"/>
      <w:bookmarkEnd w:id="192"/>
    </w:p>
    <w:tbl>
      <w:tblPr>
        <w:tblOverlap w:val="never"/>
        <w:jc w:val="center"/>
        <w:tblLayout w:type="fixed"/>
      </w:tblPr>
      <w:tblGrid>
        <w:gridCol w:w="2458"/>
        <w:gridCol w:w="2117"/>
        <w:gridCol w:w="5069"/>
      </w:tblGrid>
      <w:tr>
        <w:trPr>
          <w:trHeight w:val="4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5,175,934.50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保函保证金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13,781,357.23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附追索权应收账款保理</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18,957,291.73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before="0" w:after="420" w:line="473" w:lineRule="exact"/>
        <w:ind w:left="0" w:right="0" w:firstLine="0"/>
        <w:jc w:val="left"/>
      </w:pPr>
      <w:r>
        <w:rPr>
          <w:color w:val="000000"/>
          <w:spacing w:val="0"/>
          <w:w w:val="100"/>
          <w:position w:val="0"/>
        </w:rPr>
        <w:t>注：公司应披露截至报告期末的主要资产被查封、扣押、冻结或者被抵押、质押，必须具备一定条件才 能变现、无法变现、无法用于抵偿债务的情况，以及主要资产占有、使用、收益和处分权利受到其他限 制的情况和安排。</w:t>
      </w:r>
    </w:p>
    <w:p>
      <w:pPr>
        <w:pStyle w:val="Style31"/>
        <w:keepNext/>
        <w:keepLines/>
        <w:widowControl w:val="0"/>
        <w:shd w:val="clear" w:color="auto" w:fill="auto"/>
        <w:bidi w:val="0"/>
        <w:spacing w:before="0" w:after="32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sz w:val="24"/>
          <w:szCs w:val="24"/>
        </w:rPr>
        <w:t>七</w:t>
      </w:r>
      <w:bookmarkEnd w:id="195"/>
      <w:r>
        <w:rPr>
          <w:color w:val="000000"/>
          <w:spacing w:val="0"/>
          <w:w w:val="100"/>
          <w:position w:val="0"/>
          <w:sz w:val="24"/>
          <w:szCs w:val="24"/>
        </w:rPr>
        <w:t>、投资状况分析</w:t>
      </w:r>
      <w:bookmarkEnd w:id="193"/>
      <w:bookmarkEnd w:id="194"/>
      <w:bookmarkEnd w:id="196"/>
    </w:p>
    <w:p>
      <w:pPr>
        <w:pStyle w:val="Style38"/>
        <w:keepNext/>
        <w:keepLines/>
        <w:widowControl w:val="0"/>
        <w:shd w:val="clear" w:color="auto" w:fill="auto"/>
        <w:bidi w:val="0"/>
        <w:spacing w:before="0" w:after="180" w:line="494"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1</w:t>
      </w:r>
      <w:bookmarkEnd w:id="199"/>
      <w:r>
        <w:rPr>
          <w:color w:val="000000"/>
          <w:spacing w:val="0"/>
          <w:w w:val="100"/>
          <w:position w:val="0"/>
        </w:rPr>
        <w:t>、总体情况</w:t>
      </w:r>
      <w:bookmarkEnd w:id="197"/>
      <w:bookmarkEnd w:id="198"/>
      <w:bookmarkEnd w:id="200"/>
    </w:p>
    <w:p>
      <w:pPr>
        <w:pStyle w:val="Style12"/>
        <w:keepNext w:val="0"/>
        <w:keepLines w:val="0"/>
        <w:widowControl w:val="0"/>
        <w:shd w:val="clear" w:color="auto" w:fill="auto"/>
        <w:bidi w:val="0"/>
        <w:spacing w:before="0" w:after="0" w:line="494"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8"/>
        <w:keepNext/>
        <w:keepLines/>
        <w:widowControl w:val="0"/>
        <w:shd w:val="clear" w:color="auto" w:fill="auto"/>
        <w:tabs>
          <w:tab w:pos="378" w:val="left"/>
        </w:tabs>
        <w:bidi w:val="0"/>
        <w:spacing w:before="0" w:after="34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2</w:t>
      </w:r>
      <w:bookmarkEnd w:id="203"/>
      <w:r>
        <w:rPr>
          <w:color w:val="000000"/>
          <w:spacing w:val="0"/>
          <w:w w:val="100"/>
          <w:position w:val="0"/>
        </w:rPr>
        <w:t>、</w:t>
        <w:tab/>
        <w:t>报告期内获取的重大的股权投资情况</w:t>
      </w:r>
      <w:bookmarkEnd w:id="201"/>
      <w:bookmarkEnd w:id="202"/>
      <w:bookmarkEnd w:id="204"/>
    </w:p>
    <w:p>
      <w:pPr>
        <w:pStyle w:val="Style1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after="34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3</w:t>
      </w:r>
      <w:bookmarkEnd w:id="207"/>
      <w:r>
        <w:rPr>
          <w:color w:val="000000"/>
          <w:spacing w:val="0"/>
          <w:w w:val="100"/>
          <w:position w:val="0"/>
        </w:rPr>
        <w:t>、</w:t>
        <w:tab/>
        <w:t>报告期内正在进行的重大的非股权投资情况</w:t>
      </w:r>
      <w:bookmarkEnd w:id="205"/>
      <w:bookmarkEnd w:id="206"/>
      <w:bookmarkEnd w:id="208"/>
    </w:p>
    <w:p>
      <w:pPr>
        <w:pStyle w:val="Style1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after="34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4</w:t>
      </w:r>
      <w:bookmarkEnd w:id="211"/>
      <w:r>
        <w:rPr>
          <w:color w:val="000000"/>
          <w:spacing w:val="0"/>
          <w:w w:val="100"/>
          <w:position w:val="0"/>
        </w:rPr>
        <w:t>、</w:t>
        <w:tab/>
        <w:t>以公允价值计量的金融资产</w:t>
      </w:r>
      <w:bookmarkEnd w:id="209"/>
      <w:bookmarkEnd w:id="210"/>
      <w:bookmarkEnd w:id="212"/>
    </w:p>
    <w:p>
      <w:pPr>
        <w:pStyle w:val="Style1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21" w:right="982" w:bottom="1431" w:left="102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after="280" w:line="240" w:lineRule="auto"/>
        <w:ind w:left="0" w:right="0" w:firstLine="0"/>
        <w:jc w:val="both"/>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5</w:t>
      </w:r>
      <w:bookmarkEnd w:id="215"/>
      <w:r>
        <w:rPr>
          <w:color w:val="000000"/>
          <w:spacing w:val="0"/>
          <w:w w:val="100"/>
          <w:position w:val="0"/>
        </w:rPr>
        <w:t>、募集资金使用情况</w:t>
      </w:r>
      <w:bookmarkEnd w:id="213"/>
      <w:bookmarkEnd w:id="214"/>
      <w:bookmarkEnd w:id="216"/>
      <w:r>
        <w:rPr>
          <w:color w:val="000000"/>
          <w:spacing w:val="0"/>
          <w:w w:val="100"/>
          <w:position w:val="0"/>
        </w:rPr>
        <w:t xml:space="preserve"> </w:t>
      </w:r>
      <w:r>
        <w:rPr>
          <w:rStyle w:val="CharStyle13"/>
          <w:rFonts w:ascii="Times New Roman" w:eastAsia="Times New Roman" w:hAnsi="Times New Roman" w:cs="Times New Roman"/>
          <w:b w:val="0"/>
          <w:bCs w:val="0"/>
        </w:rPr>
        <w:t>q</w:t>
      </w:r>
      <w:r>
        <w:rPr>
          <w:rStyle w:val="CharStyle13"/>
          <w:b w:val="0"/>
          <w:bCs w:val="0"/>
        </w:rPr>
        <w:t>适用</w:t>
      </w:r>
      <w:r>
        <w:rPr>
          <w:rStyle w:val="CharStyle13"/>
          <w:b w:val="0"/>
          <w:bCs w:val="0"/>
        </w:rPr>
        <w:t>口</w:t>
      </w:r>
      <w:r>
        <w:rPr>
          <w:rStyle w:val="CharStyle13"/>
          <w:b w:val="0"/>
          <w:bCs w:val="0"/>
        </w:rPr>
        <w:t>不适用</w:t>
      </w:r>
    </w:p>
    <w:p>
      <w:pPr>
        <w:pStyle w:val="Style46"/>
        <w:keepNext/>
        <w:keepLines/>
        <w:widowControl w:val="0"/>
        <w:shd w:val="clear" w:color="auto" w:fill="auto"/>
        <w:bidi w:val="0"/>
        <w:spacing w:before="0" w:after="280" w:line="240" w:lineRule="auto"/>
        <w:ind w:left="0" w:right="0" w:firstLine="0"/>
        <w:jc w:val="both"/>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7"/>
      <w:bookmarkEnd w:id="218"/>
      <w:bookmarkEnd w:id="220"/>
    </w:p>
    <w:p>
      <w:pPr>
        <w:pStyle w:val="Style1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30"/>
        <w:gridCol w:w="830"/>
        <w:gridCol w:w="1238"/>
        <w:gridCol w:w="1238"/>
        <w:gridCol w:w="1258"/>
        <w:gridCol w:w="1550"/>
        <w:gridCol w:w="1330"/>
        <w:gridCol w:w="1637"/>
        <w:gridCol w:w="1051"/>
        <w:gridCol w:w="1718"/>
        <w:gridCol w:w="1286"/>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本期已使用募 集资金总额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已累计使用募 集资金总额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报告期内变更用途 的募集资金总额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累计变更用途的 募集资金总额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累计变更用途的募 集资金总额比例</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尚未使用募</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集资金总额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尚未使用募集资金用 途及去向</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闲置两年以上</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募集资金金额</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首次公开 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64,998.96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37,748.57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43,946.34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21,851.42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尚未使用的募集资金 将用于募投项目的实 施，存放于公司募集 资金专户以及进行现 金管理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64,998.96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37,748.57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43,946.34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21,851.42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11"/>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1814" w:hRule="exact"/>
        </w:trPr>
        <w:tc>
          <w:tcPr>
            <w:gridSpan w:val="11"/>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tabs>
                <w:tab w:pos="629" w:val="left"/>
              </w:tabs>
              <w:bidi w:val="0"/>
              <w:spacing w:before="0" w:after="40" w:line="235"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经中国证券监督管理委员会证监许可〔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2933</w:t>
            </w:r>
            <w:r>
              <w:rPr>
                <w:color w:val="000000"/>
                <w:spacing w:val="0"/>
                <w:w w:val="100"/>
                <w:position w:val="0"/>
                <w:sz w:val="18"/>
                <w:szCs w:val="18"/>
              </w:rPr>
              <w:t>号文核准，并经深圳证券交易所同意，本公司由主承销商浙商证券股份有限公司采用余额包销方式，向社会公众公开 发行人民币普通股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股）股票</w:t>
            </w:r>
            <w:r>
              <w:rPr>
                <w:rFonts w:ascii="Times New Roman" w:eastAsia="Times New Roman" w:hAnsi="Times New Roman" w:cs="Times New Roman"/>
                <w:color w:val="000000"/>
                <w:spacing w:val="0"/>
                <w:w w:val="100"/>
                <w:position w:val="0"/>
                <w:sz w:val="18"/>
                <w:szCs w:val="18"/>
              </w:rPr>
              <w:t>3,237.00</w:t>
            </w:r>
            <w:r>
              <w:rPr>
                <w:color w:val="000000"/>
                <w:spacing w:val="0"/>
                <w:w w:val="100"/>
                <w:position w:val="0"/>
                <w:sz w:val="18"/>
                <w:szCs w:val="18"/>
              </w:rPr>
              <w:t>万股，发行价为每股人民币</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元，共计募集资金</w:t>
            </w:r>
            <w:r>
              <w:rPr>
                <w:rFonts w:ascii="Times New Roman" w:eastAsia="Times New Roman" w:hAnsi="Times New Roman" w:cs="Times New Roman"/>
                <w:color w:val="000000"/>
                <w:spacing w:val="0"/>
                <w:w w:val="100"/>
                <w:position w:val="0"/>
                <w:sz w:val="18"/>
                <w:szCs w:val="18"/>
              </w:rPr>
              <w:t>64,998.96</w:t>
            </w:r>
            <w:r>
              <w:rPr>
                <w:color w:val="000000"/>
                <w:spacing w:val="0"/>
                <w:w w:val="100"/>
                <w:position w:val="0"/>
                <w:sz w:val="18"/>
                <w:szCs w:val="18"/>
              </w:rPr>
              <w:t>万元，坐扣承销费用</w:t>
            </w:r>
            <w:r>
              <w:rPr>
                <w:rFonts w:ascii="Times New Roman" w:eastAsia="Times New Roman" w:hAnsi="Times New Roman" w:cs="Times New Roman"/>
                <w:color w:val="000000"/>
                <w:spacing w:val="0"/>
                <w:w w:val="100"/>
                <w:position w:val="0"/>
                <w:sz w:val="18"/>
                <w:szCs w:val="18"/>
              </w:rPr>
              <w:t>4,292.38</w:t>
            </w:r>
            <w:r>
              <w:rPr>
                <w:color w:val="000000"/>
                <w:spacing w:val="0"/>
                <w:w w:val="100"/>
                <w:position w:val="0"/>
                <w:sz w:val="18"/>
                <w:szCs w:val="18"/>
              </w:rPr>
              <w:t>万元（实际不含税承销及保荐费为</w:t>
            </w:r>
            <w:r>
              <w:rPr>
                <w:rFonts w:ascii="Times New Roman" w:eastAsia="Times New Roman" w:hAnsi="Times New Roman" w:cs="Times New Roman"/>
                <w:color w:val="000000"/>
                <w:spacing w:val="0"/>
                <w:w w:val="100"/>
                <w:position w:val="0"/>
                <w:sz w:val="18"/>
                <w:szCs w:val="18"/>
              </w:rPr>
              <w:t xml:space="preserve">4,575.40 </w:t>
            </w:r>
            <w:r>
              <w:rPr>
                <w:color w:val="000000"/>
                <w:spacing w:val="0"/>
                <w:w w:val="100"/>
                <w:position w:val="0"/>
                <w:sz w:val="18"/>
                <w:szCs w:val="18"/>
              </w:rPr>
              <w:t>万元，前期已预付不含税保荐费</w:t>
            </w:r>
            <w:r>
              <w:rPr>
                <w:rFonts w:ascii="Times New Roman" w:eastAsia="Times New Roman" w:hAnsi="Times New Roman" w:cs="Times New Roman"/>
                <w:color w:val="000000"/>
                <w:spacing w:val="0"/>
                <w:w w:val="100"/>
                <w:position w:val="0"/>
                <w:sz w:val="18"/>
                <w:szCs w:val="18"/>
              </w:rPr>
              <w:t>283.02</w:t>
            </w:r>
            <w:r>
              <w:rPr>
                <w:color w:val="000000"/>
                <w:spacing w:val="0"/>
                <w:w w:val="100"/>
                <w:position w:val="0"/>
                <w:sz w:val="18"/>
                <w:szCs w:val="18"/>
              </w:rPr>
              <w:t>万元）后的募集资金为</w:t>
            </w:r>
            <w:r>
              <w:rPr>
                <w:rFonts w:ascii="Times New Roman" w:eastAsia="Times New Roman" w:hAnsi="Times New Roman" w:cs="Times New Roman"/>
                <w:color w:val="000000"/>
                <w:spacing w:val="0"/>
                <w:w w:val="100"/>
                <w:position w:val="0"/>
                <w:sz w:val="18"/>
                <w:szCs w:val="18"/>
              </w:rPr>
              <w:t>60,706.58</w:t>
            </w:r>
            <w:r>
              <w:rPr>
                <w:color w:val="000000"/>
                <w:spacing w:val="0"/>
                <w:w w:val="100"/>
                <w:position w:val="0"/>
                <w:sz w:val="18"/>
                <w:szCs w:val="18"/>
              </w:rPr>
              <w:t>万元，已由主承销商浙商证券股份有限公司于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日汇入本公司募集资金监管账户。另减 除上网发行费、招股说明书印刷费、申报会计师费、律师费、评估费等与发行权益性证券直接相关的新增外部费用</w:t>
            </w:r>
            <w:r>
              <w:rPr>
                <w:rFonts w:ascii="Times New Roman" w:eastAsia="Times New Roman" w:hAnsi="Times New Roman" w:cs="Times New Roman"/>
                <w:color w:val="000000"/>
                <w:spacing w:val="0"/>
                <w:w w:val="100"/>
                <w:position w:val="0"/>
                <w:sz w:val="18"/>
                <w:szCs w:val="18"/>
              </w:rPr>
              <w:t>1,911.84</w:t>
            </w:r>
            <w:r>
              <w:rPr>
                <w:color w:val="000000"/>
                <w:spacing w:val="0"/>
                <w:w w:val="100"/>
                <w:position w:val="0"/>
                <w:sz w:val="18"/>
                <w:szCs w:val="18"/>
              </w:rPr>
              <w:t>万元后，公司本次募集资金净额为</w:t>
            </w:r>
            <w:r>
              <w:rPr>
                <w:rFonts w:ascii="Times New Roman" w:eastAsia="Times New Roman" w:hAnsi="Times New Roman" w:cs="Times New Roman"/>
                <w:color w:val="000000"/>
                <w:spacing w:val="0"/>
                <w:w w:val="100"/>
                <w:position w:val="0"/>
                <w:sz w:val="18"/>
                <w:szCs w:val="18"/>
              </w:rPr>
              <w:t>58,511.72</w:t>
            </w:r>
            <w:r>
              <w:rPr>
                <w:color w:val="000000"/>
                <w:spacing w:val="0"/>
                <w:w w:val="100"/>
                <w:position w:val="0"/>
                <w:sz w:val="18"/>
                <w:szCs w:val="18"/>
              </w:rPr>
              <w:t>万元。</w:t>
            </w:r>
          </w:p>
          <w:p>
            <w:pPr>
              <w:pStyle w:val="Style2"/>
              <w:keepNext w:val="0"/>
              <w:keepLines w:val="0"/>
              <w:widowControl w:val="0"/>
              <w:shd w:val="clear" w:color="auto" w:fill="auto"/>
              <w:tabs>
                <w:tab w:pos="634" w:val="left"/>
              </w:tabs>
              <w:bidi w:val="0"/>
              <w:spacing w:before="0" w:after="40" w:line="235"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本期已使用募集资金总额</w:t>
            </w:r>
            <w:r>
              <w:rPr>
                <w:rFonts w:ascii="Times New Roman" w:eastAsia="Times New Roman" w:hAnsi="Times New Roman" w:cs="Times New Roman"/>
                <w:color w:val="000000"/>
                <w:spacing w:val="0"/>
                <w:w w:val="100"/>
                <w:position w:val="0"/>
                <w:sz w:val="18"/>
                <w:szCs w:val="18"/>
              </w:rPr>
              <w:t>37,748.57</w:t>
            </w:r>
            <w:r>
              <w:rPr>
                <w:color w:val="000000"/>
                <w:spacing w:val="0"/>
                <w:w w:val="100"/>
                <w:position w:val="0"/>
                <w:sz w:val="18"/>
                <w:szCs w:val="18"/>
              </w:rPr>
              <w:t>万元，其中本期募投项目投入</w:t>
            </w:r>
            <w:r>
              <w:rPr>
                <w:rFonts w:ascii="Times New Roman" w:eastAsia="Times New Roman" w:hAnsi="Times New Roman" w:cs="Times New Roman"/>
                <w:color w:val="000000"/>
                <w:spacing w:val="0"/>
                <w:w w:val="100"/>
                <w:position w:val="0"/>
                <w:sz w:val="18"/>
                <w:szCs w:val="18"/>
              </w:rPr>
              <w:t>37,459.10</w:t>
            </w:r>
            <w:r>
              <w:rPr>
                <w:color w:val="000000"/>
                <w:spacing w:val="0"/>
                <w:w w:val="100"/>
                <w:position w:val="0"/>
                <w:sz w:val="18"/>
                <w:szCs w:val="18"/>
              </w:rPr>
              <w:t>万元，置换了前期以自有资金预先支付的不含税保荐费</w:t>
            </w:r>
            <w:r>
              <w:rPr>
                <w:rFonts w:ascii="Times New Roman" w:eastAsia="Times New Roman" w:hAnsi="Times New Roman" w:cs="Times New Roman"/>
                <w:color w:val="000000"/>
                <w:spacing w:val="0"/>
                <w:w w:val="100"/>
                <w:position w:val="0"/>
                <w:sz w:val="18"/>
                <w:szCs w:val="18"/>
              </w:rPr>
              <w:t>283.02</w:t>
            </w:r>
            <w:r>
              <w:rPr>
                <w:color w:val="000000"/>
                <w:spacing w:val="0"/>
                <w:w w:val="100"/>
                <w:position w:val="0"/>
                <w:sz w:val="18"/>
                <w:szCs w:val="18"/>
              </w:rPr>
              <w:t>万元、前期以自有资金预先支 付的不含税其他发行费用</w:t>
            </w:r>
            <w:r>
              <w:rPr>
                <w:rFonts w:ascii="Times New Roman" w:eastAsia="Times New Roman" w:hAnsi="Times New Roman" w:cs="Times New Roman"/>
                <w:color w:val="000000"/>
                <w:spacing w:val="0"/>
                <w:w w:val="100"/>
                <w:position w:val="0"/>
                <w:sz w:val="18"/>
                <w:szCs w:val="18"/>
              </w:rPr>
              <w:t>6.56</w:t>
            </w:r>
            <w:r>
              <w:rPr>
                <w:color w:val="000000"/>
                <w:spacing w:val="0"/>
                <w:w w:val="100"/>
                <w:position w:val="0"/>
                <w:sz w:val="18"/>
                <w:szCs w:val="18"/>
              </w:rPr>
              <w:t>万元，并将验资户招商银行深圳科技园支行直接扣支转账手续费及询证费</w:t>
            </w:r>
            <w:r>
              <w:rPr>
                <w:rFonts w:ascii="Times New Roman" w:eastAsia="Times New Roman" w:hAnsi="Times New Roman" w:cs="Times New Roman"/>
                <w:color w:val="000000"/>
                <w:spacing w:val="0"/>
                <w:w w:val="100"/>
                <w:position w:val="0"/>
                <w:sz w:val="18"/>
                <w:szCs w:val="18"/>
              </w:rPr>
              <w:t>0.10</w:t>
            </w:r>
            <w:r>
              <w:rPr>
                <w:color w:val="000000"/>
                <w:spacing w:val="0"/>
                <w:w w:val="100"/>
                <w:position w:val="0"/>
                <w:sz w:val="18"/>
                <w:szCs w:val="18"/>
              </w:rPr>
              <w:t>万元转回到募集资金账户。</w:t>
            </w:r>
          </w:p>
          <w:p>
            <w:pPr>
              <w:pStyle w:val="Style2"/>
              <w:keepNext w:val="0"/>
              <w:keepLines w:val="0"/>
              <w:widowControl w:val="0"/>
              <w:shd w:val="clear" w:color="auto" w:fill="auto"/>
              <w:tabs>
                <w:tab w:pos="668" w:val="left"/>
              </w:tabs>
              <w:bidi w:val="0"/>
              <w:spacing w:before="0" w:after="40" w:line="235"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尚未使用募集资金总额</w:t>
            </w:r>
            <w:r>
              <w:rPr>
                <w:rFonts w:ascii="Times New Roman" w:eastAsia="Times New Roman" w:hAnsi="Times New Roman" w:cs="Times New Roman"/>
                <w:color w:val="000000"/>
                <w:spacing w:val="0"/>
                <w:w w:val="100"/>
                <w:position w:val="0"/>
                <w:sz w:val="18"/>
                <w:szCs w:val="18"/>
              </w:rPr>
              <w:t>21,851.42</w:t>
            </w:r>
            <w:r>
              <w:rPr>
                <w:color w:val="000000"/>
                <w:spacing w:val="0"/>
                <w:w w:val="100"/>
                <w:position w:val="0"/>
                <w:sz w:val="18"/>
                <w:szCs w:val="18"/>
              </w:rPr>
              <w:t>万元，含募集资金利息收入净额</w:t>
            </w:r>
            <w:r>
              <w:rPr>
                <w:rFonts w:ascii="Times New Roman" w:eastAsia="Times New Roman" w:hAnsi="Times New Roman" w:cs="Times New Roman"/>
                <w:color w:val="000000"/>
                <w:spacing w:val="0"/>
                <w:w w:val="100"/>
                <w:position w:val="0"/>
                <w:sz w:val="18"/>
                <w:szCs w:val="18"/>
              </w:rPr>
              <w:t>798.80</w:t>
            </w:r>
            <w:r>
              <w:rPr>
                <w:color w:val="000000"/>
                <w:spacing w:val="0"/>
                <w:w w:val="100"/>
                <w:position w:val="0"/>
                <w:sz w:val="18"/>
                <w:szCs w:val="18"/>
              </w:rPr>
              <w:t>万元。</w:t>
            </w:r>
          </w:p>
        </w:tc>
      </w:tr>
    </w:tbl>
    <w:p>
      <w:pPr>
        <w:widowControl w:val="0"/>
        <w:spacing w:after="279" w:line="1" w:lineRule="exact"/>
      </w:pPr>
    </w:p>
    <w:p>
      <w:pPr>
        <w:pStyle w:val="Style46"/>
        <w:keepNext/>
        <w:keepLines/>
        <w:widowControl w:val="0"/>
        <w:shd w:val="clear" w:color="auto" w:fill="auto"/>
        <w:bidi w:val="0"/>
        <w:spacing w:before="0" w:after="280" w:line="240" w:lineRule="auto"/>
        <w:ind w:left="0" w:right="0" w:firstLine="0"/>
        <w:jc w:val="both"/>
      </w:pPr>
      <w:bookmarkStart w:id="221" w:name="bookmark221"/>
      <w:bookmarkStart w:id="222" w:name="bookmark222"/>
      <w:bookmarkStart w:id="223" w:name="bookmark223"/>
      <w:bookmarkStart w:id="224" w:name="bookmark224"/>
      <w:r>
        <w:rPr>
          <w:color w:val="000000"/>
          <w:spacing w:val="0"/>
          <w:w w:val="100"/>
          <w:position w:val="0"/>
        </w:rPr>
        <w:t>（</w:t>
      </w:r>
      <w:bookmarkEnd w:id="22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1"/>
      <w:bookmarkEnd w:id="222"/>
      <w:bookmarkEnd w:id="224"/>
    </w:p>
    <w:p>
      <w:pPr>
        <w:pStyle w:val="Style12"/>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87"/>
        <w:gridCol w:w="778"/>
        <w:gridCol w:w="1090"/>
        <w:gridCol w:w="1248"/>
        <w:gridCol w:w="1003"/>
        <w:gridCol w:w="1397"/>
        <w:gridCol w:w="1114"/>
        <w:gridCol w:w="1003"/>
        <w:gridCol w:w="1138"/>
        <w:gridCol w:w="1790"/>
        <w:gridCol w:w="1406"/>
        <w:gridCol w:w="614"/>
      </w:tblGrid>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承诺投资项目和 超募资金投向</w:t>
            </w:r>
          </w:p>
        </w:tc>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含部分 变更</w:t>
            </w: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诺投资总额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调整后投资总 额⑴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本报告期投 入金额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截至期末累计投 入金额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截至期末投 资进度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项目达到预</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定可使用状</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态日期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本报告期实现 的效益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截止报告期末累计实 现的效益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是否达到预计效 益</w:t>
            </w:r>
          </w:p>
        </w:tc>
        <w:tc>
          <w:tcPr>
            <w:tcBorders>
              <w:top w:val="single" w:sz="4"/>
              <w:left w:val="single" w:sz="4"/>
              <w:bottom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行性是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否发生</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重大变</w:t>
            </w:r>
          </w:p>
        </w:tc>
      </w:tr>
    </w:tbl>
    <w:p>
      <w:pPr>
        <w:spacing w:lineRule="exact" w:line="1"/>
        <w:rPr>
          <w:sz w:val="2"/>
          <w:szCs w:val="2"/>
        </w:rPr>
      </w:pPr>
      <w:r>
        <w:br w:type="page"/>
      </w:r>
    </w:p>
    <w:tbl>
      <w:tblPr>
        <w:tblOverlap w:val="never"/>
        <w:jc w:val="center"/>
        <w:tblLayout w:type="fixed"/>
      </w:tblPr>
      <w:tblGrid>
        <w:gridCol w:w="1387"/>
        <w:gridCol w:w="778"/>
        <w:gridCol w:w="1090"/>
        <w:gridCol w:w="1248"/>
        <w:gridCol w:w="1003"/>
        <w:gridCol w:w="1397"/>
        <w:gridCol w:w="1114"/>
        <w:gridCol w:w="1003"/>
        <w:gridCol w:w="1138"/>
        <w:gridCol w:w="1790"/>
        <w:gridCol w:w="1406"/>
        <w:gridCol w:w="614"/>
      </w:tblGrid>
      <w:tr>
        <w:trPr>
          <w:trHeight w:val="31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化</w:t>
            </w:r>
          </w:p>
        </w:tc>
      </w:tr>
      <w:tr>
        <w:trPr>
          <w:trHeight w:val="322" w:hRule="exact"/>
        </w:trPr>
        <w:tc>
          <w:tcPr>
            <w:gridSpan w:val="12"/>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软件开发交付中 心扩建项目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30,667.7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30,667.7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19,501.31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13,989.52 </w:t>
            </w:r>
            <w:r>
              <w:rPr>
                <w:color w:val="000000"/>
                <w:spacing w:val="0"/>
                <w:w w:val="100"/>
                <w:position w:val="0"/>
                <w:sz w:val="18"/>
                <w:szCs w:val="18"/>
              </w:rPr>
              <w:t>［</w:t>
            </w:r>
            <w:r>
              <w:rPr>
                <w:color w:val="000000"/>
                <w:spacing w:val="0"/>
                <w:w w:val="100"/>
                <w:position w:val="0"/>
                <w:sz w:val="18"/>
                <w:szCs w:val="18"/>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软件研发资源数 字化管理平台项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3,114.42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3,114.42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2,974.03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产品技术研发中 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5,486.97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87.35%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补充营运资金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5,696.79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承诺投资项目小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45,763.78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45,763.78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33,659.1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33,659.1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13,989.52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18627.95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gridSpan w:val="12"/>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超募资金投向</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永久补充流动资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55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暂未确定用途超 募资金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12,747.94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8,947.94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超募资金投向小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12,747.94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58,511.72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58,511.72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37,459.1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37,459.1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13,989.52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18627.95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未达到计划进度 或预计收益的情 况和原因（分具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8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项目可行性发生 重大变化的情况 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超募资金的金 额、用途及使用 进展情况</w:t>
            </w: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适用</w:t>
            </w:r>
          </w:p>
        </w:tc>
      </w:tr>
      <w:tr>
        <w:trPr>
          <w:trHeight w:val="557"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日，公司第三届董事会第五次会议，审议通过《关于使用部分超募资金永久补充流动资金的议案》，同意公司使用超额募集资金</w:t>
            </w:r>
            <w:r>
              <w:rPr>
                <w:rFonts w:ascii="Times New Roman" w:eastAsia="Times New Roman" w:hAnsi="Times New Roman" w:cs="Times New Roman"/>
                <w:color w:val="000000"/>
                <w:spacing w:val="0"/>
                <w:w w:val="100"/>
                <w:position w:val="0"/>
                <w:sz w:val="18"/>
                <w:szCs w:val="18"/>
              </w:rPr>
              <w:t>3,800.00</w:t>
            </w:r>
            <w:r>
              <w:rPr>
                <w:color w:val="000000"/>
                <w:spacing w:val="0"/>
                <w:w w:val="100"/>
                <w:position w:val="0"/>
                <w:sz w:val="18"/>
                <w:szCs w:val="18"/>
              </w:rPr>
              <w:t>万元永 久性补充流动资金。公司独立董事、监事会和保荐机构均发表了同意永久性补充流动资金的意见。</w:t>
            </w:r>
          </w:p>
        </w:tc>
      </w:tr>
      <w:tr>
        <w:trPr>
          <w:trHeight w:val="32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募集资金投资项 目实施地点变更 情况</w:t>
            </w: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适用</w:t>
            </w:r>
          </w:p>
        </w:tc>
      </w:tr>
      <w:tr>
        <w:trPr>
          <w:trHeight w:val="322"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报告期内发生</w:t>
            </w:r>
          </w:p>
        </w:tc>
      </w:tr>
      <w:tr>
        <w:trPr>
          <w:trHeight w:val="293" w:hRule="exact"/>
        </w:trPr>
        <w:tc>
          <w:tcPr>
            <w:vMerge/>
            <w:tcBorders>
              <w:left w:val="single" w:sz="4"/>
              <w:bottom w:val="single" w:sz="4"/>
            </w:tcBorders>
            <w:shd w:val="clear" w:color="auto" w:fill="D4D4D4"/>
            <w:vAlign w:val="center"/>
          </w:tcPr>
          <w:p>
            <w:pPr/>
          </w:p>
        </w:tc>
        <w:tc>
          <w:tcPr>
            <w:gridSpan w:val="11"/>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日，公司第三届董事会第九次会议审议通过《关于公司部分募投项目变更实施地点的议案》，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软件开发交付中心扩建项目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结合公司的发展战略</w:t>
            </w:r>
          </w:p>
        </w:tc>
      </w:tr>
    </w:tbl>
    <w:p>
      <w:pPr>
        <w:spacing w:lineRule="exact" w:line="1"/>
        <w:rPr>
          <w:sz w:val="2"/>
          <w:szCs w:val="2"/>
        </w:rPr>
      </w:pPr>
      <w:r>
        <w:br w:type="page"/>
      </w:r>
    </w:p>
    <w:tbl>
      <w:tblPr>
        <w:tblOverlap w:val="never"/>
        <w:jc w:val="center"/>
        <w:tblLayout w:type="fixed"/>
      </w:tblPr>
      <w:tblGrid>
        <w:gridCol w:w="1387"/>
        <w:gridCol w:w="12581"/>
      </w:tblGrid>
      <w:tr>
        <w:trPr>
          <w:trHeight w:val="7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及规划布局，鉴于市场需求增加和业务拓展的需要，除原计划的实施地点之外，公司增加实施地点西安、成都、大连、福州、佛山、合肥、武汉、长沙、济 南、宁波、郑州、上饶、重庆，进行当地分支机构或离岸开发中心的新扩建。此外，由于总部扩建场地尚未购置，为不影响募投项目的实施进度，该项目总部 所需场地以租赁的方式实施。公司独立董事、监事会和保荐机构均发表了同意的意见。</w:t>
            </w:r>
          </w:p>
        </w:tc>
      </w:tr>
      <w:tr>
        <w:trPr>
          <w:trHeight w:val="91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募集资金投资项 目实施方式调整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32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募集资金投资项 目先期投入及置 换情况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适用</w:t>
            </w:r>
          </w:p>
        </w:tc>
      </w:tr>
      <w:tr>
        <w:trPr>
          <w:trHeight w:val="557"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日，公司第三届董事会第四次会议，审议通过《关于使用募集资金置换预先投入募投项目及发行费用的自筹资金的议案》，同意公司使用募集资 金</w:t>
            </w:r>
            <w:r>
              <w:rPr>
                <w:rFonts w:ascii="Times New Roman" w:eastAsia="Times New Roman" w:hAnsi="Times New Roman" w:cs="Times New Roman"/>
                <w:color w:val="000000"/>
                <w:spacing w:val="0"/>
                <w:w w:val="100"/>
                <w:position w:val="0"/>
                <w:sz w:val="18"/>
                <w:szCs w:val="18"/>
              </w:rPr>
              <w:t>12,834.84</w:t>
            </w:r>
            <w:r>
              <w:rPr>
                <w:color w:val="000000"/>
                <w:spacing w:val="0"/>
                <w:w w:val="100"/>
                <w:position w:val="0"/>
                <w:sz w:val="18"/>
                <w:szCs w:val="18"/>
              </w:rPr>
              <w:t>万元置换前期已预先投入募投项目及发行费用的自筹资金。公司独立董事、监事会和保荐机构均发表了同意置换的意见。</w:t>
            </w:r>
          </w:p>
        </w:tc>
      </w:tr>
      <w:tr>
        <w:trPr>
          <w:trHeight w:val="79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用闲置募集资金 暂时补充流动资 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9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项目实施出现募 集资金结余的金 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尚未使用的募集 资金用途及去向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存放于公司募集资金专户以及进行现金管理</w:t>
            </w:r>
            <w:r>
              <w:rPr>
                <w:rFonts w:ascii="Times New Roman" w:eastAsia="Times New Roman" w:hAnsi="Times New Roman" w:cs="Times New Roman"/>
                <w:color w:val="000000"/>
                <w:spacing w:val="0"/>
                <w:w w:val="100"/>
                <w:position w:val="0"/>
                <w:sz w:val="18"/>
                <w:szCs w:val="18"/>
              </w:rPr>
              <w:t>2.10</w:t>
            </w:r>
            <w:r>
              <w:rPr>
                <w:color w:val="000000"/>
                <w:spacing w:val="0"/>
                <w:w w:val="100"/>
                <w:position w:val="0"/>
                <w:sz w:val="18"/>
                <w:szCs w:val="18"/>
              </w:rPr>
              <w:t>亿元。</w:t>
            </w:r>
          </w:p>
        </w:tc>
      </w:tr>
      <w:tr>
        <w:trPr>
          <w:trHeight w:val="797"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募集资金使用及 披露中存在的问 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［注］实现的效益根据软件开发交付中心扩建项目可行性研究报告口径计算，未考虑研发费用影响</w:t>
      </w:r>
    </w:p>
    <w:p>
      <w:pPr>
        <w:pStyle w:val="Style46"/>
        <w:keepNext/>
        <w:keepLines/>
        <w:widowControl w:val="0"/>
        <w:shd w:val="clear" w:color="auto" w:fill="auto"/>
        <w:bidi w:val="0"/>
        <w:spacing w:before="0" w:after="30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5"/>
      <w:bookmarkEnd w:id="226"/>
      <w:bookmarkEnd w:id="228"/>
    </w:p>
    <w:p>
      <w:pPr>
        <w:pStyle w:val="Style1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6840" w:h="11900" w:orient="landscape"/>
          <w:pgMar w:top="1098" w:right="1422" w:bottom="1206" w:left="1417" w:header="0" w:footer="3" w:gutter="0"/>
          <w:cols w:space="720"/>
          <w:noEndnote/>
          <w:rtlGutter w:val="0"/>
          <w:docGrid w:linePitch="360"/>
        </w:sectPr>
      </w:pPr>
      <w:r>
        <w:rPr>
          <w:color w:val="000000"/>
          <w:spacing w:val="0"/>
          <w:w w:val="100"/>
          <w:position w:val="0"/>
        </w:rPr>
        <w:t>公司报告期不存在募集资金变更项目情况。</w:t>
      </w:r>
    </w:p>
    <w:p>
      <w:pPr>
        <w:pStyle w:val="Style31"/>
        <w:keepNext/>
        <w:keepLines/>
        <w:widowControl w:val="0"/>
        <w:shd w:val="clear" w:color="auto" w:fill="auto"/>
        <w:tabs>
          <w:tab w:pos="517" w:val="left"/>
        </w:tabs>
        <w:bidi w:val="0"/>
        <w:spacing w:before="160" w:after="30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八</w:t>
      </w:r>
      <w:bookmarkEnd w:id="231"/>
      <w:r>
        <w:rPr>
          <w:color w:val="000000"/>
          <w:spacing w:val="0"/>
          <w:w w:val="100"/>
          <w:position w:val="0"/>
          <w:sz w:val="24"/>
          <w:szCs w:val="24"/>
        </w:rPr>
        <w:t>、</w:t>
        <w:tab/>
        <w:t>重大资产和股权出售</w:t>
      </w:r>
      <w:bookmarkEnd w:id="229"/>
      <w:bookmarkEnd w:id="230"/>
      <w:bookmarkEnd w:id="232"/>
    </w:p>
    <w:p>
      <w:pPr>
        <w:pStyle w:val="Style38"/>
        <w:keepNext/>
        <w:keepLines/>
        <w:widowControl w:val="0"/>
        <w:shd w:val="clear" w:color="auto" w:fill="auto"/>
        <w:tabs>
          <w:tab w:pos="404" w:val="left"/>
        </w:tabs>
        <w:bidi w:val="0"/>
        <w:spacing w:before="0" w:after="30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1</w:t>
      </w:r>
      <w:bookmarkEnd w:id="235"/>
      <w:r>
        <w:rPr>
          <w:color w:val="000000"/>
          <w:spacing w:val="0"/>
          <w:w w:val="100"/>
          <w:position w:val="0"/>
        </w:rPr>
        <w:t>、</w:t>
        <w:tab/>
        <w:t>出售重大资产情况</w:t>
      </w:r>
      <w:bookmarkEnd w:id="233"/>
      <w:bookmarkEnd w:id="234"/>
      <w:bookmarkEnd w:id="236"/>
    </w:p>
    <w:p>
      <w:pPr>
        <w:pStyle w:val="Style1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404" w:val="left"/>
        </w:tabs>
        <w:bidi w:val="0"/>
        <w:spacing w:before="0" w:after="30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2</w:t>
      </w:r>
      <w:bookmarkEnd w:id="239"/>
      <w:r>
        <w:rPr>
          <w:color w:val="000000"/>
          <w:spacing w:val="0"/>
          <w:w w:val="100"/>
          <w:position w:val="0"/>
        </w:rPr>
        <w:t>、</w:t>
        <w:tab/>
        <w:t>出售重大股权情况</w:t>
      </w:r>
      <w:bookmarkEnd w:id="237"/>
      <w:bookmarkEnd w:id="238"/>
      <w:bookmarkEnd w:id="240"/>
    </w:p>
    <w:p>
      <w:pPr>
        <w:pStyle w:val="Style1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1"/>
        <w:keepNext/>
        <w:keepLines/>
        <w:widowControl w:val="0"/>
        <w:shd w:val="clear" w:color="auto" w:fill="auto"/>
        <w:tabs>
          <w:tab w:pos="517" w:val="left"/>
        </w:tabs>
        <w:bidi w:val="0"/>
        <w:spacing w:before="0" w:after="30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4"/>
          <w:szCs w:val="24"/>
        </w:rPr>
        <w:t>九</w:t>
      </w:r>
      <w:bookmarkEnd w:id="243"/>
      <w:r>
        <w:rPr>
          <w:color w:val="000000"/>
          <w:spacing w:val="0"/>
          <w:w w:val="100"/>
          <w:position w:val="0"/>
          <w:sz w:val="24"/>
          <w:szCs w:val="24"/>
        </w:rPr>
        <w:t>、</w:t>
        <w:tab/>
        <w:t>主要控股参股公司分析</w:t>
      </w:r>
      <w:bookmarkEnd w:id="241"/>
      <w:bookmarkEnd w:id="242"/>
      <w:bookmarkEnd w:id="244"/>
    </w:p>
    <w:p>
      <w:pPr>
        <w:pStyle w:val="Style1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850"/>
        <w:gridCol w:w="994"/>
        <w:gridCol w:w="1253"/>
        <w:gridCol w:w="1051"/>
        <w:gridCol w:w="955"/>
        <w:gridCol w:w="994"/>
        <w:gridCol w:w="1133"/>
        <w:gridCol w:w="114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公司类型</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净利润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软件和信息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7,310,959.94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3,887,752.34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6,747,632.75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871,898.23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887,752.34</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上海法本信息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软件和信息 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18,373,879.95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17,919.70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7,296,138.75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-14,518,971.30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-10,982,080.30</w:t>
            </w:r>
          </w:p>
        </w:tc>
      </w:tr>
    </w:tbl>
    <w:p>
      <w:pPr>
        <w:pStyle w:val="Style36"/>
        <w:keepNext w:val="0"/>
        <w:keepLines w:val="0"/>
        <w:widowControl w:val="0"/>
        <w:shd w:val="clear" w:color="auto" w:fill="auto"/>
        <w:bidi w:val="0"/>
        <w:spacing w:before="0" w:after="0" w:line="398" w:lineRule="exact"/>
        <w:ind w:left="0" w:right="0" w:firstLine="0"/>
        <w:jc w:val="left"/>
        <w:rPr>
          <w:sz w:val="20"/>
          <w:szCs w:val="20"/>
        </w:rPr>
      </w:pPr>
      <w:r>
        <w:rPr>
          <w:color w:val="000000"/>
          <w:spacing w:val="0"/>
          <w:w w:val="100"/>
          <w:position w:val="0"/>
          <w:sz w:val="20"/>
          <w:szCs w:val="20"/>
        </w:rPr>
        <w:t xml:space="preserve">报告期内取得和处置子公司的情况 </w:t>
      </w:r>
      <w:r>
        <w:rPr>
          <w:rFonts w:ascii="Times New Roman" w:eastAsia="Times New Roman" w:hAnsi="Times New Roman" w:cs="Times New Roman"/>
          <w:color w:val="000000"/>
          <w:spacing w:val="0"/>
          <w:w w:val="100"/>
          <w:position w:val="0"/>
          <w:sz w:val="20"/>
          <w:szCs w:val="20"/>
        </w:rPr>
        <w:t xml:space="preserve">q </w:t>
      </w:r>
      <w:r>
        <w:rPr>
          <w:color w:val="000000"/>
          <w:spacing w:val="0"/>
          <w:w w:val="100"/>
          <w:position w:val="0"/>
          <w:sz w:val="20"/>
          <w:szCs w:val="20"/>
        </w:rPr>
        <w:t xml:space="preserve">适用 </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不适用</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对整体生产经营和业绩的影响</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法本通信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887,752.34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上海法本信息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-10,982,080.30</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主要控股参股公司情况说明：无</w:t>
      </w:r>
    </w:p>
    <w:p>
      <w:pPr>
        <w:widowControl w:val="0"/>
        <w:spacing w:after="439" w:line="1" w:lineRule="exact"/>
      </w:pPr>
    </w:p>
    <w:p>
      <w:pPr>
        <w:pStyle w:val="Style31"/>
        <w:keepNext/>
        <w:keepLines/>
        <w:widowControl w:val="0"/>
        <w:shd w:val="clear" w:color="auto" w:fill="auto"/>
        <w:bidi w:val="0"/>
        <w:spacing w:before="0" w:after="300" w:line="240" w:lineRule="auto"/>
        <w:ind w:left="0" w:right="0" w:firstLine="0"/>
        <w:jc w:val="left"/>
      </w:pPr>
      <w:bookmarkStart w:id="245" w:name="bookmark245"/>
      <w:bookmarkStart w:id="246" w:name="bookmark246"/>
      <w:bookmarkStart w:id="247" w:name="bookmark247"/>
      <w:r>
        <w:rPr>
          <w:color w:val="000000"/>
          <w:spacing w:val="0"/>
          <w:w w:val="100"/>
          <w:position w:val="0"/>
          <w:sz w:val="24"/>
          <w:szCs w:val="24"/>
        </w:rPr>
        <w:t>十、公司控制的结构化主体情况</w:t>
      </w:r>
      <w:bookmarkEnd w:id="245"/>
      <w:bookmarkEnd w:id="246"/>
      <w:bookmarkEnd w:id="247"/>
    </w:p>
    <w:p>
      <w:pPr>
        <w:pStyle w:val="Style12"/>
        <w:keepNext w:val="0"/>
        <w:keepLines w:val="0"/>
        <w:widowControl w:val="0"/>
        <w:shd w:val="clear" w:color="auto" w:fill="auto"/>
        <w:bidi w:val="0"/>
        <w:spacing w:before="0" w:after="300" w:line="432"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31"/>
        <w:keepNext/>
        <w:keepLines/>
        <w:widowControl w:val="0"/>
        <w:shd w:val="clear" w:color="auto" w:fill="auto"/>
        <w:bidi w:val="0"/>
        <w:spacing w:before="0" w:after="180" w:line="240" w:lineRule="auto"/>
        <w:ind w:left="0" w:right="0" w:firstLine="0"/>
        <w:jc w:val="left"/>
      </w:pPr>
      <w:bookmarkStart w:id="248" w:name="bookmark248"/>
      <w:bookmarkStart w:id="249" w:name="bookmark249"/>
      <w:bookmarkStart w:id="250" w:name="bookmark250"/>
      <w:r>
        <w:rPr>
          <w:color w:val="000000"/>
          <w:spacing w:val="0"/>
          <w:w w:val="100"/>
          <w:position w:val="0"/>
          <w:sz w:val="24"/>
          <w:szCs w:val="24"/>
        </w:rPr>
        <w:t>十一、公司未来发展的展望</w:t>
      </w:r>
      <w:bookmarkEnd w:id="248"/>
      <w:bookmarkEnd w:id="249"/>
      <w:bookmarkEnd w:id="250"/>
    </w:p>
    <w:p>
      <w:pPr>
        <w:pStyle w:val="Style12"/>
        <w:keepNext w:val="0"/>
        <w:keepLines w:val="0"/>
        <w:widowControl w:val="0"/>
        <w:shd w:val="clear" w:color="auto" w:fill="auto"/>
        <w:bidi w:val="0"/>
        <w:spacing w:before="0" w:after="0" w:line="414" w:lineRule="exact"/>
        <w:ind w:left="0" w:right="0" w:firstLine="0"/>
        <w:jc w:val="left"/>
      </w:pPr>
      <w:bookmarkStart w:id="251" w:name="bookmark251"/>
      <w:r>
        <w:rPr>
          <w:b/>
          <w:bCs/>
          <w:color w:val="000000"/>
          <w:spacing w:val="0"/>
          <w:w w:val="100"/>
          <w:position w:val="0"/>
        </w:rPr>
        <w:t>（</w:t>
      </w:r>
      <w:bookmarkEnd w:id="251"/>
      <w:r>
        <w:rPr>
          <w:b/>
          <w:bCs/>
          <w:color w:val="000000"/>
          <w:spacing w:val="0"/>
          <w:w w:val="100"/>
          <w:position w:val="0"/>
        </w:rPr>
        <w:t>一）公司发展战略</w:t>
      </w:r>
    </w:p>
    <w:p>
      <w:pPr>
        <w:pStyle w:val="Style12"/>
        <w:keepNext w:val="0"/>
        <w:keepLines w:val="0"/>
        <w:widowControl w:val="0"/>
        <w:shd w:val="clear" w:color="auto" w:fill="auto"/>
        <w:bidi w:val="0"/>
        <w:spacing w:before="0" w:after="0" w:line="414" w:lineRule="exact"/>
        <w:ind w:left="0" w:right="0" w:firstLine="440"/>
        <w:jc w:val="both"/>
      </w:pPr>
      <w:r>
        <w:rPr>
          <w:color w:val="000000"/>
          <w:spacing w:val="0"/>
          <w:w w:val="100"/>
          <w:position w:val="0"/>
        </w:rPr>
        <w:t>公司将</w:t>
      </w:r>
      <w:r>
        <w:rPr>
          <w:rFonts w:ascii="Times New Roman" w:eastAsia="Times New Roman" w:hAnsi="Times New Roman" w:cs="Times New Roman"/>
          <w:color w:val="000000"/>
          <w:spacing w:val="0"/>
          <w:w w:val="100"/>
          <w:position w:val="0"/>
        </w:rPr>
        <w:t>“</w:t>
      </w:r>
      <w:r>
        <w:rPr>
          <w:color w:val="000000"/>
          <w:spacing w:val="0"/>
          <w:w w:val="100"/>
          <w:position w:val="0"/>
        </w:rPr>
        <w:t>软件定义世界的赋能者</w:t>
      </w:r>
      <w:r>
        <w:rPr>
          <w:rFonts w:ascii="Times New Roman" w:eastAsia="Times New Roman" w:hAnsi="Times New Roman" w:cs="Times New Roman"/>
          <w:color w:val="000000"/>
          <w:spacing w:val="0"/>
          <w:w w:val="100"/>
          <w:position w:val="0"/>
        </w:rPr>
        <w:t>”</w:t>
      </w:r>
      <w:r>
        <w:rPr>
          <w:color w:val="000000"/>
          <w:spacing w:val="0"/>
          <w:w w:val="100"/>
          <w:position w:val="0"/>
        </w:rPr>
        <w:t>作为企业使命，以</w:t>
      </w:r>
      <w:r>
        <w:rPr>
          <w:rFonts w:ascii="Times New Roman" w:eastAsia="Times New Roman" w:hAnsi="Times New Roman" w:cs="Times New Roman"/>
          <w:color w:val="000000"/>
          <w:spacing w:val="0"/>
          <w:w w:val="100"/>
          <w:position w:val="0"/>
        </w:rPr>
        <w:t>“</w:t>
      </w:r>
      <w:r>
        <w:rPr>
          <w:color w:val="000000"/>
          <w:spacing w:val="0"/>
          <w:w w:val="100"/>
          <w:position w:val="0"/>
        </w:rPr>
        <w:t>成为国际领先的</w:t>
      </w:r>
      <w:r>
        <w:rPr>
          <w:rFonts w:ascii="Times New Roman" w:eastAsia="Times New Roman" w:hAnsi="Times New Roman" w:cs="Times New Roman"/>
          <w:color w:val="000000"/>
          <w:spacing w:val="0"/>
          <w:w w:val="100"/>
          <w:position w:val="0"/>
        </w:rPr>
        <w:t>IT</w:t>
      </w:r>
      <w:r>
        <w:rPr>
          <w:color w:val="000000"/>
          <w:spacing w:val="0"/>
          <w:w w:val="100"/>
          <w:position w:val="0"/>
        </w:rPr>
        <w:t>综合服务商</w:t>
      </w:r>
      <w:r>
        <w:rPr>
          <w:rFonts w:ascii="Times New Roman" w:eastAsia="Times New Roman" w:hAnsi="Times New Roman" w:cs="Times New Roman"/>
          <w:color w:val="000000"/>
          <w:spacing w:val="0"/>
          <w:w w:val="100"/>
          <w:position w:val="0"/>
        </w:rPr>
        <w:t>”</w:t>
      </w:r>
      <w:r>
        <w:rPr>
          <w:color w:val="000000"/>
          <w:spacing w:val="0"/>
          <w:w w:val="100"/>
          <w:position w:val="0"/>
        </w:rPr>
        <w:t>为愿景，致力为国 内外客户提供先进的数字化技术产品和解决方案服务，用创新的数字技术与客户一起改变世界。</w:t>
      </w:r>
    </w:p>
    <w:p>
      <w:pPr>
        <w:pStyle w:val="Style12"/>
        <w:keepNext w:val="0"/>
        <w:keepLines w:val="0"/>
        <w:widowControl w:val="0"/>
        <w:shd w:val="clear" w:color="auto" w:fill="auto"/>
        <w:bidi w:val="0"/>
        <w:spacing w:before="0" w:after="0" w:line="414" w:lineRule="exact"/>
        <w:ind w:left="0" w:right="0" w:firstLine="440"/>
        <w:jc w:val="left"/>
      </w:pPr>
      <w:bookmarkStart w:id="252" w:name="bookmark252"/>
      <w:r>
        <w:rPr>
          <w:rFonts w:ascii="Times New Roman" w:eastAsia="Times New Roman" w:hAnsi="Times New Roman" w:cs="Times New Roman"/>
          <w:color w:val="000000"/>
          <w:spacing w:val="0"/>
          <w:w w:val="100"/>
          <w:position w:val="0"/>
        </w:rPr>
        <w:t>1</w:t>
      </w:r>
      <w:bookmarkEnd w:id="252"/>
      <w:r>
        <w:rPr>
          <w:color w:val="000000"/>
          <w:spacing w:val="0"/>
          <w:w w:val="100"/>
          <w:position w:val="0"/>
        </w:rPr>
        <w:t>、持续扩大业务规模，优化业务结构，探索业务创新</w:t>
      </w:r>
    </w:p>
    <w:p>
      <w:pPr>
        <w:pStyle w:val="Style12"/>
        <w:keepNext w:val="0"/>
        <w:keepLines w:val="0"/>
        <w:widowControl w:val="0"/>
        <w:shd w:val="clear" w:color="auto" w:fill="auto"/>
        <w:bidi w:val="0"/>
        <w:spacing w:before="0" w:after="300" w:line="414" w:lineRule="exact"/>
        <w:ind w:left="0" w:right="0" w:firstLine="440"/>
        <w:jc w:val="both"/>
      </w:pPr>
      <w:r>
        <w:rPr>
          <w:color w:val="000000"/>
          <w:spacing w:val="0"/>
          <w:w w:val="100"/>
          <w:position w:val="0"/>
        </w:rPr>
        <w:t>公司继续坚持做大软件技术服务业务、加快提升金融、互联网、通信等优势行业市场份额。通过优化 业务结构支撑公司经营业绩高增长和市场竞争的优势，不断加强在数字化解决方案、数字化咨询服务、数 字化创新产品等成长性业务布局，持续探索信创、云计算、物联网、人工智能、智能汽车等前沿科技领域， 识别并抓住机会打造公司第三增长曲线业务。</w:t>
      </w:r>
    </w:p>
    <w:p>
      <w:pPr>
        <w:pStyle w:val="Style12"/>
        <w:keepNext w:val="0"/>
        <w:keepLines w:val="0"/>
        <w:widowControl w:val="0"/>
        <w:shd w:val="clear" w:color="auto" w:fill="auto"/>
        <w:tabs>
          <w:tab w:pos="801" w:val="left"/>
        </w:tabs>
        <w:bidi w:val="0"/>
        <w:spacing w:before="0" w:after="0" w:line="410" w:lineRule="exact"/>
        <w:ind w:left="0" w:right="0" w:firstLine="440"/>
        <w:jc w:val="both"/>
      </w:pPr>
      <w:bookmarkStart w:id="253" w:name="bookmark253"/>
      <w:r>
        <w:rPr>
          <w:rFonts w:ascii="Times New Roman" w:eastAsia="Times New Roman" w:hAnsi="Times New Roman" w:cs="Times New Roman"/>
          <w:color w:val="000000"/>
          <w:spacing w:val="0"/>
          <w:w w:val="100"/>
          <w:position w:val="0"/>
        </w:rPr>
        <w:t>2</w:t>
      </w:r>
      <w:bookmarkEnd w:id="253"/>
      <w:r>
        <w:rPr>
          <w:color w:val="000000"/>
          <w:spacing w:val="0"/>
          <w:w w:val="100"/>
          <w:position w:val="0"/>
        </w:rPr>
        <w:t>、</w:t>
        <w:tab/>
        <w:t>聚焦价值领域，深耕重点客户</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公司聚焦大空间、高增长的行业领域进行市场拓展，如：互联网、金融、高科技等。识别头部客户与 具备成长潜力的山头客户，压强资源投入进行深耕，建立更稳固的战略合作关系。</w:t>
      </w:r>
    </w:p>
    <w:p>
      <w:pPr>
        <w:pStyle w:val="Style12"/>
        <w:keepNext w:val="0"/>
        <w:keepLines w:val="0"/>
        <w:widowControl w:val="0"/>
        <w:shd w:val="clear" w:color="auto" w:fill="auto"/>
        <w:tabs>
          <w:tab w:pos="801" w:val="left"/>
        </w:tabs>
        <w:bidi w:val="0"/>
        <w:spacing w:before="0" w:after="0" w:line="410" w:lineRule="exact"/>
        <w:ind w:left="0" w:right="0" w:firstLine="440"/>
        <w:jc w:val="both"/>
      </w:pPr>
      <w:bookmarkStart w:id="254" w:name="bookmark254"/>
      <w:r>
        <w:rPr>
          <w:rFonts w:ascii="Times New Roman" w:eastAsia="Times New Roman" w:hAnsi="Times New Roman" w:cs="Times New Roman"/>
          <w:color w:val="000000"/>
          <w:spacing w:val="0"/>
          <w:w w:val="100"/>
          <w:position w:val="0"/>
        </w:rPr>
        <w:t>3</w:t>
      </w:r>
      <w:bookmarkEnd w:id="254"/>
      <w:r>
        <w:rPr>
          <w:color w:val="000000"/>
          <w:spacing w:val="0"/>
          <w:w w:val="100"/>
          <w:position w:val="0"/>
        </w:rPr>
        <w:t>、</w:t>
        <w:tab/>
        <w:t>大力发展产品及解决方案业务</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公司基于现有业务模式，继续在产品及解决方案业务上加大投入。借助现有金融、互联网、通信等行 业领域服务经验，逐步扩大具有核心竞争力的产品及解决方案业务，支撑公司经营业绩的高增长和市场竞 争优势。</w:t>
      </w:r>
    </w:p>
    <w:p>
      <w:pPr>
        <w:pStyle w:val="Style12"/>
        <w:keepNext w:val="0"/>
        <w:keepLines w:val="0"/>
        <w:widowControl w:val="0"/>
        <w:shd w:val="clear" w:color="auto" w:fill="auto"/>
        <w:tabs>
          <w:tab w:pos="582" w:val="left"/>
        </w:tabs>
        <w:bidi w:val="0"/>
        <w:spacing w:before="0" w:after="0" w:line="410" w:lineRule="exact"/>
        <w:ind w:left="0" w:right="0" w:firstLine="0"/>
        <w:jc w:val="left"/>
      </w:pPr>
      <w:bookmarkStart w:id="255" w:name="bookmark255"/>
      <w:r>
        <w:rPr>
          <w:b/>
          <w:bCs/>
          <w:color w:val="000000"/>
          <w:spacing w:val="0"/>
          <w:w w:val="100"/>
          <w:position w:val="0"/>
        </w:rPr>
        <w:t>（</w:t>
      </w:r>
      <w:bookmarkEnd w:id="255"/>
      <w:r>
        <w:rPr>
          <w:b/>
          <w:bCs/>
          <w:color w:val="000000"/>
          <w:spacing w:val="0"/>
          <w:w w:val="100"/>
          <w:position w:val="0"/>
        </w:rPr>
        <w:t>二）</w:t>
        <w:tab/>
        <w:t>年度经营计划</w:t>
      </w:r>
    </w:p>
    <w:p>
      <w:pPr>
        <w:pStyle w:val="Style12"/>
        <w:keepNext w:val="0"/>
        <w:keepLines w:val="0"/>
        <w:widowControl w:val="0"/>
        <w:shd w:val="clear" w:color="auto" w:fill="auto"/>
        <w:tabs>
          <w:tab w:pos="774" w:val="left"/>
        </w:tabs>
        <w:bidi w:val="0"/>
        <w:spacing w:before="0" w:after="0" w:line="410" w:lineRule="exact"/>
        <w:ind w:left="0" w:right="0" w:firstLine="440"/>
        <w:jc w:val="both"/>
      </w:pPr>
      <w:bookmarkStart w:id="256" w:name="bookmark256"/>
      <w:r>
        <w:rPr>
          <w:rFonts w:ascii="Times New Roman" w:eastAsia="Times New Roman" w:hAnsi="Times New Roman" w:cs="Times New Roman"/>
          <w:color w:val="000000"/>
          <w:spacing w:val="0"/>
          <w:w w:val="100"/>
          <w:position w:val="0"/>
        </w:rPr>
        <w:t>1</w:t>
      </w:r>
      <w:bookmarkEnd w:id="256"/>
      <w:r>
        <w:rPr>
          <w:color w:val="000000"/>
          <w:spacing w:val="0"/>
          <w:w w:val="100"/>
          <w:position w:val="0"/>
        </w:rPr>
        <w:t>、</w:t>
        <w:tab/>
        <w:t>围绕重点行业、重点客户积极布局。在行业维度，公司着力拓展银行、保险、通信、汽车领域客户， 提高细分市场竞争力，构筑行业影响力。在客户维度，紧抓行业头部客户，夯实公司底盘，深化战略合作； 同时要识别新兴独角兽企业，充分利用自身丰富的服务经验和专业能力提前布局，成就未来增长。</w:t>
      </w:r>
    </w:p>
    <w:p>
      <w:pPr>
        <w:pStyle w:val="Style12"/>
        <w:keepNext w:val="0"/>
        <w:keepLines w:val="0"/>
        <w:widowControl w:val="0"/>
        <w:shd w:val="clear" w:color="auto" w:fill="auto"/>
        <w:tabs>
          <w:tab w:pos="774" w:val="left"/>
        </w:tabs>
        <w:bidi w:val="0"/>
        <w:spacing w:before="0" w:after="0" w:line="410" w:lineRule="exact"/>
        <w:ind w:left="0" w:right="0" w:firstLine="440"/>
        <w:jc w:val="both"/>
      </w:pPr>
      <w:bookmarkStart w:id="257" w:name="bookmark257"/>
      <w:r>
        <w:rPr>
          <w:rFonts w:ascii="Times New Roman" w:eastAsia="Times New Roman" w:hAnsi="Times New Roman" w:cs="Times New Roman"/>
          <w:color w:val="000000"/>
          <w:spacing w:val="0"/>
          <w:w w:val="100"/>
          <w:position w:val="0"/>
        </w:rPr>
        <w:t>2</w:t>
      </w:r>
      <w:bookmarkEnd w:id="257"/>
      <w:r>
        <w:rPr>
          <w:color w:val="000000"/>
          <w:spacing w:val="0"/>
          <w:w w:val="100"/>
          <w:position w:val="0"/>
        </w:rPr>
        <w:t>、</w:t>
        <w:tab/>
        <w:t>加强客户管理与竞争管理。公司将加强重点客户深耕，推动与价值客户的战略合作以及各层级客户 关系建设，提升行业竞争力。不断加强对宏观环境、行业、市场、客户层面的洞察，敏锐而有效地对市场 需求变化做出反应。</w:t>
      </w:r>
    </w:p>
    <w:p>
      <w:pPr>
        <w:pStyle w:val="Style12"/>
        <w:keepNext w:val="0"/>
        <w:keepLines w:val="0"/>
        <w:widowControl w:val="0"/>
        <w:shd w:val="clear" w:color="auto" w:fill="auto"/>
        <w:tabs>
          <w:tab w:pos="801" w:val="left"/>
        </w:tabs>
        <w:bidi w:val="0"/>
        <w:spacing w:before="0" w:after="0" w:line="410" w:lineRule="exact"/>
        <w:ind w:left="0" w:right="0" w:firstLine="440"/>
        <w:jc w:val="both"/>
      </w:pPr>
      <w:bookmarkStart w:id="258" w:name="bookmark258"/>
      <w:r>
        <w:rPr>
          <w:rFonts w:ascii="Times New Roman" w:eastAsia="Times New Roman" w:hAnsi="Times New Roman" w:cs="Times New Roman"/>
          <w:color w:val="000000"/>
          <w:spacing w:val="0"/>
          <w:w w:val="100"/>
          <w:position w:val="0"/>
        </w:rPr>
        <w:t>3</w:t>
      </w:r>
      <w:bookmarkEnd w:id="258"/>
      <w:r>
        <w:rPr>
          <w:color w:val="000000"/>
          <w:spacing w:val="0"/>
          <w:w w:val="100"/>
          <w:position w:val="0"/>
        </w:rPr>
        <w:t>、</w:t>
        <w:tab/>
        <w:t>做实做大数字化创新产品及解决方案业务。</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公司积极在数字化创新解决方案业务进行能力构筑和市场拓展，在夯实基础软件工程技术体系的同时， 公司不断向数字化平台、技术和解决方案领域深度拓展，持续在大数据处理</w:t>
      </w:r>
      <w:r>
        <w:rPr>
          <w:color w:val="000000"/>
          <w:spacing w:val="0"/>
          <w:w w:val="100"/>
          <w:position w:val="0"/>
        </w:rPr>
        <w:t>（</w:t>
      </w:r>
      <w:r>
        <w:rPr>
          <w:rFonts w:ascii="Times New Roman" w:eastAsia="Times New Roman" w:hAnsi="Times New Roman" w:cs="Times New Roman"/>
          <w:color w:val="000000"/>
          <w:spacing w:val="0"/>
          <w:w w:val="100"/>
          <w:position w:val="0"/>
        </w:rPr>
        <w:t>FarData</w:t>
      </w:r>
      <w:r>
        <w:rPr>
          <w:color w:val="000000"/>
          <w:spacing w:val="0"/>
          <w:w w:val="100"/>
          <w:position w:val="0"/>
        </w:rPr>
        <w:t>）</w:t>
      </w:r>
      <w:r>
        <w:rPr>
          <w:color w:val="000000"/>
          <w:spacing w:val="0"/>
          <w:w w:val="100"/>
          <w:position w:val="0"/>
        </w:rPr>
        <w:t>、人工智能</w:t>
      </w:r>
      <w:r>
        <w:rPr>
          <w:color w:val="000000"/>
          <w:spacing w:val="0"/>
          <w:w w:val="100"/>
          <w:position w:val="0"/>
        </w:rPr>
        <w:t>（</w:t>
      </w:r>
      <w:r>
        <w:rPr>
          <w:rFonts w:ascii="Times New Roman" w:eastAsia="Times New Roman" w:hAnsi="Times New Roman" w:cs="Times New Roman"/>
          <w:color w:val="000000"/>
          <w:spacing w:val="0"/>
          <w:w w:val="100"/>
          <w:position w:val="0"/>
        </w:rPr>
        <w:t>FarAI</w:t>
      </w:r>
      <w:r>
        <w:rPr>
          <w:color w:val="000000"/>
          <w:spacing w:val="0"/>
          <w:w w:val="100"/>
          <w:position w:val="0"/>
        </w:rPr>
        <w:t>）</w:t>
      </w:r>
      <w:r>
        <w:rPr>
          <w:color w:val="000000"/>
          <w:spacing w:val="0"/>
          <w:w w:val="100"/>
          <w:position w:val="0"/>
        </w:rPr>
        <w:t>、 流程自动化和信息安全等技术领域加大投入，为企业快速发展提供有力支撑。</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在大数据业务方面，持续加大数据基础研发能力构建，夯实迭代全栈式的数据服务能力，为行业客户 提供更高价值；在云业务方面，有力依托于现有客户中的云厂商，积极构建公司在云咨询、云管理、云服 务、云相关产品及解决方案的能力，并且积极参与到厂商的云生态链中，与云厂商共同发展，同时在现有 存量客户中持续推行自身的云相关服务；在智慧汽车方面，瞄准万亿级智能汽车赛道，依托现有汽车主机 厂及车联网客户，加速行业资源整合，优化服务模式，创新推进智慧汽车一站式服务。</w:t>
      </w:r>
    </w:p>
    <w:p>
      <w:pPr>
        <w:pStyle w:val="Style12"/>
        <w:keepNext w:val="0"/>
        <w:keepLines w:val="0"/>
        <w:widowControl w:val="0"/>
        <w:shd w:val="clear" w:color="auto" w:fill="auto"/>
        <w:tabs>
          <w:tab w:pos="774" w:val="left"/>
        </w:tabs>
        <w:bidi w:val="0"/>
        <w:spacing w:before="0" w:after="0" w:line="410" w:lineRule="exact"/>
        <w:ind w:left="0" w:right="0" w:firstLine="440"/>
        <w:jc w:val="both"/>
      </w:pPr>
      <w:bookmarkStart w:id="259" w:name="bookmark259"/>
      <w:r>
        <w:rPr>
          <w:rFonts w:ascii="Times New Roman" w:eastAsia="Times New Roman" w:hAnsi="Times New Roman" w:cs="Times New Roman"/>
          <w:color w:val="000000"/>
          <w:spacing w:val="0"/>
          <w:w w:val="100"/>
          <w:position w:val="0"/>
        </w:rPr>
        <w:t>4</w:t>
      </w:r>
      <w:bookmarkEnd w:id="259"/>
      <w:r>
        <w:rPr>
          <w:color w:val="000000"/>
          <w:spacing w:val="0"/>
          <w:w w:val="100"/>
          <w:position w:val="0"/>
        </w:rPr>
        <w:t>、</w:t>
        <w:tab/>
        <w:t>加速对创新产品和技术领域的探索。公司在夯实基础软件工程技术体系的同时，持续在实时大数据 处理</w:t>
      </w:r>
      <w:r>
        <w:rPr>
          <w:color w:val="000000"/>
          <w:spacing w:val="0"/>
          <w:w w:val="100"/>
          <w:position w:val="0"/>
        </w:rPr>
        <w:t>（</w:t>
      </w:r>
      <w:r>
        <w:rPr>
          <w:rFonts w:ascii="Times New Roman" w:eastAsia="Times New Roman" w:hAnsi="Times New Roman" w:cs="Times New Roman"/>
          <w:color w:val="000000"/>
          <w:spacing w:val="0"/>
          <w:w w:val="100"/>
          <w:position w:val="0"/>
        </w:rPr>
        <w:t>FarData</w:t>
      </w:r>
      <w:r>
        <w:rPr>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rPr>
        <w:t>FarAI</w:t>
      </w:r>
      <w:r>
        <w:rPr>
          <w:color w:val="000000"/>
          <w:spacing w:val="0"/>
          <w:w w:val="100"/>
          <w:position w:val="0"/>
        </w:rPr>
        <w:t>）</w:t>
      </w:r>
      <w:r>
        <w:rPr>
          <w:color w:val="000000"/>
          <w:spacing w:val="0"/>
          <w:w w:val="100"/>
          <w:position w:val="0"/>
        </w:rPr>
        <w:t>、流程自动化和信息安全等技术领域加大投入，并加速研发成果在解 决方案、技术服务中的落地应用。在信创、云、大数据、人工智能、智能企业、物联网领域积极洞察与商 机探索，构建公司技术护城河，支撑公司中长期业绩持续高速增长。</w:t>
      </w:r>
    </w:p>
    <w:p>
      <w:pPr>
        <w:pStyle w:val="Style12"/>
        <w:keepNext w:val="0"/>
        <w:keepLines w:val="0"/>
        <w:widowControl w:val="0"/>
        <w:shd w:val="clear" w:color="auto" w:fill="auto"/>
        <w:tabs>
          <w:tab w:pos="784" w:val="left"/>
        </w:tabs>
        <w:bidi w:val="0"/>
        <w:spacing w:before="0" w:after="0" w:line="410" w:lineRule="exact"/>
        <w:ind w:left="0" w:right="0" w:firstLine="440"/>
        <w:jc w:val="both"/>
      </w:pPr>
      <w:bookmarkStart w:id="260" w:name="bookmark260"/>
      <w:r>
        <w:rPr>
          <w:rFonts w:ascii="Times New Roman" w:eastAsia="Times New Roman" w:hAnsi="Times New Roman" w:cs="Times New Roman"/>
          <w:color w:val="000000"/>
          <w:spacing w:val="0"/>
          <w:w w:val="100"/>
          <w:position w:val="0"/>
        </w:rPr>
        <w:t>5</w:t>
      </w:r>
      <w:bookmarkEnd w:id="260"/>
      <w:r>
        <w:rPr>
          <w:color w:val="000000"/>
          <w:spacing w:val="0"/>
          <w:w w:val="100"/>
          <w:position w:val="0"/>
        </w:rPr>
        <w:t>、</w:t>
        <w:tab/>
        <w:t>加强组织优化、作战协同和人才机制优化。公司贯彻开跑道、布将军的经营策略，进一步优化顶层 设计，牵引关键能力提升，加强销售、解决方案、交付铁三角协同作战能力，提升平台管理能力，赋能一 线。通过内升外引双轮驱动，打造面向未来的坚实人才队伍，落实并深入细化现有公司培训体系，加强文 化价值观牵引。完善现有薪酬政策，结合多种激励方式，稳定壮大公司人才队伍。</w:t>
      </w:r>
    </w:p>
    <w:p>
      <w:pPr>
        <w:pStyle w:val="Style12"/>
        <w:keepNext w:val="0"/>
        <w:keepLines w:val="0"/>
        <w:widowControl w:val="0"/>
        <w:shd w:val="clear" w:color="auto" w:fill="auto"/>
        <w:tabs>
          <w:tab w:pos="582" w:val="left"/>
        </w:tabs>
        <w:bidi w:val="0"/>
        <w:spacing w:before="0" w:after="0" w:line="410" w:lineRule="exact"/>
        <w:ind w:left="0" w:right="0" w:firstLine="0"/>
        <w:jc w:val="left"/>
      </w:pPr>
      <w:bookmarkStart w:id="261" w:name="bookmark261"/>
      <w:r>
        <w:rPr>
          <w:b/>
          <w:bCs/>
          <w:color w:val="000000"/>
          <w:spacing w:val="0"/>
          <w:w w:val="100"/>
          <w:position w:val="0"/>
        </w:rPr>
        <w:t>（</w:t>
      </w:r>
      <w:bookmarkEnd w:id="261"/>
      <w:r>
        <w:rPr>
          <w:b/>
          <w:bCs/>
          <w:color w:val="000000"/>
          <w:spacing w:val="0"/>
          <w:w w:val="100"/>
          <w:position w:val="0"/>
        </w:rPr>
        <w:t>三）</w:t>
        <w:tab/>
        <w:t>可能遇到的风险及应对措施</w:t>
      </w:r>
    </w:p>
    <w:p>
      <w:pPr>
        <w:pStyle w:val="Style12"/>
        <w:keepNext w:val="0"/>
        <w:keepLines w:val="0"/>
        <w:widowControl w:val="0"/>
        <w:shd w:val="clear" w:color="auto" w:fill="auto"/>
        <w:bidi w:val="0"/>
        <w:spacing w:before="0" w:after="0" w:line="410" w:lineRule="exact"/>
        <w:ind w:left="0" w:right="0" w:firstLine="420"/>
        <w:jc w:val="left"/>
      </w:pPr>
      <w:bookmarkStart w:id="262" w:name="bookmark262"/>
      <w:r>
        <w:rPr>
          <w:rFonts w:ascii="Times New Roman" w:eastAsia="Times New Roman" w:hAnsi="Times New Roman" w:cs="Times New Roman"/>
          <w:color w:val="000000"/>
          <w:spacing w:val="0"/>
          <w:w w:val="100"/>
          <w:position w:val="0"/>
        </w:rPr>
        <w:t>1</w:t>
      </w:r>
      <w:bookmarkEnd w:id="262"/>
      <w:r>
        <w:rPr>
          <w:color w:val="000000"/>
          <w:spacing w:val="0"/>
          <w:w w:val="100"/>
          <w:position w:val="0"/>
        </w:rPr>
        <w:t>、人力成本上升风险</w:t>
      </w:r>
    </w:p>
    <w:p>
      <w:pPr>
        <w:pStyle w:val="Style1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 xml:space="preserve">作为一家软件技术服务企业，公司业务需要以大量信息技术与创新人才驱动，人力成本是公司的主要 </w:t>
      </w:r>
      <w:r>
        <w:rPr>
          <w:color w:val="000000"/>
          <w:spacing w:val="0"/>
          <w:w w:val="100"/>
          <w:position w:val="0"/>
        </w:rPr>
        <w:t>成本之一，且公司业务规模扩张导致公司人员规模逐年增长。随着经济的发展、城市生活成本的上升，员 工的工资和福利水平也在不断提升，导致公司人力成本持续增加。可能会给公司的盈利能力甚至持续经营 能力带来负面影响。</w:t>
      </w:r>
    </w:p>
    <w:p>
      <w:pPr>
        <w:pStyle w:val="Style12"/>
        <w:keepNext w:val="0"/>
        <w:keepLines w:val="0"/>
        <w:widowControl w:val="0"/>
        <w:shd w:val="clear" w:color="auto" w:fill="auto"/>
        <w:bidi w:val="0"/>
        <w:spacing w:before="0" w:after="140" w:line="409" w:lineRule="exact"/>
        <w:ind w:left="0" w:right="0" w:firstLine="420"/>
        <w:jc w:val="both"/>
      </w:pPr>
      <w:r>
        <w:rPr>
          <w:color w:val="000000"/>
          <w:spacing w:val="0"/>
          <w:w w:val="100"/>
          <w:position w:val="0"/>
        </w:rPr>
        <w:t>应对措施：公司一方面将从人才的选、用、育、留、管各环节持续完善人才机制，优化人才结构，加 强对人才考核与激励制度的优化与贯彻实施；另一方面，公司将不断强化组织的协同作战能力并提升整体 作战效率，在做大做强业务的同时有效管控人力成本。</w:t>
      </w:r>
    </w:p>
    <w:p>
      <w:pPr>
        <w:pStyle w:val="Style12"/>
        <w:keepNext w:val="0"/>
        <w:keepLines w:val="0"/>
        <w:widowControl w:val="0"/>
        <w:shd w:val="clear" w:color="auto" w:fill="auto"/>
        <w:tabs>
          <w:tab w:pos="706" w:val="left"/>
        </w:tabs>
        <w:bidi w:val="0"/>
        <w:spacing w:before="0" w:after="0" w:line="427" w:lineRule="auto"/>
        <w:ind w:left="0" w:right="0" w:firstLine="360"/>
        <w:jc w:val="left"/>
      </w:pPr>
      <w:bookmarkStart w:id="263" w:name="bookmark263"/>
      <w:r>
        <w:rPr>
          <w:rFonts w:ascii="Times New Roman" w:eastAsia="Times New Roman" w:hAnsi="Times New Roman" w:cs="Times New Roman"/>
          <w:color w:val="000000"/>
          <w:spacing w:val="0"/>
          <w:w w:val="100"/>
          <w:position w:val="0"/>
        </w:rPr>
        <w:t>2</w:t>
      </w:r>
      <w:bookmarkEnd w:id="263"/>
      <w:r>
        <w:rPr>
          <w:color w:val="000000"/>
          <w:spacing w:val="0"/>
          <w:w w:val="100"/>
          <w:position w:val="0"/>
        </w:rPr>
        <w:t>、</w:t>
        <w:tab/>
        <w:t>技术创新风险</w:t>
      </w:r>
    </w:p>
    <w:p>
      <w:pPr>
        <w:pStyle w:val="Style1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作为一家致力为国内外客户提供先进的数字化技术产品和解决方案服务的公司，所处行业属于知识密 集型行业，相关的新技术、新应用更新迭代快，客户对数字化升级转型需求非常迫切。企业必须紧跟行业 新技术的发展步伐，不断加强技术储备与升级迭代，及时将先进的技术转化为服务客户的解决方案，才能 够满足不断变化的竞争环境和市场需求。如果公司不能准确地把握行业技术的发展趋势、不能及时更新技 术以适应市场变化，研发投入无法获得预期的市场回报，将对公司的经营和盈利能力造成不利影响。</w:t>
      </w:r>
    </w:p>
    <w:p>
      <w:pPr>
        <w:pStyle w:val="Style12"/>
        <w:keepNext w:val="0"/>
        <w:keepLines w:val="0"/>
        <w:widowControl w:val="0"/>
        <w:shd w:val="clear" w:color="auto" w:fill="auto"/>
        <w:bidi w:val="0"/>
        <w:spacing w:before="0" w:after="140" w:line="409" w:lineRule="exact"/>
        <w:ind w:left="0" w:right="0" w:firstLine="420"/>
        <w:jc w:val="both"/>
      </w:pPr>
      <w:r>
        <w:rPr>
          <w:color w:val="000000"/>
          <w:spacing w:val="0"/>
          <w:w w:val="100"/>
          <w:position w:val="0"/>
        </w:rPr>
        <w:t>应对措施：公司一直重视技术沉淀与创新，高度关注下游技术变革，在夯实基础软件工程技术体系的 同时，持续在大数据处理、人工智能、流程自动化和信息安全等数字化转型相关技术进行研发投入，并积 极布局信创、云计算、物联网和智能汽车等前沿科技领域，使公司的的市场竞争力进一步提升。</w:t>
      </w:r>
    </w:p>
    <w:p>
      <w:pPr>
        <w:pStyle w:val="Style12"/>
        <w:keepNext w:val="0"/>
        <w:keepLines w:val="0"/>
        <w:widowControl w:val="0"/>
        <w:shd w:val="clear" w:color="auto" w:fill="auto"/>
        <w:tabs>
          <w:tab w:pos="706" w:val="left"/>
        </w:tabs>
        <w:bidi w:val="0"/>
        <w:spacing w:before="0" w:after="0" w:line="427" w:lineRule="auto"/>
        <w:ind w:left="0" w:right="0" w:firstLine="360"/>
        <w:jc w:val="left"/>
      </w:pPr>
      <w:bookmarkStart w:id="264" w:name="bookmark264"/>
      <w:r>
        <w:rPr>
          <w:rFonts w:ascii="Times New Roman" w:eastAsia="Times New Roman" w:hAnsi="Times New Roman" w:cs="Times New Roman"/>
          <w:color w:val="000000"/>
          <w:spacing w:val="0"/>
          <w:w w:val="100"/>
          <w:position w:val="0"/>
        </w:rPr>
        <w:t>3</w:t>
      </w:r>
      <w:bookmarkEnd w:id="264"/>
      <w:r>
        <w:rPr>
          <w:color w:val="000000"/>
          <w:spacing w:val="0"/>
          <w:w w:val="100"/>
          <w:position w:val="0"/>
        </w:rPr>
        <w:t>、</w:t>
        <w:tab/>
        <w:t>应收账款发生坏账风险</w:t>
      </w:r>
    </w:p>
    <w:p>
      <w:pPr>
        <w:pStyle w:val="Style1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报告期末，公司应收账款金额</w:t>
      </w:r>
      <w:r>
        <w:rPr>
          <w:rFonts w:ascii="Times New Roman" w:eastAsia="Times New Roman" w:hAnsi="Times New Roman" w:cs="Times New Roman"/>
          <w:color w:val="000000"/>
          <w:spacing w:val="0"/>
          <w:w w:val="100"/>
          <w:position w:val="0"/>
        </w:rPr>
        <w:t>91,668.91</w:t>
      </w:r>
      <w:r>
        <w:rPr>
          <w:color w:val="000000"/>
          <w:spacing w:val="0"/>
          <w:w w:val="100"/>
          <w:position w:val="0"/>
        </w:rPr>
        <w:t>万元，占资产总额</w:t>
      </w:r>
      <w:r>
        <w:rPr>
          <w:rFonts w:ascii="Times New Roman" w:eastAsia="Times New Roman" w:hAnsi="Times New Roman" w:cs="Times New Roman"/>
          <w:color w:val="000000"/>
          <w:spacing w:val="0"/>
          <w:w w:val="100"/>
          <w:position w:val="0"/>
        </w:rPr>
        <w:t>50.67%</w:t>
      </w:r>
      <w:r>
        <w:rPr>
          <w:color w:val="000000"/>
          <w:spacing w:val="0"/>
          <w:w w:val="100"/>
          <w:position w:val="0"/>
        </w:rPr>
        <w:t>。应收账款已按照坏账准备计提政策 提取了坏账准备，如果未来经济形势发生变化或其他原因导致应收账款不能及时回收将引发应收账款坏账 风险。</w:t>
      </w:r>
    </w:p>
    <w:p>
      <w:pPr>
        <w:pStyle w:val="Style12"/>
        <w:keepNext w:val="0"/>
        <w:keepLines w:val="0"/>
        <w:widowControl w:val="0"/>
        <w:shd w:val="clear" w:color="auto" w:fill="auto"/>
        <w:bidi w:val="0"/>
        <w:spacing w:before="0" w:after="140" w:line="409" w:lineRule="exact"/>
        <w:ind w:left="0" w:right="0" w:firstLine="420"/>
        <w:jc w:val="both"/>
      </w:pPr>
      <w:r>
        <w:rPr>
          <w:color w:val="000000"/>
          <w:spacing w:val="0"/>
          <w:w w:val="100"/>
          <w:position w:val="0"/>
        </w:rPr>
        <w:t>应对措施：公司客户主要是金融、互联网、软件、通信等大型集团或领先企业，客户信用良好，同时公 司制定相关制度并建立流程管控措施，提高新客户准入标准及应收账款回款力度，保证应收账款及时回收。</w:t>
      </w:r>
    </w:p>
    <w:p>
      <w:pPr>
        <w:pStyle w:val="Style12"/>
        <w:keepNext w:val="0"/>
        <w:keepLines w:val="0"/>
        <w:widowControl w:val="0"/>
        <w:shd w:val="clear" w:color="auto" w:fill="auto"/>
        <w:tabs>
          <w:tab w:pos="706" w:val="left"/>
        </w:tabs>
        <w:bidi w:val="0"/>
        <w:spacing w:before="0" w:after="0" w:line="427" w:lineRule="auto"/>
        <w:ind w:left="0" w:right="0" w:firstLine="360"/>
        <w:jc w:val="left"/>
      </w:pPr>
      <w:bookmarkStart w:id="265" w:name="bookmark265"/>
      <w:r>
        <w:rPr>
          <w:rFonts w:ascii="Times New Roman" w:eastAsia="Times New Roman" w:hAnsi="Times New Roman" w:cs="Times New Roman"/>
          <w:color w:val="000000"/>
          <w:spacing w:val="0"/>
          <w:w w:val="100"/>
          <w:position w:val="0"/>
        </w:rPr>
        <w:t>4</w:t>
      </w:r>
      <w:bookmarkEnd w:id="265"/>
      <w:r>
        <w:rPr>
          <w:color w:val="000000"/>
          <w:spacing w:val="0"/>
          <w:w w:val="100"/>
          <w:position w:val="0"/>
        </w:rPr>
        <w:t>、</w:t>
        <w:tab/>
        <w:t>关键人才流失风险</w:t>
      </w:r>
    </w:p>
    <w:p>
      <w:pPr>
        <w:pStyle w:val="Style1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公司所在行业为人才驱动型行业，行业存在人员流动性较强、知识技能更新迭代快的特征，对人才的 综合素质、专业技能有较高要求。公司处于业务快速扩张、研发与创新重点加强、向新兴领域加速布局的 关键时期，若发生关键岗位人才、核心技术人才、高端人才大量流失和频繁变动，将对公司的项目交付、 技术研发、业务拓展、管理经营带来负面影响，阻碍公司发展目标达成。</w:t>
      </w:r>
    </w:p>
    <w:p>
      <w:pPr>
        <w:pStyle w:val="Style12"/>
        <w:keepNext w:val="0"/>
        <w:keepLines w:val="0"/>
        <w:widowControl w:val="0"/>
        <w:shd w:val="clear" w:color="auto" w:fill="auto"/>
        <w:bidi w:val="0"/>
        <w:spacing w:before="0" w:after="140" w:line="409" w:lineRule="exact"/>
        <w:ind w:left="0" w:right="0" w:firstLine="420"/>
        <w:jc w:val="both"/>
      </w:pPr>
      <w:r>
        <w:rPr>
          <w:color w:val="000000"/>
          <w:spacing w:val="0"/>
          <w:w w:val="100"/>
          <w:position w:val="0"/>
        </w:rPr>
        <w:t>应对措施：公司将以内升外引双轮驱动，加强关键岗位的人才识别引入和内部人才培养，不断优化价 值分配机制与团队激励机制，打造坚实的人才队伍。同时，通过加强企业文化、品牌和领导力建设，增强 员工对公司的认同感和组织凝聚力。</w:t>
      </w:r>
    </w:p>
    <w:p>
      <w:pPr>
        <w:pStyle w:val="Style12"/>
        <w:keepNext w:val="0"/>
        <w:keepLines w:val="0"/>
        <w:widowControl w:val="0"/>
        <w:shd w:val="clear" w:color="auto" w:fill="auto"/>
        <w:tabs>
          <w:tab w:pos="706" w:val="left"/>
        </w:tabs>
        <w:bidi w:val="0"/>
        <w:spacing w:before="0" w:after="0" w:line="427" w:lineRule="auto"/>
        <w:ind w:left="0" w:right="0" w:firstLine="360"/>
        <w:jc w:val="left"/>
      </w:pPr>
      <w:bookmarkStart w:id="266" w:name="bookmark266"/>
      <w:r>
        <w:rPr>
          <w:rFonts w:ascii="Times New Roman" w:eastAsia="Times New Roman" w:hAnsi="Times New Roman" w:cs="Times New Roman"/>
          <w:color w:val="000000"/>
          <w:spacing w:val="0"/>
          <w:w w:val="100"/>
          <w:position w:val="0"/>
        </w:rPr>
        <w:t>5</w:t>
      </w:r>
      <w:bookmarkEnd w:id="266"/>
      <w:r>
        <w:rPr>
          <w:color w:val="000000"/>
          <w:spacing w:val="0"/>
          <w:w w:val="100"/>
          <w:position w:val="0"/>
        </w:rPr>
        <w:t>、</w:t>
        <w:tab/>
        <w:t>下游市场需求波动风险</w:t>
      </w:r>
    </w:p>
    <w:p>
      <w:pPr>
        <w:pStyle w:val="Style1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公司服务的下游市场覆盖金融、互联网、软件、通信、智能制造和公共服务等行业领域，各细分市场 受行业发展趋势和行业政策影响，若客户出现</w:t>
      </w:r>
      <w:r>
        <w:rPr>
          <w:rFonts w:ascii="Times New Roman" w:eastAsia="Times New Roman" w:hAnsi="Times New Roman" w:cs="Times New Roman"/>
          <w:color w:val="000000"/>
          <w:spacing w:val="0"/>
          <w:w w:val="100"/>
          <w:position w:val="0"/>
        </w:rPr>
        <w:t>IT</w:t>
      </w:r>
      <w:r>
        <w:rPr>
          <w:color w:val="000000"/>
          <w:spacing w:val="0"/>
          <w:w w:val="100"/>
          <w:position w:val="0"/>
        </w:rPr>
        <w:t>支出削减，或客户自身业务结构调整出现</w:t>
      </w:r>
      <w:r>
        <w:rPr>
          <w:rFonts w:ascii="Times New Roman" w:eastAsia="Times New Roman" w:hAnsi="Times New Roman" w:cs="Times New Roman"/>
          <w:color w:val="000000"/>
          <w:spacing w:val="0"/>
          <w:w w:val="100"/>
          <w:position w:val="0"/>
        </w:rPr>
        <w:t>IT</w:t>
      </w:r>
      <w:r>
        <w:rPr>
          <w:color w:val="000000"/>
          <w:spacing w:val="0"/>
          <w:w w:val="100"/>
          <w:position w:val="0"/>
        </w:rPr>
        <w:t>需求调整，将 对公司的业绩和盈利能力造成不利影响。</w:t>
      </w:r>
    </w:p>
    <w:p>
      <w:pPr>
        <w:pStyle w:val="Style12"/>
        <w:keepNext w:val="0"/>
        <w:keepLines w:val="0"/>
        <w:widowControl w:val="0"/>
        <w:shd w:val="clear" w:color="auto" w:fill="auto"/>
        <w:bidi w:val="0"/>
        <w:spacing w:before="0" w:after="460" w:line="409" w:lineRule="exact"/>
        <w:ind w:left="0" w:right="0" w:firstLine="360"/>
        <w:jc w:val="both"/>
      </w:pPr>
      <w:r>
        <w:rPr>
          <w:color w:val="000000"/>
          <w:spacing w:val="0"/>
          <w:w w:val="100"/>
          <w:position w:val="0"/>
        </w:rPr>
        <w:t>应对措施：公司将进一步加强对宏观环境、行业、市场、客户层面的洞察，对市场需求变化保持敏锐，</w:t>
        <w:br w:type="page"/>
      </w:r>
      <w:r>
        <w:rPr>
          <w:color w:val="000000"/>
          <w:spacing w:val="0"/>
          <w:w w:val="100"/>
          <w:position w:val="0"/>
        </w:rPr>
        <w:t>及时做出积极应对。同时，也将加强重点客户深耕，推动与价值客户的战略合作以及各层级客户关系建设， 提升行业竞争力，从而更有效抵御市场波动对公司带来的负面影响。</w:t>
      </w:r>
    </w:p>
    <w:p>
      <w:pPr>
        <w:pStyle w:val="Style31"/>
        <w:keepNext/>
        <w:keepLines/>
        <w:widowControl w:val="0"/>
        <w:shd w:val="clear" w:color="auto" w:fill="auto"/>
        <w:bidi w:val="0"/>
        <w:spacing w:before="0" w:after="320" w:line="240" w:lineRule="auto"/>
        <w:ind w:left="0" w:right="0" w:firstLine="0"/>
        <w:jc w:val="left"/>
      </w:pPr>
      <w:bookmarkStart w:id="267" w:name="bookmark267"/>
      <w:bookmarkStart w:id="268" w:name="bookmark268"/>
      <w:bookmarkStart w:id="269" w:name="bookmark269"/>
      <w:r>
        <w:rPr>
          <w:color w:val="000000"/>
          <w:spacing w:val="0"/>
          <w:w w:val="100"/>
          <w:position w:val="0"/>
          <w:sz w:val="24"/>
          <w:szCs w:val="24"/>
        </w:rPr>
        <w:t>十二、报告期内接待调研、沟通、采访等活动登记表</w:t>
      </w:r>
      <w:bookmarkEnd w:id="267"/>
      <w:bookmarkEnd w:id="268"/>
      <w:bookmarkEnd w:id="269"/>
    </w:p>
    <w:p>
      <w:pPr>
        <w:pStyle w:val="Style1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1133"/>
        <w:gridCol w:w="989"/>
        <w:gridCol w:w="854"/>
        <w:gridCol w:w="850"/>
        <w:gridCol w:w="1704"/>
        <w:gridCol w:w="3197"/>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接待方式</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接待对象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接待对象</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谈论的主要内容及提 供的资料</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调研的基本情况索引</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left"/>
              <w:rPr>
                <w:sz w:val="18"/>
                <w:szCs w:val="18"/>
              </w:rPr>
            </w:pPr>
            <w:r>
              <w:rPr>
                <w:color w:val="000000"/>
                <w:spacing w:val="0"/>
                <w:w w:val="100"/>
                <w:position w:val="0"/>
                <w:sz w:val="18"/>
                <w:szCs w:val="18"/>
              </w:rPr>
              <w:t>全景网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投资 者关系互动 平台,，</w:t>
            </w:r>
          </w:p>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w:t>
            </w:r>
            <w:r>
              <w:fldChar w:fldCharType="begin"/>
            </w:r>
            <w:r>
              <w:rPr/>
              <w:instrText> HYPERLINK "http://ir.p5w" </w:instrText>
            </w:r>
            <w:r>
              <w:fldChar w:fldCharType="separate"/>
            </w:r>
            <w:r>
              <w:rPr>
                <w:rFonts w:ascii="Times New Roman" w:eastAsia="Times New Roman" w:hAnsi="Times New Roman" w:cs="Times New Roman"/>
                <w:color w:val="000000"/>
                <w:spacing w:val="0"/>
                <w:w w:val="100"/>
                <w:position w:val="0"/>
                <w:sz w:val="18"/>
                <w:szCs w:val="18"/>
              </w:rPr>
              <w:t>http://ir.p5w</w:t>
            </w:r>
            <w:r>
              <w:fldChar w:fldCharType="end"/>
            </w:r>
            <w:r>
              <w:rPr>
                <w:rFonts w:ascii="Times New Roman" w:eastAsia="Times New Roman" w:hAnsi="Times New Roman" w:cs="Times New Roman"/>
                <w:color w:val="000000"/>
                <w:spacing w:val="0"/>
                <w:w w:val="100"/>
                <w:position w:val="0"/>
                <w:sz w:val="18"/>
                <w:szCs w:val="18"/>
              </w:rPr>
              <w:t xml:space="preserve"> .net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内容详见投资者活动 记录表，未提供资料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日在巨潮资 讯网(</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sz w:val="18"/>
                <w:szCs w:val="18"/>
              </w:rPr>
              <w:t>)刊载 的投资者关系活动记录表(</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sz w:val="18"/>
                <w:szCs w:val="18"/>
              </w:rPr>
              <w:t>)</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内容详见投资者活动 记录表，未提供资料</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日在巨潮资 讯网(</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sz w:val="18"/>
                <w:szCs w:val="18"/>
              </w:rPr>
              <w:t>)刊载 的投资者关系活动记录表(</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sz w:val="18"/>
                <w:szCs w:val="18"/>
              </w:rPr>
              <w:t>)</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深圳市福田 区中国凤凰 大厦一栋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内容详见投资者活动 记录表，未提供资料</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日在巨潮资 讯网(</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sz w:val="18"/>
                <w:szCs w:val="18"/>
              </w:rPr>
              <w:t>)刊载 的投资者关系活动记录表(</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sz w:val="18"/>
                <w:szCs w:val="18"/>
              </w:rPr>
              <w:t>)</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投资者</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内容详见投资者活动 记录表，未提供资料</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日在巨潮资 讯网(</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sz w:val="18"/>
                <w:szCs w:val="18"/>
              </w:rPr>
              <w:t>)刊载 的投资者关系活动记录表(</w:t>
            </w:r>
            <w:r>
              <w:rPr>
                <w:rFonts w:ascii="Times New Roman" w:eastAsia="Times New Roman" w:hAnsi="Times New Roman" w:cs="Times New Roman"/>
                <w:color w:val="000000"/>
                <w:spacing w:val="0"/>
                <w:w w:val="100"/>
                <w:position w:val="0"/>
                <w:sz w:val="18"/>
                <w:szCs w:val="18"/>
              </w:rPr>
              <w:t>2021-004</w:t>
            </w:r>
            <w:r>
              <w:rPr>
                <w:color w:val="000000"/>
                <w:spacing w:val="0"/>
                <w:w w:val="100"/>
                <w:position w:val="0"/>
                <w:sz w:val="18"/>
                <w:szCs w:val="18"/>
              </w:rPr>
              <w:t>)</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内容详见投资者活动 记录表，未提供资料</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日在巨潮资 讯网(</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sz w:val="18"/>
                <w:szCs w:val="18"/>
              </w:rPr>
              <w:t>)刊载 的投资者关系活动记录表(</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sz w:val="18"/>
                <w:szCs w:val="18"/>
              </w:rPr>
              <w:t>)</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190" w:lineRule="exact"/>
              <w:ind w:left="0" w:right="0" w:firstLine="0"/>
              <w:jc w:val="left"/>
              <w:rPr>
                <w:sz w:val="18"/>
                <w:szCs w:val="18"/>
              </w:rPr>
            </w:pPr>
            <w:r>
              <w:rPr>
                <w:color w:val="000000"/>
                <w:spacing w:val="0"/>
                <w:w w:val="100"/>
                <w:position w:val="0"/>
                <w:sz w:val="18"/>
                <w:szCs w:val="18"/>
              </w:rPr>
              <w:t>全景网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投资 者关系互动 平台,，</w:t>
            </w:r>
          </w:p>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w:t>
            </w:r>
            <w:r>
              <w:fldChar w:fldCharType="begin"/>
            </w:r>
            <w:r>
              <w:rPr/>
              <w:instrText> HYPERLINK "http://ir.p5w" </w:instrText>
            </w:r>
            <w:r>
              <w:fldChar w:fldCharType="separate"/>
            </w:r>
            <w:r>
              <w:rPr>
                <w:rFonts w:ascii="Times New Roman" w:eastAsia="Times New Roman" w:hAnsi="Times New Roman" w:cs="Times New Roman"/>
                <w:color w:val="000000"/>
                <w:spacing w:val="0"/>
                <w:w w:val="100"/>
                <w:position w:val="0"/>
                <w:sz w:val="18"/>
                <w:szCs w:val="18"/>
              </w:rPr>
              <w:t>http://ir.p5w</w:t>
            </w:r>
            <w:r>
              <w:fldChar w:fldCharType="end"/>
            </w:r>
            <w:r>
              <w:rPr>
                <w:rFonts w:ascii="Times New Roman" w:eastAsia="Times New Roman" w:hAnsi="Times New Roman" w:cs="Times New Roman"/>
                <w:color w:val="000000"/>
                <w:spacing w:val="0"/>
                <w:w w:val="100"/>
                <w:position w:val="0"/>
                <w:sz w:val="18"/>
                <w:szCs w:val="18"/>
              </w:rPr>
              <w:t xml:space="preserve"> .net</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内容详见投资者活动 记录表，未提供资料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日在巨潮 资讯网(</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8"/>
                <w:szCs w:val="18"/>
              </w:rPr>
              <w:t>)刊 载的投资者关系活动记录表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006</w:t>
            </w:r>
            <w:r>
              <w:rPr>
                <w:color w:val="000000"/>
                <w:spacing w:val="0"/>
                <w:w w:val="100"/>
                <w:position w:val="0"/>
                <w:sz w:val="18"/>
                <w:szCs w:val="18"/>
              </w:rPr>
              <w:t>)</w:t>
            </w:r>
          </w:p>
        </w:tc>
      </w:tr>
    </w:tbl>
    <w:p>
      <w:pPr>
        <w:sectPr>
          <w:footnotePr>
            <w:pos w:val="pageBottom"/>
            <w:numFmt w:val="decimal"/>
            <w:numRestart w:val="continuous"/>
          </w:footnotePr>
          <w:pgSz w:w="11900" w:h="16840"/>
          <w:pgMar w:top="1282" w:right="965" w:bottom="1460" w:left="1042" w:header="0" w:footer="3" w:gutter="0"/>
          <w:cols w:space="720"/>
          <w:noEndnote/>
          <w:rtlGutter w:val="0"/>
          <w:docGrid w:linePitch="360"/>
        </w:sectPr>
      </w:pPr>
    </w:p>
    <w:p>
      <w:pPr>
        <w:pStyle w:val="Style17"/>
        <w:keepNext/>
        <w:keepLines/>
        <w:widowControl w:val="0"/>
        <w:shd w:val="clear" w:color="auto" w:fill="auto"/>
        <w:bidi w:val="0"/>
        <w:spacing w:before="460" w:after="960" w:line="240" w:lineRule="auto"/>
        <w:ind w:left="0" w:right="0" w:firstLine="0"/>
        <w:jc w:val="center"/>
      </w:pPr>
      <w:bookmarkStart w:id="270" w:name="bookmark270"/>
      <w:bookmarkStart w:id="271" w:name="bookmark271"/>
      <w:bookmarkStart w:id="272" w:name="bookmark272"/>
      <w:r>
        <w:rPr>
          <w:color w:val="000000"/>
          <w:spacing w:val="0"/>
          <w:w w:val="100"/>
          <w:position w:val="0"/>
        </w:rPr>
        <w:t>第四节公司治理</w:t>
      </w:r>
      <w:bookmarkEnd w:id="270"/>
      <w:bookmarkEnd w:id="271"/>
      <w:bookmarkEnd w:id="272"/>
    </w:p>
    <w:p>
      <w:pPr>
        <w:pStyle w:val="Style31"/>
        <w:keepNext/>
        <w:keepLines/>
        <w:widowControl w:val="0"/>
        <w:shd w:val="clear" w:color="auto" w:fill="auto"/>
        <w:bidi w:val="0"/>
        <w:spacing w:before="0" w:after="140" w:line="240" w:lineRule="auto"/>
        <w:ind w:left="0" w:right="0" w:firstLine="0"/>
        <w:jc w:val="left"/>
      </w:pPr>
      <w:bookmarkStart w:id="273" w:name="bookmark273"/>
      <w:bookmarkStart w:id="274" w:name="bookmark274"/>
      <w:bookmarkStart w:id="275" w:name="bookmark275"/>
      <w:bookmarkStart w:id="276" w:name="bookmark276"/>
      <w:bookmarkStart w:id="277" w:name="bookmark277"/>
      <w:r>
        <w:rPr>
          <w:color w:val="000000"/>
          <w:spacing w:val="0"/>
          <w:w w:val="100"/>
          <w:position w:val="0"/>
          <w:sz w:val="24"/>
          <w:szCs w:val="24"/>
        </w:rPr>
        <w:t>一</w:t>
      </w:r>
      <w:bookmarkEnd w:id="276"/>
      <w:r>
        <w:rPr>
          <w:color w:val="000000"/>
          <w:spacing w:val="0"/>
          <w:w w:val="100"/>
          <w:position w:val="0"/>
          <w:sz w:val="24"/>
          <w:szCs w:val="24"/>
        </w:rPr>
        <w:t>、公司治理的基本状况</w:t>
      </w:r>
      <w:bookmarkEnd w:id="274"/>
      <w:bookmarkEnd w:id="275"/>
      <w:bookmarkEnd w:id="277"/>
      <w:bookmarkEnd w:id="273"/>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公司严格按照《公司法》、《证券法》、《上市公司治理准则》、《深圳证券交易所创业板股票上 市规则》、《上市公司自律监管指引第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号——创业板上市公司规范运作》等法律、法规及规范性文件的 要求，不断完善公司的法人治理结构，建立健全了公司内部管理和内部控制机制，有效实现了公司规范 运作。</w:t>
      </w:r>
    </w:p>
    <w:p>
      <w:pPr>
        <w:pStyle w:val="Style12"/>
        <w:keepNext w:val="0"/>
        <w:keepLines w:val="0"/>
        <w:widowControl w:val="0"/>
        <w:shd w:val="clear" w:color="auto" w:fill="auto"/>
        <w:bidi w:val="0"/>
        <w:spacing w:before="0" w:after="0" w:line="410" w:lineRule="exact"/>
        <w:ind w:left="0" w:right="0" w:firstLine="0"/>
        <w:jc w:val="left"/>
      </w:pPr>
      <w:r>
        <w:rPr>
          <w:color w:val="000000"/>
          <w:spacing w:val="0"/>
          <w:w w:val="100"/>
          <w:position w:val="0"/>
        </w:rPr>
        <w:t>公司治理的实际状况符合中国证监会、深圳证券交易所发布的有关上市公司治理的规范性文件要求。</w:t>
      </w:r>
    </w:p>
    <w:p>
      <w:pPr>
        <w:pStyle w:val="Style12"/>
        <w:keepNext w:val="0"/>
        <w:keepLines w:val="0"/>
        <w:widowControl w:val="0"/>
        <w:shd w:val="clear" w:color="auto" w:fill="auto"/>
        <w:tabs>
          <w:tab w:pos="1015" w:val="left"/>
        </w:tabs>
        <w:bidi w:val="0"/>
        <w:spacing w:before="0" w:after="0" w:line="410" w:lineRule="exact"/>
        <w:ind w:left="0" w:right="0" w:firstLine="440"/>
        <w:jc w:val="left"/>
      </w:pPr>
      <w:bookmarkStart w:id="278" w:name="bookmark278"/>
      <w:r>
        <w:rPr>
          <w:color w:val="000000"/>
          <w:spacing w:val="0"/>
          <w:w w:val="100"/>
          <w:position w:val="0"/>
        </w:rPr>
        <w:t>（</w:t>
      </w:r>
      <w:bookmarkEnd w:id="278"/>
      <w:r>
        <w:rPr>
          <w:color w:val="000000"/>
          <w:spacing w:val="0"/>
          <w:w w:val="100"/>
          <w:position w:val="0"/>
        </w:rPr>
        <w:t>一）</w:t>
        <w:tab/>
        <w:t>股东与股东大会</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公司严格按照《公司法》、《上市公司股东大会规则》、《公司章程》、《股东大会议事规则》等 相关法律法规、规范性文件和公司规章制度的有关规定和要求，规范地召集、召开了股东大会。公司平 等地对待所有股东，确保股东对公司重大事项的知情权、参与权、表决权，不存在违反法律法规及其他 规章制度的情形、不存在损害股东利益的情形。</w:t>
      </w:r>
    </w:p>
    <w:p>
      <w:pPr>
        <w:pStyle w:val="Style12"/>
        <w:keepNext w:val="0"/>
        <w:keepLines w:val="0"/>
        <w:widowControl w:val="0"/>
        <w:shd w:val="clear" w:color="auto" w:fill="auto"/>
        <w:tabs>
          <w:tab w:pos="1015" w:val="left"/>
        </w:tabs>
        <w:bidi w:val="0"/>
        <w:spacing w:before="0" w:after="0" w:line="410" w:lineRule="exact"/>
        <w:ind w:left="0" w:right="0" w:firstLine="440"/>
        <w:jc w:val="left"/>
      </w:pPr>
      <w:bookmarkStart w:id="279" w:name="bookmark279"/>
      <w:r>
        <w:rPr>
          <w:color w:val="000000"/>
          <w:spacing w:val="0"/>
          <w:w w:val="100"/>
          <w:position w:val="0"/>
        </w:rPr>
        <w:t>（</w:t>
      </w:r>
      <w:bookmarkEnd w:id="279"/>
      <w:r>
        <w:rPr>
          <w:color w:val="000000"/>
          <w:spacing w:val="0"/>
          <w:w w:val="100"/>
          <w:position w:val="0"/>
        </w:rPr>
        <w:t>二）</w:t>
        <w:tab/>
        <w:t>公司与实际控制人</w:t>
      </w:r>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公司按照法律法规、规范性文件和公司规章制度正确处理与实际控制人的关系。公司实际控制人严 格规范自身的行为，无占用公司资金、越权行使职权的情形，公司不存在向实际控制人提供担保和财务 资助的情形。本公司具有自主经营能力，在业务、人员、资金、财务等方面均独立于控股股东，公司董 事会、监事会和内部机构能够按照各自的议事规则和规章制度独立运作。</w:t>
      </w:r>
    </w:p>
    <w:p>
      <w:pPr>
        <w:pStyle w:val="Style12"/>
        <w:keepNext w:val="0"/>
        <w:keepLines w:val="0"/>
        <w:widowControl w:val="0"/>
        <w:shd w:val="clear" w:color="auto" w:fill="auto"/>
        <w:tabs>
          <w:tab w:pos="1015" w:val="left"/>
        </w:tabs>
        <w:bidi w:val="0"/>
        <w:spacing w:before="0" w:after="0" w:line="410" w:lineRule="exact"/>
        <w:ind w:left="0" w:right="0" w:firstLine="440"/>
        <w:jc w:val="left"/>
      </w:pPr>
      <w:bookmarkStart w:id="280" w:name="bookmark280"/>
      <w:r>
        <w:rPr>
          <w:color w:val="000000"/>
          <w:spacing w:val="0"/>
          <w:w w:val="100"/>
          <w:position w:val="0"/>
        </w:rPr>
        <w:t>（</w:t>
      </w:r>
      <w:bookmarkEnd w:id="280"/>
      <w:r>
        <w:rPr>
          <w:color w:val="000000"/>
          <w:spacing w:val="0"/>
          <w:w w:val="100"/>
          <w:position w:val="0"/>
        </w:rPr>
        <w:t>三）</w:t>
        <w:tab/>
        <w:t>董事与董事会</w:t>
      </w:r>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日完成董事会换届选举工作，第三届董事会现由</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w:t>
      </w:r>
      <w:r>
        <w:rPr>
          <w:rFonts w:ascii="Times New Roman" w:eastAsia="Times New Roman" w:hAnsi="Times New Roman" w:cs="Times New Roman"/>
          <w:color w:val="000000"/>
          <w:spacing w:val="0"/>
          <w:w w:val="100"/>
          <w:position w:val="0"/>
        </w:rPr>
        <w:t>1</w:t>
      </w:r>
      <w:r>
        <w:rPr>
          <w:color w:val="000000"/>
          <w:spacing w:val="0"/>
          <w:w w:val="100"/>
          <w:position w:val="0"/>
        </w:rPr>
        <w:t xml:space="preserve">名董事长， </w:t>
      </w:r>
      <w:r>
        <w:rPr>
          <w:rFonts w:ascii="Times New Roman" w:eastAsia="Times New Roman" w:hAnsi="Times New Roman" w:cs="Times New Roman"/>
          <w:color w:val="000000"/>
          <w:spacing w:val="0"/>
          <w:w w:val="100"/>
          <w:position w:val="0"/>
        </w:rPr>
        <w:t>3</w:t>
      </w:r>
      <w:r>
        <w:rPr>
          <w:color w:val="000000"/>
          <w:spacing w:val="0"/>
          <w:w w:val="100"/>
          <w:position w:val="0"/>
        </w:rPr>
        <w:t>名非独立董事，</w:t>
      </w:r>
      <w:r>
        <w:rPr>
          <w:rFonts w:ascii="Times New Roman" w:eastAsia="Times New Roman" w:hAnsi="Times New Roman" w:cs="Times New Roman"/>
          <w:color w:val="000000"/>
          <w:spacing w:val="0"/>
          <w:w w:val="100"/>
          <w:position w:val="0"/>
        </w:rPr>
        <w:t>3</w:t>
      </w:r>
      <w:r>
        <w:rPr>
          <w:color w:val="000000"/>
          <w:spacing w:val="0"/>
          <w:w w:val="100"/>
          <w:position w:val="0"/>
        </w:rPr>
        <w:t>名独立董事。董事会人员的任职资格、人员构成、人数、选举程序均符合《公司 法》、《公司章程》及《董事会议事规则》等规范要求。</w:t>
      </w:r>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董事会下设战略委员会、提名委员会、审计委员会和薪酬与考核委员会四个专门委员会，制订了相 应的议事规则。公司董事严格按照《董事会议事规则》、《独立董事工作制度》及各委员会工作规则等 规章制度开展工作，勤勉尽责，确保董事会的有效运作和科学决策。</w:t>
      </w:r>
    </w:p>
    <w:p>
      <w:pPr>
        <w:pStyle w:val="Style12"/>
        <w:keepNext w:val="0"/>
        <w:keepLines w:val="0"/>
        <w:widowControl w:val="0"/>
        <w:shd w:val="clear" w:color="auto" w:fill="auto"/>
        <w:tabs>
          <w:tab w:pos="1015" w:val="left"/>
        </w:tabs>
        <w:bidi w:val="0"/>
        <w:spacing w:before="0" w:after="0" w:line="410" w:lineRule="exact"/>
        <w:ind w:left="0" w:right="0" w:firstLine="440"/>
        <w:jc w:val="left"/>
      </w:pPr>
      <w:bookmarkStart w:id="281" w:name="bookmark281"/>
      <w:r>
        <w:rPr>
          <w:color w:val="000000"/>
          <w:spacing w:val="0"/>
          <w:w w:val="100"/>
          <w:position w:val="0"/>
        </w:rPr>
        <w:t>（</w:t>
      </w:r>
      <w:bookmarkEnd w:id="281"/>
      <w:r>
        <w:rPr>
          <w:color w:val="000000"/>
          <w:spacing w:val="0"/>
          <w:w w:val="100"/>
          <w:position w:val="0"/>
        </w:rPr>
        <w:t>四）</w:t>
        <w:tab/>
        <w:t>监事与监事会</w:t>
      </w:r>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公司第二届监事会由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日完成监事会换届选举工 作，第三届监事会人数及组成架构未发生变化，监事会人员的任职资格、人员构成、人数、选举程序均 合法合规。公司监事会严格按照《公司法》、《公司章程》及《监事会议事规则》开展工作，对公司财 务状况、重大事项、关联交易以及公司董事及高级管理人员履行职责的合法合规性进行监督，维护公司 及股东的合法权益。</w:t>
      </w:r>
    </w:p>
    <w:p>
      <w:pPr>
        <w:pStyle w:val="Style12"/>
        <w:keepNext w:val="0"/>
        <w:keepLines w:val="0"/>
        <w:widowControl w:val="0"/>
        <w:shd w:val="clear" w:color="auto" w:fill="auto"/>
        <w:tabs>
          <w:tab w:pos="1015" w:val="left"/>
        </w:tabs>
        <w:bidi w:val="0"/>
        <w:spacing w:before="0" w:after="80" w:line="410" w:lineRule="exact"/>
        <w:ind w:left="0" w:right="0" w:firstLine="440"/>
        <w:jc w:val="left"/>
      </w:pPr>
      <w:bookmarkStart w:id="282" w:name="bookmark282"/>
      <w:r>
        <w:rPr>
          <w:color w:val="000000"/>
          <w:spacing w:val="0"/>
          <w:w w:val="100"/>
          <w:position w:val="0"/>
        </w:rPr>
        <w:t>（</w:t>
      </w:r>
      <w:bookmarkEnd w:id="282"/>
      <w:r>
        <w:rPr>
          <w:color w:val="000000"/>
          <w:spacing w:val="0"/>
          <w:w w:val="100"/>
          <w:position w:val="0"/>
        </w:rPr>
        <w:t>五）</w:t>
        <w:tab/>
        <w:t>绩效评价与激励约束机制</w:t>
      </w:r>
    </w:p>
    <w:p>
      <w:pPr>
        <w:pStyle w:val="Style1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公司董事会下设的薪酬与考核委员会负责对公司的董事、监事、高级管理人员进行绩效考核，公司 现有的考核及激励约束机制符合公司的发展现状。</w:t>
      </w:r>
    </w:p>
    <w:p>
      <w:pPr>
        <w:pStyle w:val="Style12"/>
        <w:keepNext w:val="0"/>
        <w:keepLines w:val="0"/>
        <w:widowControl w:val="0"/>
        <w:shd w:val="clear" w:color="auto" w:fill="auto"/>
        <w:tabs>
          <w:tab w:pos="1022" w:val="left"/>
        </w:tabs>
        <w:bidi w:val="0"/>
        <w:spacing w:before="0" w:after="0" w:line="408" w:lineRule="exact"/>
        <w:ind w:left="0" w:right="0" w:firstLine="440"/>
        <w:jc w:val="left"/>
      </w:pPr>
      <w:bookmarkStart w:id="283" w:name="bookmark283"/>
      <w:r>
        <w:rPr>
          <w:color w:val="000000"/>
          <w:spacing w:val="0"/>
          <w:w w:val="100"/>
          <w:position w:val="0"/>
        </w:rPr>
        <w:t>（</w:t>
      </w:r>
      <w:bookmarkEnd w:id="283"/>
      <w:r>
        <w:rPr>
          <w:color w:val="000000"/>
          <w:spacing w:val="0"/>
          <w:w w:val="100"/>
          <w:position w:val="0"/>
        </w:rPr>
        <w:t>六）</w:t>
        <w:tab/>
        <w:t>信息披露与透明度</w:t>
      </w:r>
    </w:p>
    <w:p>
      <w:pPr>
        <w:pStyle w:val="Style1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公司严格按照有关法律法规以及《公司章程》、《信息披露管理制度》、《投资者关系管理制度》 等的要求，真实、准确、及时、公平、完整地披露有关信息，确保公司所有股东能够以平等的机会获得 信息，并指定巨潮资讯网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为公司的信息披露网站，确保公司所有股东能够以</w:t>
      </w:r>
      <w:r>
        <w:rPr>
          <w:color w:val="000000"/>
          <w:spacing w:val="0"/>
          <w:w w:val="100"/>
          <w:position w:val="0"/>
        </w:rPr>
        <w:t xml:space="preserve"> 平等的机会获得信息。</w:t>
      </w:r>
    </w:p>
    <w:p>
      <w:pPr>
        <w:pStyle w:val="Style1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公司高度重视投资者关系管理工作，通过多种形式与投资者进行沟通，努力构建与投资者的良好互 动关系，切实提高公司的透明度。</w:t>
      </w:r>
    </w:p>
    <w:p>
      <w:pPr>
        <w:pStyle w:val="Style12"/>
        <w:keepNext w:val="0"/>
        <w:keepLines w:val="0"/>
        <w:widowControl w:val="0"/>
        <w:shd w:val="clear" w:color="auto" w:fill="auto"/>
        <w:tabs>
          <w:tab w:pos="1022" w:val="left"/>
        </w:tabs>
        <w:bidi w:val="0"/>
        <w:spacing w:before="0" w:after="0" w:line="408" w:lineRule="exact"/>
        <w:ind w:left="0" w:right="0" w:firstLine="440"/>
        <w:jc w:val="left"/>
      </w:pPr>
      <w:bookmarkStart w:id="284" w:name="bookmark284"/>
      <w:r>
        <w:rPr>
          <w:color w:val="000000"/>
          <w:spacing w:val="0"/>
          <w:w w:val="100"/>
          <w:position w:val="0"/>
        </w:rPr>
        <w:t>（</w:t>
      </w:r>
      <w:bookmarkEnd w:id="284"/>
      <w:r>
        <w:rPr>
          <w:color w:val="000000"/>
          <w:spacing w:val="0"/>
          <w:w w:val="100"/>
          <w:position w:val="0"/>
        </w:rPr>
        <w:t>七）</w:t>
        <w:tab/>
        <w:t>相关利益者</w:t>
      </w:r>
    </w:p>
    <w:p>
      <w:pPr>
        <w:pStyle w:val="Style1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公司充分尊重和维护利益相关者的合法权益，积极与相关利益者合作，加强与各方的沟通和交流， 实现股东、员工、社会等各方面的均衡，共同推动公司持续、稳定、健康地发展。</w:t>
      </w:r>
    </w:p>
    <w:p>
      <w:pPr>
        <w:pStyle w:val="Style12"/>
        <w:keepNext w:val="0"/>
        <w:keepLines w:val="0"/>
        <w:widowControl w:val="0"/>
        <w:shd w:val="clear" w:color="auto" w:fill="auto"/>
        <w:bidi w:val="0"/>
        <w:spacing w:before="0" w:after="0" w:line="408"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2"/>
        <w:keepNext w:val="0"/>
        <w:keepLines w:val="0"/>
        <w:widowControl w:val="0"/>
        <w:shd w:val="clear" w:color="auto" w:fill="auto"/>
        <w:bidi w:val="0"/>
        <w:spacing w:before="0" w:after="380" w:line="408"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31"/>
        <w:keepNext/>
        <w:keepLines/>
        <w:widowControl w:val="0"/>
        <w:shd w:val="clear" w:color="auto" w:fill="auto"/>
        <w:bidi w:val="0"/>
        <w:spacing w:before="0" w:after="140" w:line="331" w:lineRule="exact"/>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二</w:t>
      </w:r>
      <w:bookmarkEnd w:id="287"/>
      <w:r>
        <w:rPr>
          <w:color w:val="000000"/>
          <w:spacing w:val="0"/>
          <w:w w:val="100"/>
          <w:position w:val="0"/>
          <w:sz w:val="24"/>
          <w:szCs w:val="24"/>
        </w:rPr>
        <w:t>、公司相对于控股股东、实际控制人在保证公司资产、人员、财务、机构、业务等方面的 独立情况</w:t>
      </w:r>
      <w:bookmarkEnd w:id="285"/>
      <w:bookmarkEnd w:id="286"/>
      <w:bookmarkEnd w:id="288"/>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公司按照《公司法》和《证券法》等法律、法规及规章制度的要求，建立健全了公司的法人治理结 构，在资产、人员、财务、机构、业务等方面均独立于控股股东、实际控制人及其控制的其他企业。公 司拥有独立且完整的业务体系和业务流程，具有直接面向市场、自主经营及独立承担风险和责任的能 力。</w:t>
      </w:r>
    </w:p>
    <w:p>
      <w:pPr>
        <w:pStyle w:val="Style12"/>
        <w:keepNext w:val="0"/>
        <w:keepLines w:val="0"/>
        <w:widowControl w:val="0"/>
        <w:shd w:val="clear" w:color="auto" w:fill="auto"/>
        <w:tabs>
          <w:tab w:pos="1022" w:val="left"/>
        </w:tabs>
        <w:bidi w:val="0"/>
        <w:spacing w:before="0" w:after="0" w:line="408" w:lineRule="exact"/>
        <w:ind w:left="0" w:right="0" w:firstLine="440"/>
        <w:jc w:val="left"/>
      </w:pPr>
      <w:bookmarkStart w:id="289" w:name="bookmark289"/>
      <w:r>
        <w:rPr>
          <w:color w:val="000000"/>
          <w:spacing w:val="0"/>
          <w:w w:val="100"/>
          <w:position w:val="0"/>
        </w:rPr>
        <w:t>（</w:t>
      </w:r>
      <w:bookmarkEnd w:id="289"/>
      <w:r>
        <w:rPr>
          <w:color w:val="000000"/>
          <w:spacing w:val="0"/>
          <w:w w:val="100"/>
          <w:position w:val="0"/>
        </w:rPr>
        <w:t>一）</w:t>
        <w:tab/>
        <w:t>资产独立方面</w:t>
      </w:r>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公司资产与股东资产严格分开，完全独立运营，公司目前业务和经营所需资产的权属由公司独立享 有，不存在权属纠纷。公司对所拥有的资产拥有完全的控制和支配权，不存在依赖股东或关联方资产进 行生产经营以及资产、资金被股东占用而损害公司利益的情况。</w:t>
      </w:r>
    </w:p>
    <w:p>
      <w:pPr>
        <w:pStyle w:val="Style12"/>
        <w:keepNext w:val="0"/>
        <w:keepLines w:val="0"/>
        <w:widowControl w:val="0"/>
        <w:shd w:val="clear" w:color="auto" w:fill="auto"/>
        <w:tabs>
          <w:tab w:pos="1022" w:val="left"/>
        </w:tabs>
        <w:bidi w:val="0"/>
        <w:spacing w:before="0" w:after="0" w:line="408" w:lineRule="exact"/>
        <w:ind w:left="0" w:right="0" w:firstLine="440"/>
        <w:jc w:val="left"/>
      </w:pPr>
      <w:bookmarkStart w:id="290" w:name="bookmark290"/>
      <w:r>
        <w:rPr>
          <w:color w:val="000000"/>
          <w:spacing w:val="0"/>
          <w:w w:val="100"/>
          <w:position w:val="0"/>
        </w:rPr>
        <w:t>（</w:t>
      </w:r>
      <w:bookmarkEnd w:id="290"/>
      <w:r>
        <w:rPr>
          <w:color w:val="000000"/>
          <w:spacing w:val="0"/>
          <w:w w:val="100"/>
          <w:position w:val="0"/>
        </w:rPr>
        <w:t>二）</w:t>
        <w:tab/>
        <w:t>人员独立方面</w:t>
      </w:r>
    </w:p>
    <w:p>
      <w:pPr>
        <w:pStyle w:val="Style1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公司严格根据《公司法》、《公司章程》的有关规定选举产生董事、监事，由董事会聘用高级管理 人员，不存在股东超越股东大会和董事会而做出人事任免决定的情况。公司劳动、人事及工资管理完全 独立，公司总经理、副总经理、财务总监、董事会秘书和业务部门负责人均属专职，并在公司领薪，并 未在控股股东、实际控制人及其控制的其他企业担任除董事、监事以外的职务；公司的财务人员亦未在 控股股东、实际控制人及其控制的其他企业中兼职。</w:t>
      </w:r>
    </w:p>
    <w:p>
      <w:pPr>
        <w:pStyle w:val="Style12"/>
        <w:keepNext w:val="0"/>
        <w:keepLines w:val="0"/>
        <w:widowControl w:val="0"/>
        <w:shd w:val="clear" w:color="auto" w:fill="auto"/>
        <w:tabs>
          <w:tab w:pos="1022" w:val="left"/>
        </w:tabs>
        <w:bidi w:val="0"/>
        <w:spacing w:before="0" w:after="0" w:line="408" w:lineRule="exact"/>
        <w:ind w:left="0" w:right="0" w:firstLine="440"/>
        <w:jc w:val="both"/>
      </w:pPr>
      <w:bookmarkStart w:id="291" w:name="bookmark291"/>
      <w:r>
        <w:rPr>
          <w:color w:val="000000"/>
          <w:spacing w:val="0"/>
          <w:w w:val="100"/>
          <w:position w:val="0"/>
        </w:rPr>
        <w:t>（</w:t>
      </w:r>
      <w:bookmarkEnd w:id="291"/>
      <w:r>
        <w:rPr>
          <w:color w:val="000000"/>
          <w:spacing w:val="0"/>
          <w:w w:val="100"/>
          <w:position w:val="0"/>
        </w:rPr>
        <w:t>三）</w:t>
        <w:tab/>
        <w:t>财务独立方面</w:t>
      </w:r>
    </w:p>
    <w:p>
      <w:pPr>
        <w:pStyle w:val="Style1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公司设立财务管理中心，制定了完善的财务制度，并配备专职的财务人员；公司有独立的财务核算 </w:t>
      </w:r>
      <w:r>
        <w:rPr>
          <w:color w:val="000000"/>
          <w:spacing w:val="0"/>
          <w:w w:val="100"/>
          <w:position w:val="0"/>
        </w:rPr>
        <w:t>体系，能够独自进行财务决策；公司不存在与控股股东、实际控制人及其他关联方或其他任何单位或个 人共用银行账户的情况，也不存在资金、资产被股东及其他关联方非法占用的情况。公司独立开设银行 账号，依法独立进行纳税申报。</w:t>
      </w:r>
    </w:p>
    <w:p>
      <w:pPr>
        <w:pStyle w:val="Style12"/>
        <w:keepNext w:val="0"/>
        <w:keepLines w:val="0"/>
        <w:widowControl w:val="0"/>
        <w:shd w:val="clear" w:color="auto" w:fill="auto"/>
        <w:tabs>
          <w:tab w:pos="1029" w:val="left"/>
        </w:tabs>
        <w:bidi w:val="0"/>
        <w:spacing w:before="0" w:after="0" w:line="408" w:lineRule="exact"/>
        <w:ind w:left="0" w:right="0" w:firstLine="440"/>
        <w:jc w:val="left"/>
      </w:pPr>
      <w:bookmarkStart w:id="292" w:name="bookmark292"/>
      <w:r>
        <w:rPr>
          <w:color w:val="000000"/>
          <w:spacing w:val="0"/>
          <w:w w:val="100"/>
          <w:position w:val="0"/>
        </w:rPr>
        <w:t>（</w:t>
      </w:r>
      <w:bookmarkEnd w:id="292"/>
      <w:r>
        <w:rPr>
          <w:color w:val="000000"/>
          <w:spacing w:val="0"/>
          <w:w w:val="100"/>
          <w:position w:val="0"/>
        </w:rPr>
        <w:t>四）</w:t>
        <w:tab/>
        <w:t>机构独立方面</w:t>
      </w:r>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公司依法设立股东大会、董事会、监事会，具有完善的各项规章制度，法人治理结构规范有效。公 司建立了独立于股东的组织机构，并明确各部门的职能，形成了公司独立、完善的管理机构和经营体 系。公司及下属各职能部门与股东、其他关联方及其职能部门之间不存在管理关系，不存在控股股东、 实际控制人及其他关联方干预本公司机构设置、经营活动的情况。</w:t>
      </w:r>
    </w:p>
    <w:p>
      <w:pPr>
        <w:pStyle w:val="Style12"/>
        <w:keepNext w:val="0"/>
        <w:keepLines w:val="0"/>
        <w:widowControl w:val="0"/>
        <w:shd w:val="clear" w:color="auto" w:fill="auto"/>
        <w:tabs>
          <w:tab w:pos="1029" w:val="left"/>
        </w:tabs>
        <w:bidi w:val="0"/>
        <w:spacing w:before="0" w:after="0" w:line="408" w:lineRule="exact"/>
        <w:ind w:left="0" w:right="0" w:firstLine="440"/>
        <w:jc w:val="left"/>
      </w:pPr>
      <w:bookmarkStart w:id="293" w:name="bookmark293"/>
      <w:r>
        <w:rPr>
          <w:color w:val="000000"/>
          <w:spacing w:val="0"/>
          <w:w w:val="100"/>
          <w:position w:val="0"/>
        </w:rPr>
        <w:t>（</w:t>
      </w:r>
      <w:bookmarkEnd w:id="293"/>
      <w:r>
        <w:rPr>
          <w:color w:val="000000"/>
          <w:spacing w:val="0"/>
          <w:w w:val="100"/>
          <w:position w:val="0"/>
        </w:rPr>
        <w:t>五）</w:t>
        <w:tab/>
        <w:t>业务独立方面</w:t>
      </w:r>
    </w:p>
    <w:p>
      <w:pPr>
        <w:pStyle w:val="Style12"/>
        <w:keepNext w:val="0"/>
        <w:keepLines w:val="0"/>
        <w:widowControl w:val="0"/>
        <w:shd w:val="clear" w:color="auto" w:fill="auto"/>
        <w:bidi w:val="0"/>
        <w:spacing w:before="0" w:after="460" w:line="408" w:lineRule="exact"/>
        <w:ind w:left="0" w:right="0" w:firstLine="440"/>
        <w:jc w:val="left"/>
      </w:pPr>
      <w:r>
        <w:rPr>
          <w:color w:val="000000"/>
          <w:spacing w:val="0"/>
          <w:w w:val="100"/>
          <w:position w:val="0"/>
        </w:rPr>
        <w:t>公司主营业务以软件技术服务为主，经过多年的研发技术积累、行业经验沉淀、组织管理优化和业 务市场开拓，结合强有力的客户管理能力，公司已经与多个行业的客户形成长期而稳定的合作关系。公 司具备独立面向市场自主经营的能力，不存在依赖股东及其他任何关联方进行生产经营活动的情况。</w:t>
      </w:r>
    </w:p>
    <w:p>
      <w:pPr>
        <w:pStyle w:val="Style31"/>
        <w:keepNext/>
        <w:keepLines/>
        <w:widowControl w:val="0"/>
        <w:shd w:val="clear" w:color="auto" w:fill="auto"/>
        <w:bidi w:val="0"/>
        <w:spacing w:before="0" w:after="30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三</w:t>
      </w:r>
      <w:bookmarkEnd w:id="296"/>
      <w:r>
        <w:rPr>
          <w:color w:val="000000"/>
          <w:spacing w:val="0"/>
          <w:w w:val="100"/>
          <w:position w:val="0"/>
          <w:sz w:val="24"/>
          <w:szCs w:val="24"/>
        </w:rPr>
        <w:t>、同业竞争情况</w:t>
      </w:r>
      <w:bookmarkEnd w:id="294"/>
      <w:bookmarkEnd w:id="295"/>
      <w:bookmarkEnd w:id="297"/>
    </w:p>
    <w:p>
      <w:pPr>
        <w:pStyle w:val="Style12"/>
        <w:keepNext w:val="0"/>
        <w:keepLines w:val="0"/>
        <w:widowControl w:val="0"/>
        <w:shd w:val="clear" w:color="auto" w:fill="auto"/>
        <w:bidi w:val="0"/>
        <w:spacing w:before="0" w:after="300" w:line="42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四</w:t>
      </w:r>
      <w:bookmarkEnd w:id="300"/>
      <w:r>
        <w:rPr>
          <w:color w:val="000000"/>
          <w:spacing w:val="0"/>
          <w:w w:val="100"/>
          <w:position w:val="0"/>
          <w:sz w:val="24"/>
          <w:szCs w:val="24"/>
        </w:rPr>
        <w:t>、报告期内召开的年度股东大会和临时股东大会的有关情况</w:t>
      </w:r>
      <w:bookmarkEnd w:id="298"/>
      <w:bookmarkEnd w:id="299"/>
      <w:bookmarkEnd w:id="301"/>
    </w:p>
    <w:p>
      <w:pPr>
        <w:pStyle w:val="Style38"/>
        <w:keepNext/>
        <w:keepLines/>
        <w:widowControl w:val="0"/>
        <w:shd w:val="clear" w:color="auto" w:fill="auto"/>
        <w:bidi w:val="0"/>
        <w:spacing w:before="0" w:after="30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1</w:t>
      </w:r>
      <w:bookmarkEnd w:id="304"/>
      <w:r>
        <w:rPr>
          <w:color w:val="000000"/>
          <w:spacing w:val="0"/>
          <w:w w:val="100"/>
          <w:position w:val="0"/>
        </w:rPr>
        <w:t>、本报告期股东大会情况</w:t>
      </w:r>
      <w:bookmarkEnd w:id="302"/>
      <w:bookmarkEnd w:id="303"/>
      <w:bookmarkEnd w:id="305"/>
    </w:p>
    <w:tbl>
      <w:tblPr>
        <w:tblOverlap w:val="never"/>
        <w:jc w:val="center"/>
        <w:tblLayout w:type="fixed"/>
      </w:tblPr>
      <w:tblGrid>
        <w:gridCol w:w="1248"/>
        <w:gridCol w:w="850"/>
        <w:gridCol w:w="1421"/>
        <w:gridCol w:w="994"/>
        <w:gridCol w:w="989"/>
        <w:gridCol w:w="4080"/>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会议届次</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会议类型</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投资者参与比例</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详见公司刊登在巨潮资讯网</w:t>
            </w:r>
          </w:p>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）上的《</w:t>
            </w:r>
            <w:r>
              <w:rPr>
                <w:rFonts w:ascii="Times New Roman" w:eastAsia="Times New Roman" w:hAnsi="Times New Roman" w:cs="Times New Roman"/>
                <w:color w:val="000000"/>
                <w:spacing w:val="0"/>
                <w:w w:val="100"/>
                <w:position w:val="0"/>
                <w:sz w:val="18"/>
                <w:szCs w:val="18"/>
              </w:rPr>
              <w:t>2021</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年第一次 临时股东大会决议公告》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2021-012</w:t>
            </w:r>
            <w:r>
              <w:rPr>
                <w:color w:val="000000"/>
                <w:spacing w:val="0"/>
                <w:w w:val="100"/>
                <w:position w:val="0"/>
                <w:sz w:val="18"/>
                <w:szCs w:val="18"/>
              </w:rPr>
              <w:t>）</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年第二次 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详见公司刊登在巨潮资讯网</w:t>
            </w:r>
          </w:p>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）上的《</w:t>
            </w:r>
            <w:r>
              <w:rPr>
                <w:rFonts w:ascii="Times New Roman" w:eastAsia="Times New Roman" w:hAnsi="Times New Roman" w:cs="Times New Roman"/>
                <w:color w:val="000000"/>
                <w:spacing w:val="0"/>
                <w:w w:val="100"/>
                <w:position w:val="0"/>
                <w:sz w:val="18"/>
                <w:szCs w:val="18"/>
              </w:rPr>
              <w:t>2021</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年第二次 临时股东大会决议公告》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2021-024</w:t>
            </w:r>
            <w:r>
              <w:rPr>
                <w:color w:val="000000"/>
                <w:spacing w:val="0"/>
                <w:w w:val="100"/>
                <w:position w:val="0"/>
                <w:sz w:val="18"/>
                <w:szCs w:val="18"/>
              </w:rPr>
              <w:t>）</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年年度股 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详见公司刊登在巨潮资讯网</w:t>
            </w:r>
          </w:p>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）上的《</w:t>
            </w:r>
            <w:r>
              <w:rPr>
                <w:rFonts w:ascii="Times New Roman" w:eastAsia="Times New Roman" w:hAnsi="Times New Roman" w:cs="Times New Roman"/>
                <w:color w:val="000000"/>
                <w:spacing w:val="0"/>
                <w:w w:val="100"/>
                <w:position w:val="0"/>
                <w:sz w:val="18"/>
                <w:szCs w:val="18"/>
              </w:rPr>
              <w:t>2020</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年年度股 东大会决议公告》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2021-053</w:t>
            </w:r>
            <w:r>
              <w:rPr>
                <w:color w:val="000000"/>
                <w:spacing w:val="0"/>
                <w:w w:val="100"/>
                <w:position w:val="0"/>
                <w:sz w:val="18"/>
                <w:szCs w:val="18"/>
              </w:rPr>
              <w:t>）</w:t>
            </w:r>
          </w:p>
        </w:tc>
      </w:tr>
      <w:tr>
        <w:trPr>
          <w:trHeight w:val="7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年第三次 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详见公司刊登在巨潮资讯网</w:t>
            </w:r>
          </w:p>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）上的《</w:t>
            </w:r>
            <w:r>
              <w:rPr>
                <w:rFonts w:ascii="Times New Roman" w:eastAsia="Times New Roman" w:hAnsi="Times New Roman" w:cs="Times New Roman"/>
                <w:color w:val="000000"/>
                <w:spacing w:val="0"/>
                <w:w w:val="100"/>
                <w:position w:val="0"/>
                <w:sz w:val="18"/>
                <w:szCs w:val="18"/>
              </w:rPr>
              <w:t>2021</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年第三次 临时股东大会决议公告》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2021-074</w:t>
            </w:r>
            <w:r>
              <w:rPr>
                <w:color w:val="000000"/>
                <w:spacing w:val="0"/>
                <w:w w:val="100"/>
                <w:position w:val="0"/>
                <w:sz w:val="18"/>
                <w:szCs w:val="18"/>
              </w:rPr>
              <w:t>）</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2</w:t>
      </w:r>
      <w:bookmarkEnd w:id="308"/>
      <w:r>
        <w:rPr>
          <w:color w:val="000000"/>
          <w:spacing w:val="0"/>
          <w:w w:val="100"/>
          <w:position w:val="0"/>
        </w:rPr>
        <w:t>、表决权恢复的优先股股东请求召开临时股东大会</w:t>
      </w:r>
      <w:bookmarkEnd w:id="306"/>
      <w:bookmarkEnd w:id="307"/>
      <w:bookmarkEnd w:id="309"/>
    </w:p>
    <w:p>
      <w:pPr>
        <w:pStyle w:val="Style12"/>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五</w:t>
      </w:r>
      <w:bookmarkEnd w:id="312"/>
      <w:r>
        <w:rPr>
          <w:color w:val="000000"/>
          <w:spacing w:val="0"/>
          <w:w w:val="100"/>
          <w:position w:val="0"/>
          <w:sz w:val="24"/>
          <w:szCs w:val="24"/>
        </w:rPr>
        <w:t>、公司具有表决权差异安排</w:t>
      </w:r>
      <w:bookmarkEnd w:id="310"/>
      <w:bookmarkEnd w:id="311"/>
      <w:bookmarkEnd w:id="313"/>
    </w:p>
    <w:p>
      <w:pPr>
        <w:pStyle w:val="Style1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r>
        <w:br w:type="page"/>
      </w:r>
    </w:p>
    <w:p>
      <w:pPr>
        <w:pStyle w:val="Style31"/>
        <w:keepNext/>
        <w:keepLines/>
        <w:widowControl w:val="0"/>
        <w:shd w:val="clear" w:color="auto" w:fill="auto"/>
        <w:bidi w:val="0"/>
        <w:spacing w:before="0" w:after="32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六</w:t>
      </w:r>
      <w:bookmarkEnd w:id="316"/>
      <w:r>
        <w:rPr>
          <w:color w:val="000000"/>
          <w:spacing w:val="0"/>
          <w:w w:val="100"/>
          <w:position w:val="0"/>
          <w:sz w:val="24"/>
          <w:szCs w:val="24"/>
        </w:rPr>
        <w:t>、红筹架构公司治理情况</w:t>
      </w:r>
      <w:bookmarkEnd w:id="314"/>
      <w:bookmarkEnd w:id="315"/>
      <w:bookmarkEnd w:id="317"/>
    </w:p>
    <w:p>
      <w:pPr>
        <w:pStyle w:val="Style1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七</w:t>
      </w:r>
      <w:bookmarkEnd w:id="320"/>
      <w:r>
        <w:rPr>
          <w:color w:val="000000"/>
          <w:spacing w:val="0"/>
          <w:w w:val="100"/>
          <w:position w:val="0"/>
          <w:sz w:val="24"/>
          <w:szCs w:val="24"/>
        </w:rPr>
        <w:t>、董事、监事和高级管理人员情况</w:t>
      </w:r>
      <w:bookmarkEnd w:id="318"/>
      <w:bookmarkEnd w:id="319"/>
      <w:bookmarkEnd w:id="321"/>
    </w:p>
    <w:p>
      <w:pPr>
        <w:pStyle w:val="Style38"/>
        <w:keepNext/>
        <w:keepLines/>
        <w:widowControl w:val="0"/>
        <w:shd w:val="clear" w:color="auto" w:fill="auto"/>
        <w:bidi w:val="0"/>
        <w:spacing w:before="0" w:after="32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、基本情况</w:t>
      </w:r>
      <w:bookmarkEnd w:id="322"/>
      <w:bookmarkEnd w:id="323"/>
      <w:bookmarkEnd w:id="325"/>
    </w:p>
    <w:tbl>
      <w:tblPr>
        <w:tblOverlap w:val="never"/>
        <w:jc w:val="center"/>
        <w:tblLayout w:type="fixed"/>
      </w:tblPr>
      <w:tblGrid>
        <w:gridCol w:w="739"/>
        <w:gridCol w:w="970"/>
        <w:gridCol w:w="504"/>
        <w:gridCol w:w="490"/>
        <w:gridCol w:w="389"/>
        <w:gridCol w:w="710"/>
        <w:gridCol w:w="710"/>
        <w:gridCol w:w="989"/>
        <w:gridCol w:w="710"/>
        <w:gridCol w:w="710"/>
        <w:gridCol w:w="994"/>
        <w:gridCol w:w="922"/>
        <w:gridCol w:w="744"/>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任职 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任期起 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任期终 止日期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期初持股数</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本期增 持股份 数量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本期减</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持股份</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数量</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其他增减变</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期末持股</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数（股）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股份增 减变动 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董事长、总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45,263,335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31,684,334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76,947,669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公司</w:t>
            </w:r>
          </w:p>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 度权益 分派</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吴超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董事、董事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会秘书、副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李冬祥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2,040,000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公司</w:t>
            </w:r>
          </w:p>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 度权益 分派</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胡振超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米旭明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宋燕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1,530,000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公司</w:t>
            </w:r>
          </w:p>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 度权益 分派</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郑呈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 xml:space="preserve">公司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 度权益 分派</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杜水合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徐纯印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公司</w:t>
            </w:r>
          </w:p>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 度权益 分派</w:t>
            </w:r>
          </w:p>
        </w:tc>
      </w:tr>
      <w:tr>
        <w:trPr>
          <w:trHeight w:val="52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王奉君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1,309,000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r>
    </w:tbl>
    <w:p>
      <w:pPr>
        <w:spacing w:lineRule="exact" w:line="1"/>
        <w:rPr>
          <w:sz w:val="2"/>
          <w:szCs w:val="2"/>
        </w:rPr>
      </w:pPr>
      <w:r>
        <w:br w:type="page"/>
      </w:r>
    </w:p>
    <w:tbl>
      <w:tblPr>
        <w:tblOverlap w:val="never"/>
        <w:jc w:val="center"/>
        <w:tblLayout w:type="fixed"/>
      </w:tblPr>
      <w:tblGrid>
        <w:gridCol w:w="739"/>
        <w:gridCol w:w="970"/>
        <w:gridCol w:w="504"/>
        <w:gridCol w:w="490"/>
        <w:gridCol w:w="389"/>
        <w:gridCol w:w="710"/>
        <w:gridCol w:w="715"/>
        <w:gridCol w:w="984"/>
        <w:gridCol w:w="710"/>
        <w:gridCol w:w="710"/>
        <w:gridCol w:w="994"/>
        <w:gridCol w:w="922"/>
        <w:gridCol w:w="744"/>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度权益 分派</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黄照程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董事、财务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总监、董事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3,060,000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1,190,000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度权益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分派</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汤彩霞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明钢生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2,095,000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公司</w:t>
            </w:r>
          </w:p>
          <w:p>
            <w:pPr>
              <w:pStyle w:val="Style2"/>
              <w:keepNext w:val="0"/>
              <w:keepLines w:val="0"/>
              <w:widowControl w:val="0"/>
              <w:shd w:val="clear" w:color="auto" w:fill="auto"/>
              <w:bidi w:val="0"/>
              <w:spacing w:before="0" w:after="0" w:line="2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 度权益 分派、 依法分 割财产</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53,183,335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89,361,669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38"/>
        <w:gridCol w:w="2558"/>
        <w:gridCol w:w="1416"/>
        <w:gridCol w:w="2126"/>
        <w:gridCol w:w="234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原因</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正常换届</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补选</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刘志坚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正常换届</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黄幼平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正常换届</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米旭明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正常换届</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王奉君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正常换届</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杜水合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黄照程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董事、财务总监、董事会秘书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分管工作调整原因</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个人原因离任</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汤彩霞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正常换届</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正常换届</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正常换届</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明钢生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正常换届</w:t>
            </w:r>
          </w:p>
        </w:tc>
      </w:tr>
    </w:tbl>
    <w:p>
      <w:pPr>
        <w:pStyle w:val="Style38"/>
        <w:keepNext/>
        <w:keepLines/>
        <w:widowControl w:val="0"/>
        <w:shd w:val="clear" w:color="auto" w:fill="auto"/>
        <w:bidi w:val="0"/>
        <w:spacing w:before="0" w:after="160" w:line="412" w:lineRule="exact"/>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、任职情况</w:t>
      </w:r>
      <w:bookmarkEnd w:id="326"/>
      <w:bookmarkEnd w:id="327"/>
      <w:bookmarkEnd w:id="329"/>
    </w:p>
    <w:p>
      <w:pPr>
        <w:pStyle w:val="Style12"/>
        <w:keepNext w:val="0"/>
        <w:keepLines w:val="0"/>
        <w:widowControl w:val="0"/>
        <w:shd w:val="clear" w:color="auto" w:fill="auto"/>
        <w:bidi w:val="0"/>
        <w:spacing w:before="0" w:after="0" w:line="4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2"/>
        <w:keepNext w:val="0"/>
        <w:keepLines w:val="0"/>
        <w:widowControl w:val="0"/>
        <w:shd w:val="clear" w:color="auto" w:fill="auto"/>
        <w:bidi w:val="0"/>
        <w:spacing w:before="0" w:after="0" w:line="412" w:lineRule="exact"/>
        <w:ind w:left="0" w:right="0" w:firstLine="440"/>
        <w:jc w:val="left"/>
      </w:pPr>
      <w:bookmarkStart w:id="330" w:name="bookmark330"/>
      <w:r>
        <w:rPr>
          <w:rFonts w:ascii="Times New Roman" w:eastAsia="Times New Roman" w:hAnsi="Times New Roman" w:cs="Times New Roman"/>
          <w:color w:val="000000"/>
          <w:spacing w:val="0"/>
          <w:w w:val="100"/>
          <w:position w:val="0"/>
        </w:rPr>
        <w:t>1</w:t>
      </w:r>
      <w:bookmarkEnd w:id="330"/>
      <w:r>
        <w:rPr>
          <w:color w:val="000000"/>
          <w:spacing w:val="0"/>
          <w:w w:val="100"/>
          <w:position w:val="0"/>
        </w:rPr>
        <w:t>、董事</w:t>
      </w:r>
    </w:p>
    <w:p>
      <w:pPr>
        <w:pStyle w:val="Style12"/>
        <w:keepNext w:val="0"/>
        <w:keepLines w:val="0"/>
        <w:widowControl w:val="0"/>
        <w:shd w:val="clear" w:color="auto" w:fill="auto"/>
        <w:tabs>
          <w:tab w:pos="923" w:val="left"/>
        </w:tabs>
        <w:bidi w:val="0"/>
        <w:spacing w:before="0" w:after="0" w:line="412" w:lineRule="exact"/>
        <w:ind w:left="0" w:right="0" w:firstLine="440"/>
        <w:jc w:val="left"/>
      </w:pPr>
      <w:bookmarkStart w:id="331" w:name="bookmark331"/>
      <w:r>
        <w:rPr>
          <w:color w:val="000000"/>
          <w:spacing w:val="0"/>
          <w:w w:val="100"/>
          <w:position w:val="0"/>
        </w:rPr>
        <w:t>（</w:t>
      </w:r>
      <w:bookmarkEnd w:id="331"/>
      <w:r>
        <w:rPr>
          <w:rFonts w:ascii="Times New Roman" w:eastAsia="Times New Roman" w:hAnsi="Times New Roman" w:cs="Times New Roman"/>
          <w:color w:val="000000"/>
          <w:spacing w:val="0"/>
          <w:w w:val="100"/>
          <w:position w:val="0"/>
        </w:rPr>
        <w:t>1</w:t>
      </w:r>
      <w:r>
        <w:rPr>
          <w:color w:val="000000"/>
          <w:spacing w:val="0"/>
          <w:w w:val="100"/>
          <w:position w:val="0"/>
        </w:rPr>
        <w:t>）</w:t>
        <w:tab/>
        <w:t>严华先生</w:t>
      </w:r>
    </w:p>
    <w:p>
      <w:pPr>
        <w:pStyle w:val="Style12"/>
        <w:keepNext w:val="0"/>
        <w:keepLines w:val="0"/>
        <w:widowControl w:val="0"/>
        <w:shd w:val="clear" w:color="auto" w:fill="auto"/>
        <w:bidi w:val="0"/>
        <w:spacing w:before="0" w:after="0" w:line="412" w:lineRule="exact"/>
        <w:ind w:left="0" w:right="0" w:firstLine="440"/>
        <w:jc w:val="both"/>
      </w:pPr>
      <w:r>
        <w:rPr>
          <w:rFonts w:ascii="Times New Roman" w:eastAsia="Times New Roman" w:hAnsi="Times New Roman" w:cs="Times New Roman"/>
          <w:color w:val="000000"/>
          <w:spacing w:val="0"/>
          <w:w w:val="100"/>
          <w:position w:val="0"/>
        </w:rPr>
        <w:t>1977</w:t>
      </w:r>
      <w:r>
        <w:rPr>
          <w:color w:val="000000"/>
          <w:spacing w:val="0"/>
          <w:w w:val="100"/>
          <w:position w:val="0"/>
        </w:rPr>
        <w:t>年生，中国国籍，无境外永久居留权，博士研究生学历。</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年任深圳市凯荣实业有 限公司销售部总监；</w:t>
      </w:r>
      <w:r>
        <w:rPr>
          <w:rFonts w:ascii="Times New Roman" w:eastAsia="Times New Roman" w:hAnsi="Times New Roman" w:cs="Times New Roman"/>
          <w:color w:val="000000"/>
          <w:spacing w:val="0"/>
          <w:w w:val="100"/>
          <w:position w:val="0"/>
        </w:rPr>
        <w:t>2003</w:t>
      </w:r>
      <w:r>
        <w:rPr>
          <w:color w:val="000000"/>
          <w:spacing w:val="0"/>
          <w:w w:val="100"/>
          <w:position w:val="0"/>
        </w:rPr>
        <w:t>年至今历任深圳法本电子及上海法本电子执行董事、董事长。</w:t>
      </w:r>
      <w:r>
        <w:rPr>
          <w:rFonts w:ascii="Times New Roman" w:eastAsia="Times New Roman" w:hAnsi="Times New Roman" w:cs="Times New Roman"/>
          <w:color w:val="000000"/>
          <w:spacing w:val="0"/>
          <w:w w:val="100"/>
          <w:position w:val="0"/>
        </w:rPr>
        <w:t>2006</w:t>
      </w:r>
      <w:r>
        <w:rPr>
          <w:color w:val="000000"/>
          <w:spacing w:val="0"/>
          <w:w w:val="100"/>
          <w:position w:val="0"/>
        </w:rPr>
        <w:t>年创办本公 司，现任公司董事长兼总经理。</w:t>
      </w:r>
    </w:p>
    <w:p>
      <w:pPr>
        <w:pStyle w:val="Style12"/>
        <w:keepNext w:val="0"/>
        <w:keepLines w:val="0"/>
        <w:widowControl w:val="0"/>
        <w:shd w:val="clear" w:color="auto" w:fill="auto"/>
        <w:tabs>
          <w:tab w:pos="923" w:val="left"/>
        </w:tabs>
        <w:bidi w:val="0"/>
        <w:spacing w:before="0" w:after="0" w:line="412" w:lineRule="exact"/>
        <w:ind w:left="0" w:right="0" w:firstLine="440"/>
        <w:jc w:val="both"/>
      </w:pPr>
      <w:bookmarkStart w:id="332" w:name="bookmark332"/>
      <w:r>
        <w:rPr>
          <w:color w:val="000000"/>
          <w:spacing w:val="0"/>
          <w:w w:val="100"/>
          <w:position w:val="0"/>
        </w:rPr>
        <w:t>（</w:t>
      </w:r>
      <w:bookmarkEnd w:id="332"/>
      <w:r>
        <w:rPr>
          <w:rFonts w:ascii="Times New Roman" w:eastAsia="Times New Roman" w:hAnsi="Times New Roman" w:cs="Times New Roman"/>
          <w:color w:val="000000"/>
          <w:spacing w:val="0"/>
          <w:w w:val="100"/>
          <w:position w:val="0"/>
        </w:rPr>
        <w:t>2</w:t>
      </w:r>
      <w:r>
        <w:rPr>
          <w:color w:val="000000"/>
          <w:spacing w:val="0"/>
          <w:w w:val="100"/>
          <w:position w:val="0"/>
        </w:rPr>
        <w:t>）</w:t>
        <w:tab/>
        <w:t>吴超先生</w:t>
      </w:r>
    </w:p>
    <w:p>
      <w:pPr>
        <w:pStyle w:val="Style12"/>
        <w:keepNext w:val="0"/>
        <w:keepLines w:val="0"/>
        <w:widowControl w:val="0"/>
        <w:shd w:val="clear" w:color="auto" w:fill="auto"/>
        <w:bidi w:val="0"/>
        <w:spacing w:before="0" w:after="0" w:line="412" w:lineRule="exact"/>
        <w:ind w:left="0" w:right="0" w:firstLine="440"/>
        <w:jc w:val="both"/>
      </w:pPr>
      <w:r>
        <w:rPr>
          <w:rFonts w:ascii="Times New Roman" w:eastAsia="Times New Roman" w:hAnsi="Times New Roman" w:cs="Times New Roman"/>
          <w:color w:val="000000"/>
          <w:spacing w:val="0"/>
          <w:w w:val="100"/>
          <w:position w:val="0"/>
        </w:rPr>
        <w:t>1987</w:t>
      </w:r>
      <w:r>
        <w:rPr>
          <w:color w:val="000000"/>
          <w:spacing w:val="0"/>
          <w:w w:val="100"/>
          <w:position w:val="0"/>
        </w:rPr>
        <w:t>年出生，中国国籍，无境外永久居留权，硕士研究生学历。吴超先生先后就职于鸿海精密工业 股份有限公司、戴尔科技集团、深圳市朗科智能电气股份有限公司；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月加入深圳市法本信息技术 股份有限公司，现任董事、公司董事会秘书兼副总经理。</w:t>
      </w:r>
    </w:p>
    <w:p>
      <w:pPr>
        <w:pStyle w:val="Style12"/>
        <w:keepNext w:val="0"/>
        <w:keepLines w:val="0"/>
        <w:widowControl w:val="0"/>
        <w:shd w:val="clear" w:color="auto" w:fill="auto"/>
        <w:tabs>
          <w:tab w:pos="923" w:val="left"/>
        </w:tabs>
        <w:bidi w:val="0"/>
        <w:spacing w:before="0" w:after="0" w:line="412" w:lineRule="exact"/>
        <w:ind w:left="0" w:right="0" w:firstLine="440"/>
        <w:jc w:val="both"/>
      </w:pPr>
      <w:bookmarkStart w:id="333" w:name="bookmark333"/>
      <w:r>
        <w:rPr>
          <w:color w:val="000000"/>
          <w:spacing w:val="0"/>
          <w:w w:val="100"/>
          <w:position w:val="0"/>
        </w:rPr>
        <w:t>（</w:t>
      </w:r>
      <w:bookmarkEnd w:id="333"/>
      <w:r>
        <w:rPr>
          <w:rFonts w:ascii="Times New Roman" w:eastAsia="Times New Roman" w:hAnsi="Times New Roman" w:cs="Times New Roman"/>
          <w:color w:val="000000"/>
          <w:spacing w:val="0"/>
          <w:w w:val="100"/>
          <w:position w:val="0"/>
        </w:rPr>
        <w:t>3</w:t>
      </w:r>
      <w:r>
        <w:rPr>
          <w:color w:val="000000"/>
          <w:spacing w:val="0"/>
          <w:w w:val="100"/>
          <w:position w:val="0"/>
        </w:rPr>
        <w:t>）</w:t>
        <w:tab/>
        <w:t>李冬祥先生</w:t>
      </w:r>
    </w:p>
    <w:p>
      <w:pPr>
        <w:pStyle w:val="Style12"/>
        <w:keepNext w:val="0"/>
        <w:keepLines w:val="0"/>
        <w:widowControl w:val="0"/>
        <w:shd w:val="clear" w:color="auto" w:fill="auto"/>
        <w:bidi w:val="0"/>
        <w:spacing w:before="0" w:after="0" w:line="412" w:lineRule="exact"/>
        <w:ind w:left="0" w:right="0" w:firstLine="440"/>
        <w:jc w:val="both"/>
      </w:pPr>
      <w:r>
        <w:rPr>
          <w:rFonts w:ascii="Times New Roman" w:eastAsia="Times New Roman" w:hAnsi="Times New Roman" w:cs="Times New Roman"/>
          <w:color w:val="000000"/>
          <w:spacing w:val="0"/>
          <w:w w:val="100"/>
          <w:position w:val="0"/>
        </w:rPr>
        <w:t>1977</w:t>
      </w:r>
      <w:r>
        <w:rPr>
          <w:color w:val="000000"/>
          <w:spacing w:val="0"/>
          <w:w w:val="100"/>
          <w:position w:val="0"/>
        </w:rPr>
        <w:t>年出生，本科学历，中国国籍，无境外永久居留权，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年任田村电子（深圳）有限 公司资财部主管；</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年任杨氏电子（香港）有限公司销售；</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年任上海法本电子 深圳分公司总经理；</w:t>
      </w:r>
      <w:r>
        <w:rPr>
          <w:rFonts w:ascii="Times New Roman" w:eastAsia="Times New Roman" w:hAnsi="Times New Roman" w:cs="Times New Roman"/>
          <w:color w:val="000000"/>
          <w:spacing w:val="0"/>
          <w:w w:val="100"/>
          <w:position w:val="0"/>
        </w:rPr>
        <w:t>2015</w:t>
      </w:r>
      <w:r>
        <w:rPr>
          <w:color w:val="000000"/>
          <w:spacing w:val="0"/>
          <w:w w:val="100"/>
          <w:position w:val="0"/>
        </w:rPr>
        <w:t>年至今历任董事、本公司上海代表处和大客户三部总经理，现任本公司董事兼 上海代表处和大客户三部总经理。</w:t>
      </w:r>
    </w:p>
    <w:p>
      <w:pPr>
        <w:pStyle w:val="Style12"/>
        <w:keepNext w:val="0"/>
        <w:keepLines w:val="0"/>
        <w:widowControl w:val="0"/>
        <w:shd w:val="clear" w:color="auto" w:fill="auto"/>
        <w:tabs>
          <w:tab w:pos="923" w:val="left"/>
        </w:tabs>
        <w:bidi w:val="0"/>
        <w:spacing w:before="0" w:after="0" w:line="412" w:lineRule="exact"/>
        <w:ind w:left="0" w:right="0" w:firstLine="440"/>
        <w:jc w:val="both"/>
      </w:pPr>
      <w:bookmarkStart w:id="334" w:name="bookmark334"/>
      <w:r>
        <w:rPr>
          <w:color w:val="000000"/>
          <w:spacing w:val="0"/>
          <w:w w:val="100"/>
          <w:position w:val="0"/>
        </w:rPr>
        <w:t>（</w:t>
      </w:r>
      <w:bookmarkEnd w:id="334"/>
      <w:r>
        <w:rPr>
          <w:rFonts w:ascii="Times New Roman" w:eastAsia="Times New Roman" w:hAnsi="Times New Roman" w:cs="Times New Roman"/>
          <w:color w:val="000000"/>
          <w:spacing w:val="0"/>
          <w:w w:val="100"/>
          <w:position w:val="0"/>
        </w:rPr>
        <w:t>4</w:t>
      </w:r>
      <w:r>
        <w:rPr>
          <w:color w:val="000000"/>
          <w:spacing w:val="0"/>
          <w:w w:val="100"/>
          <w:position w:val="0"/>
        </w:rPr>
        <w:t>）</w:t>
        <w:tab/>
        <w:t>刘志坚先生</w:t>
      </w:r>
    </w:p>
    <w:p>
      <w:pPr>
        <w:pStyle w:val="Style12"/>
        <w:keepNext w:val="0"/>
        <w:keepLines w:val="0"/>
        <w:widowControl w:val="0"/>
        <w:shd w:val="clear" w:color="auto" w:fill="auto"/>
        <w:bidi w:val="0"/>
        <w:spacing w:before="0" w:after="0" w:line="412" w:lineRule="exact"/>
        <w:ind w:left="0" w:right="0" w:firstLine="440"/>
        <w:jc w:val="both"/>
      </w:pPr>
      <w:r>
        <w:rPr>
          <w:rFonts w:ascii="Times New Roman" w:eastAsia="Times New Roman" w:hAnsi="Times New Roman" w:cs="Times New Roman"/>
          <w:color w:val="000000"/>
          <w:spacing w:val="0"/>
          <w:w w:val="100"/>
          <w:position w:val="0"/>
        </w:rPr>
        <w:t>1979</w:t>
      </w:r>
      <w:r>
        <w:rPr>
          <w:color w:val="000000"/>
          <w:spacing w:val="0"/>
          <w:w w:val="100"/>
          <w:position w:val="0"/>
        </w:rPr>
        <w:t>年生，中国国籍，无境外永久居留权，大学本科学历，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年任深圳市吉祥腾达科技 有限公司人力资源中心总监；</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年任深圳市法本电子有限公司人力资源总监；</w:t>
      </w:r>
      <w:r>
        <w:rPr>
          <w:rFonts w:ascii="Times New Roman" w:eastAsia="Times New Roman" w:hAnsi="Times New Roman" w:cs="Times New Roman"/>
          <w:color w:val="000000"/>
          <w:spacing w:val="0"/>
          <w:w w:val="100"/>
          <w:position w:val="0"/>
        </w:rPr>
        <w:t>2019</w:t>
      </w:r>
      <w:r>
        <w:rPr>
          <w:color w:val="000000"/>
          <w:spacing w:val="0"/>
          <w:w w:val="100"/>
          <w:position w:val="0"/>
        </w:rPr>
        <w:t>年至今任 董事兼公司总裁助理。</w:t>
      </w:r>
    </w:p>
    <w:p>
      <w:pPr>
        <w:pStyle w:val="Style12"/>
        <w:keepNext w:val="0"/>
        <w:keepLines w:val="0"/>
        <w:widowControl w:val="0"/>
        <w:shd w:val="clear" w:color="auto" w:fill="auto"/>
        <w:tabs>
          <w:tab w:pos="923" w:val="left"/>
        </w:tabs>
        <w:bidi w:val="0"/>
        <w:spacing w:before="0" w:after="0" w:line="412" w:lineRule="exact"/>
        <w:ind w:left="0" w:right="0" w:firstLine="440"/>
        <w:jc w:val="both"/>
      </w:pPr>
      <w:bookmarkStart w:id="335" w:name="bookmark335"/>
      <w:r>
        <w:rPr>
          <w:color w:val="000000"/>
          <w:spacing w:val="0"/>
          <w:w w:val="100"/>
          <w:position w:val="0"/>
        </w:rPr>
        <w:t>（</w:t>
      </w:r>
      <w:bookmarkEnd w:id="335"/>
      <w:r>
        <w:rPr>
          <w:rFonts w:ascii="Times New Roman" w:eastAsia="Times New Roman" w:hAnsi="Times New Roman" w:cs="Times New Roman"/>
          <w:color w:val="000000"/>
          <w:spacing w:val="0"/>
          <w:w w:val="100"/>
          <w:position w:val="0"/>
        </w:rPr>
        <w:t>5</w:t>
      </w:r>
      <w:r>
        <w:rPr>
          <w:color w:val="000000"/>
          <w:spacing w:val="0"/>
          <w:w w:val="100"/>
          <w:position w:val="0"/>
        </w:rPr>
        <w:t>）</w:t>
        <w:tab/>
        <w:t>胡振超先生</w:t>
      </w:r>
    </w:p>
    <w:p>
      <w:pPr>
        <w:pStyle w:val="Style12"/>
        <w:keepNext w:val="0"/>
        <w:keepLines w:val="0"/>
        <w:widowControl w:val="0"/>
        <w:shd w:val="clear" w:color="auto" w:fill="auto"/>
        <w:bidi w:val="0"/>
        <w:spacing w:before="0" w:after="0" w:line="412" w:lineRule="exact"/>
        <w:ind w:left="0" w:right="0" w:firstLine="440"/>
        <w:jc w:val="both"/>
      </w:pPr>
      <w:r>
        <w:rPr>
          <w:rFonts w:ascii="Times New Roman" w:eastAsia="Times New Roman" w:hAnsi="Times New Roman" w:cs="Times New Roman"/>
          <w:color w:val="000000"/>
          <w:spacing w:val="0"/>
          <w:w w:val="100"/>
          <w:position w:val="0"/>
        </w:rPr>
        <w:t>1972</w:t>
      </w:r>
      <w:r>
        <w:rPr>
          <w:color w:val="000000"/>
          <w:spacing w:val="0"/>
          <w:w w:val="100"/>
          <w:position w:val="0"/>
        </w:rPr>
        <w:t>年出生，研究生学历，会计学博士学位，中国国籍，无境外永久居留权。胡振超先生</w:t>
      </w:r>
      <w:r>
        <w:rPr>
          <w:rFonts w:ascii="Times New Roman" w:eastAsia="Times New Roman" w:hAnsi="Times New Roman" w:cs="Times New Roman"/>
          <w:color w:val="000000"/>
          <w:spacing w:val="0"/>
          <w:w w:val="100"/>
          <w:position w:val="0"/>
        </w:rPr>
        <w:t>2001</w:t>
      </w:r>
      <w:r>
        <w:rPr>
          <w:color w:val="000000"/>
          <w:spacing w:val="0"/>
          <w:w w:val="100"/>
          <w:position w:val="0"/>
        </w:rPr>
        <w:t>年任 中信二十一世纪（中国）科技有限公司深圳办事处投资经理；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年任深圳市科普特投资发展 股份有限公司投资发展部兼财务部部长；</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年任深圳市富安娜家居用品股份有限公司副总经 理、财务总监兼董事会秘书；</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月任深圳麟烽投资管理有限公司总经理；现任宁波猛 麟投资合伙企业（有限合伙）的执行事务合伙人，共青城泰然私募基金管理有限公司投资总监，深圳万 讯自控股份有限公司独立董事，中山大学管理学院校外导师；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月起至今任本公司独立董事。</w:t>
      </w:r>
    </w:p>
    <w:p>
      <w:pPr>
        <w:pStyle w:val="Style12"/>
        <w:keepNext w:val="0"/>
        <w:keepLines w:val="0"/>
        <w:widowControl w:val="0"/>
        <w:shd w:val="clear" w:color="auto" w:fill="auto"/>
        <w:tabs>
          <w:tab w:pos="923" w:val="left"/>
        </w:tabs>
        <w:bidi w:val="0"/>
        <w:spacing w:before="0" w:after="0" w:line="412" w:lineRule="exact"/>
        <w:ind w:left="0" w:right="0" w:firstLine="440"/>
        <w:jc w:val="both"/>
      </w:pPr>
      <w:bookmarkStart w:id="336" w:name="bookmark336"/>
      <w:r>
        <w:rPr>
          <w:color w:val="000000"/>
          <w:spacing w:val="0"/>
          <w:w w:val="100"/>
          <w:position w:val="0"/>
        </w:rPr>
        <w:t>（</w:t>
      </w:r>
      <w:bookmarkEnd w:id="336"/>
      <w:r>
        <w:rPr>
          <w:rFonts w:ascii="Times New Roman" w:eastAsia="Times New Roman" w:hAnsi="Times New Roman" w:cs="Times New Roman"/>
          <w:color w:val="000000"/>
          <w:spacing w:val="0"/>
          <w:w w:val="100"/>
          <w:position w:val="0"/>
        </w:rPr>
        <w:t>6</w:t>
      </w:r>
      <w:r>
        <w:rPr>
          <w:color w:val="000000"/>
          <w:spacing w:val="0"/>
          <w:w w:val="100"/>
          <w:position w:val="0"/>
        </w:rPr>
        <w:t>）</w:t>
        <w:tab/>
        <w:t>黄幼平女士</w:t>
      </w:r>
    </w:p>
    <w:p>
      <w:pPr>
        <w:pStyle w:val="Style12"/>
        <w:keepNext w:val="0"/>
        <w:keepLines w:val="0"/>
        <w:widowControl w:val="0"/>
        <w:shd w:val="clear" w:color="auto" w:fill="auto"/>
        <w:bidi w:val="0"/>
        <w:spacing w:before="0" w:after="0" w:line="412" w:lineRule="exact"/>
        <w:ind w:left="0" w:right="0" w:firstLine="440"/>
        <w:jc w:val="both"/>
      </w:pP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年出生，中国国籍，无境外永久居留权，北京大学汇丰商学院工商管理硕士，</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 任深圳市科陆电子科技股份有限公司董事、董事会秘书；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月任江苏紫天传媒科技股 份有限公司独立董事；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月任深圳市赛为智能股份有限公司独立董事，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 任本公司独立董事。</w:t>
      </w:r>
    </w:p>
    <w:p>
      <w:pPr>
        <w:pStyle w:val="Style12"/>
        <w:keepNext w:val="0"/>
        <w:keepLines w:val="0"/>
        <w:widowControl w:val="0"/>
        <w:shd w:val="clear" w:color="auto" w:fill="auto"/>
        <w:tabs>
          <w:tab w:pos="923" w:val="left"/>
        </w:tabs>
        <w:bidi w:val="0"/>
        <w:spacing w:before="0" w:after="0" w:line="412" w:lineRule="exact"/>
        <w:ind w:left="0" w:right="0" w:firstLine="440"/>
        <w:jc w:val="both"/>
      </w:pPr>
      <w:bookmarkStart w:id="337" w:name="bookmark337"/>
      <w:r>
        <w:rPr>
          <w:color w:val="000000"/>
          <w:spacing w:val="0"/>
          <w:w w:val="100"/>
          <w:position w:val="0"/>
        </w:rPr>
        <w:t>（</w:t>
      </w:r>
      <w:bookmarkEnd w:id="337"/>
      <w:r>
        <w:rPr>
          <w:rFonts w:ascii="Times New Roman" w:eastAsia="Times New Roman" w:hAnsi="Times New Roman" w:cs="Times New Roman"/>
          <w:color w:val="000000"/>
          <w:spacing w:val="0"/>
          <w:w w:val="100"/>
          <w:position w:val="0"/>
        </w:rPr>
        <w:t>7</w:t>
      </w:r>
      <w:r>
        <w:rPr>
          <w:color w:val="000000"/>
          <w:spacing w:val="0"/>
          <w:w w:val="100"/>
          <w:position w:val="0"/>
        </w:rPr>
        <w:t>）</w:t>
        <w:tab/>
        <w:t>米旭明先生</w:t>
      </w:r>
    </w:p>
    <w:p>
      <w:pPr>
        <w:pStyle w:val="Style12"/>
        <w:keepNext w:val="0"/>
        <w:keepLines w:val="0"/>
        <w:widowControl w:val="0"/>
        <w:shd w:val="clear" w:color="auto" w:fill="auto"/>
        <w:bidi w:val="0"/>
        <w:spacing w:before="0" w:after="0" w:line="412" w:lineRule="exact"/>
        <w:ind w:left="0" w:right="0" w:firstLine="440"/>
        <w:jc w:val="both"/>
      </w:pP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w:t>
      </w:r>
      <w:r>
        <w:rPr>
          <w:color w:val="000000"/>
          <w:spacing w:val="0"/>
          <w:w w:val="100"/>
          <w:position w:val="0"/>
        </w:rPr>
        <w:t>，</w:t>
      </w:r>
      <w:r>
        <w:rPr>
          <w:color w:val="000000"/>
          <w:spacing w:val="0"/>
          <w:w w:val="100"/>
          <w:position w:val="0"/>
        </w:rPr>
        <w:t>无境外永久居留权</w:t>
      </w:r>
      <w:r>
        <w:rPr>
          <w:color w:val="000000"/>
          <w:spacing w:val="0"/>
          <w:w w:val="100"/>
          <w:position w:val="0"/>
        </w:rPr>
        <w:t>，</w:t>
      </w:r>
      <w:r>
        <w:rPr>
          <w:color w:val="000000"/>
          <w:spacing w:val="0"/>
          <w:w w:val="100"/>
          <w:position w:val="0"/>
        </w:rPr>
        <w:t>管理学博士，应用经济学博士后。米旭明先生</w:t>
      </w:r>
      <w:r>
        <w:rPr>
          <w:rFonts w:ascii="Times New Roman" w:eastAsia="Times New Roman" w:hAnsi="Times New Roman" w:cs="Times New Roman"/>
          <w:color w:val="000000"/>
          <w:spacing w:val="0"/>
          <w:w w:val="100"/>
          <w:position w:val="0"/>
        </w:rPr>
        <w:t>1998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月任上海宝钢冶金建设公司技术员；</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月任深圳大学讲师；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月任厦门大学经济学院应用经济学博士后流动站博士后；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月至今，任深圳大学副教 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月，任深圳冰川网络股份有限公司独立董事；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月任英国埃 克塞特大学</w:t>
      </w:r>
      <w:r>
        <w:rPr>
          <w:color w:val="000000"/>
          <w:spacing w:val="0"/>
          <w:w w:val="100"/>
          <w:position w:val="0"/>
        </w:rPr>
        <w:t>（</w:t>
      </w:r>
      <w:r>
        <w:rPr>
          <w:rFonts w:ascii="Times New Roman" w:eastAsia="Times New Roman" w:hAnsi="Times New Roman" w:cs="Times New Roman"/>
          <w:color w:val="000000"/>
          <w:spacing w:val="0"/>
          <w:w w:val="100"/>
          <w:position w:val="0"/>
        </w:rPr>
        <w:t>University of Exeter</w:t>
      </w:r>
      <w:r>
        <w:rPr>
          <w:color w:val="000000"/>
          <w:spacing w:val="0"/>
          <w:w w:val="100"/>
          <w:position w:val="0"/>
        </w:rPr>
        <w:t>）</w:t>
      </w:r>
      <w:r>
        <w:rPr>
          <w:color w:val="000000"/>
          <w:spacing w:val="0"/>
          <w:w w:val="100"/>
          <w:position w:val="0"/>
        </w:rPr>
        <w:t>会计系访问学者；</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月任深圳冰川网络股份有限公 司独立董事；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月至今任华林证券股份有限公司独立董事；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月至今任深圳经济特区房地产</w:t>
      </w:r>
    </w:p>
    <w:p>
      <w:pPr>
        <w:pStyle w:val="Style12"/>
        <w:keepNext w:val="0"/>
        <w:keepLines w:val="0"/>
        <w:widowControl w:val="0"/>
        <w:shd w:val="clear" w:color="auto" w:fill="auto"/>
        <w:bidi w:val="0"/>
        <w:spacing w:before="0" w:after="0" w:line="410" w:lineRule="exact"/>
        <w:ind w:left="0" w:right="0" w:firstLine="0"/>
        <w:jc w:val="left"/>
      </w:pPr>
      <w:r>
        <w:rPr>
          <w:color w:val="000000"/>
          <w:spacing w:val="0"/>
          <w:w w:val="100"/>
          <w:position w:val="0"/>
        </w:rPr>
        <w:t>（集团）股份有限公司独立董事，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月至今任本公司独立董事。</w:t>
      </w:r>
    </w:p>
    <w:p>
      <w:pPr>
        <w:pStyle w:val="Style12"/>
        <w:keepNext w:val="0"/>
        <w:keepLines w:val="0"/>
        <w:widowControl w:val="0"/>
        <w:shd w:val="clear" w:color="auto" w:fill="auto"/>
        <w:tabs>
          <w:tab w:pos="888" w:val="left"/>
        </w:tabs>
        <w:bidi w:val="0"/>
        <w:spacing w:before="0" w:after="0" w:line="410" w:lineRule="exact"/>
        <w:ind w:left="0" w:right="0" w:firstLine="500"/>
        <w:jc w:val="both"/>
      </w:pPr>
      <w:bookmarkStart w:id="338" w:name="bookmark338"/>
      <w:r>
        <w:rPr>
          <w:rFonts w:ascii="Times New Roman" w:eastAsia="Times New Roman" w:hAnsi="Times New Roman" w:cs="Times New Roman"/>
          <w:color w:val="000000"/>
          <w:spacing w:val="0"/>
          <w:w w:val="100"/>
          <w:position w:val="0"/>
        </w:rPr>
        <w:t>2</w:t>
      </w:r>
      <w:bookmarkEnd w:id="338"/>
      <w:r>
        <w:rPr>
          <w:color w:val="000000"/>
          <w:spacing w:val="0"/>
          <w:w w:val="100"/>
          <w:position w:val="0"/>
        </w:rPr>
        <w:t>、</w:t>
        <w:tab/>
        <w:t>监事</w:t>
      </w:r>
    </w:p>
    <w:p>
      <w:pPr>
        <w:pStyle w:val="Style12"/>
        <w:keepNext w:val="0"/>
        <w:keepLines w:val="0"/>
        <w:widowControl w:val="0"/>
        <w:shd w:val="clear" w:color="auto" w:fill="auto"/>
        <w:tabs>
          <w:tab w:pos="967" w:val="left"/>
        </w:tabs>
        <w:bidi w:val="0"/>
        <w:spacing w:before="0" w:after="0" w:line="410" w:lineRule="exact"/>
        <w:ind w:left="0" w:right="0" w:firstLine="500"/>
        <w:jc w:val="both"/>
      </w:pPr>
      <w:bookmarkStart w:id="339" w:name="bookmark339"/>
      <w:r>
        <w:rPr>
          <w:color w:val="000000"/>
          <w:spacing w:val="0"/>
          <w:w w:val="100"/>
          <w:position w:val="0"/>
        </w:rPr>
        <w:t>（</w:t>
      </w:r>
      <w:bookmarkEnd w:id="339"/>
      <w:r>
        <w:rPr>
          <w:rFonts w:ascii="Times New Roman" w:eastAsia="Times New Roman" w:hAnsi="Times New Roman" w:cs="Times New Roman"/>
          <w:color w:val="000000"/>
          <w:spacing w:val="0"/>
          <w:w w:val="100"/>
          <w:position w:val="0"/>
        </w:rPr>
        <w:t>1</w:t>
      </w:r>
      <w:r>
        <w:rPr>
          <w:color w:val="000000"/>
          <w:spacing w:val="0"/>
          <w:w w:val="100"/>
          <w:position w:val="0"/>
        </w:rPr>
        <w:t>）</w:t>
        <w:tab/>
        <w:t>徐纯印先生</w:t>
      </w:r>
    </w:p>
    <w:p>
      <w:pPr>
        <w:pStyle w:val="Style12"/>
        <w:keepNext w:val="0"/>
        <w:keepLines w:val="0"/>
        <w:widowControl w:val="0"/>
        <w:shd w:val="clear" w:color="auto" w:fill="auto"/>
        <w:bidi w:val="0"/>
        <w:spacing w:before="0" w:after="0" w:line="410" w:lineRule="exact"/>
        <w:ind w:left="0" w:right="0" w:firstLine="500"/>
        <w:jc w:val="both"/>
      </w:pPr>
      <w:r>
        <w:rPr>
          <w:rFonts w:ascii="Times New Roman" w:eastAsia="Times New Roman" w:hAnsi="Times New Roman" w:cs="Times New Roman"/>
          <w:color w:val="000000"/>
          <w:spacing w:val="0"/>
          <w:w w:val="100"/>
          <w:position w:val="0"/>
        </w:rPr>
        <w:t>1980</w:t>
      </w:r>
      <w:r>
        <w:rPr>
          <w:color w:val="000000"/>
          <w:spacing w:val="0"/>
          <w:w w:val="100"/>
          <w:position w:val="0"/>
        </w:rPr>
        <w:t>年出生，本科学历，中国国籍，无境外永久居留权，</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年任深圳市茁壮网络股份有限 公司（更名前为</w:t>
      </w:r>
      <w:r>
        <w:rPr>
          <w:rFonts w:ascii="Times New Roman" w:eastAsia="Times New Roman" w:hAnsi="Times New Roman" w:cs="Times New Roman"/>
          <w:color w:val="000000"/>
          <w:spacing w:val="0"/>
          <w:w w:val="100"/>
          <w:position w:val="0"/>
        </w:rPr>
        <w:t>“</w:t>
      </w:r>
      <w:r>
        <w:rPr>
          <w:color w:val="000000"/>
          <w:spacing w:val="0"/>
          <w:w w:val="100"/>
          <w:position w:val="0"/>
        </w:rPr>
        <w:t>深圳市茁壮网络技术有限公司</w:t>
      </w:r>
      <w:r>
        <w:rPr>
          <w:rFonts w:ascii="Times New Roman" w:eastAsia="Times New Roman" w:hAnsi="Times New Roman" w:cs="Times New Roman"/>
          <w:color w:val="000000"/>
          <w:spacing w:val="0"/>
          <w:w w:val="100"/>
          <w:position w:val="0"/>
        </w:rPr>
        <w:t>”</w:t>
      </w:r>
      <w:r>
        <w:rPr>
          <w:color w:val="000000"/>
          <w:spacing w:val="0"/>
          <w:w w:val="100"/>
          <w:position w:val="0"/>
        </w:rPr>
        <w:t>）终端系统部工程师；</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年任华为技术有限公 司核心网络质量运营部工程师；</w:t>
      </w:r>
      <w:r>
        <w:rPr>
          <w:rFonts w:ascii="Times New Roman" w:eastAsia="Times New Roman" w:hAnsi="Times New Roman" w:cs="Times New Roman"/>
          <w:color w:val="000000"/>
          <w:spacing w:val="0"/>
          <w:w w:val="100"/>
          <w:position w:val="0"/>
        </w:rPr>
        <w:t>2015</w:t>
      </w:r>
      <w:r>
        <w:rPr>
          <w:color w:val="000000"/>
          <w:spacing w:val="0"/>
          <w:w w:val="100"/>
          <w:position w:val="0"/>
        </w:rPr>
        <w:t>年至今历任本公司质量运营总监，现任本公司监事会主席兼大客户一 部系统三部部长。</w:t>
      </w:r>
    </w:p>
    <w:p>
      <w:pPr>
        <w:pStyle w:val="Style12"/>
        <w:keepNext w:val="0"/>
        <w:keepLines w:val="0"/>
        <w:widowControl w:val="0"/>
        <w:shd w:val="clear" w:color="auto" w:fill="auto"/>
        <w:tabs>
          <w:tab w:pos="967" w:val="left"/>
        </w:tabs>
        <w:bidi w:val="0"/>
        <w:spacing w:before="0" w:after="0" w:line="410" w:lineRule="exact"/>
        <w:ind w:left="0" w:right="0" w:firstLine="500"/>
        <w:jc w:val="both"/>
      </w:pPr>
      <w:bookmarkStart w:id="340" w:name="bookmark340"/>
      <w:r>
        <w:rPr>
          <w:color w:val="000000"/>
          <w:spacing w:val="0"/>
          <w:w w:val="100"/>
          <w:position w:val="0"/>
        </w:rPr>
        <w:t>（</w:t>
      </w:r>
      <w:bookmarkEnd w:id="340"/>
      <w:r>
        <w:rPr>
          <w:rFonts w:ascii="Times New Roman" w:eastAsia="Times New Roman" w:hAnsi="Times New Roman" w:cs="Times New Roman"/>
          <w:color w:val="000000"/>
          <w:spacing w:val="0"/>
          <w:w w:val="100"/>
          <w:position w:val="0"/>
        </w:rPr>
        <w:t>2</w:t>
      </w:r>
      <w:r>
        <w:rPr>
          <w:color w:val="000000"/>
          <w:spacing w:val="0"/>
          <w:w w:val="100"/>
          <w:position w:val="0"/>
        </w:rPr>
        <w:t>）</w:t>
        <w:tab/>
        <w:t>王奉君先生</w:t>
      </w:r>
    </w:p>
    <w:p>
      <w:pPr>
        <w:pStyle w:val="Style12"/>
        <w:keepNext w:val="0"/>
        <w:keepLines w:val="0"/>
        <w:widowControl w:val="0"/>
        <w:shd w:val="clear" w:color="auto" w:fill="auto"/>
        <w:bidi w:val="0"/>
        <w:spacing w:before="0" w:after="0" w:line="410" w:lineRule="exact"/>
        <w:ind w:left="0" w:right="0" w:firstLine="500"/>
        <w:jc w:val="both"/>
      </w:pPr>
      <w:r>
        <w:rPr>
          <w:rFonts w:ascii="Times New Roman" w:eastAsia="Times New Roman" w:hAnsi="Times New Roman" w:cs="Times New Roman"/>
          <w:color w:val="000000"/>
          <w:spacing w:val="0"/>
          <w:w w:val="100"/>
          <w:position w:val="0"/>
        </w:rPr>
        <w:t>1980</w:t>
      </w:r>
      <w:r>
        <w:rPr>
          <w:color w:val="000000"/>
          <w:spacing w:val="0"/>
          <w:w w:val="100"/>
          <w:position w:val="0"/>
        </w:rPr>
        <w:t>年出生，硕士研究生学历，中国国籍，无境外永久居留权。王奉君先生</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年任中国宝 武钢铁集团有限公司（更名前为</w:t>
      </w:r>
      <w:r>
        <w:rPr>
          <w:rFonts w:ascii="Times New Roman" w:eastAsia="Times New Roman" w:hAnsi="Times New Roman" w:cs="Times New Roman"/>
          <w:color w:val="000000"/>
          <w:spacing w:val="0"/>
          <w:w w:val="100"/>
          <w:position w:val="0"/>
        </w:rPr>
        <w:t>“</w:t>
      </w:r>
      <w:r>
        <w:rPr>
          <w:color w:val="000000"/>
          <w:spacing w:val="0"/>
          <w:w w:val="100"/>
          <w:position w:val="0"/>
        </w:rPr>
        <w:t>宝山钢铁股份有限公司</w:t>
      </w:r>
      <w:r>
        <w:rPr>
          <w:rFonts w:ascii="Times New Roman" w:eastAsia="Times New Roman" w:hAnsi="Times New Roman" w:cs="Times New Roman"/>
          <w:color w:val="000000"/>
          <w:spacing w:val="0"/>
          <w:w w:val="100"/>
          <w:position w:val="0"/>
        </w:rPr>
        <w:t>”</w:t>
      </w:r>
      <w:r>
        <w:rPr>
          <w:color w:val="000000"/>
          <w:spacing w:val="0"/>
          <w:w w:val="100"/>
          <w:position w:val="0"/>
        </w:rPr>
        <w:t>）设备部设备工程师；</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年任华为技 术有限公司全球解决方案销售部高级销售总监；</w:t>
      </w:r>
      <w:r>
        <w:rPr>
          <w:rFonts w:ascii="Times New Roman" w:eastAsia="Times New Roman" w:hAnsi="Times New Roman" w:cs="Times New Roman"/>
          <w:color w:val="000000"/>
          <w:spacing w:val="0"/>
          <w:w w:val="100"/>
          <w:position w:val="0"/>
        </w:rPr>
        <w:t>2015</w:t>
      </w:r>
      <w:r>
        <w:rPr>
          <w:color w:val="000000"/>
          <w:spacing w:val="0"/>
          <w:w w:val="100"/>
          <w:position w:val="0"/>
        </w:rPr>
        <w:t>年至今历任本公司事业二部总经理、深圳代表处金融 系统部部长、深圳代表处金融系统部部长、客户与销售管理中心商务部总监，现任本公司销售管理部商务 部总监，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月至今兼任公司监事。</w:t>
      </w:r>
    </w:p>
    <w:p>
      <w:pPr>
        <w:pStyle w:val="Style12"/>
        <w:keepNext w:val="0"/>
        <w:keepLines w:val="0"/>
        <w:widowControl w:val="0"/>
        <w:shd w:val="clear" w:color="auto" w:fill="auto"/>
        <w:tabs>
          <w:tab w:pos="967" w:val="left"/>
        </w:tabs>
        <w:bidi w:val="0"/>
        <w:spacing w:before="0" w:after="0" w:line="410" w:lineRule="exact"/>
        <w:ind w:left="0" w:right="0" w:firstLine="500"/>
        <w:jc w:val="both"/>
      </w:pPr>
      <w:bookmarkStart w:id="341" w:name="bookmark341"/>
      <w:r>
        <w:rPr>
          <w:color w:val="000000"/>
          <w:spacing w:val="0"/>
          <w:w w:val="100"/>
          <w:position w:val="0"/>
        </w:rPr>
        <w:t>（</w:t>
      </w:r>
      <w:bookmarkEnd w:id="341"/>
      <w:r>
        <w:rPr>
          <w:rFonts w:ascii="Times New Roman" w:eastAsia="Times New Roman" w:hAnsi="Times New Roman" w:cs="Times New Roman"/>
          <w:color w:val="000000"/>
          <w:spacing w:val="0"/>
          <w:w w:val="100"/>
          <w:position w:val="0"/>
        </w:rPr>
        <w:t>3</w:t>
      </w:r>
      <w:r>
        <w:rPr>
          <w:color w:val="000000"/>
          <w:spacing w:val="0"/>
          <w:w w:val="100"/>
          <w:position w:val="0"/>
        </w:rPr>
        <w:t>）</w:t>
        <w:tab/>
        <w:t>王勇先生</w:t>
      </w:r>
    </w:p>
    <w:p>
      <w:pPr>
        <w:pStyle w:val="Style12"/>
        <w:keepNext w:val="0"/>
        <w:keepLines w:val="0"/>
        <w:widowControl w:val="0"/>
        <w:shd w:val="clear" w:color="auto" w:fill="auto"/>
        <w:bidi w:val="0"/>
        <w:spacing w:before="0" w:after="0" w:line="410" w:lineRule="exact"/>
        <w:ind w:left="0" w:right="0" w:firstLine="500"/>
        <w:jc w:val="both"/>
      </w:pPr>
      <w:r>
        <w:rPr>
          <w:rFonts w:ascii="Times New Roman" w:eastAsia="Times New Roman" w:hAnsi="Times New Roman" w:cs="Times New Roman"/>
          <w:color w:val="000000"/>
          <w:spacing w:val="0"/>
          <w:w w:val="100"/>
          <w:position w:val="0"/>
        </w:rPr>
        <w:t>1978</w:t>
      </w:r>
      <w:r>
        <w:rPr>
          <w:color w:val="000000"/>
          <w:spacing w:val="0"/>
          <w:w w:val="100"/>
          <w:position w:val="0"/>
        </w:rPr>
        <w:t>年出生，本科学历，中国国籍，无境外永久居留权。王勇先生</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年任深圳市思创智能 科技有限公司软件工程师；</w:t>
      </w:r>
      <w:r>
        <w:rPr>
          <w:rFonts w:ascii="Times New Roman" w:eastAsia="Times New Roman" w:hAnsi="Times New Roman" w:cs="Times New Roman"/>
          <w:color w:val="000000"/>
          <w:spacing w:val="0"/>
          <w:w w:val="100"/>
          <w:position w:val="0"/>
        </w:rPr>
        <w:t>2004</w:t>
      </w:r>
      <w:r>
        <w:rPr>
          <w:color w:val="000000"/>
          <w:spacing w:val="0"/>
          <w:w w:val="100"/>
          <w:position w:val="0"/>
        </w:rPr>
        <w:t>年任深圳市成博数码科技发展有限公司（更名前为</w:t>
      </w:r>
      <w:r>
        <w:rPr>
          <w:rFonts w:ascii="Times New Roman" w:eastAsia="Times New Roman" w:hAnsi="Times New Roman" w:cs="Times New Roman"/>
          <w:color w:val="000000"/>
          <w:spacing w:val="0"/>
          <w:w w:val="100"/>
          <w:position w:val="0"/>
        </w:rPr>
        <w:t>“</w:t>
      </w:r>
      <w:r>
        <w:rPr>
          <w:color w:val="000000"/>
          <w:spacing w:val="0"/>
          <w:w w:val="100"/>
          <w:position w:val="0"/>
        </w:rPr>
        <w:t>深圳市成博投资发展有 限公司</w:t>
      </w:r>
      <w:r>
        <w:rPr>
          <w:rFonts w:ascii="Times New Roman" w:eastAsia="Times New Roman" w:hAnsi="Times New Roman" w:cs="Times New Roman"/>
          <w:color w:val="000000"/>
          <w:spacing w:val="0"/>
          <w:w w:val="100"/>
          <w:position w:val="0"/>
        </w:rPr>
        <w:t>”</w:t>
      </w:r>
      <w:r>
        <w:rPr>
          <w:color w:val="000000"/>
          <w:spacing w:val="0"/>
          <w:w w:val="100"/>
          <w:position w:val="0"/>
        </w:rPr>
        <w:t>）软件工程师；</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年任深圳市金华业软件系统有限公司工程师；</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年任亿利 达集团有限公司工程部测试主管；</w:t>
      </w:r>
      <w:r>
        <w:rPr>
          <w:rFonts w:ascii="Times New Roman" w:eastAsia="Times New Roman" w:hAnsi="Times New Roman" w:cs="Times New Roman"/>
          <w:color w:val="000000"/>
          <w:spacing w:val="0"/>
          <w:w w:val="100"/>
          <w:position w:val="0"/>
        </w:rPr>
        <w:t>2007</w:t>
      </w:r>
      <w:r>
        <w:rPr>
          <w:color w:val="000000"/>
          <w:spacing w:val="0"/>
          <w:w w:val="100"/>
          <w:position w:val="0"/>
        </w:rPr>
        <w:t>年至今历任本公司深圳代表处销售部销售主管、销售总监，现任本 公司职工代表监事兼深圳代表处销售一部副总监。</w:t>
      </w:r>
    </w:p>
    <w:p>
      <w:pPr>
        <w:pStyle w:val="Style12"/>
        <w:keepNext w:val="0"/>
        <w:keepLines w:val="0"/>
        <w:widowControl w:val="0"/>
        <w:shd w:val="clear" w:color="auto" w:fill="auto"/>
        <w:tabs>
          <w:tab w:pos="888" w:val="left"/>
        </w:tabs>
        <w:bidi w:val="0"/>
        <w:spacing w:before="0" w:after="0" w:line="410" w:lineRule="exact"/>
        <w:ind w:left="0" w:right="0" w:firstLine="500"/>
        <w:jc w:val="both"/>
      </w:pPr>
      <w:bookmarkStart w:id="342" w:name="bookmark342"/>
      <w:r>
        <w:rPr>
          <w:rFonts w:ascii="Times New Roman" w:eastAsia="Times New Roman" w:hAnsi="Times New Roman" w:cs="Times New Roman"/>
          <w:color w:val="000000"/>
          <w:spacing w:val="0"/>
          <w:w w:val="100"/>
          <w:position w:val="0"/>
        </w:rPr>
        <w:t>3</w:t>
      </w:r>
      <w:bookmarkEnd w:id="342"/>
      <w:r>
        <w:rPr>
          <w:color w:val="000000"/>
          <w:spacing w:val="0"/>
          <w:w w:val="100"/>
          <w:position w:val="0"/>
        </w:rPr>
        <w:t>、</w:t>
        <w:tab/>
        <w:t>其他高级管理人员</w:t>
      </w:r>
    </w:p>
    <w:p>
      <w:pPr>
        <w:pStyle w:val="Style12"/>
        <w:keepNext w:val="0"/>
        <w:keepLines w:val="0"/>
        <w:widowControl w:val="0"/>
        <w:shd w:val="clear" w:color="auto" w:fill="auto"/>
        <w:tabs>
          <w:tab w:pos="967" w:val="left"/>
        </w:tabs>
        <w:bidi w:val="0"/>
        <w:spacing w:before="0" w:after="0" w:line="410" w:lineRule="exact"/>
        <w:ind w:left="0" w:right="0" w:firstLine="500"/>
        <w:jc w:val="both"/>
      </w:pPr>
      <w:bookmarkStart w:id="343" w:name="bookmark343"/>
      <w:r>
        <w:rPr>
          <w:color w:val="000000"/>
          <w:spacing w:val="0"/>
          <w:w w:val="100"/>
          <w:position w:val="0"/>
        </w:rPr>
        <w:t>（</w:t>
      </w:r>
      <w:bookmarkEnd w:id="343"/>
      <w:r>
        <w:rPr>
          <w:rFonts w:ascii="Times New Roman" w:eastAsia="Times New Roman" w:hAnsi="Times New Roman" w:cs="Times New Roman"/>
          <w:color w:val="000000"/>
          <w:spacing w:val="0"/>
          <w:w w:val="100"/>
          <w:position w:val="0"/>
        </w:rPr>
        <w:t>1</w:t>
      </w:r>
      <w:r>
        <w:rPr>
          <w:color w:val="000000"/>
          <w:spacing w:val="0"/>
          <w:w w:val="100"/>
          <w:position w:val="0"/>
        </w:rPr>
        <w:t>）</w:t>
        <w:tab/>
        <w:t>郑呈先生</w:t>
      </w:r>
    </w:p>
    <w:p>
      <w:pPr>
        <w:pStyle w:val="Style12"/>
        <w:keepNext w:val="0"/>
        <w:keepLines w:val="0"/>
        <w:widowControl w:val="0"/>
        <w:shd w:val="clear" w:color="auto" w:fill="auto"/>
        <w:bidi w:val="0"/>
        <w:spacing w:before="0" w:after="0" w:line="410" w:lineRule="exact"/>
        <w:ind w:left="0" w:right="0" w:firstLine="500"/>
        <w:jc w:val="both"/>
      </w:pPr>
      <w:r>
        <w:rPr>
          <w:rFonts w:ascii="Times New Roman" w:eastAsia="Times New Roman" w:hAnsi="Times New Roman" w:cs="Times New Roman"/>
          <w:color w:val="000000"/>
          <w:spacing w:val="0"/>
          <w:w w:val="100"/>
          <w:position w:val="0"/>
        </w:rPr>
        <w:t>1980</w:t>
      </w:r>
      <w:r>
        <w:rPr>
          <w:color w:val="000000"/>
          <w:spacing w:val="0"/>
          <w:w w:val="100"/>
          <w:position w:val="0"/>
        </w:rPr>
        <w:t>年出生，大专学历，中国国籍，无境外永久居留权，</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年任重庆华凌工业有限公司网 络工程师；</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年任天津水泥工业设计研究院信息技术工程师；</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年任前锦网络信息 技术（上海）有限公司深圳分公司销售经理；</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年任深圳市四季丰实业发展有限公司销售经理； </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年任深圳市易思博信息技术有限公司销售经理；</w:t>
      </w:r>
      <w:r>
        <w:rPr>
          <w:rFonts w:ascii="Times New Roman" w:eastAsia="Times New Roman" w:hAnsi="Times New Roman" w:cs="Times New Roman"/>
          <w:color w:val="000000"/>
          <w:spacing w:val="0"/>
          <w:w w:val="100"/>
          <w:position w:val="0"/>
        </w:rPr>
        <w:t>2011</w:t>
      </w:r>
      <w:r>
        <w:rPr>
          <w:color w:val="000000"/>
          <w:spacing w:val="0"/>
          <w:w w:val="100"/>
          <w:position w:val="0"/>
        </w:rPr>
        <w:t>年至今历任本公司销售经理、大客户一 部总经理、副总经理，现任本公司副总经理兼销售管理部总监。</w:t>
      </w:r>
    </w:p>
    <w:p>
      <w:pPr>
        <w:pStyle w:val="Style12"/>
        <w:keepNext w:val="0"/>
        <w:keepLines w:val="0"/>
        <w:widowControl w:val="0"/>
        <w:shd w:val="clear" w:color="auto" w:fill="auto"/>
        <w:tabs>
          <w:tab w:pos="967" w:val="left"/>
        </w:tabs>
        <w:bidi w:val="0"/>
        <w:spacing w:before="0" w:after="0" w:line="410" w:lineRule="exact"/>
        <w:ind w:left="0" w:right="0" w:firstLine="500"/>
        <w:jc w:val="both"/>
      </w:pPr>
      <w:bookmarkStart w:id="344" w:name="bookmark344"/>
      <w:r>
        <w:rPr>
          <w:color w:val="000000"/>
          <w:spacing w:val="0"/>
          <w:w w:val="100"/>
          <w:position w:val="0"/>
        </w:rPr>
        <w:t>（</w:t>
      </w:r>
      <w:bookmarkEnd w:id="344"/>
      <w:r>
        <w:rPr>
          <w:rFonts w:ascii="Times New Roman" w:eastAsia="Times New Roman" w:hAnsi="Times New Roman" w:cs="Times New Roman"/>
          <w:color w:val="000000"/>
          <w:spacing w:val="0"/>
          <w:w w:val="100"/>
          <w:position w:val="0"/>
        </w:rPr>
        <w:t>2</w:t>
      </w:r>
      <w:r>
        <w:rPr>
          <w:color w:val="000000"/>
          <w:spacing w:val="0"/>
          <w:w w:val="100"/>
          <w:position w:val="0"/>
        </w:rPr>
        <w:t>）</w:t>
        <w:tab/>
        <w:t>宋燕女士</w:t>
      </w:r>
    </w:p>
    <w:p>
      <w:pPr>
        <w:pStyle w:val="Style12"/>
        <w:keepNext w:val="0"/>
        <w:keepLines w:val="0"/>
        <w:widowControl w:val="0"/>
        <w:shd w:val="clear" w:color="auto" w:fill="auto"/>
        <w:bidi w:val="0"/>
        <w:spacing w:before="0" w:after="0" w:line="410" w:lineRule="exact"/>
        <w:ind w:left="0" w:right="0" w:firstLine="500"/>
        <w:jc w:val="both"/>
      </w:pPr>
      <w:r>
        <w:rPr>
          <w:rFonts w:ascii="Times New Roman" w:eastAsia="Times New Roman" w:hAnsi="Times New Roman" w:cs="Times New Roman"/>
          <w:color w:val="000000"/>
          <w:spacing w:val="0"/>
          <w:w w:val="100"/>
          <w:position w:val="0"/>
        </w:rPr>
        <w:t>1979</w:t>
      </w:r>
      <w:r>
        <w:rPr>
          <w:color w:val="000000"/>
          <w:spacing w:val="0"/>
          <w:w w:val="100"/>
          <w:position w:val="0"/>
        </w:rPr>
        <w:t>年出生，大专肄业，中国国籍，无境外永久居留权，</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年历任上海法本电子财务部会 计、客服部客服主管、运营部高级经理、运营总监；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月至今历任本公司人力资源总监、行政总监、</w:t>
        <w:br w:type="page"/>
      </w:r>
      <w:r>
        <w:rPr>
          <w:color w:val="000000"/>
          <w:spacing w:val="0"/>
          <w:w w:val="100"/>
          <w:position w:val="0"/>
        </w:rPr>
        <w:t>副总经理，现任本公司副总经理兼行政总监。</w:t>
      </w:r>
    </w:p>
    <w:p>
      <w:pPr>
        <w:pStyle w:val="Style12"/>
        <w:keepNext w:val="0"/>
        <w:keepLines w:val="0"/>
        <w:widowControl w:val="0"/>
        <w:shd w:val="clear" w:color="auto" w:fill="auto"/>
        <w:bidi w:val="0"/>
        <w:spacing w:before="0" w:after="0" w:line="413" w:lineRule="exact"/>
        <w:ind w:left="0" w:right="0" w:firstLine="500"/>
        <w:jc w:val="left"/>
      </w:pPr>
      <w:bookmarkStart w:id="345" w:name="bookmark345"/>
      <w:r>
        <w:rPr>
          <w:color w:val="000000"/>
          <w:spacing w:val="0"/>
          <w:w w:val="100"/>
          <w:position w:val="0"/>
        </w:rPr>
        <w:t>（</w:t>
      </w:r>
      <w:bookmarkEnd w:id="345"/>
      <w:r>
        <w:rPr>
          <w:rFonts w:ascii="Times New Roman" w:eastAsia="Times New Roman" w:hAnsi="Times New Roman" w:cs="Times New Roman"/>
          <w:color w:val="000000"/>
          <w:spacing w:val="0"/>
          <w:w w:val="100"/>
          <w:position w:val="0"/>
        </w:rPr>
        <w:t>3</w:t>
      </w:r>
      <w:r>
        <w:rPr>
          <w:color w:val="000000"/>
          <w:spacing w:val="0"/>
          <w:w w:val="100"/>
          <w:position w:val="0"/>
        </w:rPr>
        <w:t>）杜水合先生</w:t>
      </w:r>
    </w:p>
    <w:p>
      <w:pPr>
        <w:pStyle w:val="Style12"/>
        <w:keepNext w:val="0"/>
        <w:keepLines w:val="0"/>
        <w:widowControl w:val="0"/>
        <w:shd w:val="clear" w:color="auto" w:fill="auto"/>
        <w:bidi w:val="0"/>
        <w:spacing w:before="0" w:after="140" w:line="413" w:lineRule="exact"/>
        <w:ind w:left="0" w:right="0" w:firstLine="500"/>
        <w:jc w:val="both"/>
      </w:pPr>
      <w:r>
        <w:rPr>
          <w:rFonts w:ascii="Times New Roman" w:eastAsia="Times New Roman" w:hAnsi="Times New Roman" w:cs="Times New Roman"/>
          <w:color w:val="000000"/>
          <w:spacing w:val="0"/>
          <w:w w:val="100"/>
          <w:position w:val="0"/>
        </w:rPr>
        <w:t>1980</w:t>
      </w:r>
      <w:r>
        <w:rPr>
          <w:color w:val="000000"/>
          <w:spacing w:val="0"/>
          <w:w w:val="100"/>
          <w:position w:val="0"/>
        </w:rPr>
        <w:t>年出生，中国国籍，中共党员，无境外永久居留权，本科双学士学历。杜水合先生曾任华为技术 有限公司罗马尼亚代表处</w:t>
      </w:r>
      <w:r>
        <w:rPr>
          <w:rFonts w:ascii="Times New Roman" w:eastAsia="Times New Roman" w:hAnsi="Times New Roman" w:cs="Times New Roman"/>
          <w:color w:val="000000"/>
          <w:spacing w:val="0"/>
          <w:w w:val="100"/>
          <w:position w:val="0"/>
        </w:rPr>
        <w:t>CFO</w:t>
      </w:r>
      <w:r>
        <w:rPr>
          <w:color w:val="000000"/>
          <w:spacing w:val="0"/>
          <w:w w:val="100"/>
          <w:position w:val="0"/>
        </w:rPr>
        <w:t>、</w:t>
      </w:r>
      <w:r>
        <w:rPr>
          <w:color w:val="000000"/>
          <w:spacing w:val="0"/>
          <w:w w:val="100"/>
          <w:position w:val="0"/>
        </w:rPr>
        <w:t>华为技术有限公司东北欧区域副</w:t>
      </w:r>
      <w:r>
        <w:rPr>
          <w:rFonts w:ascii="Times New Roman" w:eastAsia="Times New Roman" w:hAnsi="Times New Roman" w:cs="Times New Roman"/>
          <w:color w:val="000000"/>
          <w:spacing w:val="0"/>
          <w:w w:val="100"/>
          <w:position w:val="0"/>
        </w:rPr>
        <w:t>CFO</w:t>
      </w:r>
      <w:r>
        <w:rPr>
          <w:color w:val="000000"/>
          <w:spacing w:val="0"/>
          <w:w w:val="100"/>
          <w:position w:val="0"/>
        </w:rPr>
        <w:t>、</w:t>
      </w:r>
      <w:r>
        <w:rPr>
          <w:color w:val="000000"/>
          <w:spacing w:val="0"/>
          <w:w w:val="100"/>
          <w:position w:val="0"/>
        </w:rPr>
        <w:t xml:space="preserve">浙江亚厦装饰股份有限公司财务总 </w:t>
      </w:r>
      <w:r>
        <w:rPr>
          <w:color w:val="000000"/>
          <w:spacing w:val="0"/>
          <w:w w:val="100"/>
          <w:position w:val="0"/>
        </w:rPr>
        <w:t>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月进入公司工作，现任公司财务总监。</w:t>
      </w:r>
    </w:p>
    <w:p>
      <w:pPr>
        <w:pStyle w:val="Style1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1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82"/>
        <w:gridCol w:w="3403"/>
        <w:gridCol w:w="1416"/>
        <w:gridCol w:w="1560"/>
        <w:gridCol w:w="1171"/>
        <w:gridCol w:w="1349"/>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任职人 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在股东单位担任 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在股东单位是否 领取报酬津贴</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深圳市木加林投资合伙企业（有限合伙）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执行事务合伙人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深圳市嘉嘉通投资合伙企业（有限合伙）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执行事务合伙人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3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深圳市耕读邦投资合伙企业（有限合伙）</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执行事务合伙人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59" w:line="1" w:lineRule="exact"/>
      </w:pPr>
    </w:p>
    <w:p>
      <w:pPr>
        <w:pStyle w:val="Style1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1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3115"/>
        <w:gridCol w:w="1421"/>
        <w:gridCol w:w="1555"/>
        <w:gridCol w:w="1248"/>
        <w:gridCol w:w="1382"/>
      </w:tblGrid>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任职人员 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在其他单位担任 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140" w:right="0" w:hanging="140"/>
              <w:jc w:val="left"/>
              <w:rPr>
                <w:sz w:val="18"/>
                <w:szCs w:val="18"/>
              </w:rPr>
            </w:pPr>
            <w:r>
              <w:rPr>
                <w:color w:val="000000"/>
                <w:spacing w:val="0"/>
                <w:w w:val="100"/>
                <w:position w:val="0"/>
                <w:sz w:val="18"/>
                <w:szCs w:val="18"/>
              </w:rPr>
              <w:t>在其他单位是否 领取报酬津贴</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深圳市金之鑫投资合伙企业（有限合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深圳市人合企业管理合伙企业（有限合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深圳市法本电子有限公司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上海法本电子科技有限公司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法本电子科技（香港）有限公司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研达电子科技有限公司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深圳市之诺微电子有限公司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珠海市赫拉克电子有限公司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李冬祥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广东省新德雅教育投资有限公司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胡振超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深圳万讯自控股份有限公司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胡振超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深圳市启雾科技有限公司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胡振超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宁波猛麟投资合伙企业（有限合伙）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执行事务合伙人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胡振超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共青城泰然私募基金管理有限公司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投资总监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胡振超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深圳市一博科技股份有限公司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深圳市科陆电子科技股份有限公司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董事、董事会秘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米旭明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深圳大学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副教授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米旭明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华林证券股份有限公司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米旭明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深圳经济特区房地产（集团）股份有限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3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米旭明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深圳市极速储能科技有限公司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bl>
    <w:p>
      <w:pPr>
        <w:pStyle w:val="Style1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1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38"/>
        <w:keepNext/>
        <w:keepLines/>
        <w:widowControl w:val="0"/>
        <w:shd w:val="clear" w:color="auto" w:fill="auto"/>
        <w:bidi w:val="0"/>
        <w:spacing w:before="0" w:after="140" w:line="410" w:lineRule="exact"/>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、董事、监事、高级管理人员报酬情况</w:t>
      </w:r>
      <w:bookmarkEnd w:id="346"/>
      <w:bookmarkEnd w:id="347"/>
      <w:bookmarkEnd w:id="349"/>
    </w:p>
    <w:p>
      <w:pPr>
        <w:pStyle w:val="Style12"/>
        <w:keepNext w:val="0"/>
        <w:keepLines w:val="0"/>
        <w:widowControl w:val="0"/>
        <w:shd w:val="clear" w:color="auto" w:fill="auto"/>
        <w:bidi w:val="0"/>
        <w:spacing w:before="0" w:after="0" w:line="410" w:lineRule="exact"/>
        <w:ind w:left="0" w:right="0" w:firstLine="0"/>
        <w:jc w:val="left"/>
      </w:pPr>
      <w:r>
        <w:rPr>
          <w:color w:val="000000"/>
          <w:spacing w:val="0"/>
          <w:w w:val="100"/>
          <w:position w:val="0"/>
        </w:rPr>
        <w:t>董事、监事、高级管理人员报酬的决策程序、确定依据、实际支付情况</w:t>
      </w:r>
    </w:p>
    <w:p>
      <w:pPr>
        <w:pStyle w:val="Style12"/>
        <w:keepNext w:val="0"/>
        <w:keepLines w:val="0"/>
        <w:widowControl w:val="0"/>
        <w:shd w:val="clear" w:color="auto" w:fill="auto"/>
        <w:tabs>
          <w:tab w:pos="1122" w:val="left"/>
        </w:tabs>
        <w:bidi w:val="0"/>
        <w:spacing w:before="0" w:after="0" w:line="410" w:lineRule="exact"/>
        <w:ind w:left="0" w:right="0" w:firstLine="440"/>
        <w:jc w:val="left"/>
      </w:pPr>
      <w:bookmarkStart w:id="350" w:name="bookmark350"/>
      <w:r>
        <w:rPr>
          <w:color w:val="000000"/>
          <w:spacing w:val="0"/>
          <w:w w:val="100"/>
          <w:position w:val="0"/>
        </w:rPr>
        <w:t>（</w:t>
      </w:r>
      <w:bookmarkEnd w:id="350"/>
      <w:r>
        <w:rPr>
          <w:color w:val="000000"/>
          <w:spacing w:val="0"/>
          <w:w w:val="100"/>
          <w:position w:val="0"/>
        </w:rPr>
        <w:t>一）</w:t>
        <w:tab/>
        <w:t>决策程序：公司的董事、监事的薪酬由公司股东大会审议通过，高级管理人员的薪酬由公司 董事会审议通过。</w:t>
      </w:r>
    </w:p>
    <w:p>
      <w:pPr>
        <w:pStyle w:val="Style12"/>
        <w:keepNext w:val="0"/>
        <w:keepLines w:val="0"/>
        <w:widowControl w:val="0"/>
        <w:shd w:val="clear" w:color="auto" w:fill="auto"/>
        <w:tabs>
          <w:tab w:pos="1126" w:val="left"/>
        </w:tabs>
        <w:bidi w:val="0"/>
        <w:spacing w:before="0" w:after="0" w:line="410" w:lineRule="exact"/>
        <w:ind w:left="0" w:right="0" w:firstLine="440"/>
        <w:jc w:val="left"/>
      </w:pPr>
      <w:bookmarkStart w:id="351" w:name="bookmark351"/>
      <w:r>
        <w:rPr>
          <w:color w:val="000000"/>
          <w:spacing w:val="0"/>
          <w:w w:val="100"/>
          <w:position w:val="0"/>
        </w:rPr>
        <w:t>（</w:t>
      </w:r>
      <w:bookmarkEnd w:id="351"/>
      <w:r>
        <w:rPr>
          <w:color w:val="000000"/>
          <w:spacing w:val="0"/>
          <w:w w:val="100"/>
          <w:position w:val="0"/>
        </w:rPr>
        <w:t>二）</w:t>
        <w:tab/>
        <w:t>确定依据：董事、监事、高级管理人员为公司员工，其报酬的确定依据依据公司盈利水平及 董事、监事、高级管理人员的职责履行情况并结合年度绩效完成情况综合确定；独立董事津贴依据股东 大会审议标准执行、非公司员工监事不在公司领取薪酬或津贴。</w:t>
      </w:r>
    </w:p>
    <w:p>
      <w:pPr>
        <w:pStyle w:val="Style12"/>
        <w:keepNext w:val="0"/>
        <w:keepLines w:val="0"/>
        <w:widowControl w:val="0"/>
        <w:shd w:val="clear" w:color="auto" w:fill="auto"/>
        <w:tabs>
          <w:tab w:pos="1122" w:val="left"/>
        </w:tabs>
        <w:bidi w:val="0"/>
        <w:spacing w:before="0" w:after="0" w:line="410" w:lineRule="exact"/>
        <w:ind w:left="0" w:right="0" w:firstLine="440"/>
        <w:jc w:val="left"/>
      </w:pPr>
      <w:bookmarkStart w:id="352" w:name="bookmark352"/>
      <w:r>
        <w:rPr>
          <w:color w:val="000000"/>
          <w:spacing w:val="0"/>
          <w:w w:val="100"/>
          <w:position w:val="0"/>
        </w:rPr>
        <w:t>（</w:t>
      </w:r>
      <w:bookmarkEnd w:id="352"/>
      <w:r>
        <w:rPr>
          <w:color w:val="000000"/>
          <w:spacing w:val="0"/>
          <w:w w:val="100"/>
          <w:position w:val="0"/>
        </w:rPr>
        <w:t>三）</w:t>
        <w:tab/>
        <w:t>实际支付情况：董事、监事、高级管理人员报酬的实际支付情况报告期内，董事、监事和高 级管理人员报酬已按规定发放。报告期内，公司实际支付董事、监事、高级管理人员报酬共</w:t>
      </w:r>
      <w:r>
        <w:rPr>
          <w:rFonts w:ascii="Times New Roman" w:eastAsia="Times New Roman" w:hAnsi="Times New Roman" w:cs="Times New Roman"/>
          <w:color w:val="000000"/>
          <w:spacing w:val="0"/>
          <w:w w:val="100"/>
          <w:position w:val="0"/>
        </w:rPr>
        <w:t>1,248.64</w:t>
      </w:r>
      <w:r>
        <w:rPr>
          <w:color w:val="000000"/>
          <w:spacing w:val="0"/>
          <w:w w:val="100"/>
          <w:position w:val="0"/>
        </w:rPr>
        <w:t>万 元。</w:t>
      </w:r>
    </w:p>
    <w:p>
      <w:pPr>
        <w:pStyle w:val="Style12"/>
        <w:keepNext w:val="0"/>
        <w:keepLines w:val="0"/>
        <w:widowControl w:val="0"/>
        <w:shd w:val="clear" w:color="auto" w:fill="auto"/>
        <w:bidi w:val="0"/>
        <w:spacing w:before="0" w:after="200" w:line="410" w:lineRule="exact"/>
        <w:ind w:left="0" w:right="0" w:firstLine="0"/>
        <w:jc w:val="left"/>
      </w:pPr>
      <w:r>
        <w:rPr>
          <w:color w:val="000000"/>
          <w:spacing w:val="0"/>
          <w:w w:val="100"/>
          <w:position w:val="0"/>
        </w:rPr>
        <w:t>公司报告期内董事、监事和高级管理人员报酬情况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58"/>
        <w:gridCol w:w="2554"/>
        <w:gridCol w:w="907"/>
        <w:gridCol w:w="898"/>
        <w:gridCol w:w="1056"/>
        <w:gridCol w:w="1397"/>
        <w:gridCol w:w="1474"/>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从公司获得的税 前报酬总额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是否在公司关联 方获取报酬</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董事、董事会秘书、副总经理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李冬祥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胡振超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米旭明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宋燕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杜水合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徐纯印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王奉君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黄照程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董事、财务总监、董事会秘书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汤彩霞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明钢生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1,248.64</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sz w:val="24"/>
          <w:szCs w:val="24"/>
        </w:rPr>
        <w:t>八</w:t>
      </w:r>
      <w:bookmarkEnd w:id="355"/>
      <w:r>
        <w:rPr>
          <w:color w:val="000000"/>
          <w:spacing w:val="0"/>
          <w:w w:val="100"/>
          <w:position w:val="0"/>
          <w:sz w:val="24"/>
          <w:szCs w:val="24"/>
        </w:rPr>
        <w:t>、报告期内董事履行职责的情况</w:t>
      </w:r>
      <w:bookmarkEnd w:id="353"/>
      <w:bookmarkEnd w:id="354"/>
      <w:bookmarkEnd w:id="356"/>
    </w:p>
    <w:p>
      <w:pPr>
        <w:pStyle w:val="Style38"/>
        <w:keepNext/>
        <w:keepLines/>
        <w:widowControl w:val="0"/>
        <w:shd w:val="clear" w:color="auto" w:fill="auto"/>
        <w:bidi w:val="0"/>
        <w:spacing w:before="0" w:after="30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1</w:t>
      </w:r>
      <w:bookmarkEnd w:id="359"/>
      <w:r>
        <w:rPr>
          <w:color w:val="000000"/>
          <w:spacing w:val="0"/>
          <w:w w:val="100"/>
          <w:position w:val="0"/>
        </w:rPr>
        <w:t>、本报告期董事会情况</w:t>
      </w:r>
      <w:bookmarkEnd w:id="357"/>
      <w:bookmarkEnd w:id="358"/>
      <w:bookmarkEnd w:id="360"/>
    </w:p>
    <w:tbl>
      <w:tblPr>
        <w:tblOverlap w:val="never"/>
        <w:jc w:val="center"/>
        <w:tblLayout w:type="fixed"/>
      </w:tblPr>
      <w:tblGrid>
        <w:gridCol w:w="1853"/>
        <w:gridCol w:w="1843"/>
        <w:gridCol w:w="1843"/>
        <w:gridCol w:w="4042"/>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bl>
    <w:p>
      <w:pPr>
        <w:spacing w:lineRule="exact" w:line="1"/>
        <w:rPr>
          <w:sz w:val="2"/>
          <w:szCs w:val="2"/>
        </w:rPr>
      </w:pPr>
      <w:r>
        <w:br w:type="page"/>
      </w:r>
    </w:p>
    <w:tbl>
      <w:tblPr>
        <w:tblOverlap w:val="never"/>
        <w:jc w:val="center"/>
        <w:tblLayout w:type="fixed"/>
      </w:tblPr>
      <w:tblGrid>
        <w:gridCol w:w="1853"/>
        <w:gridCol w:w="1843"/>
        <w:gridCol w:w="1843"/>
        <w:gridCol w:w="4042"/>
      </w:tblGrid>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第二届董事会第二十 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详见公司刊登在巨潮资讯网</w:t>
            </w:r>
          </w:p>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上的《第二届董事会</w:t>
            </w:r>
            <w:r>
              <w:rPr>
                <w:color w:val="000000"/>
                <w:spacing w:val="0"/>
                <w:w w:val="100"/>
                <w:position w:val="0"/>
                <w:sz w:val="18"/>
                <w:szCs w:val="18"/>
              </w:rPr>
              <w:t xml:space="preserve"> 第二十五次会议决议公告》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sz w:val="18"/>
                <w:szCs w:val="18"/>
              </w:rPr>
              <w:t>)</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第三届董事会第一次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详见公司刊登在巨潮资讯网</w:t>
            </w:r>
          </w:p>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上的《第三届董事会</w:t>
            </w:r>
            <w:r>
              <w:rPr>
                <w:color w:val="000000"/>
                <w:spacing w:val="0"/>
                <w:w w:val="100"/>
                <w:position w:val="0"/>
                <w:sz w:val="18"/>
                <w:szCs w:val="18"/>
              </w:rPr>
              <w:t xml:space="preserve"> 第一次会议决议公告》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2021-013</w:t>
            </w:r>
            <w:r>
              <w:rPr>
                <w:color w:val="000000"/>
                <w:spacing w:val="0"/>
                <w:w w:val="100"/>
                <w:position w:val="0"/>
                <w:sz w:val="18"/>
                <w:szCs w:val="18"/>
              </w:rPr>
              <w:t>)</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第三届董事会第二次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详见公司刊登在巨潮资讯网</w:t>
            </w:r>
          </w:p>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上的《第三届董事会</w:t>
            </w:r>
            <w:r>
              <w:rPr>
                <w:color w:val="000000"/>
                <w:spacing w:val="0"/>
                <w:w w:val="100"/>
                <w:position w:val="0"/>
                <w:sz w:val="18"/>
                <w:szCs w:val="18"/>
              </w:rPr>
              <w:t xml:space="preserve"> 第二次会议决议公告》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2021-018</w:t>
            </w:r>
            <w:r>
              <w:rPr>
                <w:color w:val="000000"/>
                <w:spacing w:val="0"/>
                <w:w w:val="100"/>
                <w:position w:val="0"/>
                <w:sz w:val="18"/>
                <w:szCs w:val="18"/>
              </w:rPr>
              <w:t>)</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第三届董事会第三次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详见公司刊登在巨潮资讯网</w:t>
            </w:r>
          </w:p>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上的《第三届董事会</w:t>
            </w:r>
            <w:r>
              <w:rPr>
                <w:color w:val="000000"/>
                <w:spacing w:val="0"/>
                <w:w w:val="100"/>
                <w:position w:val="0"/>
                <w:sz w:val="18"/>
                <w:szCs w:val="18"/>
              </w:rPr>
              <w:t xml:space="preserve"> 第三次会议决议公告》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2021-026</w:t>
            </w:r>
            <w:r>
              <w:rPr>
                <w:color w:val="000000"/>
                <w:spacing w:val="0"/>
                <w:w w:val="100"/>
                <w:position w:val="0"/>
                <w:sz w:val="18"/>
                <w:szCs w:val="18"/>
              </w:rPr>
              <w:t>)</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第三届董事会第四次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详见公司刊登在巨潮资讯网</w:t>
            </w:r>
          </w:p>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上的《第三届董事会</w:t>
            </w:r>
            <w:r>
              <w:rPr>
                <w:color w:val="000000"/>
                <w:spacing w:val="0"/>
                <w:w w:val="100"/>
                <w:position w:val="0"/>
                <w:sz w:val="18"/>
                <w:szCs w:val="18"/>
              </w:rPr>
              <w:t xml:space="preserve"> 第四次会议决议公告》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2021-031</w:t>
            </w:r>
            <w:r>
              <w:rPr>
                <w:color w:val="000000"/>
                <w:spacing w:val="0"/>
                <w:w w:val="100"/>
                <w:position w:val="0"/>
                <w:sz w:val="18"/>
                <w:szCs w:val="18"/>
              </w:rPr>
              <w:t>)</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第三届董事会第五次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详见公司刊登在巨潮资讯网</w:t>
            </w:r>
          </w:p>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上的《第三届董事会</w:t>
            </w:r>
            <w:r>
              <w:rPr>
                <w:color w:val="000000"/>
                <w:spacing w:val="0"/>
                <w:w w:val="100"/>
                <w:position w:val="0"/>
                <w:sz w:val="18"/>
                <w:szCs w:val="18"/>
              </w:rPr>
              <w:t xml:space="preserve"> 第五次会议决议公告》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2021-037</w:t>
            </w:r>
            <w:r>
              <w:rPr>
                <w:color w:val="000000"/>
                <w:spacing w:val="0"/>
                <w:w w:val="100"/>
                <w:position w:val="0"/>
                <w:sz w:val="18"/>
                <w:szCs w:val="18"/>
              </w:rPr>
              <w:t>)</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第三届董事会第六次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详见公司刊登在巨潮资讯网</w:t>
            </w:r>
          </w:p>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上的《第三届董事会</w:t>
            </w:r>
            <w:r>
              <w:rPr>
                <w:color w:val="000000"/>
                <w:spacing w:val="0"/>
                <w:w w:val="100"/>
                <w:position w:val="0"/>
                <w:sz w:val="18"/>
                <w:szCs w:val="18"/>
              </w:rPr>
              <w:t xml:space="preserve"> 第六次会议决议公告》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sz w:val="18"/>
                <w:szCs w:val="18"/>
              </w:rPr>
              <w:t>)</w:t>
            </w:r>
          </w:p>
        </w:tc>
      </w:tr>
      <w:tr>
        <w:trPr>
          <w:trHeight w:val="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第三届董事会第七次 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详见公司刊登在巨潮资讯网</w:t>
            </w:r>
          </w:p>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上的《第三届董事会</w:t>
            </w:r>
            <w:r>
              <w:rPr>
                <w:color w:val="000000"/>
                <w:spacing w:val="0"/>
                <w:w w:val="100"/>
                <w:position w:val="0"/>
                <w:sz w:val="18"/>
                <w:szCs w:val="18"/>
              </w:rPr>
              <w:t xml:space="preserve"> 第七次会议决议公告》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2021-068</w:t>
            </w:r>
            <w:r>
              <w:rPr>
                <w:color w:val="000000"/>
                <w:spacing w:val="0"/>
                <w:w w:val="100"/>
                <w:position w:val="0"/>
                <w:sz w:val="18"/>
                <w:szCs w:val="18"/>
              </w:rPr>
              <w:t>)</w:t>
            </w:r>
          </w:p>
        </w:tc>
      </w:tr>
    </w:tbl>
    <w:p>
      <w:pPr>
        <w:widowControl w:val="0"/>
        <w:spacing w:after="279" w:line="1" w:lineRule="exact"/>
      </w:pPr>
    </w:p>
    <w:p>
      <w:pPr>
        <w:pStyle w:val="Style38"/>
        <w:keepNext/>
        <w:keepLines/>
        <w:widowControl w:val="0"/>
        <w:shd w:val="clear" w:color="auto" w:fill="auto"/>
        <w:bidi w:val="0"/>
        <w:spacing w:before="0" w:after="28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、董事出席董事会及股东大会的情况</w:t>
      </w:r>
      <w:bookmarkEnd w:id="361"/>
      <w:bookmarkEnd w:id="362"/>
      <w:bookmarkEnd w:id="364"/>
    </w:p>
    <w:tbl>
      <w:tblPr>
        <w:tblOverlap w:val="never"/>
        <w:jc w:val="center"/>
        <w:tblLayout w:type="fixed"/>
      </w:tblPr>
      <w:tblGrid>
        <w:gridCol w:w="1435"/>
        <w:gridCol w:w="1162"/>
        <w:gridCol w:w="1162"/>
        <w:gridCol w:w="1166"/>
        <w:gridCol w:w="1162"/>
        <w:gridCol w:w="1166"/>
        <w:gridCol w:w="1162"/>
        <w:gridCol w:w="1171"/>
      </w:tblGrid>
      <w:tr>
        <w:trPr>
          <w:trHeight w:val="331" w:hRule="exact"/>
        </w:trPr>
        <w:tc>
          <w:tcPr>
            <w:gridSpan w:val="8"/>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董事出席董事会及股东大会的情况</w:t>
            </w:r>
          </w:p>
        </w:tc>
      </w:tr>
      <w:tr>
        <w:trPr>
          <w:trHeight w:val="79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本报告期应参</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现场出席董事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以通讯方式参</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加董事会次数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委托出席董事 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缺席董事会次 数</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是否连续两次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未亲自参加董</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事会会议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出席股东大会 次数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李冬祥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胡振超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米旭明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黄照程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连续两次未亲自出席董事会的说明：不适用</w:t>
      </w:r>
    </w:p>
    <w:p>
      <w:pPr>
        <w:pStyle w:val="Style38"/>
        <w:keepNext/>
        <w:keepLines/>
        <w:widowControl w:val="0"/>
        <w:shd w:val="clear" w:color="auto" w:fill="auto"/>
        <w:bidi w:val="0"/>
        <w:spacing w:before="0" w:after="34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3</w:t>
      </w:r>
      <w:bookmarkEnd w:id="367"/>
      <w:r>
        <w:rPr>
          <w:color w:val="000000"/>
          <w:spacing w:val="0"/>
          <w:w w:val="100"/>
          <w:position w:val="0"/>
        </w:rPr>
        <w:t>、董事对公司有关事项提出异议的情况</w:t>
      </w:r>
      <w:bookmarkEnd w:id="365"/>
      <w:bookmarkEnd w:id="366"/>
      <w:bookmarkEnd w:id="368"/>
    </w:p>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1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勺否</w:t>
      </w:r>
    </w:p>
    <w:p>
      <w:pPr>
        <w:pStyle w:val="Style1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报告期内董事对公司有关事项未提出异议。</w:t>
      </w:r>
    </w:p>
    <w:p>
      <w:pPr>
        <w:pStyle w:val="Style38"/>
        <w:keepNext/>
        <w:keepLines/>
        <w:widowControl w:val="0"/>
        <w:shd w:val="clear" w:color="auto" w:fill="auto"/>
        <w:bidi w:val="0"/>
        <w:spacing w:before="0" w:after="140" w:line="240" w:lineRule="auto"/>
        <w:ind w:left="0" w:right="0" w:firstLine="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4</w:t>
      </w:r>
      <w:bookmarkEnd w:id="371"/>
      <w:r>
        <w:rPr>
          <w:color w:val="000000"/>
          <w:spacing w:val="0"/>
          <w:w w:val="100"/>
          <w:position w:val="0"/>
        </w:rPr>
        <w:t>、董事履行职责的其他说明</w:t>
      </w:r>
      <w:bookmarkEnd w:id="369"/>
      <w:bookmarkEnd w:id="370"/>
      <w:bookmarkEnd w:id="372"/>
    </w:p>
    <w:p>
      <w:pPr>
        <w:pStyle w:val="Style12"/>
        <w:keepNext w:val="0"/>
        <w:keepLines w:val="0"/>
        <w:widowControl w:val="0"/>
        <w:shd w:val="clear" w:color="auto" w:fill="auto"/>
        <w:bidi w:val="0"/>
        <w:spacing w:before="0" w:after="140" w:line="409" w:lineRule="exact"/>
        <w:ind w:left="0" w:right="0" w:firstLine="0"/>
        <w:jc w:val="both"/>
      </w:pPr>
      <w:r>
        <w:rPr>
          <w:color w:val="000000"/>
          <w:spacing w:val="0"/>
          <w:w w:val="100"/>
          <w:position w:val="0"/>
        </w:rPr>
        <w:t>董事对公司有关建议是否被采纳</w:t>
      </w:r>
    </w:p>
    <w:p>
      <w:pPr>
        <w:pStyle w:val="Style12"/>
        <w:keepNext w:val="0"/>
        <w:keepLines w:val="0"/>
        <w:widowControl w:val="0"/>
        <w:shd w:val="clear" w:color="auto" w:fill="auto"/>
        <w:bidi w:val="0"/>
        <w:spacing w:before="0" w:after="0" w:line="427"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2"/>
        <w:keepNext w:val="0"/>
        <w:keepLines w:val="0"/>
        <w:widowControl w:val="0"/>
        <w:shd w:val="clear" w:color="auto" w:fill="auto"/>
        <w:bidi w:val="0"/>
        <w:spacing w:before="0" w:after="0" w:line="409" w:lineRule="exact"/>
        <w:ind w:left="0" w:right="0" w:firstLine="0"/>
        <w:jc w:val="both"/>
      </w:pPr>
      <w:r>
        <w:rPr>
          <w:color w:val="000000"/>
          <w:spacing w:val="0"/>
          <w:w w:val="100"/>
          <w:position w:val="0"/>
        </w:rPr>
        <w:t>董事对公司有关建议被采纳或未被采纳的说明</w:t>
      </w:r>
    </w:p>
    <w:p>
      <w:pPr>
        <w:pStyle w:val="Style12"/>
        <w:keepNext w:val="0"/>
        <w:keepLines w:val="0"/>
        <w:widowControl w:val="0"/>
        <w:shd w:val="clear" w:color="auto" w:fill="auto"/>
        <w:bidi w:val="0"/>
        <w:spacing w:before="0" w:after="460" w:line="409" w:lineRule="exact"/>
        <w:ind w:left="0" w:right="0" w:firstLine="440"/>
        <w:jc w:val="both"/>
      </w:pPr>
      <w:r>
        <w:rPr>
          <w:color w:val="000000"/>
          <w:spacing w:val="0"/>
          <w:w w:val="100"/>
          <w:position w:val="0"/>
        </w:rPr>
        <w:t>报告期内，公司全体董事勤勉尽责，高度重视公司规范运作，密切关注公司经营情况，严格按照中 国证监会、深圳证券交易所的相关规定以及《公司章程》《董事会议事规则》《独立董事工作制度》等规 则开展工作，并根据公司的实际情况，对公司的治理、经营、战略等方面决策提出了宝贵的意见。公司 董事会及各专门委员会经过充分沟通讨论，对审议的重大事项均形成一致意见。独立董事深入了解公司 经营状况和内部控制的建设及董事会各项决议执行情况，并利用自己的专业优势为公司经营和发展提出 了合理化的意见和建议，对公司利润分配、股权激励等相关事项发表了客观、公正的独立意见，对董事 会决策的公正、公平及保护中小投资者利益起到积极作用。公司全体董事积极了解、密切监督董事会决 议的执行状况，推动公司经营各项工作的持续、稳定、健康发展。</w:t>
      </w:r>
    </w:p>
    <w:p>
      <w:pPr>
        <w:pStyle w:val="Style31"/>
        <w:keepNext/>
        <w:keepLines/>
        <w:widowControl w:val="0"/>
        <w:shd w:val="clear" w:color="auto" w:fill="auto"/>
        <w:bidi w:val="0"/>
        <w:spacing w:before="0" w:after="32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sz w:val="24"/>
          <w:szCs w:val="24"/>
        </w:rPr>
        <w:t>九</w:t>
      </w:r>
      <w:bookmarkEnd w:id="375"/>
      <w:r>
        <w:rPr>
          <w:color w:val="000000"/>
          <w:spacing w:val="0"/>
          <w:w w:val="100"/>
          <w:position w:val="0"/>
          <w:sz w:val="24"/>
          <w:szCs w:val="24"/>
        </w:rPr>
        <w:t>、董事会下设专门委员会在报告期内的情况</w:t>
      </w:r>
      <w:bookmarkEnd w:id="373"/>
      <w:bookmarkEnd w:id="374"/>
      <w:bookmarkEnd w:id="376"/>
    </w:p>
    <w:tbl>
      <w:tblPr>
        <w:tblOverlap w:val="never"/>
        <w:jc w:val="center"/>
        <w:tblLayout w:type="fixed"/>
      </w:tblPr>
      <w:tblGrid>
        <w:gridCol w:w="965"/>
        <w:gridCol w:w="850"/>
        <w:gridCol w:w="854"/>
        <w:gridCol w:w="989"/>
        <w:gridCol w:w="1704"/>
        <w:gridCol w:w="2016"/>
        <w:gridCol w:w="998"/>
        <w:gridCol w:w="1205"/>
      </w:tblGrid>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委员会名称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成员情况</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召开会议 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提出的重要意见和建议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其他履行职 责的情况</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异议事项具体 情况（如有）</w:t>
            </w:r>
          </w:p>
        </w:tc>
      </w:tr>
      <w:tr>
        <w:trPr>
          <w:trHeight w:val="14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第二届董事 会审计委员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2" w:lineRule="exact"/>
              <w:ind w:left="0" w:right="0" w:firstLine="0"/>
              <w:jc w:val="left"/>
              <w:rPr>
                <w:sz w:val="18"/>
                <w:szCs w:val="18"/>
              </w:rPr>
            </w:pPr>
            <w:r>
              <w:rPr>
                <w:color w:val="000000"/>
                <w:spacing w:val="0"/>
                <w:w w:val="100"/>
                <w:position w:val="0"/>
                <w:sz w:val="18"/>
                <w:szCs w:val="18"/>
              </w:rPr>
              <w:t>胡振超、 李宇、 唐凯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审议《关于公司申请 综合授信额度并接受 关联方提供担保的议 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审计委员会严格按照</w:t>
            </w:r>
          </w:p>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《审计委员会工作细 则》及相关法律法规的 规定对审议事项进行核 查审议，一致同意相关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242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第三届董事 会审计委员 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胡振超、 米旭明、 唐凯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 报告及其摘要》</w:t>
            </w:r>
          </w:p>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年度内部控 制自我评价报告》</w:t>
            </w:r>
          </w:p>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 xml:space="preserve">《关于续聘公司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年度审计机构 的议案》《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 一季度报告》《关于 会计政策变更的议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审计委员会严格按照</w:t>
            </w:r>
          </w:p>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《审计委员会工作细 则》及相关法律法规的 规定对审议事项进行核 查审议，一致同意相关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4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 度报告及其摘要》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审计委员会严格按照</w:t>
            </w:r>
          </w:p>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《审计委员会工作细 则》及相关法律法规的 规定对审议事项进行核 查审议，一致同意相关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4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季度报告》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审计委员会严格按照</w:t>
            </w:r>
          </w:p>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《审计委员会工作细 则》及相关法律法规的 规定对审议事项进行核 查审议，一致同意相关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33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第二届董事</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汤彩霞、</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审议《关于公司董事</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提名委员会严格按照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965"/>
        <w:gridCol w:w="850"/>
        <w:gridCol w:w="854"/>
        <w:gridCol w:w="989"/>
        <w:gridCol w:w="1704"/>
        <w:gridCol w:w="2016"/>
        <w:gridCol w:w="998"/>
        <w:gridCol w:w="1205"/>
      </w:tblGrid>
      <w:tr>
        <w:trPr>
          <w:trHeight w:val="169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会提名委员 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李宇、 严华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会换届选举暨选举第 三届董事会非独立董 事候选人的议案》</w:t>
            </w:r>
          </w:p>
          <w:p>
            <w:pPr>
              <w:pStyle w:val="Style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《关于公司董事会换 届选举暨选举第三届 董事会独立董事候选 人的议案》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《提名委员会工作细 则》及相关法律法规的 规定就候选人资格进行 认真审查，一致同意相 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第三届董事 会提名委员 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黄幼平、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米旭明、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审议《关于聘任公司 高级管理人员的议 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提名委员会严格按照</w:t>
            </w:r>
          </w:p>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《提名委员会工作细 则》及相关法律法规的 规定就候选人资格进行 认真审查，一致同意相 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14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审议《关于提名公司 非独立董事候选人的 议案》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提名委员会严格按照</w:t>
            </w:r>
          </w:p>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《提名委员会工作细 则》及相关法律法规的 规定就候选人资格进行 认真审查，一致同意相 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19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第三届董事 会薪酬与考 核委员会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黄幼平、 胡振超、 刘志坚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 xml:space="preserve">审议《关于公司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年限制性股票 激励计划（草案）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及其摘要的议案》</w:t>
            </w:r>
          </w:p>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 限制性股票激励计划 实施考核管理办法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薪酬与考核委员会严格 按照《薪酬与考核委员 会工作细则》及相关法 律法规的规定对审议事 项进行核查审议，一致 同意相关议案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14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 xml:space="preserve">审议《关于调整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年限制性股票 激励计划相关事项的 议案》《关于向激励 对象授予限制性股票 的议案》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薪酬与考核委员会严格 按照《薪酬与考核委员 会工作细则》及相关法 律法规的规定对审议事 项进行核查审议，一致 同意相关议案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14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 度董事、高级管理人 员薪酬方案的议案》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薪酬与考核委员会严格 按照《薪酬与考核委员 会工作细则》及相关法 律法规的规定对审议事 项进行核查审议，一致 同意相关议案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15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第三届董事 会战略委员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2" w:lineRule="exact"/>
              <w:ind w:left="0" w:right="0" w:firstLine="0"/>
              <w:jc w:val="left"/>
              <w:rPr>
                <w:sz w:val="18"/>
                <w:szCs w:val="18"/>
              </w:rPr>
            </w:pPr>
            <w:r>
              <w:rPr>
                <w:color w:val="000000"/>
                <w:spacing w:val="0"/>
                <w:w w:val="100"/>
                <w:position w:val="0"/>
                <w:sz w:val="18"/>
                <w:szCs w:val="18"/>
              </w:rPr>
              <w:t>严华、</w:t>
            </w:r>
          </w:p>
          <w:p>
            <w:pPr>
              <w:pStyle w:val="Style2"/>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黄照程、</w:t>
            </w:r>
          </w:p>
          <w:p>
            <w:pPr>
              <w:pStyle w:val="Style2"/>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李冬祥、 唐凯、 刘志坚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审议《关于投资设立 全资子公司的议案》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战略委员会严格按照</w:t>
            </w:r>
          </w:p>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《战略委员会工作细 则》及相关法律法规的 规定对审议事项进行核 查审议，一致同意相关 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77" w:name="bookmark377"/>
      <w:bookmarkStart w:id="378" w:name="bookmark378"/>
      <w:bookmarkStart w:id="379" w:name="bookmark379"/>
      <w:r>
        <w:rPr>
          <w:color w:val="000000"/>
          <w:spacing w:val="0"/>
          <w:w w:val="100"/>
          <w:position w:val="0"/>
          <w:sz w:val="24"/>
          <w:szCs w:val="24"/>
        </w:rPr>
        <w:t>十、监事会工作情况</w:t>
      </w:r>
      <w:bookmarkEnd w:id="377"/>
      <w:bookmarkEnd w:id="378"/>
      <w:bookmarkEnd w:id="379"/>
    </w:p>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31"/>
        <w:keepNext/>
        <w:keepLines/>
        <w:widowControl w:val="0"/>
        <w:shd w:val="clear" w:color="auto" w:fill="auto"/>
        <w:bidi w:val="0"/>
        <w:spacing w:before="0" w:after="30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十^一、公司员工情况</w:t>
      </w:r>
      <w:bookmarkEnd w:id="380"/>
      <w:bookmarkEnd w:id="381"/>
      <w:bookmarkEnd w:id="382"/>
    </w:p>
    <w:p>
      <w:pPr>
        <w:pStyle w:val="Style38"/>
        <w:keepNext/>
        <w:keepLines/>
        <w:widowControl w:val="0"/>
        <w:shd w:val="clear" w:color="auto" w:fill="auto"/>
        <w:bidi w:val="0"/>
        <w:spacing w:before="0" w:after="30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、员工数量、专业构成及教育程度</w:t>
      </w:r>
      <w:bookmarkEnd w:id="383"/>
      <w:bookmarkEnd w:id="384"/>
      <w:bookmarkEnd w:id="386"/>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报告期末母公司在职员工的数量（人）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17,507</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报告期末在职员工的数量合计（人）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18,092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19,386</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2"/>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31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15,830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18,092</w:t>
            </w:r>
          </w:p>
        </w:tc>
      </w:tr>
      <w:tr>
        <w:trPr>
          <w:trHeight w:val="326" w:hRule="exact"/>
        </w:trPr>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9,146</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大专及以下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18,092</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bookmarkStart w:id="387" w:name="bookmark38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bookmarkEnd w:id="387"/>
    </w:p>
    <w:p>
      <w:pPr>
        <w:widowControl w:val="0"/>
        <w:spacing w:after="99" w:line="1" w:lineRule="exact"/>
      </w:pPr>
    </w:p>
    <w:p>
      <w:pPr>
        <w:pStyle w:val="Style12"/>
        <w:keepNext w:val="0"/>
        <w:keepLines w:val="0"/>
        <w:widowControl w:val="0"/>
        <w:shd w:val="clear" w:color="auto" w:fill="auto"/>
        <w:bidi w:val="0"/>
        <w:spacing w:before="0" w:after="0" w:line="414" w:lineRule="exact"/>
        <w:ind w:left="0" w:right="0" w:firstLine="440"/>
        <w:jc w:val="left"/>
      </w:pPr>
      <w:r>
        <w:rPr>
          <w:color w:val="000000"/>
          <w:spacing w:val="0"/>
          <w:w w:val="100"/>
          <w:position w:val="0"/>
        </w:rPr>
        <w:t>公司薪酬政策在公司中长期经营战略的基础上进行构建。公司薪酬结构包括岗位工资、绩效奖金及福 利。</w:t>
      </w:r>
    </w:p>
    <w:p>
      <w:pPr>
        <w:pStyle w:val="Style12"/>
        <w:keepNext w:val="0"/>
        <w:keepLines w:val="0"/>
        <w:widowControl w:val="0"/>
        <w:shd w:val="clear" w:color="auto" w:fill="auto"/>
        <w:tabs>
          <w:tab w:pos="1006" w:val="left"/>
        </w:tabs>
        <w:bidi w:val="0"/>
        <w:spacing w:before="0" w:after="0" w:line="414" w:lineRule="exact"/>
        <w:ind w:left="0" w:right="0" w:firstLine="440"/>
        <w:jc w:val="left"/>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w:t>
        <w:tab/>
        <w:t>岗位工资以岗位价值为基础，结合劳动力市场水平进行调整，在确保公司内部公平性的同时兼顾 外部市场竞争力，体现</w:t>
      </w:r>
      <w:r>
        <w:rPr>
          <w:rFonts w:ascii="Times New Roman" w:eastAsia="Times New Roman" w:hAnsi="Times New Roman" w:cs="Times New Roman"/>
          <w:color w:val="000000"/>
          <w:spacing w:val="0"/>
          <w:w w:val="100"/>
          <w:position w:val="0"/>
        </w:rPr>
        <w:t>“</w:t>
      </w:r>
      <w:r>
        <w:rPr>
          <w:color w:val="000000"/>
          <w:spacing w:val="0"/>
          <w:w w:val="100"/>
          <w:position w:val="0"/>
        </w:rPr>
        <w:t>以岗定级、以级定薪''的薪酬管理方针。</w:t>
      </w:r>
    </w:p>
    <w:p>
      <w:pPr>
        <w:pStyle w:val="Style12"/>
        <w:keepNext w:val="0"/>
        <w:keepLines w:val="0"/>
        <w:widowControl w:val="0"/>
        <w:shd w:val="clear" w:color="auto" w:fill="auto"/>
        <w:tabs>
          <w:tab w:pos="1011" w:val="left"/>
        </w:tabs>
        <w:bidi w:val="0"/>
        <w:spacing w:before="0" w:after="0" w:line="414" w:lineRule="exact"/>
        <w:ind w:left="0" w:right="0" w:firstLine="440"/>
        <w:jc w:val="left"/>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w:t>
        <w:tab/>
        <w:t>绩效奖金的分配侧重对经营目标的贡献，通过公司绩效管理体系，将绩效奖金与组织绩效、个人 绩效形成强关联，有效提高员工积极性，支撑公司经营目标的达成。</w:t>
      </w:r>
    </w:p>
    <w:p>
      <w:pPr>
        <w:pStyle w:val="Style12"/>
        <w:keepNext w:val="0"/>
        <w:keepLines w:val="0"/>
        <w:widowControl w:val="0"/>
        <w:shd w:val="clear" w:color="auto" w:fill="auto"/>
        <w:tabs>
          <w:tab w:pos="923" w:val="left"/>
        </w:tabs>
        <w:bidi w:val="0"/>
        <w:spacing w:before="0" w:after="0" w:line="414" w:lineRule="exact"/>
        <w:ind w:left="0" w:right="0" w:firstLine="440"/>
        <w:jc w:val="left"/>
      </w:pPr>
      <w:bookmarkStart w:id="390" w:name="bookmark390"/>
      <w:r>
        <w:rPr>
          <w:color w:val="000000"/>
          <w:spacing w:val="0"/>
          <w:w w:val="100"/>
          <w:position w:val="0"/>
        </w:rPr>
        <w:t>（</w:t>
      </w:r>
      <w:bookmarkEnd w:id="390"/>
      <w:r>
        <w:rPr>
          <w:rFonts w:ascii="Times New Roman" w:eastAsia="Times New Roman" w:hAnsi="Times New Roman" w:cs="Times New Roman"/>
          <w:color w:val="000000"/>
          <w:spacing w:val="0"/>
          <w:w w:val="100"/>
          <w:position w:val="0"/>
        </w:rPr>
        <w:t>3</w:t>
      </w:r>
      <w:r>
        <w:rPr>
          <w:color w:val="000000"/>
          <w:spacing w:val="0"/>
          <w:w w:val="100"/>
          <w:position w:val="0"/>
        </w:rPr>
        <w:t>）</w:t>
        <w:tab/>
        <w:t>福利项目主要包括商业保险及体检项目等。</w:t>
      </w:r>
    </w:p>
    <w:p>
      <w:pPr>
        <w:pStyle w:val="Style12"/>
        <w:keepNext w:val="0"/>
        <w:keepLines w:val="0"/>
        <w:widowControl w:val="0"/>
        <w:shd w:val="clear" w:color="auto" w:fill="auto"/>
        <w:bidi w:val="0"/>
        <w:spacing w:before="0" w:after="0" w:line="4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 务业''的披露要求</w:t>
      </w:r>
    </w:p>
    <w:p>
      <w:pPr>
        <w:pStyle w:val="Style12"/>
        <w:keepNext w:val="0"/>
        <w:keepLines w:val="0"/>
        <w:widowControl w:val="0"/>
        <w:shd w:val="clear" w:color="auto" w:fill="auto"/>
        <w:bidi w:val="0"/>
        <w:spacing w:before="0" w:after="200" w:line="406" w:lineRule="exact"/>
        <w:ind w:left="0" w:right="0" w:firstLine="440"/>
        <w:jc w:val="both"/>
      </w:pPr>
      <w:r>
        <w:rPr>
          <w:color w:val="000000"/>
          <w:spacing w:val="0"/>
          <w:w w:val="100"/>
          <w:position w:val="0"/>
        </w:rPr>
        <w:t>报告期内，公司职工薪酬总额（计入营业总成本部分）为</w:t>
      </w:r>
      <w:r>
        <w:rPr>
          <w:rFonts w:ascii="Times New Roman" w:eastAsia="Times New Roman" w:hAnsi="Times New Roman" w:cs="Times New Roman"/>
          <w:color w:val="000000"/>
          <w:spacing w:val="0"/>
          <w:w w:val="100"/>
          <w:position w:val="0"/>
        </w:rPr>
        <w:t>218,337.22</w:t>
      </w:r>
      <w:r>
        <w:rPr>
          <w:color w:val="000000"/>
          <w:spacing w:val="0"/>
          <w:w w:val="100"/>
          <w:position w:val="0"/>
        </w:rPr>
        <w:t xml:space="preserve">万元，占公司营业总成本的比重为 </w:t>
      </w:r>
      <w:r>
        <w:rPr>
          <w:rFonts w:ascii="Times New Roman" w:eastAsia="Times New Roman" w:hAnsi="Times New Roman" w:cs="Times New Roman"/>
          <w:color w:val="000000"/>
          <w:spacing w:val="0"/>
          <w:w w:val="100"/>
          <w:position w:val="0"/>
        </w:rPr>
        <w:t>96.05%</w:t>
      </w:r>
      <w:r>
        <w:rPr>
          <w:color w:val="000000"/>
          <w:spacing w:val="0"/>
          <w:w w:val="100"/>
          <w:position w:val="0"/>
        </w:rPr>
        <w:t>，职工薪酬是成本主要项目。报告期内，公司技术人员合计</w:t>
      </w:r>
      <w:r>
        <w:rPr>
          <w:rFonts w:ascii="Times New Roman" w:eastAsia="Times New Roman" w:hAnsi="Times New Roman" w:cs="Times New Roman"/>
          <w:color w:val="000000"/>
          <w:spacing w:val="0"/>
          <w:w w:val="100"/>
          <w:position w:val="0"/>
        </w:rPr>
        <w:t>15,830</w:t>
      </w:r>
      <w:r>
        <w:rPr>
          <w:color w:val="000000"/>
          <w:spacing w:val="0"/>
          <w:w w:val="100"/>
          <w:position w:val="0"/>
        </w:rPr>
        <w:t>人，其中核心技术人员</w:t>
      </w:r>
      <w:r>
        <w:rPr>
          <w:rFonts w:ascii="Times New Roman" w:eastAsia="Times New Roman" w:hAnsi="Times New Roman" w:cs="Times New Roman"/>
          <w:color w:val="000000"/>
          <w:spacing w:val="0"/>
          <w:w w:val="100"/>
          <w:position w:val="0"/>
        </w:rPr>
        <w:t>870</w:t>
      </w:r>
      <w:r>
        <w:rPr>
          <w:color w:val="000000"/>
          <w:spacing w:val="0"/>
          <w:w w:val="100"/>
          <w:position w:val="0"/>
        </w:rPr>
        <w:t>人，占 技术人员的比重为</w:t>
      </w:r>
      <w:r>
        <w:rPr>
          <w:rFonts w:ascii="Times New Roman" w:eastAsia="Times New Roman" w:hAnsi="Times New Roman" w:cs="Times New Roman"/>
          <w:color w:val="000000"/>
          <w:spacing w:val="0"/>
          <w:w w:val="100"/>
          <w:position w:val="0"/>
        </w:rPr>
        <w:t>5.50%</w:t>
      </w:r>
      <w:r>
        <w:rPr>
          <w:color w:val="000000"/>
          <w:spacing w:val="0"/>
          <w:w w:val="100"/>
          <w:position w:val="0"/>
        </w:rPr>
        <w:t>；核心技术人员薪酬为</w:t>
      </w:r>
      <w:r>
        <w:rPr>
          <w:rFonts w:ascii="Times New Roman" w:eastAsia="Times New Roman" w:hAnsi="Times New Roman" w:cs="Times New Roman"/>
          <w:color w:val="000000"/>
          <w:spacing w:val="0"/>
          <w:w w:val="100"/>
          <w:position w:val="0"/>
        </w:rPr>
        <w:t>17,504.10</w:t>
      </w:r>
      <w:r>
        <w:rPr>
          <w:color w:val="000000"/>
          <w:spacing w:val="0"/>
          <w:w w:val="100"/>
          <w:position w:val="0"/>
        </w:rPr>
        <w:t>万元，占公司职工薪酬总额的比重为</w:t>
      </w:r>
      <w:r>
        <w:rPr>
          <w:rFonts w:ascii="Times New Roman" w:eastAsia="Times New Roman" w:hAnsi="Times New Roman" w:cs="Times New Roman"/>
          <w:color w:val="000000"/>
          <w:spacing w:val="0"/>
          <w:w w:val="100"/>
          <w:position w:val="0"/>
        </w:rPr>
        <w:t>8.02%</w:t>
      </w:r>
      <w:r>
        <w:rPr>
          <w:color w:val="000000"/>
          <w:spacing w:val="0"/>
          <w:w w:val="100"/>
          <w:position w:val="0"/>
        </w:rPr>
        <w:t>。</w:t>
      </w:r>
    </w:p>
    <w:p>
      <w:pPr>
        <w:pStyle w:val="Style38"/>
        <w:keepNext/>
        <w:keepLines/>
        <w:widowControl w:val="0"/>
        <w:shd w:val="clear" w:color="auto" w:fill="auto"/>
        <w:tabs>
          <w:tab w:pos="337" w:val="left"/>
        </w:tabs>
        <w:bidi w:val="0"/>
        <w:spacing w:before="0" w:after="280" w:line="410" w:lineRule="exact"/>
        <w:ind w:left="0" w:right="0" w:firstLine="0"/>
        <w:jc w:val="both"/>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3</w:t>
      </w:r>
      <w:bookmarkEnd w:id="393"/>
      <w:r>
        <w:rPr>
          <w:color w:val="000000"/>
          <w:spacing w:val="0"/>
          <w:w w:val="100"/>
          <w:position w:val="0"/>
        </w:rPr>
        <w:t>、</w:t>
        <w:tab/>
        <w:t>培训计划</w:t>
      </w:r>
      <w:bookmarkEnd w:id="391"/>
      <w:bookmarkEnd w:id="392"/>
      <w:bookmarkEnd w:id="394"/>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培训体系是公司</w:t>
      </w:r>
      <w:r>
        <w:rPr>
          <w:rFonts w:ascii="Times New Roman" w:eastAsia="Times New Roman" w:hAnsi="Times New Roman" w:cs="Times New Roman"/>
          <w:color w:val="000000"/>
          <w:spacing w:val="0"/>
          <w:w w:val="100"/>
          <w:position w:val="0"/>
        </w:rPr>
        <w:t>“</w:t>
      </w:r>
      <w:r>
        <w:rPr>
          <w:color w:val="000000"/>
          <w:spacing w:val="0"/>
          <w:w w:val="100"/>
          <w:position w:val="0"/>
        </w:rPr>
        <w:t>人才为本''的管理理念的重要体现，其为公司技术经验累积提供有力通道，同时对打 造赋能型学习组织、稳定人才产生积极作用。公司培训体系贯穿员工自入职起的各级成长阶段。培训内 容涵盖专业技能、信息安全、规范管理、企业文化等多维度课程。以阶段性自主人才培养为公司人才进 行赋能，其中分为关键人群赋能、自主人才培养、组织能力赋能、知识资产沉淀、角色认知等几个维 度。多样化培训形式将知识赋能全方位渗透至日常工作中，公司通过线上学习平台及线下专项模块化培 训，为员工提供专业化知识技能。公司培训工作可分为以下方面：</w:t>
      </w:r>
    </w:p>
    <w:p>
      <w:pPr>
        <w:pStyle w:val="Style12"/>
        <w:keepNext w:val="0"/>
        <w:keepLines w:val="0"/>
        <w:widowControl w:val="0"/>
        <w:shd w:val="clear" w:color="auto" w:fill="auto"/>
        <w:tabs>
          <w:tab w:pos="975" w:val="left"/>
        </w:tabs>
        <w:bidi w:val="0"/>
        <w:spacing w:before="0" w:after="0" w:line="410" w:lineRule="exact"/>
        <w:ind w:left="0" w:right="0" w:firstLine="440"/>
        <w:jc w:val="left"/>
      </w:pPr>
      <w:bookmarkStart w:id="395" w:name="bookmark395"/>
      <w:r>
        <w:rPr>
          <w:color w:val="000000"/>
          <w:spacing w:val="0"/>
          <w:w w:val="100"/>
          <w:position w:val="0"/>
        </w:rPr>
        <w:t>（</w:t>
      </w:r>
      <w:bookmarkEnd w:id="395"/>
      <w:r>
        <w:rPr>
          <w:rFonts w:ascii="Times New Roman" w:eastAsia="Times New Roman" w:hAnsi="Times New Roman" w:cs="Times New Roman"/>
          <w:color w:val="000000"/>
          <w:spacing w:val="0"/>
          <w:w w:val="100"/>
          <w:position w:val="0"/>
        </w:rPr>
        <w:t>1</w:t>
      </w:r>
      <w:r>
        <w:rPr>
          <w:color w:val="000000"/>
          <w:spacing w:val="0"/>
          <w:w w:val="100"/>
          <w:position w:val="0"/>
        </w:rPr>
        <w:t>）</w:t>
        <w:tab/>
        <w:t>管理培训：公司引进专业咨询顾问和研究机构对公司的战略规划进行梳理及指导，结合公司的 实际业务运营情况，制定经营及未来发展战略。公司治理方面，着重培养提升管理干部在</w:t>
      </w:r>
      <w:r>
        <w:rPr>
          <w:rFonts w:ascii="Times New Roman" w:eastAsia="Times New Roman" w:hAnsi="Times New Roman" w:cs="Times New Roman"/>
          <w:color w:val="000000"/>
          <w:spacing w:val="0"/>
          <w:w w:val="100"/>
          <w:position w:val="0"/>
        </w:rPr>
        <w:t>“</w:t>
      </w:r>
      <w:r>
        <w:rPr>
          <w:color w:val="000000"/>
          <w:spacing w:val="0"/>
          <w:w w:val="100"/>
          <w:position w:val="0"/>
        </w:rPr>
        <w:t>领导力、决策 力、理解力、人际链接力</w:t>
      </w:r>
      <w:r>
        <w:rPr>
          <w:rFonts w:ascii="Times New Roman" w:eastAsia="Times New Roman" w:hAnsi="Times New Roman" w:cs="Times New Roman"/>
          <w:color w:val="000000"/>
          <w:spacing w:val="0"/>
          <w:w w:val="100"/>
          <w:position w:val="0"/>
        </w:rPr>
        <w:t>”</w:t>
      </w:r>
      <w:r>
        <w:rPr>
          <w:color w:val="000000"/>
          <w:spacing w:val="0"/>
          <w:w w:val="100"/>
          <w:position w:val="0"/>
        </w:rPr>
        <w:t>等方面的管理水平。报告期内公司启动法本</w:t>
      </w:r>
      <w:r>
        <w:rPr>
          <w:rFonts w:ascii="Times New Roman" w:eastAsia="Times New Roman" w:hAnsi="Times New Roman" w:cs="Times New Roman"/>
          <w:color w:val="000000"/>
          <w:spacing w:val="0"/>
          <w:w w:val="100"/>
          <w:position w:val="0"/>
        </w:rPr>
        <w:t>2021</w:t>
      </w:r>
      <w:r>
        <w:rPr>
          <w:color w:val="000000"/>
          <w:spacing w:val="0"/>
          <w:w w:val="100"/>
          <w:position w:val="0"/>
        </w:rPr>
        <w:t>年启动校招管培生项目，人力 资源部和各部门联动，打造一条适合管培生成长发展的培养路径，力争</w:t>
      </w:r>
      <w:r>
        <w:rPr>
          <w:rFonts w:ascii="Times New Roman" w:eastAsia="Times New Roman" w:hAnsi="Times New Roman" w:cs="Times New Roman"/>
          <w:color w:val="000000"/>
          <w:spacing w:val="0"/>
          <w:w w:val="100"/>
          <w:position w:val="0"/>
        </w:rPr>
        <w:t>3-5</w:t>
      </w:r>
      <w:r>
        <w:rPr>
          <w:color w:val="000000"/>
          <w:spacing w:val="0"/>
          <w:w w:val="100"/>
          <w:position w:val="0"/>
        </w:rPr>
        <w:t>年培养一批归属感强、忠诚度 高、专业能力强的中层专业人才或基层干部，为法本未来人才梯队建设打好基石。</w:t>
      </w:r>
    </w:p>
    <w:p>
      <w:pPr>
        <w:pStyle w:val="Style12"/>
        <w:keepNext w:val="0"/>
        <w:keepLines w:val="0"/>
        <w:widowControl w:val="0"/>
        <w:shd w:val="clear" w:color="auto" w:fill="auto"/>
        <w:tabs>
          <w:tab w:pos="970" w:val="left"/>
        </w:tabs>
        <w:bidi w:val="0"/>
        <w:spacing w:before="0" w:after="0" w:line="410" w:lineRule="exact"/>
        <w:ind w:left="0" w:right="0" w:firstLine="440"/>
        <w:jc w:val="left"/>
      </w:pPr>
      <w:bookmarkStart w:id="396" w:name="bookmark396"/>
      <w:r>
        <w:rPr>
          <w:color w:val="000000"/>
          <w:spacing w:val="0"/>
          <w:w w:val="100"/>
          <w:position w:val="0"/>
        </w:rPr>
        <w:t>（</w:t>
      </w:r>
      <w:bookmarkEnd w:id="396"/>
      <w:r>
        <w:rPr>
          <w:rFonts w:ascii="Times New Roman" w:eastAsia="Times New Roman" w:hAnsi="Times New Roman" w:cs="Times New Roman"/>
          <w:color w:val="000000"/>
          <w:spacing w:val="0"/>
          <w:w w:val="100"/>
          <w:position w:val="0"/>
        </w:rPr>
        <w:t>2</w:t>
      </w:r>
      <w:r>
        <w:rPr>
          <w:color w:val="000000"/>
          <w:spacing w:val="0"/>
          <w:w w:val="100"/>
          <w:position w:val="0"/>
        </w:rPr>
        <w:t>）</w:t>
        <w:tab/>
        <w:t>技能培训：技术岗位员工根据技术、专业、资质等综合评价将技术线员工分成不同阶段，通过 内外部讲师线下授课、线上培训系统的课程学习、案例分享、定期考核、资质激励等手段，实现专业技 能路线的能力提升。职能岗位员工根据岗位类别针对销售类、招聘类、交付类、干部类、开设多个专项 定期培训课程。</w:t>
      </w:r>
    </w:p>
    <w:p>
      <w:pPr>
        <w:pStyle w:val="Style12"/>
        <w:keepNext w:val="0"/>
        <w:keepLines w:val="0"/>
        <w:widowControl w:val="0"/>
        <w:shd w:val="clear" w:color="auto" w:fill="auto"/>
        <w:tabs>
          <w:tab w:pos="975" w:val="left"/>
        </w:tabs>
        <w:bidi w:val="0"/>
        <w:spacing w:before="0" w:after="0" w:line="410" w:lineRule="exact"/>
        <w:ind w:left="0" w:right="0" w:firstLine="440"/>
        <w:jc w:val="left"/>
      </w:pPr>
      <w:bookmarkStart w:id="397" w:name="bookmark397"/>
      <w:r>
        <w:rPr>
          <w:color w:val="000000"/>
          <w:spacing w:val="0"/>
          <w:w w:val="100"/>
          <w:position w:val="0"/>
        </w:rPr>
        <w:t>（</w:t>
      </w:r>
      <w:bookmarkEnd w:id="397"/>
      <w:r>
        <w:rPr>
          <w:rFonts w:ascii="Times New Roman" w:eastAsia="Times New Roman" w:hAnsi="Times New Roman" w:cs="Times New Roman"/>
          <w:color w:val="000000"/>
          <w:spacing w:val="0"/>
          <w:w w:val="100"/>
          <w:position w:val="0"/>
        </w:rPr>
        <w:t>3</w:t>
      </w:r>
      <w:r>
        <w:rPr>
          <w:color w:val="000000"/>
          <w:spacing w:val="0"/>
          <w:w w:val="100"/>
          <w:position w:val="0"/>
        </w:rPr>
        <w:t>）</w:t>
        <w:tab/>
        <w:t>企业文化培训：公司重视企业文化在组织内部学习与践行，推动全体员工学习、遵守和践行企 业价值观。结合公司的经营及发展，通过公司内刊《法本人》、企业公众号分享公司重要事件及干部管 理心得，同时管理干部、高层领导定期对公司文化学习研讨。企业文化培训激发了管理层作战凝聚力， 增强员工的价值认同感和企业归属感，促进公司人才队伍的稳定。</w:t>
      </w:r>
    </w:p>
    <w:p>
      <w:pPr>
        <w:pStyle w:val="Style12"/>
        <w:keepNext w:val="0"/>
        <w:keepLines w:val="0"/>
        <w:widowControl w:val="0"/>
        <w:shd w:val="clear" w:color="auto" w:fill="auto"/>
        <w:tabs>
          <w:tab w:pos="975" w:val="left"/>
        </w:tabs>
        <w:bidi w:val="0"/>
        <w:spacing w:before="0" w:after="280" w:line="410" w:lineRule="exact"/>
        <w:ind w:left="0" w:right="0" w:firstLine="440"/>
        <w:jc w:val="left"/>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rPr>
        <w:t>4</w:t>
      </w:r>
      <w:r>
        <w:rPr>
          <w:color w:val="000000"/>
          <w:spacing w:val="0"/>
          <w:w w:val="100"/>
          <w:position w:val="0"/>
        </w:rPr>
        <w:t>）</w:t>
        <w:tab/>
        <w:t>董监高培训：公司历经新三板挂牌上市、上市辅导阶段、成功登陆深交所创业板，公司董监高 全体成员对企业治理、董监高相关责任义务的认知与规范履职能力也不断提升。董监高培训事项由公司 证券投资部组织，通过内部培训结合外部培训对董监高行为意识、</w:t>
      </w:r>
      <w:r>
        <w:rPr>
          <w:rFonts w:ascii="Times New Roman" w:eastAsia="Times New Roman" w:hAnsi="Times New Roman" w:cs="Times New Roman"/>
          <w:color w:val="000000"/>
          <w:spacing w:val="0"/>
          <w:w w:val="100"/>
          <w:position w:val="0"/>
        </w:rPr>
        <w:t>“</w:t>
      </w:r>
      <w:r>
        <w:rPr>
          <w:color w:val="000000"/>
          <w:spacing w:val="0"/>
          <w:w w:val="100"/>
          <w:position w:val="0"/>
        </w:rPr>
        <w:t>三会</w:t>
      </w:r>
      <w:r>
        <w:rPr>
          <w:rFonts w:ascii="Times New Roman" w:eastAsia="Times New Roman" w:hAnsi="Times New Roman" w:cs="Times New Roman"/>
          <w:color w:val="000000"/>
          <w:spacing w:val="0"/>
          <w:w w:val="100"/>
          <w:position w:val="0"/>
        </w:rPr>
        <w:t>”</w:t>
      </w:r>
      <w:r>
        <w:rPr>
          <w:color w:val="000000"/>
          <w:spacing w:val="0"/>
          <w:w w:val="100"/>
          <w:position w:val="0"/>
        </w:rPr>
        <w:t>召开程序加以规范，除日常案例 分享，制作并发放《董监高履职手册》等内措施外，公司董监高人员还积极参加中介机构及监管单位组 织的外部专项培训，确保公司</w:t>
      </w:r>
      <w:r>
        <w:rPr>
          <w:rFonts w:ascii="Times New Roman" w:eastAsia="Times New Roman" w:hAnsi="Times New Roman" w:cs="Times New Roman"/>
          <w:color w:val="000000"/>
          <w:spacing w:val="0"/>
          <w:w w:val="100"/>
          <w:position w:val="0"/>
        </w:rPr>
        <w:t>“</w:t>
      </w:r>
      <w:r>
        <w:rPr>
          <w:color w:val="000000"/>
          <w:spacing w:val="0"/>
          <w:w w:val="100"/>
          <w:position w:val="0"/>
        </w:rPr>
        <w:t>三会</w:t>
      </w:r>
      <w:r>
        <w:rPr>
          <w:rFonts w:ascii="Times New Roman" w:eastAsia="Times New Roman" w:hAnsi="Times New Roman" w:cs="Times New Roman"/>
          <w:color w:val="000000"/>
          <w:spacing w:val="0"/>
          <w:w w:val="100"/>
          <w:position w:val="0"/>
        </w:rPr>
        <w:t>”</w:t>
      </w:r>
      <w:r>
        <w:rPr>
          <w:color w:val="000000"/>
          <w:spacing w:val="0"/>
          <w:w w:val="100"/>
          <w:position w:val="0"/>
        </w:rPr>
        <w:t>规范运作、全体董监高勤勉尽责履职。</w:t>
      </w:r>
    </w:p>
    <w:p>
      <w:pPr>
        <w:pStyle w:val="Style38"/>
        <w:keepNext/>
        <w:keepLines/>
        <w:widowControl w:val="0"/>
        <w:shd w:val="clear" w:color="auto" w:fill="auto"/>
        <w:tabs>
          <w:tab w:pos="337" w:val="left"/>
        </w:tabs>
        <w:bidi w:val="0"/>
        <w:spacing w:before="0" w:after="280" w:line="410" w:lineRule="exact"/>
        <w:ind w:left="0" w:right="0" w:firstLine="0"/>
        <w:jc w:val="both"/>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4</w:t>
      </w:r>
      <w:bookmarkEnd w:id="401"/>
      <w:r>
        <w:rPr>
          <w:color w:val="000000"/>
          <w:spacing w:val="0"/>
          <w:w w:val="100"/>
          <w:position w:val="0"/>
        </w:rPr>
        <w:t>、</w:t>
        <w:tab/>
        <w:t>劳务外包情况</w:t>
      </w:r>
      <w:bookmarkEnd w:id="399"/>
      <w:bookmarkEnd w:id="400"/>
      <w:bookmarkEnd w:id="402"/>
    </w:p>
    <w:p>
      <w:pPr>
        <w:pStyle w:val="Style12"/>
        <w:keepNext w:val="0"/>
        <w:keepLines w:val="0"/>
        <w:widowControl w:val="0"/>
        <w:shd w:val="clear" w:color="auto" w:fill="auto"/>
        <w:bidi w:val="0"/>
        <w:spacing w:before="0" w:after="440" w:line="41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160" w:line="240" w:lineRule="auto"/>
        <w:ind w:left="0" w:right="0" w:firstLine="0"/>
        <w:jc w:val="both"/>
      </w:pPr>
      <w:bookmarkStart w:id="403" w:name="bookmark403"/>
      <w:bookmarkStart w:id="404" w:name="bookmark404"/>
      <w:bookmarkStart w:id="405" w:name="bookmark405"/>
      <w:r>
        <w:rPr>
          <w:color w:val="000000"/>
          <w:spacing w:val="0"/>
          <w:w w:val="100"/>
          <w:position w:val="0"/>
          <w:sz w:val="24"/>
          <w:szCs w:val="24"/>
        </w:rPr>
        <w:t>十二、公司利润分配及资本公积金转增股本情况</w:t>
      </w:r>
      <w:bookmarkEnd w:id="403"/>
      <w:bookmarkEnd w:id="404"/>
      <w:bookmarkEnd w:id="405"/>
    </w:p>
    <w:p>
      <w:pPr>
        <w:pStyle w:val="Style12"/>
        <w:keepNext w:val="0"/>
        <w:keepLines w:val="0"/>
        <w:widowControl w:val="0"/>
        <w:shd w:val="clear" w:color="auto" w:fill="auto"/>
        <w:bidi w:val="0"/>
        <w:spacing w:before="0" w:after="0" w:line="410" w:lineRule="exact"/>
        <w:ind w:left="0" w:right="0" w:firstLine="0"/>
        <w:jc w:val="both"/>
      </w:pPr>
      <w:r>
        <w:rPr>
          <w:color w:val="000000"/>
          <w:spacing w:val="0"/>
          <w:w w:val="100"/>
          <w:position w:val="0"/>
        </w:rPr>
        <w:t>报告期内利润分配政策，特别是现金分红政策的制定、执行或调整情况</w:t>
      </w:r>
    </w:p>
    <w:p>
      <w:pPr>
        <w:pStyle w:val="Style12"/>
        <w:keepNext w:val="0"/>
        <w:keepLines w:val="0"/>
        <w:widowControl w:val="0"/>
        <w:shd w:val="clear" w:color="auto" w:fill="auto"/>
        <w:bidi w:val="0"/>
        <w:spacing w:before="0" w:after="220" w:line="410"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12"/>
        <w:keepNext w:val="0"/>
        <w:keepLines w:val="0"/>
        <w:widowControl w:val="0"/>
        <w:shd w:val="clear" w:color="auto" w:fill="auto"/>
        <w:bidi w:val="0"/>
        <w:spacing w:before="0" w:after="140" w:line="41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日召开了第三届董事会第五次会议、第三届监事会第五次会议及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 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年度利润分配预案的议案》，分配方案为：以截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129,470,098</w:t>
      </w:r>
      <w:r>
        <w:rPr>
          <w:color w:val="000000"/>
          <w:spacing w:val="0"/>
          <w:w w:val="100"/>
          <w:position w:val="0"/>
        </w:rPr>
        <w:t>股为基数，按照总额不变的分配原则，向全体股东每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 现金</w:t>
      </w:r>
      <w:r>
        <w:rPr>
          <w:rFonts w:ascii="Times New Roman" w:eastAsia="Times New Roman" w:hAnsi="Times New Roman" w:cs="Times New Roman"/>
          <w:color w:val="000000"/>
          <w:spacing w:val="0"/>
          <w:w w:val="100"/>
          <w:position w:val="0"/>
        </w:rPr>
        <w:t>1</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rPr>
        <w:t>12,947,009.8</w:t>
      </w:r>
      <w:r>
        <w:rPr>
          <w:color w:val="000000"/>
          <w:spacing w:val="0"/>
          <w:w w:val="100"/>
          <w:position w:val="0"/>
        </w:rPr>
        <w:t>元（含税）；向全体股东每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股以资本公积金转增</w:t>
      </w:r>
      <w:r>
        <w:rPr>
          <w:rFonts w:ascii="Times New Roman" w:eastAsia="Times New Roman" w:hAnsi="Times New Roman" w:cs="Times New Roman"/>
          <w:color w:val="000000"/>
          <w:spacing w:val="0"/>
          <w:w w:val="100"/>
          <w:position w:val="0"/>
        </w:rPr>
        <w:t xml:space="preserve">7 </w:t>
      </w:r>
      <w:r>
        <w:rPr>
          <w:color w:val="000000"/>
          <w:spacing w:val="0"/>
          <w:w w:val="100"/>
          <w:position w:val="0"/>
        </w:rPr>
        <w:t>股，合计转增股本</w:t>
      </w:r>
      <w:r>
        <w:rPr>
          <w:rFonts w:ascii="Times New Roman" w:eastAsia="Times New Roman" w:hAnsi="Times New Roman" w:cs="Times New Roman"/>
          <w:color w:val="000000"/>
          <w:spacing w:val="0"/>
          <w:w w:val="100"/>
          <w:position w:val="0"/>
        </w:rPr>
        <w:t>90,629,068</w:t>
      </w:r>
      <w:r>
        <w:rPr>
          <w:color w:val="000000"/>
          <w:spacing w:val="0"/>
          <w:w w:val="100"/>
          <w:position w:val="0"/>
        </w:rPr>
        <w:t>股。</w:t>
      </w:r>
    </w:p>
    <w:p>
      <w:pPr>
        <w:pStyle w:val="Style1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该利润分配方案已于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日实施完毕。</w:t>
      </w:r>
    </w:p>
    <w:tbl>
      <w:tblPr>
        <w:tblOverlap w:val="never"/>
        <w:jc w:val="center"/>
        <w:tblLayout w:type="fixed"/>
      </w:tblPr>
      <w:tblGrid>
        <w:gridCol w:w="6667"/>
        <w:gridCol w:w="2914"/>
      </w:tblGrid>
      <w:tr>
        <w:trPr>
          <w:trHeight w:val="331"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1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中小股东是否有充分表达意见和诉求的机会，其合法权益是否得到了充分保护：</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12"/>
        <w:keepNext w:val="0"/>
        <w:keepLines w:val="0"/>
        <w:widowControl w:val="0"/>
        <w:shd w:val="clear" w:color="auto" w:fill="auto"/>
        <w:bidi w:val="0"/>
        <w:spacing w:before="0" w:after="0" w:line="394"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0" w:line="394"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12"/>
        <w:keepNext w:val="0"/>
        <w:keepLines w:val="0"/>
        <w:widowControl w:val="0"/>
        <w:shd w:val="clear" w:color="auto" w:fill="auto"/>
        <w:bidi w:val="0"/>
        <w:spacing w:before="0" w:after="140" w:line="394" w:lineRule="exact"/>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402"/>
        <w:gridCol w:w="5179"/>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220,099,166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现金分红金额（元）（含税）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15,406,941.62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15,406,941.62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397,431,890.19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2" w:hRule="exact"/>
        </w:trPr>
        <w:tc>
          <w:tcPr>
            <w:gridSpan w:val="2"/>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322"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p>
        </w:tc>
      </w:tr>
      <w:tr>
        <w:trPr>
          <w:trHeight w:val="326" w:hRule="exact"/>
        </w:trPr>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1579" w:hRule="exact"/>
        </w:trPr>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40" w:line="221" w:lineRule="exact"/>
              <w:ind w:left="0" w:right="0" w:firstLine="380"/>
              <w:jc w:val="left"/>
              <w:rPr>
                <w:sz w:val="18"/>
                <w:szCs w:val="18"/>
              </w:rPr>
            </w:pPr>
            <w:r>
              <w:rPr>
                <w:color w:val="000000"/>
                <w:spacing w:val="0"/>
                <w:w w:val="100"/>
                <w:position w:val="0"/>
                <w:sz w:val="18"/>
                <w:szCs w:val="18"/>
              </w:rPr>
              <w:t>本着回报股东、与股东共享公司经营成果的原则，经综合考虑投资者的合理回报和公司的长远发展，在保证公司正 常经营业务发展的前提下，提出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年年度利润分配预案如下：</w:t>
            </w:r>
          </w:p>
          <w:p>
            <w:pPr>
              <w:pStyle w:val="Style2"/>
              <w:keepNext w:val="0"/>
              <w:keepLines w:val="0"/>
              <w:widowControl w:val="0"/>
              <w:shd w:val="clear" w:color="auto" w:fill="auto"/>
              <w:tabs>
                <w:tab w:pos="653" w:val="left"/>
              </w:tabs>
              <w:bidi w:val="0"/>
              <w:spacing w:before="0" w:after="40" w:line="230"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日公司总股本</w:t>
            </w:r>
            <w:r>
              <w:rPr>
                <w:rFonts w:ascii="Times New Roman" w:eastAsia="Times New Roman" w:hAnsi="Times New Roman" w:cs="Times New Roman"/>
                <w:color w:val="000000"/>
                <w:spacing w:val="0"/>
                <w:w w:val="100"/>
                <w:position w:val="0"/>
                <w:sz w:val="18"/>
                <w:szCs w:val="18"/>
              </w:rPr>
              <w:t>220,099,166</w:t>
            </w:r>
            <w:r>
              <w:rPr>
                <w:color w:val="000000"/>
                <w:spacing w:val="0"/>
                <w:w w:val="100"/>
                <w:position w:val="0"/>
                <w:sz w:val="18"/>
                <w:szCs w:val="18"/>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股派发现金</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元（含税），合计 派发现金股利</w:t>
            </w:r>
            <w:r>
              <w:rPr>
                <w:rFonts w:ascii="Times New Roman" w:eastAsia="Times New Roman" w:hAnsi="Times New Roman" w:cs="Times New Roman"/>
                <w:color w:val="000000"/>
                <w:spacing w:val="0"/>
                <w:w w:val="100"/>
                <w:position w:val="0"/>
                <w:sz w:val="18"/>
                <w:szCs w:val="18"/>
              </w:rPr>
              <w:t>15,406,941.62</w:t>
            </w:r>
            <w:r>
              <w:rPr>
                <w:color w:val="000000"/>
                <w:spacing w:val="0"/>
                <w:w w:val="100"/>
                <w:position w:val="0"/>
                <w:sz w:val="18"/>
                <w:szCs w:val="18"/>
              </w:rPr>
              <w:t>元（含税），占合并报表归属上市公司普通股股东的净利润的</w:t>
            </w:r>
            <w:r>
              <w:rPr>
                <w:rFonts w:ascii="Times New Roman" w:eastAsia="Times New Roman" w:hAnsi="Times New Roman" w:cs="Times New Roman"/>
                <w:color w:val="000000"/>
                <w:spacing w:val="0"/>
                <w:w w:val="100"/>
                <w:position w:val="0"/>
                <w:sz w:val="18"/>
                <w:szCs w:val="18"/>
              </w:rPr>
              <w:t>11.39%</w:t>
            </w:r>
            <w:r>
              <w:rPr>
                <w:color w:val="000000"/>
                <w:spacing w:val="0"/>
                <w:w w:val="100"/>
                <w:position w:val="0"/>
                <w:sz w:val="18"/>
                <w:szCs w:val="18"/>
              </w:rPr>
              <w:t>。</w:t>
            </w:r>
          </w:p>
          <w:p>
            <w:pPr>
              <w:pStyle w:val="Style2"/>
              <w:keepNext w:val="0"/>
              <w:keepLines w:val="0"/>
              <w:widowControl w:val="0"/>
              <w:shd w:val="clear" w:color="auto" w:fill="auto"/>
              <w:tabs>
                <w:tab w:pos="653" w:val="left"/>
              </w:tabs>
              <w:bidi w:val="0"/>
              <w:spacing w:before="0" w:after="40" w:line="230"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日公司总股本</w:t>
            </w:r>
            <w:r>
              <w:rPr>
                <w:rFonts w:ascii="Times New Roman" w:eastAsia="Times New Roman" w:hAnsi="Times New Roman" w:cs="Times New Roman"/>
                <w:color w:val="000000"/>
                <w:spacing w:val="0"/>
                <w:w w:val="100"/>
                <w:position w:val="0"/>
                <w:sz w:val="18"/>
                <w:szCs w:val="18"/>
              </w:rPr>
              <w:t>220,099,166</w:t>
            </w:r>
            <w:r>
              <w:rPr>
                <w:color w:val="000000"/>
                <w:spacing w:val="0"/>
                <w:w w:val="100"/>
                <w:position w:val="0"/>
                <w:sz w:val="18"/>
                <w:szCs w:val="18"/>
              </w:rPr>
              <w:t>基数，公司拟向全体股东每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股以资本公积金转增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股，合 计转增股本</w:t>
            </w:r>
            <w:r>
              <w:rPr>
                <w:rFonts w:ascii="Times New Roman" w:eastAsia="Times New Roman" w:hAnsi="Times New Roman" w:cs="Times New Roman"/>
                <w:color w:val="000000"/>
                <w:spacing w:val="0"/>
                <w:w w:val="100"/>
                <w:position w:val="0"/>
                <w:sz w:val="18"/>
                <w:szCs w:val="18"/>
              </w:rPr>
              <w:t>154,069,416</w:t>
            </w:r>
            <w:r>
              <w:rPr>
                <w:color w:val="000000"/>
                <w:spacing w:val="0"/>
                <w:w w:val="100"/>
                <w:position w:val="0"/>
                <w:sz w:val="18"/>
                <w:szCs w:val="18"/>
              </w:rPr>
              <w:t>股。</w:t>
            </w:r>
          </w:p>
        </w:tc>
      </w:tr>
    </w:tbl>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十三、公司股权激励计划、员工持股计划或其他员工激励措施的实施情况</w:t>
      </w:r>
      <w:bookmarkEnd w:id="406"/>
      <w:bookmarkEnd w:id="407"/>
      <w:bookmarkEnd w:id="408"/>
    </w:p>
    <w:p>
      <w:pPr>
        <w:pStyle w:val="Style1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keepLines/>
        <w:widowControl w:val="0"/>
        <w:shd w:val="clear" w:color="auto" w:fill="auto"/>
        <w:bidi w:val="0"/>
        <w:spacing w:before="0" w:after="160" w:line="413" w:lineRule="exact"/>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、股权激励</w:t>
      </w:r>
      <w:bookmarkEnd w:id="409"/>
      <w:bookmarkEnd w:id="410"/>
      <w:bookmarkEnd w:id="412"/>
    </w:p>
    <w:p>
      <w:pPr>
        <w:pStyle w:val="Style1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日召开的第三届董事会第二次会议、第三届监事会第二次会议及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 开的</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 议案》、《关于公司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的议案》等议案，同时股东大会授 权董事会办理股权激励相关事宜，独立董事对相关议案发表独立意见。</w:t>
      </w:r>
    </w:p>
    <w:p>
      <w:pPr>
        <w:pStyle w:val="Style12"/>
        <w:keepNext w:val="0"/>
        <w:keepLines w:val="0"/>
        <w:widowControl w:val="0"/>
        <w:shd w:val="clear" w:color="auto" w:fill="auto"/>
        <w:bidi w:val="0"/>
        <w:spacing w:before="0" w:after="40" w:line="41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日召开的第三届董事会第三次会议、第三届监事会第三次会议审议通过《关于调 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年限制性股票激励计划相关事项的议案》、《关于向激励对象授予限制性股票的议案》，独立董 事及监事会均同意本次激励计划的调整与授予。本次调整后，授予激励对象人数由</w:t>
      </w:r>
      <w:r>
        <w:rPr>
          <w:rFonts w:ascii="Times New Roman" w:eastAsia="Times New Roman" w:hAnsi="Times New Roman" w:cs="Times New Roman"/>
          <w:color w:val="000000"/>
          <w:spacing w:val="0"/>
          <w:w w:val="100"/>
          <w:position w:val="0"/>
        </w:rPr>
        <w:t>123</w:t>
      </w:r>
      <w:r>
        <w:rPr>
          <w:color w:val="000000"/>
          <w:spacing w:val="0"/>
          <w:w w:val="100"/>
          <w:position w:val="0"/>
        </w:rPr>
        <w:t>人调整为</w:t>
      </w:r>
      <w:r>
        <w:rPr>
          <w:rFonts w:ascii="Times New Roman" w:eastAsia="Times New Roman" w:hAnsi="Times New Roman" w:cs="Times New Roman"/>
          <w:color w:val="000000"/>
          <w:spacing w:val="0"/>
          <w:w w:val="100"/>
          <w:position w:val="0"/>
        </w:rPr>
        <w:t>119</w:t>
      </w:r>
      <w:r>
        <w:rPr>
          <w:color w:val="000000"/>
          <w:spacing w:val="0"/>
          <w:w w:val="100"/>
          <w:position w:val="0"/>
        </w:rPr>
        <w:t>人； 授予的限制性股票总量减为</w:t>
      </w:r>
      <w:r>
        <w:rPr>
          <w:rFonts w:ascii="Times New Roman" w:eastAsia="Times New Roman" w:hAnsi="Times New Roman" w:cs="Times New Roman"/>
          <w:color w:val="000000"/>
          <w:spacing w:val="0"/>
          <w:w w:val="100"/>
          <w:position w:val="0"/>
        </w:rPr>
        <w:t>572.</w:t>
      </w:r>
      <w:r>
        <w:rPr>
          <w:rFonts w:ascii="Times New Roman" w:eastAsia="Times New Roman" w:hAnsi="Times New Roman" w:cs="Times New Roman"/>
          <w:color w:val="000000"/>
          <w:spacing w:val="0"/>
          <w:w w:val="100"/>
          <w:position w:val="0"/>
        </w:rPr>
        <w:t>1</w:t>
      </w:r>
      <w:r>
        <w:rPr>
          <w:color w:val="000000"/>
          <w:spacing w:val="0"/>
          <w:w w:val="100"/>
          <w:position w:val="0"/>
        </w:rPr>
        <w:t>万股，</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年度权益分派实施完毕后，公司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 所涉尚未行权的授予价格和授予数量相应予以调整。</w:t>
      </w:r>
    </w:p>
    <w:p>
      <w:pPr>
        <w:pStyle w:val="Style12"/>
        <w:keepNext w:val="0"/>
        <w:keepLines w:val="0"/>
        <w:widowControl w:val="0"/>
        <w:shd w:val="clear" w:color="auto" w:fill="auto"/>
        <w:bidi w:val="0"/>
        <w:spacing w:before="0" w:after="40" w:line="413" w:lineRule="exact"/>
        <w:ind w:left="0" w:right="0" w:firstLine="0"/>
        <w:jc w:val="left"/>
      </w:pPr>
      <w:r>
        <w:rPr>
          <w:color w:val="000000"/>
          <w:spacing w:val="0"/>
          <w:w w:val="100"/>
          <w:position w:val="0"/>
        </w:rPr>
        <w:t>董事、高级管理人员获得的股权激励情况</w:t>
      </w:r>
    </w:p>
    <w:p>
      <w:pPr>
        <w:pStyle w:val="Style12"/>
        <w:keepNext w:val="0"/>
        <w:keepLines w:val="0"/>
        <w:widowControl w:val="0"/>
        <w:shd w:val="clear" w:color="auto" w:fill="auto"/>
        <w:bidi w:val="0"/>
        <w:spacing w:before="0" w:after="160" w:line="413"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1406"/>
        <w:gridCol w:w="571"/>
        <w:gridCol w:w="566"/>
        <w:gridCol w:w="566"/>
        <w:gridCol w:w="566"/>
        <w:gridCol w:w="710"/>
        <w:gridCol w:w="566"/>
        <w:gridCol w:w="566"/>
        <w:gridCol w:w="566"/>
        <w:gridCol w:w="850"/>
        <w:gridCol w:w="850"/>
        <w:gridCol w:w="566"/>
        <w:gridCol w:w="538"/>
      </w:tblGrid>
      <w:tr>
        <w:trPr>
          <w:trHeight w:val="149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年初 持有 股票 期权 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报告 期新 授予 股票 期权 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报告 期内 可行 权股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报告 期内 已行 权股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期末 持有 股票 期权 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报告</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市价</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期初 持有 限制 性股 票数 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报告期新</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授予限制</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性股票数</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限制性股 票的授予 价格（元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 已解 锁股 份数 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31" w:lineRule="exact"/>
              <w:ind w:left="0" w:right="0" w:firstLine="0"/>
              <w:jc w:val="center"/>
              <w:rPr>
                <w:sz w:val="18"/>
                <w:szCs w:val="18"/>
              </w:rPr>
            </w:pPr>
            <w:r>
              <w:rPr>
                <w:color w:val="000000"/>
                <w:spacing w:val="0"/>
                <w:w w:val="100"/>
                <w:position w:val="0"/>
                <w:sz w:val="18"/>
                <w:szCs w:val="18"/>
              </w:rPr>
              <w:t>期末 持有 限制 性股 票数 量</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李冬祥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刘志坚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宋燕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董事、董事会秘 书、副总经理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董事、董事会秘 书、副总经理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黄照程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前董事、董事会 秘书、财务总监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2,587,400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备注（如有）</w:t>
            </w:r>
          </w:p>
        </w:tc>
        <w:tc>
          <w:tcPr>
            <w:gridSpan w:val="11"/>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本次股权激励初始授予价格为</w:t>
            </w:r>
            <w:r>
              <w:rPr>
                <w:rFonts w:ascii="Times New Roman" w:eastAsia="Times New Roman" w:hAnsi="Times New Roman" w:cs="Times New Roman"/>
                <w:color w:val="000000"/>
                <w:spacing w:val="0"/>
                <w:w w:val="100"/>
                <w:position w:val="0"/>
                <w:sz w:val="18"/>
                <w:szCs w:val="18"/>
              </w:rPr>
              <w:t>27.82</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股和</w:t>
            </w:r>
            <w:r>
              <w:rPr>
                <w:rFonts w:ascii="Times New Roman" w:eastAsia="Times New Roman" w:hAnsi="Times New Roman" w:cs="Times New Roman"/>
                <w:color w:val="000000"/>
                <w:spacing w:val="0"/>
                <w:w w:val="100"/>
                <w:position w:val="0"/>
                <w:sz w:val="18"/>
                <w:szCs w:val="18"/>
              </w:rPr>
              <w:t>55.07</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年度权益分派方案实施后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股，授予数量及授予价格相应进行调整。</w:t>
            </w:r>
          </w:p>
        </w:tc>
        <w:tc>
          <w:tcPr>
            <w:tcBorders>
              <w:top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每</w:t>
            </w:r>
          </w:p>
        </w:tc>
      </w:tr>
    </w:tbl>
    <w:p>
      <w:pPr>
        <w:widowControl w:val="0"/>
        <w:spacing w:after="39" w:line="1" w:lineRule="exact"/>
      </w:pPr>
    </w:p>
    <w:p>
      <w:pPr>
        <w:pStyle w:val="Style12"/>
        <w:keepNext w:val="0"/>
        <w:keepLines w:val="0"/>
        <w:widowControl w:val="0"/>
        <w:shd w:val="clear" w:color="auto" w:fill="auto"/>
        <w:bidi w:val="0"/>
        <w:spacing w:before="0" w:after="40" w:line="240" w:lineRule="auto"/>
        <w:ind w:left="0" w:right="0" w:firstLine="0"/>
        <w:jc w:val="left"/>
      </w:pPr>
      <w:r>
        <w:rPr>
          <w:color w:val="000000"/>
          <w:spacing w:val="0"/>
          <w:w w:val="100"/>
          <w:position w:val="0"/>
        </w:rPr>
        <w:t>高级管理人员的考评机制及激励情况</w:t>
      </w:r>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公司现任高级管理人员依照其所任岗位职务，根据公司年度盈利目标的完成情况及个人的工作成</w:t>
      </w:r>
    </w:p>
    <w:p>
      <w:pPr>
        <w:pStyle w:val="Style12"/>
        <w:keepNext w:val="0"/>
        <w:keepLines w:val="0"/>
        <w:widowControl w:val="0"/>
        <w:shd w:val="clear" w:color="auto" w:fill="auto"/>
        <w:bidi w:val="0"/>
        <w:spacing w:before="0" w:after="0" w:line="410" w:lineRule="exact"/>
        <w:ind w:left="0" w:right="0" w:firstLine="0"/>
        <w:jc w:val="both"/>
      </w:pPr>
      <w:r>
        <w:rPr>
          <w:color w:val="000000"/>
          <w:spacing w:val="0"/>
          <w:w w:val="100"/>
          <w:position w:val="0"/>
        </w:rPr>
        <w:t xml:space="preserve">果，并参考公司现有薪酬与绩效考核相关制度领取薪酬，不另外领取高级管理人员津贴。本报告期内， 公司高级管理人员能够严格按照《公司法》《公司章程》及国家有关法律法规认真履行职责，积极落实 公司股东大会和董事会相关决议，在公司规章制度、战略规划、股东大会、董事会的决策框架内，不断 </w:t>
      </w:r>
      <w:r>
        <w:rPr>
          <w:color w:val="000000"/>
          <w:spacing w:val="0"/>
          <w:w w:val="100"/>
          <w:position w:val="0"/>
        </w:rPr>
        <w:t>优化日常生产业务体系，持续加强内部管理，积极完成报告期内董事会交办的各项任务。</w:t>
      </w:r>
    </w:p>
    <w:p>
      <w:pPr>
        <w:pStyle w:val="Style12"/>
        <w:keepNext w:val="0"/>
        <w:keepLines w:val="0"/>
        <w:widowControl w:val="0"/>
        <w:shd w:val="clear" w:color="auto" w:fill="auto"/>
        <w:bidi w:val="0"/>
        <w:spacing w:before="0" w:after="440" w:line="408" w:lineRule="exact"/>
        <w:ind w:left="0" w:right="0" w:firstLine="440"/>
        <w:jc w:val="left"/>
      </w:pPr>
      <w:r>
        <w:rPr>
          <w:color w:val="000000"/>
          <w:spacing w:val="0"/>
          <w:w w:val="100"/>
          <w:position w:val="0"/>
        </w:rPr>
        <w:t>同时，公司已推出并实施了股权激励计划，将部分高级管理人员纳入激励范围，旨在为经营层以及 核心员工搭建完善的激励平台，充分调动人员工作积极性，促进公司经营效率的提升。</w:t>
      </w:r>
    </w:p>
    <w:p>
      <w:pPr>
        <w:pStyle w:val="Style38"/>
        <w:keepNext/>
        <w:keepLines/>
        <w:widowControl w:val="0"/>
        <w:shd w:val="clear" w:color="auto" w:fill="auto"/>
        <w:tabs>
          <w:tab w:pos="378" w:val="left"/>
        </w:tabs>
        <w:bidi w:val="0"/>
        <w:spacing w:before="0" w:after="120" w:line="427"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w:t>
        <w:tab/>
        <w:t>员工持股计划的实施情况</w:t>
      </w:r>
      <w:bookmarkEnd w:id="413"/>
      <w:bookmarkEnd w:id="414"/>
      <w:bookmarkEnd w:id="416"/>
    </w:p>
    <w:p>
      <w:pPr>
        <w:pStyle w:val="Style12"/>
        <w:keepNext w:val="0"/>
        <w:keepLines w:val="0"/>
        <w:widowControl w:val="0"/>
        <w:shd w:val="clear" w:color="auto" w:fill="auto"/>
        <w:bidi w:val="0"/>
        <w:spacing w:before="0" w:after="260" w:line="42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378" w:val="left"/>
        </w:tabs>
        <w:bidi w:val="0"/>
        <w:spacing w:before="0" w:after="120" w:line="427"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3</w:t>
      </w:r>
      <w:bookmarkEnd w:id="419"/>
      <w:r>
        <w:rPr>
          <w:color w:val="000000"/>
          <w:spacing w:val="0"/>
          <w:w w:val="100"/>
          <w:position w:val="0"/>
        </w:rPr>
        <w:t>、</w:t>
        <w:tab/>
        <w:t>其他员工激励措施</w:t>
      </w:r>
      <w:bookmarkEnd w:id="417"/>
      <w:bookmarkEnd w:id="418"/>
      <w:bookmarkEnd w:id="420"/>
    </w:p>
    <w:p>
      <w:pPr>
        <w:pStyle w:val="Style12"/>
        <w:keepNext w:val="0"/>
        <w:keepLines w:val="0"/>
        <w:widowControl w:val="0"/>
        <w:shd w:val="clear" w:color="auto" w:fill="auto"/>
        <w:bidi w:val="0"/>
        <w:spacing w:before="0" w:after="0" w:line="42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0" w:line="408"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 务业''的披露要求</w:t>
      </w:r>
    </w:p>
    <w:p>
      <w:pPr>
        <w:pStyle w:val="Style12"/>
        <w:keepNext w:val="0"/>
        <w:keepLines w:val="0"/>
        <w:widowControl w:val="0"/>
        <w:shd w:val="clear" w:color="auto" w:fill="auto"/>
        <w:bidi w:val="0"/>
        <w:spacing w:before="0" w:after="440" w:line="408" w:lineRule="exact"/>
        <w:ind w:left="0" w:right="0" w:firstLine="440"/>
        <w:jc w:val="left"/>
      </w:pPr>
      <w:r>
        <w:rPr>
          <w:color w:val="000000"/>
          <w:spacing w:val="0"/>
          <w:w w:val="100"/>
          <w:position w:val="0"/>
        </w:rPr>
        <w:t>报告期公司实施股权激励计入当期费用的金额为</w:t>
      </w:r>
      <w:r>
        <w:rPr>
          <w:rFonts w:ascii="Times New Roman" w:eastAsia="Times New Roman" w:hAnsi="Times New Roman" w:cs="Times New Roman"/>
          <w:color w:val="000000"/>
          <w:spacing w:val="0"/>
          <w:w w:val="100"/>
          <w:position w:val="0"/>
        </w:rPr>
        <w:t>9,740,686.08</w:t>
      </w:r>
      <w:r>
        <w:rPr>
          <w:color w:val="000000"/>
          <w:spacing w:val="0"/>
          <w:w w:val="100"/>
          <w:position w:val="0"/>
        </w:rPr>
        <w:t>元，对上市公司净利润影响</w:t>
      </w:r>
      <w:r>
        <w:rPr>
          <w:rFonts w:ascii="Times New Roman" w:eastAsia="Times New Roman" w:hAnsi="Times New Roman" w:cs="Times New Roman"/>
          <w:color w:val="000000"/>
          <w:spacing w:val="0"/>
          <w:w w:val="100"/>
          <w:position w:val="0"/>
        </w:rPr>
        <w:t xml:space="preserve">8,643,050.53 </w:t>
      </w:r>
      <w:r>
        <w:rPr>
          <w:color w:val="000000"/>
          <w:spacing w:val="0"/>
          <w:w w:val="100"/>
          <w:position w:val="0"/>
        </w:rPr>
        <w:t>元。核心技术人员的股权激励费用为</w:t>
      </w:r>
      <w:r>
        <w:rPr>
          <w:rFonts w:ascii="Times New Roman" w:eastAsia="Times New Roman" w:hAnsi="Times New Roman" w:cs="Times New Roman"/>
          <w:color w:val="000000"/>
          <w:spacing w:val="0"/>
          <w:w w:val="100"/>
          <w:position w:val="0"/>
        </w:rPr>
        <w:t>529,671.72</w:t>
      </w:r>
      <w:r>
        <w:rPr>
          <w:color w:val="000000"/>
          <w:spacing w:val="0"/>
          <w:w w:val="100"/>
          <w:position w:val="0"/>
        </w:rPr>
        <w:t>元，占比</w:t>
      </w:r>
      <w:r>
        <w:rPr>
          <w:rFonts w:ascii="Times New Roman" w:eastAsia="Times New Roman" w:hAnsi="Times New Roman" w:cs="Times New Roman"/>
          <w:color w:val="000000"/>
          <w:spacing w:val="0"/>
          <w:w w:val="100"/>
          <w:position w:val="0"/>
        </w:rPr>
        <w:t>5.44%</w:t>
      </w:r>
      <w:r>
        <w:rPr>
          <w:color w:val="000000"/>
          <w:spacing w:val="0"/>
          <w:w w:val="100"/>
          <w:position w:val="0"/>
        </w:rPr>
        <w:t>。</w:t>
      </w:r>
    </w:p>
    <w:p>
      <w:pPr>
        <w:pStyle w:val="Style31"/>
        <w:keepNext/>
        <w:keepLines/>
        <w:widowControl w:val="0"/>
        <w:shd w:val="clear" w:color="auto" w:fill="auto"/>
        <w:bidi w:val="0"/>
        <w:spacing w:before="0" w:after="320" w:line="240" w:lineRule="auto"/>
        <w:ind w:left="0" w:right="0" w:firstLine="0"/>
        <w:jc w:val="left"/>
      </w:pPr>
      <w:bookmarkStart w:id="421" w:name="bookmark421"/>
      <w:bookmarkStart w:id="422" w:name="bookmark422"/>
      <w:bookmarkStart w:id="423" w:name="bookmark423"/>
      <w:r>
        <w:rPr>
          <w:color w:val="000000"/>
          <w:spacing w:val="0"/>
          <w:w w:val="100"/>
          <w:position w:val="0"/>
          <w:sz w:val="24"/>
          <w:szCs w:val="24"/>
        </w:rPr>
        <w:t>十四、报告期内的内部控制制度建设及实施情况</w:t>
      </w:r>
      <w:bookmarkEnd w:id="421"/>
      <w:bookmarkEnd w:id="422"/>
      <w:bookmarkEnd w:id="423"/>
    </w:p>
    <w:p>
      <w:pPr>
        <w:pStyle w:val="Style38"/>
        <w:keepNext/>
        <w:keepLines/>
        <w:widowControl w:val="0"/>
        <w:shd w:val="clear" w:color="auto" w:fill="auto"/>
        <w:tabs>
          <w:tab w:pos="368" w:val="left"/>
        </w:tabs>
        <w:bidi w:val="0"/>
        <w:spacing w:before="0" w:after="0" w:line="427"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w:t>
        <w:tab/>
        <w:t>内部控制建设及实施情况</w:t>
      </w:r>
      <w:bookmarkEnd w:id="424"/>
      <w:bookmarkEnd w:id="425"/>
      <w:bookmarkEnd w:id="427"/>
    </w:p>
    <w:p>
      <w:pPr>
        <w:pStyle w:val="Style1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报告期内，公司严格按照各项法律法规以及公司内部控制管理要求规范经营管理、控制风险、提高 经营效率和效果。董事会负责内部控制的建立健全和有效实施，董事会审计委员会、内审部门共同对公 司内部控制管理进行监督和评价。报告期内公司不断完善内部控制结构，梳理和优化公司各项内控流 程，对公司内部控制程序进行审视和补充，进一步规范公司管理制度、部门工作职责及岗位责任制，不 断强化内控的执行力度，加强公司控制和管理，保证了公司内控体系的完整及有效性。</w:t>
      </w:r>
    </w:p>
    <w:p>
      <w:pPr>
        <w:pStyle w:val="Style12"/>
        <w:keepNext w:val="0"/>
        <w:keepLines w:val="0"/>
        <w:widowControl w:val="0"/>
        <w:shd w:val="clear" w:color="auto" w:fill="auto"/>
        <w:bidi w:val="0"/>
        <w:spacing w:before="0" w:after="440" w:line="409" w:lineRule="exact"/>
        <w:ind w:left="0" w:right="0" w:firstLine="440"/>
        <w:jc w:val="left"/>
      </w:pPr>
      <w:r>
        <w:rPr>
          <w:color w:val="000000"/>
          <w:spacing w:val="0"/>
          <w:w w:val="100"/>
          <w:position w:val="0"/>
        </w:rPr>
        <w:t xml:space="preserve">公司根据企业内部控制规范体系及公司内部控制评价方法规定的程序组织了 </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 工作，公司不存在财务报告和非财务报告的内部控制重大缺陷和重要缺陷。</w:t>
      </w:r>
    </w:p>
    <w:p>
      <w:pPr>
        <w:pStyle w:val="Style38"/>
        <w:keepNext/>
        <w:keepLines/>
        <w:widowControl w:val="0"/>
        <w:shd w:val="clear" w:color="auto" w:fill="auto"/>
        <w:tabs>
          <w:tab w:pos="378" w:val="left"/>
        </w:tabs>
        <w:bidi w:val="0"/>
        <w:spacing w:before="0" w:after="120" w:line="427"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w:t>
        <w:tab/>
        <w:t>报告期内发现的内部控制重大缺陷的具体情况</w:t>
      </w:r>
      <w:bookmarkEnd w:id="428"/>
      <w:bookmarkEnd w:id="429"/>
      <w:bookmarkEnd w:id="431"/>
    </w:p>
    <w:p>
      <w:pPr>
        <w:pStyle w:val="Style12"/>
        <w:keepNext w:val="0"/>
        <w:keepLines w:val="0"/>
        <w:widowControl w:val="0"/>
        <w:shd w:val="clear" w:color="auto" w:fill="auto"/>
        <w:bidi w:val="0"/>
        <w:spacing w:before="0" w:after="260" w:line="42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1"/>
        <w:keepNext/>
        <w:keepLines/>
        <w:widowControl w:val="0"/>
        <w:shd w:val="clear" w:color="auto" w:fill="auto"/>
        <w:bidi w:val="0"/>
        <w:spacing w:before="0" w:after="320" w:line="240" w:lineRule="auto"/>
        <w:ind w:left="0" w:right="0" w:firstLine="0"/>
        <w:jc w:val="left"/>
      </w:pPr>
      <w:bookmarkStart w:id="432" w:name="bookmark432"/>
      <w:bookmarkStart w:id="433" w:name="bookmark433"/>
      <w:bookmarkStart w:id="434" w:name="bookmark434"/>
      <w:r>
        <w:rPr>
          <w:color w:val="000000"/>
          <w:spacing w:val="0"/>
          <w:w w:val="100"/>
          <w:position w:val="0"/>
          <w:sz w:val="24"/>
          <w:szCs w:val="24"/>
        </w:rPr>
        <w:t>十五、公司报告期内对子公司的管理控制情况</w:t>
      </w:r>
      <w:bookmarkEnd w:id="432"/>
      <w:bookmarkEnd w:id="433"/>
      <w:bookmarkEnd w:id="434"/>
    </w:p>
    <w:tbl>
      <w:tblPr>
        <w:tblOverlap w:val="never"/>
        <w:jc w:val="center"/>
        <w:tblLayout w:type="fixed"/>
      </w:tblPr>
      <w:tblGrid>
        <w:gridCol w:w="1378"/>
        <w:gridCol w:w="2563"/>
        <w:gridCol w:w="1421"/>
        <w:gridCol w:w="1133"/>
        <w:gridCol w:w="989"/>
        <w:gridCol w:w="854"/>
        <w:gridCol w:w="1248"/>
      </w:tblGrid>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整合计划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整合进展</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整合中遇到 的问题</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已采取的解 决措施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解决进展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后续解决计划</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法本通信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公司资产、人员、财务、业务 等方面全部纳入集团统一管理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已整合完成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spacing w:lineRule="exact" w:line="1"/>
        <w:rPr>
          <w:sz w:val="2"/>
          <w:szCs w:val="2"/>
        </w:rPr>
      </w:pPr>
      <w:r>
        <w:br w:type="page"/>
      </w:r>
    </w:p>
    <w:p>
      <w:pPr>
        <w:pStyle w:val="Style31"/>
        <w:keepNext/>
        <w:keepLines/>
        <w:widowControl w:val="0"/>
        <w:shd w:val="clear" w:color="auto" w:fill="auto"/>
        <w:bidi w:val="0"/>
        <w:spacing w:before="0" w:after="300" w:line="240" w:lineRule="auto"/>
        <w:ind w:left="0" w:right="0" w:firstLine="0"/>
        <w:jc w:val="left"/>
      </w:pPr>
      <w:bookmarkStart w:id="435" w:name="bookmark435"/>
      <w:bookmarkStart w:id="436" w:name="bookmark436"/>
      <w:bookmarkStart w:id="437" w:name="bookmark437"/>
      <w:r>
        <w:rPr>
          <w:color w:val="000000"/>
          <w:spacing w:val="0"/>
          <w:w w:val="100"/>
          <w:position w:val="0"/>
          <w:sz w:val="24"/>
          <w:szCs w:val="24"/>
        </w:rPr>
        <w:t>十六、内部控制自我评价报告或内部控制审计报告</w:t>
      </w:r>
      <w:bookmarkEnd w:id="435"/>
      <w:bookmarkEnd w:id="436"/>
      <w:bookmarkEnd w:id="437"/>
    </w:p>
    <w:p>
      <w:pPr>
        <w:pStyle w:val="Style38"/>
        <w:keepNext/>
        <w:keepLines/>
        <w:widowControl w:val="0"/>
        <w:shd w:val="clear" w:color="auto" w:fill="auto"/>
        <w:bidi w:val="0"/>
        <w:spacing w:before="0" w:after="30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、内控自我评价报告</w:t>
      </w:r>
      <w:bookmarkEnd w:id="438"/>
      <w:bookmarkEnd w:id="439"/>
      <w:bookmarkEnd w:id="441"/>
    </w:p>
    <w:tbl>
      <w:tblPr>
        <w:tblOverlap w:val="never"/>
        <w:jc w:val="center"/>
        <w:tblLayout w:type="fixed"/>
      </w:tblPr>
      <w:tblGrid>
        <w:gridCol w:w="2832"/>
        <w:gridCol w:w="3240"/>
        <w:gridCol w:w="3581"/>
      </w:tblGrid>
      <w:tr>
        <w:trPr>
          <w:trHeight w:val="36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r>
      <w:tr>
        <w:trPr>
          <w:trHeight w:val="57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年度内部控制自我评价报告》（巨潮资讯网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p>
        </w:tc>
      </w:tr>
      <w:tr>
        <w:trPr>
          <w:trHeight w:val="66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纳入评价范围单位营业收入占公司 合并财务报表营业总收入的比例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2" w:hRule="exact"/>
        </w:trPr>
        <w:tc>
          <w:tcPr>
            <w:gridSpan w:val="3"/>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367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3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重大缺陷：董事、监事和高级管理人员 舞弊行为；外部审计发现当期财务报告 存在重大错报，公司在运行过程中未能 发现该错报；公司审计委员会和内部审 计机构对内部控制的监督无效。</w:t>
            </w:r>
          </w:p>
          <w:p>
            <w:pPr>
              <w:pStyle w:val="Style2"/>
              <w:keepNext w:val="0"/>
              <w:keepLines w:val="0"/>
              <w:widowControl w:val="0"/>
              <w:shd w:val="clear" w:color="auto" w:fill="auto"/>
              <w:bidi w:val="0"/>
              <w:spacing w:before="0" w:after="40" w:line="232" w:lineRule="exact"/>
              <w:ind w:left="0" w:right="0" w:firstLine="0"/>
              <w:jc w:val="both"/>
              <w:rPr>
                <w:sz w:val="18"/>
                <w:szCs w:val="18"/>
              </w:rPr>
            </w:pPr>
            <w:r>
              <w:rPr>
                <w:color w:val="000000"/>
                <w:spacing w:val="0"/>
                <w:w w:val="100"/>
                <w:position w:val="0"/>
                <w:sz w:val="18"/>
                <w:szCs w:val="18"/>
              </w:rPr>
              <w:t>重要缺陷：未依照公认会计准则选择和 应用会计政策；未建立反舞弊程序和控 制措施；对于非常规或特殊交易的账务 处理没有建立相应的控制机制或没有实 施且没有相应的补偿性控制；对于期末 财务报告过程的控制存在一项或多项缺 陷且不能合理保证编制的财务报表达到 真实、准确的目标。</w:t>
            </w:r>
          </w:p>
          <w:p>
            <w:pPr>
              <w:pStyle w:val="Style2"/>
              <w:keepNext w:val="0"/>
              <w:keepLines w:val="0"/>
              <w:widowControl w:val="0"/>
              <w:shd w:val="clear" w:color="auto" w:fill="auto"/>
              <w:bidi w:val="0"/>
              <w:spacing w:before="0" w:after="40" w:line="230" w:lineRule="exact"/>
              <w:ind w:left="0" w:right="0" w:firstLine="0"/>
              <w:jc w:val="both"/>
              <w:rPr>
                <w:sz w:val="18"/>
                <w:szCs w:val="18"/>
              </w:rPr>
            </w:pPr>
            <w:r>
              <w:rPr>
                <w:color w:val="000000"/>
                <w:spacing w:val="0"/>
                <w:w w:val="100"/>
                <w:position w:val="0"/>
                <w:sz w:val="18"/>
                <w:szCs w:val="18"/>
              </w:rPr>
              <w:t>一般缺陷：除上述重大缺陷、重要缺陷 之外的其他缺陷。</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3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重大缺陷：严重违犯国家法律、法规；重要 业务缺乏制度控制或制度系统性失效；内部 控制评价的结果特别是重大或重要缺陷未得 到及时整改；信息披露内部控制失效，公司 被监管部门处罚或警告公开谴责；其他对公 司影响重大的情形，如媒体负面新闻频现， 涉及面广且负面影响一直未能消除。</w:t>
            </w:r>
          </w:p>
          <w:p>
            <w:pPr>
              <w:pStyle w:val="Style2"/>
              <w:keepNext w:val="0"/>
              <w:keepLines w:val="0"/>
              <w:widowControl w:val="0"/>
              <w:shd w:val="clear" w:color="auto" w:fill="auto"/>
              <w:bidi w:val="0"/>
              <w:spacing w:before="0" w:after="40" w:line="235" w:lineRule="exact"/>
              <w:ind w:left="0" w:right="0" w:firstLine="0"/>
              <w:jc w:val="left"/>
              <w:rPr>
                <w:sz w:val="18"/>
                <w:szCs w:val="18"/>
              </w:rPr>
            </w:pPr>
            <w:r>
              <w:rPr>
                <w:color w:val="000000"/>
                <w:spacing w:val="0"/>
                <w:w w:val="100"/>
                <w:position w:val="0"/>
                <w:sz w:val="18"/>
                <w:szCs w:val="18"/>
              </w:rPr>
              <w:t>重要缺陷：违反国家法律法规并被处罚；公 司重要业务制度或系统存在缺陷；公司的重 要或一般缺陷不能得到及时整改。</w:t>
            </w:r>
          </w:p>
          <w:p>
            <w:pPr>
              <w:pStyle w:val="Style2"/>
              <w:keepNext w:val="0"/>
              <w:keepLines w:val="0"/>
              <w:widowControl w:val="0"/>
              <w:shd w:val="clear" w:color="auto" w:fill="auto"/>
              <w:bidi w:val="0"/>
              <w:spacing w:before="0" w:after="40" w:line="230" w:lineRule="exact"/>
              <w:ind w:left="0" w:right="0" w:firstLine="0"/>
              <w:jc w:val="left"/>
              <w:rPr>
                <w:sz w:val="18"/>
                <w:szCs w:val="18"/>
              </w:rPr>
            </w:pPr>
            <w:r>
              <w:rPr>
                <w:color w:val="000000"/>
                <w:spacing w:val="0"/>
                <w:w w:val="100"/>
                <w:position w:val="0"/>
                <w:sz w:val="18"/>
                <w:szCs w:val="18"/>
              </w:rPr>
              <w:t>一般缺陷：除上述重大缺陷、重要缺陷之外 的其他缺陷。</w:t>
            </w:r>
            <w:r>
              <w:rPr>
                <w:rFonts w:ascii="Times New Roman" w:eastAsia="Times New Roman" w:hAnsi="Times New Roman" w:cs="Times New Roman"/>
                <w:color w:val="000000"/>
                <w:spacing w:val="0"/>
                <w:w w:val="100"/>
                <w:position w:val="0"/>
                <w:sz w:val="18"/>
                <w:szCs w:val="18"/>
              </w:rPr>
              <w:t>"</w:t>
            </w:r>
          </w:p>
        </w:tc>
      </w:tr>
      <w:tr>
        <w:trPr>
          <w:trHeight w:val="297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2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资产总额：潜在错报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8"/>
                <w:szCs w:val="18"/>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为 重大缺陷；资产总额的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潜在错报 〈资产总额的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为重要缺陷；潜在错报 〈资产总额的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为一般缺陷。</w:t>
            </w:r>
          </w:p>
          <w:p>
            <w:pPr>
              <w:pStyle w:val="Style2"/>
              <w:keepNext w:val="0"/>
              <w:keepLines w:val="0"/>
              <w:widowControl w:val="0"/>
              <w:shd w:val="clear" w:color="auto" w:fill="auto"/>
              <w:bidi w:val="0"/>
              <w:spacing w:before="0" w:after="60" w:line="229" w:lineRule="exact"/>
              <w:ind w:left="0" w:right="0" w:firstLine="0"/>
              <w:jc w:val="both"/>
              <w:rPr>
                <w:sz w:val="18"/>
                <w:szCs w:val="18"/>
              </w:rPr>
            </w:pPr>
            <w:r>
              <w:rPr>
                <w:color w:val="000000"/>
                <w:spacing w:val="0"/>
                <w:w w:val="100"/>
                <w:position w:val="0"/>
                <w:sz w:val="18"/>
                <w:szCs w:val="18"/>
              </w:rPr>
              <w:t>收入总额：潜在错报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8"/>
                <w:szCs w:val="18"/>
              </w:rPr>
              <w:t>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为 重大缺陷；收入总额的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潜在错报 〈收入总额的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为重要缺陷；潜在错报 〈收入总额的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为一般缺陷。</w:t>
            </w:r>
          </w:p>
          <w:p>
            <w:pPr>
              <w:pStyle w:val="Style2"/>
              <w:keepNext w:val="0"/>
              <w:keepLines w:val="0"/>
              <w:widowControl w:val="0"/>
              <w:shd w:val="clear" w:color="auto" w:fill="auto"/>
              <w:bidi w:val="0"/>
              <w:spacing w:before="0" w:after="60" w:line="229" w:lineRule="exact"/>
              <w:ind w:left="0" w:right="0" w:firstLine="0"/>
              <w:jc w:val="both"/>
              <w:rPr>
                <w:sz w:val="18"/>
                <w:szCs w:val="18"/>
              </w:rPr>
            </w:pPr>
            <w:r>
              <w:rPr>
                <w:color w:val="000000"/>
                <w:spacing w:val="0"/>
                <w:w w:val="100"/>
                <w:position w:val="0"/>
                <w:sz w:val="18"/>
                <w:szCs w:val="18"/>
              </w:rPr>
              <w:t>利润总额：潜在错报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8"/>
                <w:szCs w:val="18"/>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为 重大缺陷；利润总额的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潜在错报＜ 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为重要缺陷；潜在错报＜ 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为一般缺陷。</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2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资产总额：潜在错报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8"/>
                <w:szCs w:val="18"/>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为重 大缺陷；资产总额的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潜在错报〈资产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为重要缺陷；潜在错报〈资产总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为一般缺陷。</w:t>
            </w:r>
          </w:p>
          <w:p>
            <w:pPr>
              <w:pStyle w:val="Style2"/>
              <w:keepNext w:val="0"/>
              <w:keepLines w:val="0"/>
              <w:widowControl w:val="0"/>
              <w:shd w:val="clear" w:color="auto" w:fill="auto"/>
              <w:bidi w:val="0"/>
              <w:spacing w:before="0" w:after="40" w:line="227" w:lineRule="exact"/>
              <w:ind w:left="0" w:right="0" w:firstLine="0"/>
              <w:jc w:val="left"/>
              <w:rPr>
                <w:sz w:val="18"/>
                <w:szCs w:val="18"/>
              </w:rPr>
            </w:pPr>
            <w:r>
              <w:rPr>
                <w:color w:val="000000"/>
                <w:spacing w:val="0"/>
                <w:w w:val="100"/>
                <w:position w:val="0"/>
                <w:sz w:val="18"/>
                <w:szCs w:val="18"/>
              </w:rPr>
              <w:t>收入总额：潜在错报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8"/>
                <w:szCs w:val="18"/>
              </w:rPr>
              <w:t>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为重大 缺陷；收入总额的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潜在错报〈收入总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为重要缺陷；潜在错报〈收入总额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为一般缺陷。</w:t>
            </w:r>
          </w:p>
          <w:p>
            <w:pPr>
              <w:pStyle w:val="Style2"/>
              <w:keepNext w:val="0"/>
              <w:keepLines w:val="0"/>
              <w:widowControl w:val="0"/>
              <w:shd w:val="clear" w:color="auto" w:fill="auto"/>
              <w:bidi w:val="0"/>
              <w:spacing w:before="0" w:after="40" w:line="234" w:lineRule="exact"/>
              <w:ind w:left="0" w:right="0" w:firstLine="0"/>
              <w:jc w:val="left"/>
              <w:rPr>
                <w:sz w:val="18"/>
                <w:szCs w:val="18"/>
              </w:rPr>
            </w:pPr>
            <w:r>
              <w:rPr>
                <w:color w:val="000000"/>
                <w:spacing w:val="0"/>
                <w:w w:val="100"/>
                <w:position w:val="0"/>
                <w:sz w:val="18"/>
                <w:szCs w:val="18"/>
              </w:rPr>
              <w:t>利润总额：潜在错报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8"/>
                <w:szCs w:val="18"/>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为重大 缺陷；利润总额的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潜在错报〈利润总额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为重要缺陷；潜在错报〈利润总额的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为一般缺陷。</w:t>
            </w: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6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、内部控制审计报告或鉴证报告</w:t>
      </w:r>
      <w:bookmarkEnd w:id="442"/>
      <w:bookmarkEnd w:id="443"/>
      <w:bookmarkEnd w:id="445"/>
    </w:p>
    <w:p>
      <w:pPr>
        <w:pStyle w:val="Style12"/>
        <w:keepNext w:val="0"/>
        <w:keepLines w:val="0"/>
        <w:widowControl w:val="0"/>
        <w:shd w:val="clear" w:color="auto" w:fill="auto"/>
        <w:bidi w:val="0"/>
        <w:spacing w:before="0" w:after="123" w:line="240" w:lineRule="auto"/>
        <w:ind w:left="0" w:right="0" w:firstLine="0"/>
        <w:jc w:val="both"/>
      </w:pPr>
      <w:r>
        <w:rPr>
          <w:color w:val="000000"/>
          <w:spacing w:val="0"/>
          <w:w w:val="100"/>
          <w:position w:val="0"/>
        </w:rPr>
        <w:t>内部控制鉴证报告</w:t>
      </w:r>
    </w:p>
    <w:p>
      <w:pPr>
        <w:pStyle w:val="Style54"/>
        <w:keepNext w:val="0"/>
        <w:keepLines w:val="0"/>
        <w:widowControl w:val="0"/>
        <w:pBdr>
          <w:top w:val="single" w:sz="4" w:space="4" w:color="D4D4D4"/>
          <w:left w:val="single" w:sz="4" w:space="0" w:color="D4D4D4"/>
          <w:bottom w:val="single" w:sz="4" w:space="3" w:color="D4D4D4"/>
          <w:right w:val="single" w:sz="4" w:space="0" w:color="D4D4D4"/>
        </w:pBdr>
        <w:shd w:val="clear" w:color="auto" w:fill="D4D4D4"/>
        <w:bidi w:val="0"/>
        <w:spacing w:before="0" w:after="100" w:line="240" w:lineRule="auto"/>
        <w:ind w:left="0" w:right="0" w:firstLine="0"/>
        <w:jc w:val="center"/>
      </w:pPr>
      <w:r>
        <w:rPr>
          <w:color w:val="000000"/>
          <w:spacing w:val="0"/>
          <w:w w:val="100"/>
          <w:position w:val="0"/>
        </w:rPr>
        <w:t>内部控制鉴证报告中的审议意见段</w:t>
      </w:r>
    </w:p>
    <w:p>
      <w:pPr>
        <w:pStyle w:val="Style54"/>
        <w:keepNext w:val="0"/>
        <w:keepLines w:val="0"/>
        <w:widowControl w:val="0"/>
        <w:pBdr>
          <w:top w:val="single" w:sz="4" w:space="4" w:color="D4D4D4"/>
          <w:left w:val="single" w:sz="4" w:space="0" w:color="D4D4D4"/>
          <w:bottom w:val="single" w:sz="4" w:space="3" w:color="D4D4D4"/>
          <w:right w:val="single" w:sz="4" w:space="0" w:color="D4D4D4"/>
        </w:pBdr>
        <w:shd w:val="clear" w:color="auto" w:fill="D4D4D4"/>
        <w:bidi w:val="0"/>
        <w:spacing w:before="0" w:after="242" w:line="240" w:lineRule="auto"/>
        <w:ind w:left="0" w:right="0" w:firstLine="0"/>
        <w:jc w:val="left"/>
      </w:pPr>
      <w:r>
        <w:rPr>
          <w:color w:val="000000"/>
          <w:spacing w:val="0"/>
          <w:w w:val="100"/>
          <w:position w:val="0"/>
        </w:rPr>
        <w:t>天健会计师事务所认为，法本信息公司按照《深圳证券交易所上市公司自律监管指引第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w:t>
      </w:r>
    </w:p>
    <w:tbl>
      <w:tblPr>
        <w:tblOverlap w:val="never"/>
        <w:jc w:val="center"/>
        <w:tblLayout w:type="fixed"/>
      </w:tblPr>
      <w:tblGrid>
        <w:gridCol w:w="2669"/>
        <w:gridCol w:w="6912"/>
      </w:tblGrid>
      <w:tr>
        <w:trPr>
          <w:trHeight w:val="293"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作》规定于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日在所有重大方面保持了有效的财务报告内部控制。</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内控鉴证报告披露情况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内部控制鉴证报告全文披露日期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内部控制鉴证报告全文披露索引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年度内部控制审计报告》详见巨潮资讯网(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sz w:val="18"/>
                <w:szCs w:val="18"/>
              </w:rPr>
              <w:t>)</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内控鉴证报告意见类型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标准无保留意见</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pStyle w:val="Style1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注：披露索引可以披露公告的编号、公告名称、公告披露的网站名称。</w:t>
      </w:r>
    </w:p>
    <w:p>
      <w:pPr>
        <w:pStyle w:val="Style12"/>
        <w:keepNext w:val="0"/>
        <w:keepLines w:val="0"/>
        <w:widowControl w:val="0"/>
        <w:shd w:val="clear" w:color="auto" w:fill="auto"/>
        <w:bidi w:val="0"/>
        <w:spacing w:before="0" w:after="160" w:line="240" w:lineRule="auto"/>
        <w:ind w:left="0" w:right="0" w:firstLine="0"/>
        <w:jc w:val="both"/>
      </w:pPr>
      <w:r>
        <w:rPr>
          <w:color w:val="000000"/>
          <w:spacing w:val="0"/>
          <w:w w:val="100"/>
          <w:position w:val="0"/>
        </w:rPr>
        <w:t>会计师事务所是否出具非标准意见的内部控制鉴证报告</w:t>
      </w:r>
    </w:p>
    <w:p>
      <w:pPr>
        <w:pStyle w:val="Style12"/>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2"/>
        <w:keepNext w:val="0"/>
        <w:keepLines w:val="0"/>
        <w:widowControl w:val="0"/>
        <w:shd w:val="clear" w:color="auto" w:fill="auto"/>
        <w:bidi w:val="0"/>
        <w:spacing w:before="0" w:after="160" w:line="240" w:lineRule="auto"/>
        <w:ind w:left="0" w:right="0" w:firstLine="0"/>
        <w:jc w:val="both"/>
      </w:pPr>
      <w:r>
        <w:rPr>
          <w:color w:val="000000"/>
          <w:spacing w:val="0"/>
          <w:w w:val="100"/>
          <w:position w:val="0"/>
        </w:rPr>
        <w:t>会计师事务所出具的内部控制鉴证报告与董事会的自我评价报告意见是否一致</w:t>
      </w:r>
    </w:p>
    <w:p>
      <w:pPr>
        <w:pStyle w:val="Style12"/>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keepLines/>
        <w:widowControl w:val="0"/>
        <w:shd w:val="clear" w:color="auto" w:fill="auto"/>
        <w:bidi w:val="0"/>
        <w:spacing w:before="0" w:after="340" w:line="240" w:lineRule="auto"/>
        <w:ind w:left="0" w:right="0" w:firstLine="0"/>
        <w:jc w:val="both"/>
      </w:pPr>
      <w:bookmarkStart w:id="446" w:name="bookmark446"/>
      <w:bookmarkStart w:id="447" w:name="bookmark447"/>
      <w:bookmarkStart w:id="448" w:name="bookmark448"/>
      <w:r>
        <w:rPr>
          <w:color w:val="000000"/>
          <w:spacing w:val="0"/>
          <w:w w:val="100"/>
          <w:position w:val="0"/>
          <w:sz w:val="24"/>
          <w:szCs w:val="24"/>
        </w:rPr>
        <w:t>十七、上市公司治理专项行动自查问题整改情况</w:t>
      </w:r>
      <w:bookmarkEnd w:id="446"/>
      <w:bookmarkEnd w:id="447"/>
      <w:bookmarkEnd w:id="448"/>
    </w:p>
    <w:p>
      <w:pPr>
        <w:pStyle w:val="Style12"/>
        <w:keepNext w:val="0"/>
        <w:keepLines w:val="0"/>
        <w:widowControl w:val="0"/>
        <w:shd w:val="clear" w:color="auto" w:fill="auto"/>
        <w:bidi w:val="0"/>
        <w:spacing w:before="0" w:after="160" w:line="240" w:lineRule="auto"/>
        <w:ind w:left="0" w:right="0" w:firstLine="0"/>
        <w:jc w:val="both"/>
        <w:sectPr>
          <w:footnotePr>
            <w:pos w:val="pageBottom"/>
            <w:numFmt w:val="decimal"/>
            <w:numRestart w:val="continuous"/>
          </w:footnotePr>
          <w:pgSz w:w="11900" w:h="16840"/>
          <w:pgMar w:top="1278" w:right="1120" w:bottom="1456" w:left="1090"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500" w:after="960" w:line="240" w:lineRule="auto"/>
        <w:ind w:left="0" w:right="0" w:firstLine="0"/>
        <w:jc w:val="center"/>
      </w:pPr>
      <w:bookmarkStart w:id="449" w:name="bookmark449"/>
      <w:bookmarkStart w:id="450" w:name="bookmark450"/>
      <w:bookmarkStart w:id="451" w:name="bookmark451"/>
      <w:r>
        <w:rPr>
          <w:color w:val="000000"/>
          <w:spacing w:val="0"/>
          <w:w w:val="100"/>
          <w:position w:val="0"/>
        </w:rPr>
        <w:t>第五节环境和社会责任</w:t>
      </w:r>
      <w:bookmarkEnd w:id="449"/>
      <w:bookmarkEnd w:id="450"/>
      <w:bookmarkEnd w:id="451"/>
    </w:p>
    <w:p>
      <w:pPr>
        <w:pStyle w:val="Style31"/>
        <w:keepNext/>
        <w:keepLines/>
        <w:widowControl w:val="0"/>
        <w:shd w:val="clear" w:color="auto" w:fill="auto"/>
        <w:tabs>
          <w:tab w:pos="485" w:val="left"/>
        </w:tabs>
        <w:bidi w:val="0"/>
        <w:spacing w:before="0" w:after="140" w:line="240" w:lineRule="auto"/>
        <w:ind w:left="0" w:right="0" w:firstLine="0"/>
        <w:jc w:val="left"/>
      </w:pPr>
      <w:bookmarkStart w:id="452" w:name="bookmark452"/>
      <w:bookmarkStart w:id="453" w:name="bookmark453"/>
      <w:bookmarkStart w:id="454" w:name="bookmark454"/>
      <w:bookmarkStart w:id="455" w:name="bookmark455"/>
      <w:bookmarkStart w:id="456" w:name="bookmark456"/>
      <w:r>
        <w:rPr>
          <w:color w:val="000000"/>
          <w:spacing w:val="0"/>
          <w:w w:val="100"/>
          <w:position w:val="0"/>
          <w:sz w:val="24"/>
          <w:szCs w:val="24"/>
        </w:rPr>
        <w:t>一</w:t>
      </w:r>
      <w:bookmarkEnd w:id="455"/>
      <w:r>
        <w:rPr>
          <w:color w:val="000000"/>
          <w:spacing w:val="0"/>
          <w:w w:val="100"/>
          <w:position w:val="0"/>
          <w:sz w:val="24"/>
          <w:szCs w:val="24"/>
        </w:rPr>
        <w:t>、</w:t>
        <w:tab/>
        <w:t>重大环保问题</w:t>
      </w:r>
      <w:bookmarkEnd w:id="453"/>
      <w:bookmarkEnd w:id="454"/>
      <w:bookmarkEnd w:id="456"/>
      <w:bookmarkEnd w:id="452"/>
    </w:p>
    <w:p>
      <w:pPr>
        <w:pStyle w:val="Style12"/>
        <w:keepNext w:val="0"/>
        <w:keepLines w:val="0"/>
        <w:widowControl w:val="0"/>
        <w:shd w:val="clear" w:color="auto" w:fill="auto"/>
        <w:bidi w:val="0"/>
        <w:spacing w:before="0" w:after="440" w:line="413"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485" w:val="left"/>
        </w:tabs>
        <w:bidi w:val="0"/>
        <w:spacing w:before="0" w:after="14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二</w:t>
      </w:r>
      <w:bookmarkEnd w:id="459"/>
      <w:r>
        <w:rPr>
          <w:color w:val="000000"/>
          <w:spacing w:val="0"/>
          <w:w w:val="100"/>
          <w:position w:val="0"/>
          <w:sz w:val="24"/>
          <w:szCs w:val="24"/>
        </w:rPr>
        <w:t>、</w:t>
        <w:tab/>
        <w:t>社会责任情况</w:t>
      </w:r>
      <w:bookmarkEnd w:id="457"/>
      <w:bookmarkEnd w:id="458"/>
      <w:bookmarkEnd w:id="460"/>
    </w:p>
    <w:p>
      <w:pPr>
        <w:pStyle w:val="Style12"/>
        <w:keepNext w:val="0"/>
        <w:keepLines w:val="0"/>
        <w:widowControl w:val="0"/>
        <w:shd w:val="clear" w:color="auto" w:fill="auto"/>
        <w:bidi w:val="0"/>
        <w:spacing w:before="0" w:after="140" w:line="409" w:lineRule="exact"/>
        <w:ind w:left="0" w:right="0" w:firstLine="420"/>
        <w:jc w:val="left"/>
      </w:pPr>
      <w:r>
        <w:rPr>
          <w:color w:val="000000"/>
          <w:spacing w:val="0"/>
          <w:w w:val="100"/>
          <w:position w:val="0"/>
        </w:rPr>
        <w:t>在经营过程中，公司积极履行企业应尽的义务，在不断为股东创造价值的同时，亦十分注重对员 工、客户等其他利益相关者的权益保护，也积极承担环境的可持续发展、公共关系、社会公益事业等社 会责任。</w:t>
      </w:r>
    </w:p>
    <w:p>
      <w:pPr>
        <w:pStyle w:val="Style12"/>
        <w:keepNext w:val="0"/>
        <w:keepLines w:val="0"/>
        <w:widowControl w:val="0"/>
        <w:shd w:val="clear" w:color="auto" w:fill="auto"/>
        <w:tabs>
          <w:tab w:pos="746" w:val="left"/>
        </w:tabs>
        <w:bidi w:val="0"/>
        <w:spacing w:before="0" w:after="0" w:line="427" w:lineRule="auto"/>
        <w:ind w:left="0" w:right="0" w:firstLine="420"/>
        <w:jc w:val="left"/>
      </w:pPr>
      <w:bookmarkStart w:id="461" w:name="bookmark461"/>
      <w:r>
        <w:rPr>
          <w:rFonts w:ascii="Times New Roman" w:eastAsia="Times New Roman" w:hAnsi="Times New Roman" w:cs="Times New Roman"/>
          <w:color w:val="000000"/>
          <w:spacing w:val="0"/>
          <w:w w:val="100"/>
          <w:position w:val="0"/>
        </w:rPr>
        <w:t>1</w:t>
      </w:r>
      <w:bookmarkEnd w:id="461"/>
      <w:r>
        <w:rPr>
          <w:color w:val="000000"/>
          <w:spacing w:val="0"/>
          <w:w w:val="100"/>
          <w:position w:val="0"/>
        </w:rPr>
        <w:t>、</w:t>
        <w:tab/>
        <w:t>股东权益保护</w:t>
      </w:r>
    </w:p>
    <w:p>
      <w:pPr>
        <w:pStyle w:val="Style12"/>
        <w:keepNext w:val="0"/>
        <w:keepLines w:val="0"/>
        <w:widowControl w:val="0"/>
        <w:shd w:val="clear" w:color="auto" w:fill="auto"/>
        <w:bidi w:val="0"/>
        <w:spacing w:before="0" w:after="140" w:line="409" w:lineRule="exact"/>
        <w:ind w:left="0" w:right="0" w:firstLine="420"/>
        <w:jc w:val="left"/>
      </w:pPr>
      <w:r>
        <w:rPr>
          <w:color w:val="000000"/>
          <w:spacing w:val="0"/>
          <w:w w:val="100"/>
          <w:position w:val="0"/>
        </w:rPr>
        <w:t>公司严格按照《公司法》《证券法》及《公司章程》等相关规定及要求，不断加强完善公司治理结 构，建立健全公司内部控制制度，促进和确保公司的规范有效运作。并加强对信息披露工作的管理，规 范公司信息披露行为，保证真实、准确、完整地披露信息，通过股东大会、投资者热线、互动易、业绩 说明会等多种方式与投资者进行沟通交流，充分有效地保障了投资者的知情权。同时，公司非常重视对 投资者的合理回报，在兼顾公司可持续发展的情况下，制定并实施了合理的利润分配方案，坚持与股东 共同分享公司的生产经营成果。</w:t>
      </w:r>
    </w:p>
    <w:p>
      <w:pPr>
        <w:pStyle w:val="Style12"/>
        <w:keepNext w:val="0"/>
        <w:keepLines w:val="0"/>
        <w:widowControl w:val="0"/>
        <w:shd w:val="clear" w:color="auto" w:fill="auto"/>
        <w:tabs>
          <w:tab w:pos="765" w:val="left"/>
        </w:tabs>
        <w:bidi w:val="0"/>
        <w:spacing w:before="0" w:after="0" w:line="427" w:lineRule="auto"/>
        <w:ind w:left="0" w:right="0" w:firstLine="420"/>
        <w:jc w:val="left"/>
      </w:pPr>
      <w:bookmarkStart w:id="462" w:name="bookmark462"/>
      <w:r>
        <w:rPr>
          <w:rFonts w:ascii="Times New Roman" w:eastAsia="Times New Roman" w:hAnsi="Times New Roman" w:cs="Times New Roman"/>
          <w:color w:val="000000"/>
          <w:spacing w:val="0"/>
          <w:w w:val="100"/>
          <w:position w:val="0"/>
        </w:rPr>
        <w:t>2</w:t>
      </w:r>
      <w:bookmarkEnd w:id="462"/>
      <w:r>
        <w:rPr>
          <w:color w:val="000000"/>
          <w:spacing w:val="0"/>
          <w:w w:val="100"/>
          <w:position w:val="0"/>
        </w:rPr>
        <w:t>、</w:t>
        <w:tab/>
        <w:t>员工权益保护</w:t>
      </w:r>
    </w:p>
    <w:p>
      <w:pPr>
        <w:pStyle w:val="Style1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公司一直坚持以人为本的人才理念，实施企业人才战略，严格遵守《劳动法》、《劳动合同法》等 相关法律法规，依法与员工签订劳动合同，切实关注员工身心健康、安全和满意度，尊重并维护员工的 个人合法权益。通过知识技能的理论培训及实践操作技能培训等方式使员工得到切实的提高和发展，维 护员工权益。积极组织员工接种疫苗和配合核酸检测，并针对部分疫情发生地的员工，特别是实行隔离 的员工及时输送相关防疫物资，配合防控机构要求，安抚员工心情。我们时刻保障员工及客户所需，同 时，公司为了吸引和保留人才，报告期内积极推进</w:t>
      </w:r>
      <w:r>
        <w:rPr>
          <w:rFonts w:ascii="Times New Roman" w:eastAsia="Times New Roman" w:hAnsi="Times New Roman" w:cs="Times New Roman"/>
          <w:color w:val="000000"/>
          <w:spacing w:val="0"/>
          <w:w w:val="100"/>
          <w:position w:val="0"/>
        </w:rPr>
        <w:t>2021</w:t>
      </w:r>
      <w:r>
        <w:rPr>
          <w:color w:val="000000"/>
          <w:spacing w:val="0"/>
          <w:w w:val="100"/>
          <w:position w:val="0"/>
        </w:rPr>
        <w:t>年度股权激励计划，并于近期通过回购公司股票 的方式延续激励手段，努力保持核心团队的稳定及吸引更多的优秀人才，为达成公司的战略目标和可持 续发展奠定基础，实现企业和员工的共同成长和发展。</w:t>
      </w:r>
    </w:p>
    <w:p>
      <w:pPr>
        <w:pStyle w:val="Style12"/>
        <w:keepNext w:val="0"/>
        <w:keepLines w:val="0"/>
        <w:widowControl w:val="0"/>
        <w:shd w:val="clear" w:color="auto" w:fill="auto"/>
        <w:tabs>
          <w:tab w:pos="765" w:val="left"/>
        </w:tabs>
        <w:bidi w:val="0"/>
        <w:spacing w:before="0" w:after="0" w:line="409" w:lineRule="exact"/>
        <w:ind w:left="0" w:right="0" w:firstLine="420"/>
        <w:jc w:val="left"/>
      </w:pPr>
      <w:bookmarkStart w:id="463" w:name="bookmark463"/>
      <w:r>
        <w:rPr>
          <w:rFonts w:ascii="Times New Roman" w:eastAsia="Times New Roman" w:hAnsi="Times New Roman" w:cs="Times New Roman"/>
          <w:color w:val="000000"/>
          <w:spacing w:val="0"/>
          <w:w w:val="100"/>
          <w:position w:val="0"/>
        </w:rPr>
        <w:t>3</w:t>
      </w:r>
      <w:bookmarkEnd w:id="463"/>
      <w:r>
        <w:rPr>
          <w:color w:val="000000"/>
          <w:spacing w:val="0"/>
          <w:w w:val="100"/>
          <w:position w:val="0"/>
        </w:rPr>
        <w:t>、</w:t>
        <w:tab/>
        <w:t>客户及供应商权益保护</w:t>
      </w:r>
    </w:p>
    <w:p>
      <w:pPr>
        <w:pStyle w:val="Style12"/>
        <w:keepNext w:val="0"/>
        <w:keepLines w:val="0"/>
        <w:widowControl w:val="0"/>
        <w:shd w:val="clear" w:color="auto" w:fill="auto"/>
        <w:bidi w:val="0"/>
        <w:spacing w:before="0" w:after="140" w:line="409" w:lineRule="exact"/>
        <w:ind w:left="0" w:right="0" w:firstLine="420"/>
        <w:jc w:val="left"/>
      </w:pPr>
      <w:r>
        <w:rPr>
          <w:color w:val="000000"/>
          <w:spacing w:val="0"/>
          <w:w w:val="100"/>
          <w:position w:val="0"/>
        </w:rPr>
        <w:t>公司成立以来，秉承互惠互利、合作共赢的原则，不断加强与各方的沟通与合作，充分尊重并保护 供应商、客户的合法权益，建立良好的战略合作伙伴关系。在十多年的创新服务与探索中，法本信息不 断完善面向全球客户的优质服务能力体系，积累了丰富的实战技术资源、专业人才资源、标杆客户资 源，并在此基础上，不断创新突破，持续为客户创造价值，于与客户建立长期稳定的合作关系。</w:t>
      </w:r>
    </w:p>
    <w:p>
      <w:pPr>
        <w:pStyle w:val="Style12"/>
        <w:keepNext w:val="0"/>
        <w:keepLines w:val="0"/>
        <w:widowControl w:val="0"/>
        <w:shd w:val="clear" w:color="auto" w:fill="auto"/>
        <w:bidi w:val="0"/>
        <w:spacing w:before="0" w:after="0" w:line="410" w:lineRule="exact"/>
        <w:ind w:left="0" w:right="0" w:firstLine="440"/>
        <w:jc w:val="both"/>
      </w:pPr>
      <w:bookmarkStart w:id="464" w:name="bookmark464"/>
      <w:r>
        <w:rPr>
          <w:rFonts w:ascii="Times New Roman" w:eastAsia="Times New Roman" w:hAnsi="Times New Roman" w:cs="Times New Roman"/>
          <w:color w:val="000000"/>
          <w:spacing w:val="0"/>
          <w:w w:val="100"/>
          <w:position w:val="0"/>
        </w:rPr>
        <w:t>4</w:t>
      </w:r>
      <w:bookmarkEnd w:id="464"/>
      <w:r>
        <w:rPr>
          <w:color w:val="000000"/>
          <w:spacing w:val="0"/>
          <w:w w:val="100"/>
          <w:position w:val="0"/>
        </w:rPr>
        <w:t>、积极参与社会公益事业</w:t>
      </w:r>
    </w:p>
    <w:p>
      <w:pPr>
        <w:pStyle w:val="Style12"/>
        <w:keepNext w:val="0"/>
        <w:keepLines w:val="0"/>
        <w:widowControl w:val="0"/>
        <w:shd w:val="clear" w:color="auto" w:fill="auto"/>
        <w:bidi w:val="0"/>
        <w:spacing w:before="0" w:after="460" w:line="410" w:lineRule="exact"/>
        <w:ind w:left="0" w:right="0" w:firstLine="440"/>
        <w:jc w:val="left"/>
      </w:pPr>
      <w:r>
        <w:rPr>
          <w:color w:val="000000"/>
          <w:spacing w:val="0"/>
          <w:w w:val="100"/>
          <w:position w:val="0"/>
        </w:rPr>
        <w:t>法本信息多年来将企业社会责任视为企业价值体系的重要组成部分，建立法本公益平台，统筹企业 资源、员工、技术能力，在扶贫助教、抗击疫情等方面积极行动，践行企业社会责任。报告期内公司组 织</w:t>
      </w:r>
      <w:r>
        <w:rPr>
          <w:rFonts w:ascii="Times New Roman" w:eastAsia="Times New Roman" w:hAnsi="Times New Roman" w:cs="Times New Roman"/>
          <w:color w:val="000000"/>
          <w:spacing w:val="0"/>
          <w:w w:val="100"/>
          <w:position w:val="0"/>
        </w:rPr>
        <w:t>“</w:t>
      </w:r>
      <w:r>
        <w:rPr>
          <w:color w:val="000000"/>
          <w:spacing w:val="0"/>
          <w:w w:val="100"/>
          <w:position w:val="0"/>
        </w:rPr>
        <w:t>益''起跑百公里活动，向西藏昌都市八宿县然乌镇中心小学捐赠跑鞋</w:t>
      </w:r>
      <w:r>
        <w:rPr>
          <w:rFonts w:ascii="Times New Roman" w:eastAsia="Times New Roman" w:hAnsi="Times New Roman" w:cs="Times New Roman"/>
          <w:color w:val="000000"/>
          <w:spacing w:val="0"/>
          <w:w w:val="100"/>
          <w:position w:val="0"/>
        </w:rPr>
        <w:t>100</w:t>
      </w:r>
      <w:r>
        <w:rPr>
          <w:color w:val="000000"/>
          <w:spacing w:val="0"/>
          <w:w w:val="100"/>
          <w:position w:val="0"/>
        </w:rPr>
        <w:t>双，为爱心福利事业贡献一份 力量。</w:t>
      </w:r>
    </w:p>
    <w:p>
      <w:pPr>
        <w:pStyle w:val="Style31"/>
        <w:keepNext/>
        <w:keepLines/>
        <w:widowControl w:val="0"/>
        <w:shd w:val="clear" w:color="auto" w:fill="auto"/>
        <w:bidi w:val="0"/>
        <w:spacing w:before="0" w:after="16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sz w:val="24"/>
          <w:szCs w:val="24"/>
        </w:rPr>
        <w:t>三</w:t>
      </w:r>
      <w:bookmarkEnd w:id="467"/>
      <w:r>
        <w:rPr>
          <w:color w:val="000000"/>
          <w:spacing w:val="0"/>
          <w:w w:val="100"/>
          <w:position w:val="0"/>
          <w:sz w:val="24"/>
          <w:szCs w:val="24"/>
        </w:rPr>
        <w:t>、巩固拓展脱贫攻坚成果、乡村振兴的情况</w:t>
      </w:r>
      <w:bookmarkEnd w:id="465"/>
      <w:bookmarkEnd w:id="466"/>
      <w:bookmarkEnd w:id="468"/>
    </w:p>
    <w:p>
      <w:pPr>
        <w:pStyle w:val="Style12"/>
        <w:keepNext w:val="0"/>
        <w:keepLines w:val="0"/>
        <w:widowControl w:val="0"/>
        <w:shd w:val="clear" w:color="auto" w:fill="auto"/>
        <w:bidi w:val="0"/>
        <w:spacing w:before="0" w:after="300" w:line="410" w:lineRule="exact"/>
        <w:ind w:left="0" w:right="0" w:firstLine="0"/>
        <w:jc w:val="left"/>
        <w:sectPr>
          <w:footnotePr>
            <w:pos w:val="pageBottom"/>
            <w:numFmt w:val="decimal"/>
            <w:numRestart w:val="continuous"/>
          </w:footnotePr>
          <w:pgSz w:w="11900" w:h="16840"/>
          <w:pgMar w:top="1287" w:right="1140" w:bottom="1757" w:left="1083" w:header="0" w:footer="3" w:gutter="0"/>
          <w:cols w:space="720"/>
          <w:noEndnote/>
          <w:rtlGutter w:val="0"/>
          <w:docGrid w:linePitch="360"/>
        </w:sectPr>
      </w:pPr>
      <w:r>
        <w:rPr>
          <w:color w:val="000000"/>
          <w:spacing w:val="0"/>
          <w:w w:val="100"/>
          <w:position w:val="0"/>
        </w:rPr>
        <w:t>公司报告期内暂未开展脱贫攻坚、乡村振兴工作。</w:t>
      </w:r>
    </w:p>
    <w:p>
      <w:pPr>
        <w:pStyle w:val="Style17"/>
        <w:keepNext/>
        <w:keepLines/>
        <w:widowControl w:val="0"/>
        <w:shd w:val="clear" w:color="auto" w:fill="auto"/>
        <w:bidi w:val="0"/>
        <w:spacing w:before="360" w:after="960" w:line="240" w:lineRule="auto"/>
        <w:ind w:left="0" w:right="0" w:firstLine="0"/>
        <w:jc w:val="center"/>
      </w:pPr>
      <w:bookmarkStart w:id="469" w:name="bookmark469"/>
      <w:bookmarkStart w:id="470" w:name="bookmark470"/>
      <w:bookmarkStart w:id="471" w:name="bookmark471"/>
      <w:r>
        <w:rPr>
          <w:color w:val="000000"/>
          <w:spacing w:val="0"/>
          <w:w w:val="100"/>
          <w:position w:val="0"/>
        </w:rPr>
        <w:t>第六节重要事项</w:t>
      </w:r>
      <w:bookmarkEnd w:id="469"/>
      <w:bookmarkEnd w:id="470"/>
      <w:bookmarkEnd w:id="471"/>
    </w:p>
    <w:p>
      <w:pPr>
        <w:pStyle w:val="Style31"/>
        <w:keepNext/>
        <w:keepLines/>
        <w:widowControl w:val="0"/>
        <w:shd w:val="clear" w:color="auto" w:fill="auto"/>
        <w:bidi w:val="0"/>
        <w:spacing w:before="0" w:after="280" w:line="240" w:lineRule="auto"/>
        <w:ind w:left="0" w:right="0" w:firstLine="0"/>
        <w:jc w:val="left"/>
      </w:pPr>
      <w:bookmarkStart w:id="472" w:name="bookmark472"/>
      <w:bookmarkStart w:id="473" w:name="bookmark473"/>
      <w:bookmarkStart w:id="474" w:name="bookmark474"/>
      <w:bookmarkStart w:id="475" w:name="bookmark475"/>
      <w:bookmarkStart w:id="476" w:name="bookmark476"/>
      <w:r>
        <w:rPr>
          <w:color w:val="000000"/>
          <w:spacing w:val="0"/>
          <w:w w:val="100"/>
          <w:position w:val="0"/>
          <w:sz w:val="24"/>
          <w:szCs w:val="24"/>
        </w:rPr>
        <w:t>一</w:t>
      </w:r>
      <w:bookmarkEnd w:id="475"/>
      <w:r>
        <w:rPr>
          <w:color w:val="000000"/>
          <w:spacing w:val="0"/>
          <w:w w:val="100"/>
          <w:position w:val="0"/>
          <w:sz w:val="24"/>
          <w:szCs w:val="24"/>
        </w:rPr>
        <w:t>、承诺事项履行情况</w:t>
      </w:r>
      <w:bookmarkEnd w:id="473"/>
      <w:bookmarkEnd w:id="474"/>
      <w:bookmarkEnd w:id="476"/>
      <w:bookmarkEnd w:id="472"/>
    </w:p>
    <w:p>
      <w:pPr>
        <w:pStyle w:val="Style38"/>
        <w:keepNext/>
        <w:keepLines/>
        <w:widowControl w:val="0"/>
        <w:shd w:val="clear" w:color="auto" w:fill="auto"/>
        <w:bidi w:val="0"/>
        <w:spacing w:before="0" w:after="12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bookmarkEnd w:id="479"/>
      <w:r>
        <w:rPr>
          <w:color w:val="000000"/>
          <w:spacing w:val="0"/>
          <w:w w:val="100"/>
          <w:position w:val="0"/>
        </w:rPr>
        <w:t>、公司实际控制人、股东、关联方、收购人以及公司等承诺相关方在报告期内履行完毕及截至报告期末尚未履行完毕的承诺事项</w:t>
      </w:r>
      <w:bookmarkEnd w:id="477"/>
      <w:bookmarkEnd w:id="478"/>
      <w:bookmarkEnd w:id="480"/>
      <w:r>
        <w:rPr>
          <w:color w:val="000000"/>
          <w:spacing w:val="0"/>
          <w:w w:val="100"/>
          <w:position w:val="0"/>
        </w:rPr>
        <w:t xml:space="preserve"> </w:t>
      </w:r>
      <w:r>
        <w:rPr>
          <w:rStyle w:val="CharStyle13"/>
          <w:rFonts w:ascii="Times New Roman" w:eastAsia="Times New Roman" w:hAnsi="Times New Roman" w:cs="Times New Roman"/>
          <w:b w:val="0"/>
          <w:bCs w:val="0"/>
        </w:rPr>
        <w:t>q</w:t>
      </w:r>
      <w:r>
        <w:rPr>
          <w:rStyle w:val="CharStyle13"/>
          <w:b w:val="0"/>
          <w:bCs w:val="0"/>
        </w:rPr>
        <w:t>适用</w:t>
      </w:r>
      <w:r>
        <w:rPr>
          <w:rStyle w:val="CharStyle13"/>
          <w:b w:val="0"/>
          <w:bCs w:val="0"/>
        </w:rPr>
        <w:t>口</w:t>
      </w:r>
      <w:r>
        <w:rPr>
          <w:rStyle w:val="CharStyle13"/>
          <w:b w:val="0"/>
          <w:bCs w:val="0"/>
        </w:rPr>
        <w:t>不适用</w:t>
      </w:r>
    </w:p>
    <w:tbl>
      <w:tblPr>
        <w:tblOverlap w:val="never"/>
        <w:jc w:val="center"/>
        <w:tblLayout w:type="fixed"/>
      </w:tblPr>
      <w:tblGrid>
        <w:gridCol w:w="1459"/>
        <w:gridCol w:w="1555"/>
        <w:gridCol w:w="1315"/>
        <w:gridCol w:w="6768"/>
        <w:gridCol w:w="960"/>
        <w:gridCol w:w="965"/>
        <w:gridCol w:w="946"/>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承诺来源</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承诺类型</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承诺时间</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履行情况</w:t>
            </w:r>
          </w:p>
        </w:tc>
      </w:tr>
      <w:tr>
        <w:trPr>
          <w:trHeight w:val="79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资产重组时所作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首次公开发行或 再融资时所作承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严华、宋燕、木 加林、嘉嘉通、 耕读邦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股份限售承诺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自法本信息股票在深圳证券交易所上市交易之日起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个月内，不转让或者委托他 人管理本人（本企业）直接或间接持有的法本信息公开发行股票前已发行的股份， 也不由法本信息回购本人（本企业）直接或间接持有的法本信息公开发行股票前已 发行的前述股份。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正常履行 中</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海通旭初和海通创 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股份限售承诺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个月内以及自法本信息股票在深圳证券交易所上市交 易之日起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个月内，不转让或者委托他人管理本企业直接或间接持有的法本信息 公开发行股票前已发行的股份，也不由法本信息回购本企业持有的法本信息公开发 行股票前已发行的前述股份。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正常履行 中</w:t>
            </w:r>
          </w:p>
        </w:tc>
      </w:tr>
      <w:tr>
        <w:trPr>
          <w:trHeight w:val="2429"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投控东海一期、汇 博红瑞三号、永诚 叁号，夏海燕、余 华均、袁金钰、谢 从义、王奉君、胡 争怿、哈思鼎、蒋 兵、黄汉湘、刘 芳、李伊健、孙 也牧、李秀敏、卢 宏飞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股份限售承诺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自法本信息股票在深圳证券交易所上市交易之日起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个月内，不转让或者委托他 人管理本人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本企业直接或间接持有的法本信息公开发行股票前已发行的股份，也不 由法本信息回购本人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本企业持有的法本信息公开发行股票前已发行的前述股份。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履行完毕</w:t>
            </w:r>
          </w:p>
        </w:tc>
      </w:tr>
    </w:tbl>
    <w:p>
      <w:pPr>
        <w:spacing w:lineRule="exact" w:line="1"/>
        <w:rPr>
          <w:sz w:val="2"/>
          <w:szCs w:val="2"/>
        </w:rPr>
      </w:pPr>
      <w:r>
        <w:br w:type="page"/>
      </w:r>
    </w:p>
    <w:tbl>
      <w:tblPr>
        <w:tblOverlap w:val="never"/>
        <w:jc w:val="center"/>
        <w:tblLayout w:type="fixed"/>
      </w:tblPr>
      <w:tblGrid>
        <w:gridCol w:w="1459"/>
        <w:gridCol w:w="1555"/>
        <w:gridCol w:w="1315"/>
        <w:gridCol w:w="6768"/>
        <w:gridCol w:w="960"/>
        <w:gridCol w:w="965"/>
        <w:gridCol w:w="946"/>
      </w:tblGrid>
      <w:tr>
        <w:trPr>
          <w:trHeight w:val="479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严华、宋燕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股份减持承诺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、在前述限售期满后，本人在法本信息担任董事、监事或高级管理人员期间，每年 转让的股份不超过本人直接或间接持有的法本信息股份总数的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，离职后半年 内，不转让本人直接或间接所持有的法本信息股份。本人自公司首次公开发行股票 并在创业板上市之日起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个月内申报离职的，自申报离职之日起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个月内不转让 本人直接或间接持有的公司股份；在首次公开发行股票并在创业板上市之日起第</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8"/>
                <w:szCs w:val="18"/>
              </w:rPr>
              <w:t>个月至第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个月之间申报离职的，自申报离职之日起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个月内不转让本人直接 或间接持有的公司股份。如本人在担任法本信息董事、监事或高级管理人员的任期 届满前离职，则在本人就任时确定的期限内和任期届满后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个月内，每年转让的股 份不超过本人直接或间接持有发行人股份总数的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，离职后半年内不转让本人直 接或间接持有的法本信息股份。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、本人所持股份在锁定期届满后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年内，若本人 拟减持法本信息公开发行股票前已发行的股份，减持价格不低于发行价（若法本信 息股票上市后出现派息、送股、资本公积转增股本等除权、除息事项，最低减持价 格将相应调整）；如法本信息上市后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个交易日的收盘价 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个月期末（如该日不是交易日，则该日后第一个交易 日）收盘价低于发行价，本人持有的前述股份的锁定期限自动延长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个月。本人不 因职务变更、离职等原因而放弃履行上述减持价格和延长锁定期限的承诺。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、如 本人拟在锁定期满后减持股票的，将严格遵守中国证监会、深圳证券交易所等关于 股东减持的相关规定，审慎制定股票减持计划，通过合法方式进行减持，并通过发 行人在减持前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个交易日通知公司并予以公告，按照相关规定及时、准确地履行信 息披露义务。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正常履行 中</w:t>
            </w:r>
          </w:p>
        </w:tc>
      </w:tr>
      <w:tr>
        <w:trPr>
          <w:trHeight w:val="149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木加林、嘉嘉通、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耕读邦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股份减持承诺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本企业所持股份在锁定期届满后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年内，若本企业拟减持法本信息公开发行股票前 已发行的股份，减持价格不低于发行价（若法本信息股票上市后出现派息、送股、 资本公积转增股本等除权、除息事项，最低减持价格将相应调整）；如法本信息上市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个交易日的收盘价均低于发行价，或者上市后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 月期末（如该日不是交易日，则该日后第一个交易日）收盘价低于发行价，本企业 持有的前述股份的锁定期限自动延长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正常履行 中</w:t>
            </w:r>
          </w:p>
        </w:tc>
      </w:tr>
      <w:tr>
        <w:trPr>
          <w:trHeight w:val="125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股份减持承诺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、本人在持有发行人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以上股份期间，拟减持发行人股票的，须提前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个交易 日通知公司并予以公告，并应符合届时中国证监会和深圳证券交易所关于股东减持 的其他相关规定，依据相关规则及时通知发行人并履行信息披露义务。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、如本人 拟在锁定期满后两年内减持的，减持价格不低于发行价，每年减持数量不超过其所 持有公司股份的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。如遇除权除息事项，上述发行价相应调整。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正常履行 中</w:t>
            </w:r>
          </w:p>
        </w:tc>
      </w:tr>
      <w:tr>
        <w:trPr>
          <w:trHeight w:val="193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黄照程、李冬祥、 唐凯、徐纯印、郑 呈、明钢生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股份减持承诺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tabs>
                <w:tab w:pos="298" w:val="left"/>
              </w:tabs>
              <w:bidi w:val="0"/>
              <w:spacing w:before="0" w:after="0" w:line="23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自法本信息股票在深圳证券交易所上市交易之日起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个月内，不转让或者委托 他人管理本人直接或间接持有的法本信息公开发行股票前已发行的股份，也不由法 本信息回购本人直接或间接持有的法本信息公开发行股票前已发行的前述股份。</w:t>
            </w:r>
          </w:p>
          <w:p>
            <w:pPr>
              <w:pStyle w:val="Style2"/>
              <w:keepNext w:val="0"/>
              <w:keepLines w:val="0"/>
              <w:widowControl w:val="0"/>
              <w:shd w:val="clear" w:color="auto" w:fill="auto"/>
              <w:tabs>
                <w:tab w:pos="278" w:val="left"/>
              </w:tabs>
              <w:bidi w:val="0"/>
              <w:spacing w:before="0" w:after="0" w:line="23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在前述限售期满后，本人在法本信息担任董事、监事或高级管理人员期间，每年 转让的股份不超过本人直接或间接持有的法本信息股份总数的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，离职后半年</w:t>
            </w:r>
          </w:p>
          <w:p>
            <w:pPr>
              <w:pStyle w:val="Style2"/>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内，不转让本人直接或间接所持有的法本信息股份。本人自公司首次公开发行股票 并在创业板上市之日起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个月内申报离职的，自申报离职之日起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个月内不转让 本人直接或间接持有的公司股份；在首次公开发行股票并在创业板上市之日起第</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履行完毕</w:t>
            </w:r>
          </w:p>
        </w:tc>
      </w:tr>
    </w:tbl>
    <w:p>
      <w:pPr>
        <w:spacing w:lineRule="exact" w:line="1"/>
        <w:rPr>
          <w:sz w:val="2"/>
          <w:szCs w:val="2"/>
        </w:rPr>
      </w:pPr>
      <w:r>
        <w:br w:type="page"/>
      </w:r>
    </w:p>
    <w:tbl>
      <w:tblPr>
        <w:tblOverlap w:val="never"/>
        <w:jc w:val="center"/>
        <w:tblLayout w:type="fixed"/>
      </w:tblPr>
      <w:tblGrid>
        <w:gridCol w:w="1488"/>
        <w:gridCol w:w="1555"/>
        <w:gridCol w:w="1315"/>
        <w:gridCol w:w="6768"/>
        <w:gridCol w:w="960"/>
        <w:gridCol w:w="965"/>
        <w:gridCol w:w="970"/>
      </w:tblGrid>
      <w:tr>
        <w:trPr>
          <w:trHeight w:val="265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个月至第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个月之间申报离职的，自申报离职之日起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个月内不转让本人直接 或间接持有的公司股份。如本人在担任法本信息董事、监事或高级管理人员的任期 届满前离职，则在本人就任时确定的期限内和任期届满后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个月内，每年转让的股 份不超过本人直接或间接持有发行人股份总数的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，离职后半年内不转让本人直 接或间接持有的法本信息股份。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、本人所持股份在锁定期届满后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年内，若本人 拟减持法本信息公开发行股票前已发行的股份，减持价格不低于发行价（若法本信息 股票上市后出现派息、送股、资本公积转增股本等除权、除息事项，最低减持价格 将相应调整）；如法本信息上市后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个交易日的收盘价均 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个月期末（如该日不是交易日，则该日后第一个交易 日）收盘价低于发行价，本人持有的前述股份的锁定期限自动延长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个月。本人不 因职务变更、离职等原因而放弃履行上述减持价格和延长锁定期限的承诺。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5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稳定股价承诺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在公司上市后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年内，若股价触发前述稳定股价启动条件时，公司将遵守公司董事 会作出的稳定股价的具体实施方案，并根据该具体实施方案采取包括但不限于回购 公司股票或董事会作出的其他稳定股价的具体实施措施。自公司股票首次公开发行 并上市之日起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年内，若公司新聘任董事、高级管理人员的，公司将要求该等新聘 任的董事、高级管理人员履行公司上市时董事、高级管理人员已作出的相应承诺。 若在启动条件触发后，公司未按照稳定股价的预案采取稳定股价措施的，董事会应 向投资者说明公司未采取稳定股价措施的具体原因，向股东大会提出替代方案。独 立董事、监事会应对替代方案发表意见。股东大会审议替代方案前，公司应通过接 听投资者电话、公司公共邮箱、网络平台、召开投资者见面会等多种渠道主动与股 东特别是中小股东进行沟通和交流，充分听取中小股东的意见和诉求，及时答复中 小股东关心的问题。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正常履行 中</w:t>
            </w:r>
          </w:p>
        </w:tc>
      </w:tr>
      <w:tr>
        <w:trPr>
          <w:trHeight w:val="2890"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稳定股价承诺</w:t>
            </w:r>
          </w:p>
        </w:tc>
        <w:tc>
          <w:tcPr>
            <w:tcBorders>
              <w:top w:val="single" w:sz="4"/>
              <w:left w:val="single" w:sz="4"/>
            </w:tcBorders>
            <w:shd w:val="clear" w:color="auto" w:fill="FFFFFF"/>
            <w:vAlign w:val="top"/>
          </w:tcPr>
          <w:p>
            <w:pPr>
              <w:pStyle w:val="Style2"/>
              <w:keepNext w:val="0"/>
              <w:keepLines w:val="0"/>
              <w:widowControl w:val="0"/>
              <w:shd w:val="clear" w:color="auto" w:fill="auto"/>
              <w:tabs>
                <w:tab w:pos="2467" w:val="left"/>
              </w:tabs>
              <w:bidi w:val="0"/>
              <w:spacing w:before="0" w:after="0" w:line="234" w:lineRule="exact"/>
              <w:ind w:left="0" w:right="0" w:firstLine="0"/>
              <w:jc w:val="left"/>
              <w:rPr>
                <w:sz w:val="18"/>
                <w:szCs w:val="18"/>
              </w:rPr>
            </w:pPr>
            <w:r>
              <w:rPr>
                <w:color w:val="000000"/>
                <w:spacing w:val="0"/>
                <w:w w:val="100"/>
                <w:position w:val="0"/>
                <w:sz w:val="18"/>
                <w:szCs w:val="18"/>
              </w:rPr>
              <w:t>在公司上市后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年内，若股价触发前述稳定股价启动条件时，本人将遵守发行人董 事会作出的稳定股价的具体实施方案，并根据该具体实施方案采取包括但不限于增 持发行人股票或董事会作出的其他稳定股价的具体实施措施，该具体实施方案涉及 发行人股东大会表决的，在股东大会表决时投赞成票。本人如应按稳定股价具体方 案要求增持公司股票，但未按规定提出增持计划和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或未实际实施增持股票计划的， 公司有权扣减股东分红（如有），同时停止转让本人持有的公司股份，直至本人前述 承诺义务履行完毕为止。</w:t>
              <w:tab/>
              <w:t>此外，本人也将严格按照稳定股价预案的规定，全面</w:t>
            </w:r>
          </w:p>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且有效地履行本人的各项义务和责任。本人将敦促发行人及其他相关方严格按照稳定 股价预案的规定，全面且有效地履行各项义务和责任。如本人未履行上述承诺，将在 公司股东大会及中国证监会指定信息披露媒体上公开说明未履行承诺的具体原因并向 公司股东和社会公众投资者道歉，并将同时停止自公司领取薪酬及股东分红（如 有），同时停止转让本人持有的公司股份，直至本人前述承诺义务履行完毕为止。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正常履行 中</w:t>
            </w:r>
          </w:p>
        </w:tc>
      </w:tr>
      <w:tr>
        <w:trPr>
          <w:trHeight w:val="1267"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黄照程、李冬祥、 唐凯、刘志坚、胡 振超、米旭明、黄 幼平、宋燕、郑 呈、吴超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稳定股价承诺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本人将严格按照稳定股价预案的规定，全面且有效地履行本人的各项义务和责任。 同时，本人将敦促发行人及其他相关方严格按照稳定股价预案的规定，全面且有效 地履行各项义务和责任。如本人未履行上述承诺，将在公司股东大会及中国证监会 指定信息披露媒体上公开说明未履行承诺的具体原因并向公司股东和社会公众投资 者道歉，并将同时停止自公司领取薪酬及股东分红（如有），同时停止转让本人持有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正常履行 中</w:t>
            </w:r>
          </w:p>
        </w:tc>
      </w:tr>
    </w:tbl>
    <w:p>
      <w:pPr>
        <w:spacing w:lineRule="exact" w:line="1"/>
        <w:rPr>
          <w:sz w:val="2"/>
          <w:szCs w:val="2"/>
        </w:rPr>
      </w:pPr>
      <w:r>
        <w:br w:type="page"/>
      </w:r>
    </w:p>
    <w:tbl>
      <w:tblPr>
        <w:tblOverlap w:val="never"/>
        <w:jc w:val="center"/>
        <w:tblLayout w:type="fixed"/>
      </w:tblPr>
      <w:tblGrid>
        <w:gridCol w:w="1488"/>
        <w:gridCol w:w="1555"/>
        <w:gridCol w:w="1315"/>
        <w:gridCol w:w="6768"/>
        <w:gridCol w:w="960"/>
        <w:gridCol w:w="965"/>
        <w:gridCol w:w="970"/>
      </w:tblGrid>
      <w:tr>
        <w:trPr>
          <w:trHeight w:val="31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的公司股份（如有），直至本人前述承诺义务履行完毕为止。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88"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填补被摊薄即 期回报承诺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本次公开发行可能导致投资者的即期回报被摊薄，考虑上述情况，公司拟通过多种 措施防范即期回报被摊薄的风险，积极应对外部环境变化，增厚未来收益，实现公 司业务的可持续发展，以填补股东回报，充分保护中小股东的利益，具体措施如 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）加快募投项目投资与建设进度，加强募集资金管理（</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）优化投资者回报 机制（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）不断完善公司治理，为公司发展提供制度保障（</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）积极推进实施公司发 展战略，增强公司核心竞争力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正常履行 中</w:t>
            </w:r>
          </w:p>
        </w:tc>
      </w:tr>
      <w:tr>
        <w:trPr>
          <w:trHeight w:val="2424"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填补被摊薄即 期回报承诺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为保证公司首次公开发行后填补被摊薄即期回报的措施能够得到切实履行，特承诺 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）承诺将不会越权干预公司经营管理活动，不侵占公司利益；（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）承诺 不无偿或以不公平条件向其他单位或者个人输送利益，也不采用其他方式损害公司 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）承诺对董事和高级管理人员的职务消费行为进行约束；（</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）承诺不动用 公司资产从事与履行职责无关的投资、消费活动；（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）由董事会或薪酬与考核委员 会制定的薪酬制度与公司填补回报措施的执行情况相挂钩；（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）公司发行上市 后，拟公布的公司股权激励的行权条件将与公司填补回报措施的执行情况相挂钩；</w:t>
            </w:r>
          </w:p>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）本承诺出具日后至本次首次公开发行完毕前，若中国证监会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证券交易所作出关 于填补回报措施及其承诺的最新规定，且上述承诺不能满足该等规定时，本人承诺 届时将按照最新规定出具补充承诺。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正常履行 中</w:t>
            </w:r>
          </w:p>
        </w:tc>
      </w:tr>
      <w:tr>
        <w:trPr>
          <w:trHeight w:val="2894"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严华、黄照程、李 冬祥、唐凯、刘志 坚、胡振超、米旭 明、黄幼平、宋 燕、郑呈、吴超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填补被摊薄即 期回报措施的 承诺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为维护公司和全体股东的合法权益，保证公司首次公开发行后填补被摊薄即期回报 的措施能够得到切实履行，公司全体董事、高级管理人员承诺：（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）不无偿以不 公平条件向其他单位或者个人输送利益，也不得采用其他方式损害公司利益；</w:t>
            </w:r>
          </w:p>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）对本人的职务消费行为进行约束；（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）不动用公司资产从事与履行职责无关 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）由董事会或薪酬与考核委员会制定的薪酬制度与公司填补 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）公司发行上市后，拟公布的公司股权激励的行 权条件将与公司填补回报措施的执行情况相挂钩；（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）本承诺出具日后至本次首 次公开发行完毕前，若中国证监会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证券交易所作出关于填补回报措施及其承诺的最 新规定，且上述承诺不能满足该等规定时，本人承诺届时将按照最新规定出具补充 承诺；（</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）如果其未能履行上述承诺，将在股东大会及中国证监会指定信息披露 媒体上公开说明未履行的具体原因并向股东和社会公众投资者道歉。违反承诺给公 司或者股东造成损失的，依法承担补偿责任。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正常履行 中</w:t>
            </w:r>
          </w:p>
        </w:tc>
      </w:tr>
      <w:tr>
        <w:trPr>
          <w:trHeight w:val="1022"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利润分配政策 的承诺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本公司已根据《公司章程》，其中对公司利润分配政策进行了详尽的约定。公司利润 分配可以采取现金、股票或现金与股票相结合或者法律许可的其他方式，本次公开 发行完成前滚存未分配利润由公司本次公开发行完成后的新老股东以其持股比例共同 享有。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正常履行 中</w:t>
            </w:r>
          </w:p>
        </w:tc>
      </w:tr>
      <w:tr>
        <w:trPr>
          <w:trHeight w:val="122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夏海燕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减少和规范关 联交易承诺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）不利用自身对法本信息的重大影响，谋求法本信息在业务合作等方面给予本人 及本人控制的其他企业优于市场第三方的权利。（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）不利用自身对法本信息的重大 影响，谋求与法本信息达成交易的优先权利。（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）杜绝本人及本人控制的其他企 业或经济组织非法占用法本信息资金、资产的行为，在任何情况下，不要求法本信 息违规向本人及本人控制的其他企业提供任何形式的担保。（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）本人及本人控制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正常履行 中</w:t>
            </w:r>
          </w:p>
        </w:tc>
      </w:tr>
    </w:tbl>
    <w:p>
      <w:pPr>
        <w:spacing w:lineRule="exact" w:line="1"/>
        <w:rPr>
          <w:sz w:val="2"/>
          <w:szCs w:val="2"/>
        </w:rPr>
      </w:pPr>
      <w:r>
        <w:br w:type="page"/>
      </w:r>
    </w:p>
    <w:tbl>
      <w:tblPr>
        <w:tblOverlap w:val="never"/>
        <w:jc w:val="center"/>
        <w:tblLayout w:type="fixed"/>
      </w:tblPr>
      <w:tblGrid>
        <w:gridCol w:w="1459"/>
        <w:gridCol w:w="1555"/>
        <w:gridCol w:w="1315"/>
        <w:gridCol w:w="6768"/>
        <w:gridCol w:w="960"/>
        <w:gridCol w:w="965"/>
        <w:gridCol w:w="946"/>
      </w:tblGrid>
      <w:tr>
        <w:trPr>
          <w:trHeight w:val="78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的其他企业不与法本信息及其控制的其他企业发生不必要的关联交易，如确需与法 本信息及其控制的其他企业发生不可避免的关联交易，保证按照法律法规、《公司章 程》履行信息披露义务和办理有关报批程序。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严华、黄照程、李 冬祥、唐凯、刘志 坚、胡振超、米旭 明、黄幼平、徐纯 印、王奉君、王 勇、宋燕、郑 呈、吴超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减少和规范关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联交易承诺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）本人已向发行人首次公开发行股票并在创业板上市的保荐机构、律师及会计师 提供了报告期内本人及本人关联方与发行人之间已经发生的全部关联交易情况，且 其相应资料是真实、完整的，不存在虚假陈述、误导性陈述、重大遗漏或重大隐 瞒。（</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）本人及本人关联方与发行人之间不存在其他任何依照相关法律法规和中 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深圳证券交易所的有关规定应披露而未披露的关联交易。（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）本人已被告 知、并知悉关联方、关联交易的认定标准。（</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）本人将尽量避免本人以及本人实际 控制或施加重大影响的公司与发行人之间产生关联交易事项（自公司领取薪酬或津 贴的情况除外），对于不可避免发生的关联业务往来或交易，将在平等、自愿的基础 上，按照公平、公允和等价有偿的原则进行，交易价格将按照市场公认的合理价格 确定。（</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）本人将严格遵守发行人章程和关联交易管理制度中关于关联交易事项 的回避规定，所涉及的关联交易均将按照发行人关联交易决策程序进行，并将履行 合法程序，及时对关联交易事项进行信息披露。（</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）本人承诺不利用作为公司董事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高级管理人员的地位，损害发行人及其他股东的合法利益。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正常履行 中</w:t>
            </w:r>
          </w:p>
        </w:tc>
      </w:tr>
      <w:tr>
        <w:trPr>
          <w:trHeight w:val="5659"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关于同业竞 争、关联交 易、资金占用 方面的承诺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）本人及本人所控制的其他公司、企业或经济组织，目 前均未直接或间接从事与法本信息相同或相似，或有实质性竞争关系的业务。</w:t>
            </w:r>
          </w:p>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）本人保证本人及本人所控制的其他公司、企业或经济组织（包括现有或将来成 立的受本人控制的其他公司、企业或经济组织，下同），未来不以任何形式直接或间 接从事与法本信息主营业务或者主营产品相竞争或者构成竞争威胁的业务活动，包 括不通过投资、收购、兼并、协议控制或其他任何方式参与和法本信息主营业务或 者主要产品相同或者相似的公司、企业或者其他经济组织。（</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）如本人（包括本 人现有或将来受本人控制的其他公司或组织）获得的任何商业机会与法本信息主营 业务或者主营产品相竞争或可能构成竞争，则本人将立即通知法本信息，并优先将 该商业机会给予法本信息。（</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）对于法本信息的正常生产、经营活动，本人保证 不利用实际控制人的地位损害法本信息及法本信息其他股东的利益。（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）若本人 及本人所控制的其他公司、企业或经济组织违反上述声明、承诺，并造成公司经济 损失的，本人同意赔偿相应损失。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、减少和规范关联交易的承诺（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）不利用自身 对法本信息的控制关系及重大影响，谋求法本信息在业务合作等方面给予本人及本 人控制的其他企业优于市场第三方的权利。（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）不利用自身对法本信息的控制关系 及重大影响，谋求与法本信息达成交易的优先权利。（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）杜绝本人及本人控制的 其他企业或经济组织非法占用法本信息资金、资产的行为，在任何情况下，不要求 法本信息违规向本人及本人控制的其他企业提供任何形式的担保。（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）本人及本 人控制的其他企业不与法本信息及其控制的其他企业发生不必要的关联交易，如确 需与法本信息及其控制的其他企业发生不可避免的关联交易，保证按照法律法规、</w:t>
            </w:r>
          </w:p>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《公司章程》履行信息披露义务和办理有关报批程序。</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、避免资金占用的承诺</w:t>
            </w:r>
          </w:p>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）本人作为发行人的控股股东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实际控制人，声明目前不存在以任何形式占用或使 用公司资金的行为；（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）本人将严格遵守法律、法规、规范性文件以及公司相关规 章制度的规定，不以任何方式占用或使用公司的资产和资源，侵害上市公司财产权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正常履行 中</w:t>
            </w:r>
          </w:p>
        </w:tc>
      </w:tr>
    </w:tbl>
    <w:p>
      <w:pPr>
        <w:spacing w:lineRule="exact" w:line="1"/>
        <w:rPr>
          <w:sz w:val="2"/>
          <w:szCs w:val="2"/>
        </w:rPr>
      </w:pPr>
      <w:r>
        <w:br w:type="page"/>
      </w:r>
    </w:p>
    <w:tbl>
      <w:tblPr>
        <w:tblOverlap w:val="never"/>
        <w:jc w:val="center"/>
        <w:tblLayout w:type="fixed"/>
      </w:tblPr>
      <w:tblGrid>
        <w:gridCol w:w="1459"/>
        <w:gridCol w:w="1555"/>
        <w:gridCol w:w="1315"/>
        <w:gridCol w:w="6768"/>
        <w:gridCol w:w="960"/>
        <w:gridCol w:w="965"/>
        <w:gridCol w:w="946"/>
      </w:tblGrid>
      <w:tr>
        <w:trPr>
          <w:trHeight w:val="10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利，不以任何直接或者间接的方式从事损害或可能损害公司及其他股东利益的行 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）本人及本人控制的其他企业也应遵守上述声明与承诺。如因违反该等声 明与承诺而导致公司或其他股东的权益受到损害的情况，本人将依法承担相应的赔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不提供财务资 助承诺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不为激励对象依本激励计划获取有关限制性股票提供贷款以及其他任何形式的财务 资助，包括为其贷款提供担保。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信息披露真实 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公司因信息披露文件中存有虚假记载、误导性陈述或者重大遗漏，导致其不符合授 予权益或权益归属安排，激励对象应当自相关信息披露文件被确认存在虚假记载、 误导性陈述或者重大遗漏后，将由本激励计划所获得的全部利益返还公司。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承诺是否按时履 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50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如承诺超期未履 行完毕的，应当 详细说明未完成 履行的具体原因 及下一步的工作 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sectPr>
          <w:footnotePr>
            <w:pos w:val="pageBottom"/>
            <w:numFmt w:val="decimal"/>
            <w:numRestart w:val="continuous"/>
          </w:footnotePr>
          <w:pgSz w:w="16840" w:h="11900" w:orient="landscape"/>
          <w:pgMar w:top="1110" w:right="1411" w:bottom="1224" w:left="1408" w:header="0" w:footer="3" w:gutter="0"/>
          <w:cols w:space="720"/>
          <w:noEndnote/>
          <w:rtlGutter w:val="0"/>
          <w:docGrid w:linePitch="360"/>
        </w:sectPr>
      </w:pPr>
    </w:p>
    <w:p>
      <w:pPr>
        <w:pStyle w:val="Style38"/>
        <w:keepNext/>
        <w:keepLines/>
        <w:widowControl w:val="0"/>
        <w:shd w:val="clear" w:color="auto" w:fill="auto"/>
        <w:bidi w:val="0"/>
        <w:spacing w:before="120" w:after="300" w:line="283" w:lineRule="exact"/>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2</w:t>
      </w:r>
      <w:bookmarkEnd w:id="483"/>
      <w:r>
        <w:rPr>
          <w:color w:val="000000"/>
          <w:spacing w:val="0"/>
          <w:w w:val="100"/>
          <w:position w:val="0"/>
        </w:rPr>
        <w:t>、公司资产或项目存在盈利预测，且报告期仍处在盈利预测期间，公司就资产或项目达到原盈利预测及 其原因做出说明</w:t>
      </w:r>
      <w:bookmarkEnd w:id="481"/>
      <w:bookmarkEnd w:id="482"/>
      <w:bookmarkEnd w:id="484"/>
    </w:p>
    <w:p>
      <w:pPr>
        <w:pStyle w:val="Style12"/>
        <w:keepNext w:val="0"/>
        <w:keepLines w:val="0"/>
        <w:widowControl w:val="0"/>
        <w:shd w:val="clear" w:color="auto" w:fill="auto"/>
        <w:bidi w:val="0"/>
        <w:spacing w:before="0" w:after="300" w:line="28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tabs>
          <w:tab w:pos="517" w:val="left"/>
        </w:tabs>
        <w:bidi w:val="0"/>
        <w:spacing w:before="0" w:after="30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二</w:t>
      </w:r>
      <w:bookmarkEnd w:id="487"/>
      <w:r>
        <w:rPr>
          <w:color w:val="000000"/>
          <w:spacing w:val="0"/>
          <w:w w:val="100"/>
          <w:position w:val="0"/>
          <w:sz w:val="24"/>
          <w:szCs w:val="24"/>
        </w:rPr>
        <w:t>、</w:t>
        <w:tab/>
        <w:t>控股股东及其他关联方对上市公司的非经营性占用资金情况</w:t>
      </w:r>
      <w:bookmarkEnd w:id="485"/>
      <w:bookmarkEnd w:id="486"/>
      <w:bookmarkEnd w:id="488"/>
    </w:p>
    <w:p>
      <w:pPr>
        <w:pStyle w:val="Style12"/>
        <w:keepNext w:val="0"/>
        <w:keepLines w:val="0"/>
        <w:widowControl w:val="0"/>
        <w:shd w:val="clear" w:color="auto" w:fill="auto"/>
        <w:bidi w:val="0"/>
        <w:spacing w:before="0" w:after="140" w:line="28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460" w:line="283" w:lineRule="exact"/>
        <w:ind w:left="0" w:right="0" w:firstLine="0"/>
        <w:jc w:val="left"/>
      </w:pPr>
      <w:r>
        <w:rPr>
          <w:color w:val="000000"/>
          <w:spacing w:val="0"/>
          <w:w w:val="100"/>
          <w:position w:val="0"/>
        </w:rPr>
        <w:t>公司报告期不存在控股股东及其他关联方对上市公司的非经营性占用资金。</w:t>
      </w:r>
    </w:p>
    <w:p>
      <w:pPr>
        <w:pStyle w:val="Style31"/>
        <w:keepNext/>
        <w:keepLines/>
        <w:widowControl w:val="0"/>
        <w:shd w:val="clear" w:color="auto" w:fill="auto"/>
        <w:tabs>
          <w:tab w:pos="522" w:val="left"/>
        </w:tabs>
        <w:bidi w:val="0"/>
        <w:spacing w:before="0" w:after="30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三</w:t>
      </w:r>
      <w:bookmarkEnd w:id="491"/>
      <w:r>
        <w:rPr>
          <w:color w:val="000000"/>
          <w:spacing w:val="0"/>
          <w:w w:val="100"/>
          <w:position w:val="0"/>
          <w:sz w:val="24"/>
          <w:szCs w:val="24"/>
        </w:rPr>
        <w:t>、</w:t>
        <w:tab/>
        <w:t>违规对外担保情况</w:t>
      </w:r>
      <w:bookmarkEnd w:id="489"/>
      <w:bookmarkEnd w:id="490"/>
      <w:bookmarkEnd w:id="492"/>
    </w:p>
    <w:p>
      <w:pPr>
        <w:pStyle w:val="Style12"/>
        <w:keepNext w:val="0"/>
        <w:keepLines w:val="0"/>
        <w:widowControl w:val="0"/>
        <w:shd w:val="clear" w:color="auto" w:fill="auto"/>
        <w:bidi w:val="0"/>
        <w:spacing w:before="0" w:after="300" w:line="28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tabs>
          <w:tab w:pos="522" w:val="left"/>
        </w:tabs>
        <w:bidi w:val="0"/>
        <w:spacing w:before="0" w:after="30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4"/>
          <w:szCs w:val="24"/>
        </w:rPr>
        <w:t>四</w:t>
      </w:r>
      <w:bookmarkEnd w:id="49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93"/>
      <w:bookmarkEnd w:id="494"/>
      <w:bookmarkEnd w:id="496"/>
    </w:p>
    <w:p>
      <w:pPr>
        <w:pStyle w:val="Style12"/>
        <w:keepNext w:val="0"/>
        <w:keepLines w:val="0"/>
        <w:widowControl w:val="0"/>
        <w:shd w:val="clear" w:color="auto" w:fill="auto"/>
        <w:bidi w:val="0"/>
        <w:spacing w:before="0" w:after="300" w:line="28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tabs>
          <w:tab w:pos="522" w:val="left"/>
        </w:tabs>
        <w:bidi w:val="0"/>
        <w:spacing w:before="0" w:after="30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五</w:t>
      </w:r>
      <w:bookmarkEnd w:id="49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97"/>
      <w:bookmarkEnd w:id="498"/>
      <w:bookmarkEnd w:id="500"/>
    </w:p>
    <w:p>
      <w:pPr>
        <w:pStyle w:val="Style12"/>
        <w:keepNext w:val="0"/>
        <w:keepLines w:val="0"/>
        <w:widowControl w:val="0"/>
        <w:numPr>
          <w:ilvl w:val="0"/>
          <w:numId w:val="1"/>
        </w:numPr>
        <w:shd w:val="clear" w:color="auto" w:fill="auto"/>
        <w:tabs>
          <w:tab w:pos="296" w:val="left"/>
        </w:tabs>
        <w:bidi w:val="0"/>
        <w:spacing w:before="0" w:after="300" w:line="295" w:lineRule="auto"/>
        <w:ind w:left="0" w:right="0" w:firstLine="0"/>
        <w:jc w:val="left"/>
      </w:pPr>
      <w:bookmarkStart w:id="501" w:name="bookmark501"/>
      <w:bookmarkEnd w:id="50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31"/>
        <w:keepNext/>
        <w:keepLines/>
        <w:widowControl w:val="0"/>
        <w:shd w:val="clear" w:color="auto" w:fill="auto"/>
        <w:tabs>
          <w:tab w:pos="522" w:val="left"/>
        </w:tabs>
        <w:bidi w:val="0"/>
        <w:spacing w:before="0" w:after="30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六</w:t>
      </w:r>
      <w:bookmarkEnd w:id="504"/>
      <w:r>
        <w:rPr>
          <w:color w:val="000000"/>
          <w:spacing w:val="0"/>
          <w:w w:val="100"/>
          <w:position w:val="0"/>
          <w:sz w:val="24"/>
          <w:szCs w:val="24"/>
        </w:rPr>
        <w:t>、</w:t>
        <w:tab/>
        <w:t>董事会关于报告期会计政策、会计估计变更或重大会计差错更正的说明</w:t>
      </w:r>
      <w:bookmarkEnd w:id="502"/>
      <w:bookmarkEnd w:id="503"/>
      <w:bookmarkEnd w:id="505"/>
    </w:p>
    <w:p>
      <w:pPr>
        <w:pStyle w:val="Style12"/>
        <w:keepNext w:val="0"/>
        <w:keepLines w:val="0"/>
        <w:widowControl w:val="0"/>
        <w:numPr>
          <w:ilvl w:val="0"/>
          <w:numId w:val="1"/>
        </w:numPr>
        <w:shd w:val="clear" w:color="auto" w:fill="auto"/>
        <w:tabs>
          <w:tab w:pos="296" w:val="left"/>
        </w:tabs>
        <w:bidi w:val="0"/>
        <w:spacing w:before="0" w:after="400" w:line="295" w:lineRule="auto"/>
        <w:ind w:left="0" w:right="0" w:firstLine="0"/>
        <w:jc w:val="left"/>
      </w:pPr>
      <w:bookmarkStart w:id="506" w:name="bookmark506"/>
      <w:bookmarkEnd w:id="50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七</w:t>
      </w:r>
      <w:bookmarkEnd w:id="509"/>
      <w:r>
        <w:rPr>
          <w:color w:val="000000"/>
          <w:spacing w:val="0"/>
          <w:w w:val="100"/>
          <w:position w:val="0"/>
          <w:sz w:val="24"/>
          <w:szCs w:val="24"/>
        </w:rPr>
        <w:t>、与上年度财务报告相比，合并报表范围发生变化的情况说明</w:t>
      </w:r>
      <w:bookmarkEnd w:id="507"/>
      <w:bookmarkEnd w:id="508"/>
      <w:bookmarkEnd w:id="510"/>
    </w:p>
    <w:p>
      <w:pPr>
        <w:pStyle w:val="Style1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其他原因的合并范围变动</w:t>
      </w:r>
    </w:p>
    <w:tbl>
      <w:tblPr>
        <w:tblOverlap w:val="never"/>
        <w:jc w:val="center"/>
        <w:tblLayout w:type="fixed"/>
      </w:tblPr>
      <w:tblGrid>
        <w:gridCol w:w="2218"/>
        <w:gridCol w:w="1853"/>
        <w:gridCol w:w="1858"/>
        <w:gridCol w:w="1848"/>
        <w:gridCol w:w="1867"/>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股权取得方式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注册资本（元）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出资比例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上海法本信息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法本通信［注］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2"/>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［注］公司购买深圳市欢欢充科技有限公司</w:t>
      </w:r>
      <w:r>
        <w:rPr>
          <w:rFonts w:ascii="Times New Roman" w:eastAsia="Times New Roman" w:hAnsi="Times New Roman" w:cs="Times New Roman"/>
          <w:color w:val="000000"/>
          <w:spacing w:val="0"/>
          <w:w w:val="100"/>
          <w:position w:val="0"/>
        </w:rPr>
        <w:t>（</w:t>
      </w:r>
      <w:r>
        <w:rPr>
          <w:color w:val="000000"/>
          <w:spacing w:val="0"/>
          <w:w w:val="100"/>
          <w:position w:val="0"/>
        </w:rPr>
        <w:t>公司名称已变更为法本通信</w:t>
      </w:r>
      <w:r>
        <w:rPr>
          <w:rFonts w:ascii="Times New Roman" w:eastAsia="Times New Roman" w:hAnsi="Times New Roman" w:cs="Times New Roman"/>
          <w:color w:val="000000"/>
          <w:spacing w:val="0"/>
          <w:w w:val="100"/>
          <w:position w:val="0"/>
        </w:rPr>
        <w:t>）</w:t>
      </w:r>
      <w:r>
        <w:rPr>
          <w:color w:val="000000"/>
          <w:spacing w:val="0"/>
          <w:w w:val="100"/>
          <w:position w:val="0"/>
        </w:rPr>
        <w:t>时，深圳市欢欢充科技有限 公司尚未开展实质经营业务活动，其账面净资产为</w:t>
      </w:r>
      <w:r>
        <w:rPr>
          <w:rFonts w:ascii="Times New Roman" w:eastAsia="Times New Roman" w:hAnsi="Times New Roman" w:cs="Times New Roman"/>
          <w:color w:val="000000"/>
          <w:spacing w:val="0"/>
          <w:w w:val="100"/>
          <w:position w:val="0"/>
        </w:rPr>
        <w:t>0</w:t>
      </w:r>
      <w:r>
        <w:rPr>
          <w:color w:val="000000"/>
          <w:spacing w:val="0"/>
          <w:w w:val="100"/>
          <w:position w:val="0"/>
        </w:rPr>
        <w:t>元，不具备《企业会计准则解释第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号》所规定的应当 至少同时具有一项投入和一项实质性加工处理过程，因而不构成企业合并会计准则所指的一项</w:t>
      </w:r>
      <w:r>
        <w:rPr>
          <w:rFonts w:ascii="Times New Roman" w:eastAsia="Times New Roman" w:hAnsi="Times New Roman" w:cs="Times New Roman"/>
          <w:color w:val="000000"/>
          <w:spacing w:val="0"/>
          <w:w w:val="100"/>
          <w:position w:val="0"/>
        </w:rPr>
        <w:t>“</w:t>
      </w:r>
      <w:r>
        <w:rPr>
          <w:color w:val="000000"/>
          <w:spacing w:val="0"/>
          <w:w w:val="100"/>
          <w:position w:val="0"/>
        </w:rPr>
        <w:t>业务</w:t>
      </w:r>
      <w:r>
        <w:rPr>
          <w:rFonts w:ascii="Times New Roman" w:eastAsia="Times New Roman" w:hAnsi="Times New Roman" w:cs="Times New Roman"/>
          <w:color w:val="000000"/>
          <w:spacing w:val="0"/>
          <w:w w:val="100"/>
          <w:position w:val="0"/>
        </w:rPr>
        <w:t>”</w:t>
      </w:r>
      <w:r>
        <w:rPr>
          <w:color w:val="000000"/>
          <w:spacing w:val="0"/>
          <w:w w:val="100"/>
          <w:position w:val="0"/>
        </w:rPr>
        <w:t>，因 此公司收购深圳市欢欢充科技有限公司不按照合并准则进行处理，公司将收购的支付的</w:t>
      </w:r>
      <w:r>
        <w:rPr>
          <w:rFonts w:ascii="Times New Roman" w:eastAsia="Times New Roman" w:hAnsi="Times New Roman" w:cs="Times New Roman"/>
          <w:color w:val="000000"/>
          <w:spacing w:val="0"/>
          <w:w w:val="100"/>
          <w:position w:val="0"/>
        </w:rPr>
        <w:t>130,000.00</w:t>
      </w:r>
      <w:r>
        <w:rPr>
          <w:color w:val="000000"/>
          <w:spacing w:val="0"/>
          <w:w w:val="100"/>
          <w:position w:val="0"/>
        </w:rPr>
        <w:t>元计入 管理费用。</w:t>
      </w:r>
    </w:p>
    <w:p>
      <w:pPr>
        <w:pStyle w:val="Style31"/>
        <w:keepNext/>
        <w:keepLines/>
        <w:widowControl w:val="0"/>
        <w:shd w:val="clear" w:color="auto" w:fill="auto"/>
        <w:bidi w:val="0"/>
        <w:spacing w:before="0" w:after="14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八</w:t>
      </w:r>
      <w:bookmarkEnd w:id="513"/>
      <w:r>
        <w:rPr>
          <w:color w:val="000000"/>
          <w:spacing w:val="0"/>
          <w:w w:val="100"/>
          <w:position w:val="0"/>
          <w:sz w:val="24"/>
          <w:szCs w:val="24"/>
        </w:rPr>
        <w:t>、聘任、解聘会计师事务所情况</w:t>
      </w:r>
      <w:bookmarkEnd w:id="511"/>
      <w:bookmarkEnd w:id="512"/>
      <w:bookmarkEnd w:id="514"/>
    </w:p>
    <w:p>
      <w:pPr>
        <w:pStyle w:val="Style12"/>
        <w:keepNext w:val="0"/>
        <w:keepLines w:val="0"/>
        <w:widowControl w:val="0"/>
        <w:shd w:val="clear" w:color="auto" w:fill="auto"/>
        <w:bidi w:val="0"/>
        <w:spacing w:before="0" w:after="300" w:line="410" w:lineRule="exact"/>
        <w:ind w:left="0" w:right="0" w:firstLine="0"/>
        <w:jc w:val="left"/>
      </w:pPr>
      <w:r>
        <w:rPr>
          <w:color w:val="000000"/>
          <w:spacing w:val="0"/>
          <w:w w:val="100"/>
          <w:position w:val="0"/>
        </w:rPr>
        <w:t>现聘任的会计事务所</w:t>
      </w:r>
    </w:p>
    <w:tbl>
      <w:tblPr>
        <w:tblOverlap w:val="never"/>
        <w:jc w:val="center"/>
        <w:tblLayout w:type="fixed"/>
      </w:tblPr>
      <w:tblGrid>
        <w:gridCol w:w="4776"/>
        <w:gridCol w:w="4762"/>
      </w:tblGrid>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天健会计师事务所（特殊普通合伙）</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年</w:t>
            </w:r>
          </w:p>
        </w:tc>
      </w:tr>
      <w:tr>
        <w:trPr>
          <w:trHeight w:val="38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龙琦、杨雪燕</w:t>
            </w:r>
          </w:p>
        </w:tc>
      </w:tr>
      <w:tr>
        <w:trPr>
          <w:trHeight w:val="38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r>
    </w:tbl>
    <w:p>
      <w:pPr>
        <w:pStyle w:val="Style36"/>
        <w:keepNext w:val="0"/>
        <w:keepLines w:val="0"/>
        <w:widowControl w:val="0"/>
        <w:shd w:val="clear" w:color="auto" w:fill="auto"/>
        <w:bidi w:val="0"/>
        <w:spacing w:before="0" w:after="0" w:line="403" w:lineRule="exact"/>
        <w:ind w:left="0" w:right="0" w:firstLine="0"/>
        <w:jc w:val="left"/>
        <w:rPr>
          <w:sz w:val="20"/>
          <w:szCs w:val="20"/>
        </w:rPr>
      </w:pPr>
      <w:r>
        <w:rPr>
          <w:color w:val="000000"/>
          <w:spacing w:val="0"/>
          <w:w w:val="100"/>
          <w:position w:val="0"/>
          <w:sz w:val="20"/>
          <w:szCs w:val="20"/>
        </w:rPr>
        <w:t>是否改聘会计师事务所</w:t>
      </w:r>
    </w:p>
    <w:p>
      <w:pPr>
        <w:widowControl w:val="0"/>
        <w:spacing w:after="139" w:line="1" w:lineRule="exact"/>
      </w:pPr>
    </w:p>
    <w:p>
      <w:pPr>
        <w:pStyle w:val="Style12"/>
        <w:keepNext w:val="0"/>
        <w:keepLines w:val="0"/>
        <w:widowControl w:val="0"/>
        <w:shd w:val="clear" w:color="auto" w:fill="auto"/>
        <w:bidi w:val="0"/>
        <w:spacing w:before="0" w:after="0" w:line="42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2"/>
        <w:keepNext w:val="0"/>
        <w:keepLines w:val="0"/>
        <w:widowControl w:val="0"/>
        <w:shd w:val="clear" w:color="auto" w:fill="auto"/>
        <w:bidi w:val="0"/>
        <w:spacing w:before="0" w:after="140" w:line="403" w:lineRule="exact"/>
        <w:ind w:left="0" w:right="0" w:firstLine="0"/>
        <w:jc w:val="left"/>
      </w:pPr>
      <w:r>
        <w:rPr>
          <w:color w:val="000000"/>
          <w:spacing w:val="0"/>
          <w:w w:val="100"/>
          <w:position w:val="0"/>
        </w:rPr>
        <w:t>聘请内部控制审计会计师事务所、财务顾问或保荐人情况</w:t>
      </w:r>
    </w:p>
    <w:p>
      <w:pPr>
        <w:pStyle w:val="Style12"/>
        <w:keepNext w:val="0"/>
        <w:keepLines w:val="0"/>
        <w:widowControl w:val="0"/>
        <w:shd w:val="clear" w:color="auto" w:fill="auto"/>
        <w:bidi w:val="0"/>
        <w:spacing w:before="0" w:after="0" w:line="42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300" w:line="403" w:lineRule="exact"/>
        <w:ind w:left="0" w:right="0" w:firstLine="0"/>
        <w:jc w:val="left"/>
      </w:pPr>
      <w:r>
        <w:rPr>
          <w:color w:val="000000"/>
          <w:spacing w:val="0"/>
          <w:w w:val="100"/>
          <w:position w:val="0"/>
        </w:rPr>
        <w:t>报告期，公司聘请天健会计师事务所（特殊普通合伙）出具</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年度内部控制审计报告，内部控制审计 费用为</w:t>
      </w:r>
      <w:r>
        <w:rPr>
          <w:rFonts w:ascii="Times New Roman" w:eastAsia="Times New Roman" w:hAnsi="Times New Roman" w:cs="Times New Roman"/>
          <w:color w:val="000000"/>
          <w:spacing w:val="0"/>
          <w:w w:val="100"/>
          <w:position w:val="0"/>
        </w:rPr>
        <w:t>10.6</w:t>
      </w:r>
      <w:r>
        <w:rPr>
          <w:color w:val="000000"/>
          <w:spacing w:val="0"/>
          <w:w w:val="100"/>
          <w:position w:val="0"/>
        </w:rPr>
        <w:t>万元。</w:t>
      </w:r>
    </w:p>
    <w:p>
      <w:pPr>
        <w:pStyle w:val="Style31"/>
        <w:keepNext/>
        <w:keepLines/>
        <w:widowControl w:val="0"/>
        <w:shd w:val="clear" w:color="auto" w:fill="auto"/>
        <w:bidi w:val="0"/>
        <w:spacing w:before="0" w:after="440" w:line="403" w:lineRule="exact"/>
        <w:ind w:left="0" w:right="0" w:firstLine="0"/>
        <w:jc w:val="left"/>
        <w:rPr>
          <w:sz w:val="20"/>
          <w:szCs w:val="20"/>
        </w:rPr>
      </w:pPr>
      <w:bookmarkStart w:id="515" w:name="bookmark515"/>
      <w:bookmarkStart w:id="516" w:name="bookmark516"/>
      <w:bookmarkStart w:id="517" w:name="bookmark517"/>
      <w:r>
        <w:rPr>
          <w:color w:val="000000"/>
          <w:spacing w:val="0"/>
          <w:w w:val="100"/>
          <w:position w:val="0"/>
          <w:sz w:val="20"/>
          <w:szCs w:val="20"/>
        </w:rPr>
        <w:t>九、年度报告披露后面临退市情况</w:t>
      </w:r>
      <w:bookmarkEnd w:id="515"/>
      <w:bookmarkEnd w:id="516"/>
      <w:bookmarkEnd w:id="517"/>
    </w:p>
    <w:p>
      <w:pPr>
        <w:pStyle w:val="Style12"/>
        <w:keepNext w:val="0"/>
        <w:keepLines w:val="0"/>
        <w:widowControl w:val="0"/>
        <w:shd w:val="clear" w:color="auto" w:fill="auto"/>
        <w:bidi w:val="0"/>
        <w:spacing w:before="0" w:after="140" w:line="42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440" w:line="403" w:lineRule="exact"/>
        <w:ind w:left="0" w:right="0" w:firstLine="0"/>
        <w:jc w:val="left"/>
        <w:rPr>
          <w:sz w:val="20"/>
          <w:szCs w:val="20"/>
        </w:rPr>
      </w:pPr>
      <w:bookmarkStart w:id="518" w:name="bookmark518"/>
      <w:bookmarkStart w:id="519" w:name="bookmark519"/>
      <w:bookmarkStart w:id="520" w:name="bookmark520"/>
      <w:r>
        <w:rPr>
          <w:color w:val="000000"/>
          <w:spacing w:val="0"/>
          <w:w w:val="100"/>
          <w:position w:val="0"/>
          <w:sz w:val="20"/>
          <w:szCs w:val="20"/>
        </w:rPr>
        <w:t>十、破产重整相关事项</w:t>
      </w:r>
      <w:bookmarkEnd w:id="518"/>
      <w:bookmarkEnd w:id="519"/>
      <w:bookmarkEnd w:id="520"/>
    </w:p>
    <w:p>
      <w:pPr>
        <w:pStyle w:val="Style12"/>
        <w:keepNext w:val="0"/>
        <w:keepLines w:val="0"/>
        <w:widowControl w:val="0"/>
        <w:shd w:val="clear" w:color="auto" w:fill="auto"/>
        <w:bidi w:val="0"/>
        <w:spacing w:before="0" w:after="0" w:line="42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val="0"/>
        <w:keepLines w:val="0"/>
        <w:widowControl w:val="0"/>
        <w:shd w:val="clear" w:color="auto" w:fill="auto"/>
        <w:bidi w:val="0"/>
        <w:spacing w:before="0" w:after="300" w:line="403" w:lineRule="exact"/>
        <w:ind w:left="0" w:right="0" w:firstLine="0"/>
        <w:jc w:val="left"/>
      </w:pPr>
      <w:r>
        <w:rPr>
          <w:color w:val="000000"/>
          <w:spacing w:val="0"/>
          <w:w w:val="100"/>
          <w:position w:val="0"/>
        </w:rPr>
        <w:t>公司报告期未发生破产重整相关事项。</w:t>
      </w:r>
    </w:p>
    <w:p>
      <w:pPr>
        <w:pStyle w:val="Style31"/>
        <w:keepNext/>
        <w:keepLines/>
        <w:widowControl w:val="0"/>
        <w:shd w:val="clear" w:color="auto" w:fill="auto"/>
        <w:bidi w:val="0"/>
        <w:spacing w:before="0" w:after="440" w:line="403" w:lineRule="exact"/>
        <w:ind w:left="0" w:right="0" w:firstLine="0"/>
        <w:jc w:val="left"/>
        <w:rPr>
          <w:sz w:val="20"/>
          <w:szCs w:val="20"/>
        </w:rPr>
      </w:pPr>
      <w:bookmarkStart w:id="521" w:name="bookmark521"/>
      <w:bookmarkStart w:id="522" w:name="bookmark522"/>
      <w:bookmarkStart w:id="523" w:name="bookmark523"/>
      <w:r>
        <w:rPr>
          <w:color w:val="000000"/>
          <w:spacing w:val="0"/>
          <w:w w:val="100"/>
          <w:position w:val="0"/>
          <w:sz w:val="20"/>
          <w:szCs w:val="20"/>
        </w:rPr>
        <w:t>十一、重大诉讼、仲裁事项</w:t>
      </w:r>
      <w:bookmarkEnd w:id="521"/>
      <w:bookmarkEnd w:id="522"/>
      <w:bookmarkEnd w:id="523"/>
    </w:p>
    <w:p>
      <w:pPr>
        <w:pStyle w:val="Style12"/>
        <w:keepNext w:val="0"/>
        <w:keepLines w:val="0"/>
        <w:widowControl w:val="0"/>
        <w:numPr>
          <w:ilvl w:val="0"/>
          <w:numId w:val="1"/>
        </w:numPr>
        <w:shd w:val="clear" w:color="auto" w:fill="auto"/>
        <w:tabs>
          <w:tab w:pos="296" w:val="left"/>
        </w:tabs>
        <w:bidi w:val="0"/>
        <w:spacing w:before="0" w:after="0" w:line="420" w:lineRule="auto"/>
        <w:ind w:left="0" w:right="0" w:firstLine="0"/>
        <w:jc w:val="left"/>
      </w:pPr>
      <w:bookmarkStart w:id="524" w:name="bookmark524"/>
      <w:bookmarkEnd w:id="52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2"/>
        <w:keepNext w:val="0"/>
        <w:keepLines w:val="0"/>
        <w:widowControl w:val="0"/>
        <w:shd w:val="clear" w:color="auto" w:fill="auto"/>
        <w:bidi w:val="0"/>
        <w:spacing w:before="0" w:after="300" w:line="403" w:lineRule="exact"/>
        <w:ind w:left="0" w:right="0" w:firstLine="0"/>
        <w:jc w:val="left"/>
      </w:pPr>
      <w:r>
        <w:rPr>
          <w:color w:val="000000"/>
          <w:spacing w:val="0"/>
          <w:w w:val="100"/>
          <w:position w:val="0"/>
        </w:rPr>
        <w:t>本年度公司无重大诉讼、仲裁事项。</w:t>
      </w:r>
    </w:p>
    <w:p>
      <w:pPr>
        <w:pStyle w:val="Style31"/>
        <w:keepNext/>
        <w:keepLines/>
        <w:widowControl w:val="0"/>
        <w:shd w:val="clear" w:color="auto" w:fill="auto"/>
        <w:bidi w:val="0"/>
        <w:spacing w:before="0" w:after="440" w:line="403" w:lineRule="exact"/>
        <w:ind w:left="0" w:right="0" w:firstLine="0"/>
        <w:jc w:val="left"/>
        <w:rPr>
          <w:sz w:val="20"/>
          <w:szCs w:val="20"/>
        </w:rPr>
      </w:pPr>
      <w:bookmarkStart w:id="525" w:name="bookmark525"/>
      <w:bookmarkStart w:id="526" w:name="bookmark526"/>
      <w:bookmarkStart w:id="527" w:name="bookmark527"/>
      <w:r>
        <w:rPr>
          <w:color w:val="000000"/>
          <w:spacing w:val="0"/>
          <w:w w:val="100"/>
          <w:position w:val="0"/>
          <w:sz w:val="20"/>
          <w:szCs w:val="20"/>
        </w:rPr>
        <w:t>十二、处罚及整改情况</w:t>
      </w:r>
      <w:bookmarkEnd w:id="525"/>
      <w:bookmarkEnd w:id="526"/>
      <w:bookmarkEnd w:id="527"/>
    </w:p>
    <w:p>
      <w:pPr>
        <w:pStyle w:val="Style12"/>
        <w:keepNext w:val="0"/>
        <w:keepLines w:val="0"/>
        <w:widowControl w:val="0"/>
        <w:numPr>
          <w:ilvl w:val="0"/>
          <w:numId w:val="1"/>
        </w:numPr>
        <w:shd w:val="clear" w:color="auto" w:fill="auto"/>
        <w:tabs>
          <w:tab w:pos="296" w:val="left"/>
        </w:tabs>
        <w:bidi w:val="0"/>
        <w:spacing w:before="0" w:after="0" w:line="420" w:lineRule="auto"/>
        <w:ind w:left="0" w:right="0" w:firstLine="0"/>
        <w:jc w:val="left"/>
      </w:pPr>
      <w:bookmarkStart w:id="528" w:name="bookmark528"/>
      <w:bookmarkEnd w:id="52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2"/>
        <w:keepNext w:val="0"/>
        <w:keepLines w:val="0"/>
        <w:widowControl w:val="0"/>
        <w:shd w:val="clear" w:color="auto" w:fill="auto"/>
        <w:bidi w:val="0"/>
        <w:spacing w:before="0" w:after="300" w:line="403" w:lineRule="exact"/>
        <w:ind w:left="0" w:right="0" w:firstLine="0"/>
        <w:jc w:val="left"/>
      </w:pPr>
      <w:r>
        <w:rPr>
          <w:color w:val="000000"/>
          <w:spacing w:val="0"/>
          <w:w w:val="100"/>
          <w:position w:val="0"/>
        </w:rPr>
        <w:t>公司报告期不存在处罚及整改情况。</w:t>
      </w:r>
    </w:p>
    <w:p>
      <w:pPr>
        <w:pStyle w:val="Style31"/>
        <w:keepNext/>
        <w:keepLines/>
        <w:widowControl w:val="0"/>
        <w:shd w:val="clear" w:color="auto" w:fill="auto"/>
        <w:bidi w:val="0"/>
        <w:spacing w:before="0" w:after="440" w:line="403" w:lineRule="exact"/>
        <w:ind w:left="0" w:right="0" w:firstLine="0"/>
        <w:jc w:val="left"/>
        <w:rPr>
          <w:sz w:val="20"/>
          <w:szCs w:val="20"/>
        </w:rPr>
      </w:pPr>
      <w:bookmarkStart w:id="529" w:name="bookmark529"/>
      <w:bookmarkStart w:id="530" w:name="bookmark530"/>
      <w:bookmarkStart w:id="531" w:name="bookmark531"/>
      <w:r>
        <w:rPr>
          <w:color w:val="000000"/>
          <w:spacing w:val="0"/>
          <w:w w:val="100"/>
          <w:position w:val="0"/>
          <w:sz w:val="20"/>
          <w:szCs w:val="20"/>
        </w:rPr>
        <w:t>十三、公司及其控股股东、实际控制人的诚信状况</w:t>
      </w:r>
      <w:bookmarkEnd w:id="529"/>
      <w:bookmarkEnd w:id="530"/>
      <w:bookmarkEnd w:id="531"/>
    </w:p>
    <w:p>
      <w:pPr>
        <w:pStyle w:val="Style12"/>
        <w:keepNext w:val="0"/>
        <w:keepLines w:val="0"/>
        <w:widowControl w:val="0"/>
        <w:numPr>
          <w:ilvl w:val="0"/>
          <w:numId w:val="1"/>
        </w:numPr>
        <w:shd w:val="clear" w:color="auto" w:fill="auto"/>
        <w:tabs>
          <w:tab w:pos="296" w:val="left"/>
        </w:tabs>
        <w:bidi w:val="0"/>
        <w:spacing w:before="0" w:after="300" w:line="420" w:lineRule="auto"/>
        <w:ind w:left="0" w:right="0" w:firstLine="0"/>
        <w:jc w:val="left"/>
      </w:pPr>
      <w:bookmarkStart w:id="532" w:name="bookmark532"/>
      <w:bookmarkEnd w:id="53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keepLines/>
        <w:widowControl w:val="0"/>
        <w:shd w:val="clear" w:color="auto" w:fill="auto"/>
        <w:bidi w:val="0"/>
        <w:spacing w:before="0" w:after="440" w:line="240" w:lineRule="auto"/>
        <w:ind w:left="0" w:right="0" w:firstLine="0"/>
        <w:jc w:val="left"/>
        <w:rPr>
          <w:sz w:val="20"/>
          <w:szCs w:val="20"/>
        </w:rPr>
      </w:pPr>
      <w:bookmarkStart w:id="533" w:name="bookmark533"/>
      <w:bookmarkStart w:id="534" w:name="bookmark534"/>
      <w:bookmarkStart w:id="535" w:name="bookmark535"/>
      <w:r>
        <w:rPr>
          <w:color w:val="000000"/>
          <w:spacing w:val="0"/>
          <w:w w:val="100"/>
          <w:position w:val="0"/>
          <w:sz w:val="20"/>
          <w:szCs w:val="20"/>
        </w:rPr>
        <w:t>十四、重大关联交易</w:t>
      </w:r>
      <w:bookmarkEnd w:id="533"/>
      <w:bookmarkEnd w:id="534"/>
      <w:bookmarkEnd w:id="535"/>
    </w:p>
    <w:p>
      <w:pPr>
        <w:pStyle w:val="Style38"/>
        <w:keepNext/>
        <w:keepLines/>
        <w:widowControl w:val="0"/>
        <w:shd w:val="clear" w:color="auto" w:fill="auto"/>
        <w:tabs>
          <w:tab w:pos="368" w:val="left"/>
        </w:tabs>
        <w:bidi w:val="0"/>
        <w:spacing w:before="0" w:after="44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1</w:t>
      </w:r>
      <w:bookmarkEnd w:id="538"/>
      <w:r>
        <w:rPr>
          <w:color w:val="000000"/>
          <w:spacing w:val="0"/>
          <w:w w:val="100"/>
          <w:position w:val="0"/>
        </w:rPr>
        <w:t>、</w:t>
        <w:tab/>
        <w:t>与日常经营相关的关联交易</w:t>
      </w:r>
      <w:bookmarkEnd w:id="536"/>
      <w:bookmarkEnd w:id="537"/>
      <w:bookmarkEnd w:id="539"/>
    </w:p>
    <w:p>
      <w:pPr>
        <w:pStyle w:val="Style1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公司报告期未发生与日常经营相关的关联交易。</w:t>
      </w:r>
    </w:p>
    <w:p>
      <w:pPr>
        <w:pStyle w:val="Style38"/>
        <w:keepNext/>
        <w:keepLines/>
        <w:widowControl w:val="0"/>
        <w:shd w:val="clear" w:color="auto" w:fill="auto"/>
        <w:tabs>
          <w:tab w:pos="378" w:val="left"/>
        </w:tabs>
        <w:bidi w:val="0"/>
        <w:spacing w:before="0" w:after="44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2</w:t>
      </w:r>
      <w:bookmarkEnd w:id="542"/>
      <w:r>
        <w:rPr>
          <w:color w:val="000000"/>
          <w:spacing w:val="0"/>
          <w:w w:val="100"/>
          <w:position w:val="0"/>
        </w:rPr>
        <w:t>、</w:t>
        <w:tab/>
        <w:t>资产或股权收购、出售发生的关联交易</w:t>
      </w:r>
      <w:bookmarkEnd w:id="540"/>
      <w:bookmarkEnd w:id="541"/>
      <w:bookmarkEnd w:id="543"/>
    </w:p>
    <w:p>
      <w:pPr>
        <w:pStyle w:val="Style1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公司报告期未发生资产或股权收购、出售的关联交易。</w:t>
      </w:r>
    </w:p>
    <w:p>
      <w:pPr>
        <w:pStyle w:val="Style38"/>
        <w:keepNext/>
        <w:keepLines/>
        <w:widowControl w:val="0"/>
        <w:shd w:val="clear" w:color="auto" w:fill="auto"/>
        <w:tabs>
          <w:tab w:pos="378" w:val="left"/>
        </w:tabs>
        <w:bidi w:val="0"/>
        <w:spacing w:before="0" w:after="44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3</w:t>
      </w:r>
      <w:bookmarkEnd w:id="546"/>
      <w:r>
        <w:rPr>
          <w:color w:val="000000"/>
          <w:spacing w:val="0"/>
          <w:w w:val="100"/>
          <w:position w:val="0"/>
        </w:rPr>
        <w:t>、</w:t>
        <w:tab/>
        <w:t>共同对外投资的关联交易</w:t>
      </w:r>
      <w:bookmarkEnd w:id="544"/>
      <w:bookmarkEnd w:id="545"/>
      <w:bookmarkEnd w:id="547"/>
    </w:p>
    <w:p>
      <w:pPr>
        <w:pStyle w:val="Style1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公司报告期未发生共同对外投资的关联交易。</w:t>
      </w:r>
    </w:p>
    <w:p>
      <w:pPr>
        <w:pStyle w:val="Style38"/>
        <w:keepNext/>
        <w:keepLines/>
        <w:widowControl w:val="0"/>
        <w:shd w:val="clear" w:color="auto" w:fill="auto"/>
        <w:tabs>
          <w:tab w:pos="378" w:val="left"/>
        </w:tabs>
        <w:bidi w:val="0"/>
        <w:spacing w:before="0" w:after="44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4</w:t>
      </w:r>
      <w:bookmarkEnd w:id="550"/>
      <w:r>
        <w:rPr>
          <w:color w:val="000000"/>
          <w:spacing w:val="0"/>
          <w:w w:val="100"/>
          <w:position w:val="0"/>
        </w:rPr>
        <w:t>、</w:t>
        <w:tab/>
        <w:t>关联债权债务往来</w:t>
      </w:r>
      <w:bookmarkEnd w:id="548"/>
      <w:bookmarkEnd w:id="549"/>
      <w:bookmarkEnd w:id="551"/>
    </w:p>
    <w:p>
      <w:pPr>
        <w:pStyle w:val="Style1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公司报告期不存在关联债权债务往来。</w:t>
      </w:r>
    </w:p>
    <w:p>
      <w:pPr>
        <w:pStyle w:val="Style38"/>
        <w:keepNext/>
        <w:keepLines/>
        <w:widowControl w:val="0"/>
        <w:shd w:val="clear" w:color="auto" w:fill="auto"/>
        <w:tabs>
          <w:tab w:pos="378" w:val="left"/>
        </w:tabs>
        <w:bidi w:val="0"/>
        <w:spacing w:before="0" w:after="44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5</w:t>
      </w:r>
      <w:bookmarkEnd w:id="554"/>
      <w:r>
        <w:rPr>
          <w:color w:val="000000"/>
          <w:spacing w:val="0"/>
          <w:w w:val="100"/>
          <w:position w:val="0"/>
        </w:rPr>
        <w:t>、</w:t>
        <w:tab/>
        <w:t>与存在关联关系的财务公司的往来情况</w:t>
      </w:r>
      <w:bookmarkEnd w:id="552"/>
      <w:bookmarkEnd w:id="553"/>
      <w:bookmarkEnd w:id="555"/>
    </w:p>
    <w:p>
      <w:pPr>
        <w:pStyle w:val="Style1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8"/>
        <w:keepNext/>
        <w:keepLines/>
        <w:widowControl w:val="0"/>
        <w:shd w:val="clear" w:color="auto" w:fill="auto"/>
        <w:tabs>
          <w:tab w:pos="378" w:val="left"/>
        </w:tabs>
        <w:bidi w:val="0"/>
        <w:spacing w:before="0" w:after="44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6</w:t>
      </w:r>
      <w:bookmarkEnd w:id="558"/>
      <w:r>
        <w:rPr>
          <w:color w:val="000000"/>
          <w:spacing w:val="0"/>
          <w:w w:val="100"/>
          <w:position w:val="0"/>
        </w:rPr>
        <w:t>、</w:t>
        <w:tab/>
        <w:t>公司控股的财务公司与关联方的往来情况</w:t>
      </w:r>
      <w:bookmarkEnd w:id="556"/>
      <w:bookmarkEnd w:id="557"/>
      <w:bookmarkEnd w:id="559"/>
    </w:p>
    <w:p>
      <w:pPr>
        <w:pStyle w:val="Style1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公司控股的财务公司与关联方之间不存在存款、贷款、授信或其他金融业务。</w:t>
      </w:r>
    </w:p>
    <w:p>
      <w:pPr>
        <w:pStyle w:val="Style38"/>
        <w:keepNext/>
        <w:keepLines/>
        <w:widowControl w:val="0"/>
        <w:shd w:val="clear" w:color="auto" w:fill="auto"/>
        <w:tabs>
          <w:tab w:pos="378" w:val="left"/>
        </w:tabs>
        <w:bidi w:val="0"/>
        <w:spacing w:before="0" w:after="44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7</w:t>
      </w:r>
      <w:bookmarkEnd w:id="562"/>
      <w:r>
        <w:rPr>
          <w:color w:val="000000"/>
          <w:spacing w:val="0"/>
          <w:w w:val="100"/>
          <w:position w:val="0"/>
        </w:rPr>
        <w:t>、</w:t>
        <w:tab/>
        <w:t>其他重大关联交易</w:t>
      </w:r>
      <w:bookmarkEnd w:id="560"/>
      <w:bookmarkEnd w:id="561"/>
      <w:bookmarkEnd w:id="563"/>
    </w:p>
    <w:p>
      <w:pPr>
        <w:pStyle w:val="Style1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公司报告期无其他重大关联交易。</w:t>
      </w:r>
    </w:p>
    <w:p>
      <w:pPr>
        <w:pStyle w:val="Style31"/>
        <w:keepNext/>
        <w:keepLines/>
        <w:widowControl w:val="0"/>
        <w:shd w:val="clear" w:color="auto" w:fill="auto"/>
        <w:bidi w:val="0"/>
        <w:spacing w:before="0" w:after="280" w:line="406" w:lineRule="exact"/>
        <w:ind w:left="0" w:right="0" w:firstLine="0"/>
        <w:jc w:val="left"/>
        <w:rPr>
          <w:sz w:val="20"/>
          <w:szCs w:val="20"/>
        </w:rPr>
      </w:pPr>
      <w:bookmarkStart w:id="564" w:name="bookmark564"/>
      <w:bookmarkStart w:id="565" w:name="bookmark565"/>
      <w:bookmarkStart w:id="566" w:name="bookmark566"/>
      <w:r>
        <w:rPr>
          <w:color w:val="000000"/>
          <w:spacing w:val="0"/>
          <w:w w:val="100"/>
          <w:position w:val="0"/>
          <w:sz w:val="20"/>
          <w:szCs w:val="20"/>
        </w:rPr>
        <w:t>十五、重大合同及其履行情况</w:t>
      </w:r>
      <w:bookmarkEnd w:id="564"/>
      <w:bookmarkEnd w:id="565"/>
      <w:bookmarkEnd w:id="566"/>
    </w:p>
    <w:p>
      <w:pPr>
        <w:pStyle w:val="Style38"/>
        <w:keepNext/>
        <w:keepLines/>
        <w:widowControl w:val="0"/>
        <w:shd w:val="clear" w:color="auto" w:fill="auto"/>
        <w:tabs>
          <w:tab w:pos="368" w:val="left"/>
        </w:tabs>
        <w:bidi w:val="0"/>
        <w:spacing w:before="0" w:after="280" w:line="406" w:lineRule="exact"/>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w:t>
        <w:tab/>
        <w:t>托管、承包、租赁事项情况</w:t>
      </w:r>
      <w:bookmarkEnd w:id="567"/>
      <w:bookmarkEnd w:id="568"/>
      <w:bookmarkEnd w:id="570"/>
    </w:p>
    <w:p>
      <w:pPr>
        <w:pStyle w:val="Style46"/>
        <w:keepNext/>
        <w:keepLines/>
        <w:widowControl w:val="0"/>
        <w:shd w:val="clear" w:color="auto" w:fill="auto"/>
        <w:tabs>
          <w:tab w:pos="493" w:val="left"/>
        </w:tabs>
        <w:bidi w:val="0"/>
        <w:spacing w:before="0" w:after="440" w:line="406" w:lineRule="exact"/>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71"/>
      <w:bookmarkEnd w:id="572"/>
      <w:bookmarkEnd w:id="574"/>
    </w:p>
    <w:p>
      <w:pPr>
        <w:pStyle w:val="Style12"/>
        <w:keepNext w:val="0"/>
        <w:keepLines w:val="0"/>
        <w:widowControl w:val="0"/>
        <w:shd w:val="clear" w:color="auto" w:fill="auto"/>
        <w:bidi w:val="0"/>
        <w:spacing w:before="0" w:after="0" w:line="42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280" w:line="406" w:lineRule="exact"/>
        <w:ind w:left="0" w:right="0" w:firstLine="0"/>
        <w:jc w:val="left"/>
      </w:pPr>
      <w:r>
        <w:rPr>
          <w:color w:val="000000"/>
          <w:spacing w:val="0"/>
          <w:w w:val="100"/>
          <w:position w:val="0"/>
        </w:rPr>
        <w:t>公司报告期不存在托管情况。</w:t>
      </w:r>
    </w:p>
    <w:p>
      <w:pPr>
        <w:pStyle w:val="Style46"/>
        <w:keepNext/>
        <w:keepLines/>
        <w:widowControl w:val="0"/>
        <w:shd w:val="clear" w:color="auto" w:fill="auto"/>
        <w:tabs>
          <w:tab w:pos="493" w:val="left"/>
        </w:tabs>
        <w:bidi w:val="0"/>
        <w:spacing w:before="0" w:after="440" w:line="406" w:lineRule="exact"/>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w:t>
      </w:r>
      <w:bookmarkEnd w:id="57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5"/>
      <w:bookmarkEnd w:id="576"/>
      <w:bookmarkEnd w:id="578"/>
    </w:p>
    <w:p>
      <w:pPr>
        <w:pStyle w:val="Style12"/>
        <w:keepNext w:val="0"/>
        <w:keepLines w:val="0"/>
        <w:widowControl w:val="0"/>
        <w:shd w:val="clear" w:color="auto" w:fill="auto"/>
        <w:bidi w:val="0"/>
        <w:spacing w:before="0" w:after="0" w:line="42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280" w:line="406" w:lineRule="exact"/>
        <w:ind w:left="0" w:right="0" w:firstLine="0"/>
        <w:jc w:val="left"/>
      </w:pPr>
      <w:r>
        <w:rPr>
          <w:color w:val="000000"/>
          <w:spacing w:val="0"/>
          <w:w w:val="100"/>
          <w:position w:val="0"/>
        </w:rPr>
        <w:t>公司报告期不存在承包情况。</w:t>
      </w:r>
    </w:p>
    <w:p>
      <w:pPr>
        <w:pStyle w:val="Style46"/>
        <w:keepNext/>
        <w:keepLines/>
        <w:widowControl w:val="0"/>
        <w:shd w:val="clear" w:color="auto" w:fill="auto"/>
        <w:tabs>
          <w:tab w:pos="493" w:val="left"/>
        </w:tabs>
        <w:bidi w:val="0"/>
        <w:spacing w:before="0" w:after="280" w:line="406" w:lineRule="exact"/>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w:t>
      </w:r>
      <w:bookmarkEnd w:id="58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79"/>
      <w:bookmarkEnd w:id="580"/>
      <w:bookmarkEnd w:id="582"/>
    </w:p>
    <w:p>
      <w:pPr>
        <w:pStyle w:val="Style12"/>
        <w:keepNext w:val="0"/>
        <w:keepLines w:val="0"/>
        <w:widowControl w:val="0"/>
        <w:shd w:val="clear" w:color="auto" w:fill="auto"/>
        <w:bidi w:val="0"/>
        <w:spacing w:before="0" w:after="0" w:line="406"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0" w:line="406" w:lineRule="exact"/>
        <w:ind w:left="0" w:right="0" w:firstLine="0"/>
        <w:jc w:val="left"/>
      </w:pPr>
      <w:r>
        <w:rPr>
          <w:color w:val="000000"/>
          <w:spacing w:val="0"/>
          <w:w w:val="100"/>
          <w:position w:val="0"/>
        </w:rPr>
        <w:t>租赁情况说明</w:t>
      </w:r>
    </w:p>
    <w:p>
      <w:pPr>
        <w:pStyle w:val="Style12"/>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本报告期内，公司租赁主要系办公场地租赁，租赁场所覆盖全国一二线主要城市，用于公司及分支 机构办公、提供服务软件开发交付中心。合计支付办公场地租赁金额</w:t>
      </w:r>
      <w:r>
        <w:rPr>
          <w:rFonts w:ascii="Times New Roman" w:eastAsia="Times New Roman" w:hAnsi="Times New Roman" w:cs="Times New Roman"/>
          <w:color w:val="000000"/>
          <w:spacing w:val="0"/>
          <w:w w:val="100"/>
          <w:position w:val="0"/>
        </w:rPr>
        <w:t>4,215.05</w:t>
      </w:r>
      <w:r>
        <w:rPr>
          <w:color w:val="000000"/>
          <w:spacing w:val="0"/>
          <w:w w:val="100"/>
          <w:position w:val="0"/>
        </w:rPr>
        <w:t>万元，其中公司向深圳市昱 大顺科技有限公司租赁的昱大顺科技园</w:t>
      </w:r>
      <w:r>
        <w:rPr>
          <w:rFonts w:ascii="Times New Roman" w:eastAsia="Times New Roman" w:hAnsi="Times New Roman" w:cs="Times New Roman"/>
          <w:color w:val="000000"/>
          <w:spacing w:val="0"/>
          <w:w w:val="100"/>
          <w:position w:val="0"/>
        </w:rPr>
        <w:t>B</w:t>
      </w:r>
      <w:r>
        <w:rPr>
          <w:color w:val="000000"/>
          <w:spacing w:val="0"/>
          <w:w w:val="100"/>
          <w:position w:val="0"/>
        </w:rPr>
        <w:t>座作为公司总部办公场地，其</w:t>
      </w:r>
      <w:r>
        <w:rPr>
          <w:rFonts w:ascii="Times New Roman" w:eastAsia="Times New Roman" w:hAnsi="Times New Roman" w:cs="Times New Roman"/>
          <w:color w:val="000000"/>
          <w:spacing w:val="0"/>
          <w:w w:val="100"/>
          <w:position w:val="0"/>
        </w:rPr>
        <w:t>2021</w:t>
      </w:r>
      <w:r>
        <w:rPr>
          <w:color w:val="000000"/>
          <w:spacing w:val="0"/>
          <w:w w:val="100"/>
          <w:position w:val="0"/>
        </w:rPr>
        <w:t>年租赁费用共计</w:t>
      </w:r>
      <w:r>
        <w:rPr>
          <w:rFonts w:ascii="Times New Roman" w:eastAsia="Times New Roman" w:hAnsi="Times New Roman" w:cs="Times New Roman"/>
          <w:color w:val="000000"/>
          <w:spacing w:val="0"/>
          <w:w w:val="100"/>
          <w:position w:val="0"/>
        </w:rPr>
        <w:t>1,175.39</w:t>
      </w:r>
      <w:r>
        <w:rPr>
          <w:color w:val="000000"/>
          <w:spacing w:val="0"/>
          <w:w w:val="100"/>
          <w:position w:val="0"/>
        </w:rPr>
        <w:t>万 元，占全年办公场地租赁费</w:t>
      </w:r>
      <w:r>
        <w:rPr>
          <w:rFonts w:ascii="Times New Roman" w:eastAsia="Times New Roman" w:hAnsi="Times New Roman" w:cs="Times New Roman"/>
          <w:color w:val="000000"/>
          <w:spacing w:val="0"/>
          <w:w w:val="100"/>
          <w:position w:val="0"/>
        </w:rPr>
        <w:t>27.89%</w:t>
      </w:r>
      <w:r>
        <w:rPr>
          <w:color w:val="000000"/>
          <w:spacing w:val="0"/>
          <w:w w:val="100"/>
          <w:position w:val="0"/>
        </w:rPr>
        <w:t>。</w:t>
      </w:r>
    </w:p>
    <w:p>
      <w:pPr>
        <w:pStyle w:val="Style12"/>
        <w:keepNext w:val="0"/>
        <w:keepLines w:val="0"/>
        <w:widowControl w:val="0"/>
        <w:shd w:val="clear" w:color="auto" w:fill="auto"/>
        <w:bidi w:val="0"/>
        <w:spacing w:before="0" w:after="180" w:line="406"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12"/>
        <w:keepNext w:val="0"/>
        <w:keepLines w:val="0"/>
        <w:widowControl w:val="0"/>
        <w:shd w:val="clear" w:color="auto" w:fill="auto"/>
        <w:bidi w:val="0"/>
        <w:spacing w:before="0" w:after="0" w:line="425"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440" w:line="406"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8"/>
        <w:keepNext/>
        <w:keepLines/>
        <w:widowControl w:val="0"/>
        <w:shd w:val="clear" w:color="auto" w:fill="auto"/>
        <w:tabs>
          <w:tab w:pos="378" w:val="left"/>
        </w:tabs>
        <w:bidi w:val="0"/>
        <w:spacing w:before="0" w:after="280" w:line="425" w:lineRule="auto"/>
        <w:ind w:left="0" w:right="0" w:firstLine="0"/>
        <w:jc w:val="both"/>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w:t>
        <w:tab/>
        <w:t>重大担保</w:t>
      </w:r>
      <w:bookmarkEnd w:id="583"/>
      <w:bookmarkEnd w:id="584"/>
      <w:bookmarkEnd w:id="586"/>
    </w:p>
    <w:p>
      <w:pPr>
        <w:pStyle w:val="Style12"/>
        <w:keepNext w:val="0"/>
        <w:keepLines w:val="0"/>
        <w:widowControl w:val="0"/>
        <w:shd w:val="clear" w:color="auto" w:fill="auto"/>
        <w:bidi w:val="0"/>
        <w:spacing w:before="0" w:after="0" w:line="425"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280" w:line="406" w:lineRule="exact"/>
        <w:ind w:left="0" w:right="0" w:firstLine="0"/>
        <w:jc w:val="both"/>
      </w:pPr>
      <w:r>
        <w:rPr>
          <w:color w:val="000000"/>
          <w:spacing w:val="0"/>
          <w:w w:val="100"/>
          <w:position w:val="0"/>
        </w:rPr>
        <w:t>公司报告期不存在重大担保情况。</w:t>
      </w:r>
    </w:p>
    <w:p>
      <w:pPr>
        <w:pStyle w:val="Style38"/>
        <w:keepNext/>
        <w:keepLines/>
        <w:widowControl w:val="0"/>
        <w:shd w:val="clear" w:color="auto" w:fill="auto"/>
        <w:tabs>
          <w:tab w:pos="378" w:val="left"/>
        </w:tabs>
        <w:bidi w:val="0"/>
        <w:spacing w:before="0" w:after="280" w:line="406" w:lineRule="exact"/>
        <w:ind w:left="0" w:right="0" w:firstLine="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3</w:t>
      </w:r>
      <w:bookmarkEnd w:id="589"/>
      <w:r>
        <w:rPr>
          <w:color w:val="000000"/>
          <w:spacing w:val="0"/>
          <w:w w:val="100"/>
          <w:position w:val="0"/>
        </w:rPr>
        <w:t>、</w:t>
        <w:tab/>
        <w:t>委托他人进行现金资产管理情况</w:t>
      </w:r>
      <w:bookmarkEnd w:id="587"/>
      <w:bookmarkEnd w:id="588"/>
      <w:bookmarkEnd w:id="590"/>
    </w:p>
    <w:p>
      <w:pPr>
        <w:pStyle w:val="Style46"/>
        <w:keepNext/>
        <w:keepLines/>
        <w:widowControl w:val="0"/>
        <w:shd w:val="clear" w:color="auto" w:fill="auto"/>
        <w:bidi w:val="0"/>
        <w:spacing w:before="0" w:after="280" w:line="406" w:lineRule="exact"/>
        <w:ind w:left="0" w:right="0" w:firstLine="0"/>
        <w:jc w:val="both"/>
      </w:pPr>
      <w:bookmarkStart w:id="591" w:name="bookmark591"/>
      <w:bookmarkStart w:id="592" w:name="bookmark592"/>
      <w:bookmarkStart w:id="593" w:name="bookmark593"/>
      <w:bookmarkStart w:id="594" w:name="bookmark594"/>
      <w:r>
        <w:rPr>
          <w:color w:val="000000"/>
          <w:spacing w:val="0"/>
          <w:w w:val="100"/>
          <w:position w:val="0"/>
        </w:rPr>
        <w:t>（</w:t>
      </w:r>
      <w:bookmarkEnd w:id="59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91"/>
      <w:bookmarkEnd w:id="592"/>
      <w:bookmarkEnd w:id="594"/>
    </w:p>
    <w:p>
      <w:pPr>
        <w:pStyle w:val="Style12"/>
        <w:keepNext w:val="0"/>
        <w:keepLines w:val="0"/>
        <w:widowControl w:val="0"/>
        <w:shd w:val="clear" w:color="auto" w:fill="auto"/>
        <w:bidi w:val="0"/>
        <w:spacing w:before="0" w:after="280" w:line="406"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报告期内委托理财概况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26"/>
        <w:gridCol w:w="1795"/>
        <w:gridCol w:w="1656"/>
        <w:gridCol w:w="1603"/>
        <w:gridCol w:w="1550"/>
        <w:gridCol w:w="1555"/>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具体类型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委托理财的资金来源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委托理财发生额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未到期余额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逾期未收回的金额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逾期未收回理财己 计提减值金额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69,100.00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9" w:line="1" w:lineRule="exact"/>
      </w:pP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单项金额重大或安全性较低、流动性较差的高风险委托理财具体情况</w:t>
      </w:r>
    </w:p>
    <w:p>
      <w:pPr>
        <w:pStyle w:val="Style1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委托理财出现预期无法收回本金或存在其他可能导致减值的情形</w:t>
      </w:r>
    </w:p>
    <w:p>
      <w:pPr>
        <w:pStyle w:val="Style12"/>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6"/>
        <w:keepNext/>
        <w:keepLines/>
        <w:widowControl w:val="0"/>
        <w:shd w:val="clear" w:color="auto" w:fill="auto"/>
        <w:bidi w:val="0"/>
        <w:spacing w:before="0" w:after="44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95"/>
      <w:bookmarkEnd w:id="596"/>
      <w:bookmarkEnd w:id="598"/>
    </w:p>
    <w:p>
      <w:pPr>
        <w:pStyle w:val="Style1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公司报告期不存在委托贷款。</w:t>
      </w:r>
    </w:p>
    <w:p>
      <w:pPr>
        <w:pStyle w:val="Style38"/>
        <w:keepNext/>
        <w:keepLines/>
        <w:widowControl w:val="0"/>
        <w:shd w:val="clear" w:color="auto" w:fill="auto"/>
        <w:bidi w:val="0"/>
        <w:spacing w:before="0" w:after="44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4</w:t>
      </w:r>
      <w:bookmarkEnd w:id="601"/>
      <w:r>
        <w:rPr>
          <w:color w:val="000000"/>
          <w:spacing w:val="0"/>
          <w:w w:val="100"/>
          <w:position w:val="0"/>
        </w:rPr>
        <w:t>、其他重大合同</w:t>
      </w:r>
      <w:bookmarkEnd w:id="599"/>
      <w:bookmarkEnd w:id="600"/>
      <w:bookmarkEnd w:id="602"/>
    </w:p>
    <w:p>
      <w:pPr>
        <w:pStyle w:val="Style1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公司报告期不存在其他重大合同。</w:t>
      </w:r>
    </w:p>
    <w:p>
      <w:pPr>
        <w:pStyle w:val="Style31"/>
        <w:keepNext/>
        <w:keepLines/>
        <w:widowControl w:val="0"/>
        <w:shd w:val="clear" w:color="auto" w:fill="auto"/>
        <w:bidi w:val="0"/>
        <w:spacing w:before="0" w:after="440" w:line="240" w:lineRule="auto"/>
        <w:ind w:left="0" w:right="0" w:firstLine="0"/>
        <w:jc w:val="left"/>
        <w:rPr>
          <w:sz w:val="20"/>
          <w:szCs w:val="20"/>
        </w:rPr>
      </w:pPr>
      <w:bookmarkStart w:id="603" w:name="bookmark603"/>
      <w:bookmarkStart w:id="604" w:name="bookmark604"/>
      <w:bookmarkStart w:id="605" w:name="bookmark605"/>
      <w:r>
        <w:rPr>
          <w:color w:val="000000"/>
          <w:spacing w:val="0"/>
          <w:w w:val="100"/>
          <w:position w:val="0"/>
          <w:sz w:val="20"/>
          <w:szCs w:val="20"/>
        </w:rPr>
        <w:t>十六、其他重大事项的说明</w:t>
      </w:r>
      <w:bookmarkEnd w:id="603"/>
      <w:bookmarkEnd w:id="604"/>
      <w:bookmarkEnd w:id="605"/>
    </w:p>
    <w:p>
      <w:pPr>
        <w:pStyle w:val="Style12"/>
        <w:keepNext w:val="0"/>
        <w:keepLines w:val="0"/>
        <w:widowControl w:val="0"/>
        <w:numPr>
          <w:ilvl w:val="0"/>
          <w:numId w:val="1"/>
        </w:numPr>
        <w:shd w:val="clear" w:color="auto" w:fill="auto"/>
        <w:tabs>
          <w:tab w:pos="296" w:val="left"/>
        </w:tabs>
        <w:bidi w:val="0"/>
        <w:spacing w:before="0" w:after="200" w:line="240" w:lineRule="auto"/>
        <w:ind w:left="0" w:right="0" w:firstLine="0"/>
        <w:jc w:val="left"/>
      </w:pPr>
      <w:bookmarkStart w:id="606" w:name="bookmark606"/>
      <w:bookmarkEnd w:id="60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公司报告期不存在需要说明的其他重大事项。</w:t>
      </w:r>
    </w:p>
    <w:p>
      <w:pPr>
        <w:pStyle w:val="Style31"/>
        <w:keepNext/>
        <w:keepLines/>
        <w:widowControl w:val="0"/>
        <w:shd w:val="clear" w:color="auto" w:fill="auto"/>
        <w:bidi w:val="0"/>
        <w:spacing w:before="0" w:after="300" w:line="240" w:lineRule="auto"/>
        <w:ind w:left="0" w:right="0" w:firstLine="0"/>
        <w:jc w:val="left"/>
      </w:pPr>
      <w:bookmarkStart w:id="607" w:name="bookmark607"/>
      <w:bookmarkStart w:id="608" w:name="bookmark608"/>
      <w:bookmarkStart w:id="609" w:name="bookmark609"/>
      <w:r>
        <w:rPr>
          <w:color w:val="000000"/>
          <w:spacing w:val="0"/>
          <w:w w:val="100"/>
          <w:position w:val="0"/>
          <w:sz w:val="24"/>
          <w:szCs w:val="24"/>
        </w:rPr>
        <w:t>十七、公司子公司重大事项</w:t>
      </w:r>
      <w:bookmarkEnd w:id="607"/>
      <w:bookmarkEnd w:id="608"/>
      <w:bookmarkEnd w:id="609"/>
    </w:p>
    <w:p>
      <w:pPr>
        <w:pStyle w:val="Style12"/>
        <w:keepNext w:val="0"/>
        <w:keepLines w:val="0"/>
        <w:widowControl w:val="0"/>
        <w:numPr>
          <w:ilvl w:val="0"/>
          <w:numId w:val="1"/>
        </w:numPr>
        <w:shd w:val="clear" w:color="auto" w:fill="auto"/>
        <w:tabs>
          <w:tab w:pos="296" w:val="left"/>
        </w:tabs>
        <w:bidi w:val="0"/>
        <w:spacing w:before="0" w:after="240" w:line="240" w:lineRule="auto"/>
        <w:ind w:left="0" w:right="0" w:firstLine="0"/>
        <w:jc w:val="left"/>
      </w:pPr>
      <w:bookmarkStart w:id="610" w:name="bookmark610"/>
      <w:bookmarkEnd w:id="61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17"/>
        <w:keepNext/>
        <w:keepLines/>
        <w:widowControl w:val="0"/>
        <w:shd w:val="clear" w:color="auto" w:fill="auto"/>
        <w:bidi w:val="0"/>
        <w:spacing w:before="0" w:after="960" w:line="240" w:lineRule="auto"/>
        <w:ind w:left="0" w:right="0" w:firstLine="0"/>
        <w:jc w:val="center"/>
      </w:pPr>
      <w:bookmarkStart w:id="611" w:name="bookmark611"/>
      <w:bookmarkStart w:id="612" w:name="bookmark612"/>
      <w:bookmarkStart w:id="613" w:name="bookmark613"/>
      <w:r>
        <w:rPr>
          <w:color w:val="000000"/>
          <w:spacing w:val="0"/>
          <w:w w:val="100"/>
          <w:position w:val="0"/>
        </w:rPr>
        <w:t>第七节股份变动及股东情况</w:t>
      </w:r>
      <w:bookmarkEnd w:id="611"/>
      <w:bookmarkEnd w:id="612"/>
      <w:bookmarkEnd w:id="613"/>
    </w:p>
    <w:p>
      <w:pPr>
        <w:pStyle w:val="Style31"/>
        <w:keepNext/>
        <w:keepLines/>
        <w:widowControl w:val="0"/>
        <w:shd w:val="clear" w:color="auto" w:fill="auto"/>
        <w:bidi w:val="0"/>
        <w:spacing w:before="0" w:after="300" w:line="240" w:lineRule="auto"/>
        <w:ind w:left="0" w:right="0" w:firstLine="0"/>
        <w:jc w:val="left"/>
      </w:pPr>
      <w:bookmarkStart w:id="614" w:name="bookmark614"/>
      <w:bookmarkStart w:id="615" w:name="bookmark615"/>
      <w:bookmarkStart w:id="616" w:name="bookmark616"/>
      <w:bookmarkStart w:id="617" w:name="bookmark617"/>
      <w:bookmarkStart w:id="618" w:name="bookmark618"/>
      <w:r>
        <w:rPr>
          <w:color w:val="000000"/>
          <w:spacing w:val="0"/>
          <w:w w:val="100"/>
          <w:position w:val="0"/>
          <w:sz w:val="24"/>
          <w:szCs w:val="24"/>
        </w:rPr>
        <w:t>一</w:t>
      </w:r>
      <w:bookmarkEnd w:id="617"/>
      <w:r>
        <w:rPr>
          <w:color w:val="000000"/>
          <w:spacing w:val="0"/>
          <w:w w:val="100"/>
          <w:position w:val="0"/>
          <w:sz w:val="24"/>
          <w:szCs w:val="24"/>
        </w:rPr>
        <w:t>、股份变动情况</w:t>
      </w:r>
      <w:bookmarkEnd w:id="615"/>
      <w:bookmarkEnd w:id="616"/>
      <w:bookmarkEnd w:id="618"/>
      <w:bookmarkEnd w:id="614"/>
    </w:p>
    <w:p>
      <w:pPr>
        <w:pStyle w:val="Style38"/>
        <w:keepNext/>
        <w:keepLines/>
        <w:widowControl w:val="0"/>
        <w:shd w:val="clear" w:color="auto" w:fill="auto"/>
        <w:bidi w:val="0"/>
        <w:spacing w:before="0" w:after="30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、股份变动情况</w:t>
      </w:r>
      <w:bookmarkEnd w:id="619"/>
      <w:bookmarkEnd w:id="620"/>
      <w:bookmarkEnd w:id="622"/>
    </w:p>
    <w:p>
      <w:pPr>
        <w:pStyle w:val="Style1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单位：股</w:t>
      </w:r>
    </w:p>
    <w:tbl>
      <w:tblPr>
        <w:tblOverlap w:val="never"/>
        <w:jc w:val="center"/>
        <w:tblLayout w:type="fixed"/>
      </w:tblPr>
      <w:tblGrid>
        <w:gridCol w:w="2270"/>
        <w:gridCol w:w="970"/>
        <w:gridCol w:w="715"/>
        <w:gridCol w:w="792"/>
        <w:gridCol w:w="422"/>
        <w:gridCol w:w="974"/>
        <w:gridCol w:w="936"/>
        <w:gridCol w:w="883"/>
        <w:gridCol w:w="974"/>
        <w:gridCol w:w="706"/>
      </w:tblGrid>
      <w:tr>
        <w:trPr>
          <w:trHeight w:val="331"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322"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数量</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发行新股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公积金转股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比例</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98,770,178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69,139,124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-53,100,497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114,808,805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3,045,483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95,720,054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67,003,426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109,650,362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23,640,348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72,079,706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-36,403,578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14,052,213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86,131,919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30,699,920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21,489,944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53,100,497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74,590,441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105,290,361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30,699,920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21,489,944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53,100,497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74,590,441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105,290,361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129,470,098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90,629,068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90,629,068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220,099,166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9" w:line="1" w:lineRule="exact"/>
      </w:pP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股份变动的原因</w:t>
      </w:r>
    </w:p>
    <w:p>
      <w:pPr>
        <w:pStyle w:val="Style1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tabs>
          <w:tab w:pos="923" w:val="left"/>
        </w:tabs>
        <w:bidi w:val="0"/>
        <w:spacing w:before="0" w:after="0" w:line="407" w:lineRule="exact"/>
        <w:ind w:left="0" w:right="0" w:firstLine="440"/>
        <w:jc w:val="left"/>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年度权益分派</w:t>
      </w:r>
    </w:p>
    <w:p>
      <w:pPr>
        <w:pStyle w:val="Style1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报告期内，公司实施了</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129,470,098</w:t>
      </w:r>
      <w:r>
        <w:rPr>
          <w:color w:val="000000"/>
          <w:spacing w:val="0"/>
          <w:w w:val="100"/>
          <w:position w:val="0"/>
        </w:rPr>
        <w:t>股为 基数，按照总额不变的分配原则，向全体股东每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元（含税），合计派发现金股利 </w:t>
      </w:r>
      <w:r>
        <w:rPr>
          <w:rFonts w:ascii="Times New Roman" w:eastAsia="Times New Roman" w:hAnsi="Times New Roman" w:cs="Times New Roman"/>
          <w:color w:val="000000"/>
          <w:spacing w:val="0"/>
          <w:w w:val="100"/>
          <w:position w:val="0"/>
        </w:rPr>
        <w:t>12,947,009.8</w:t>
      </w:r>
      <w:r>
        <w:rPr>
          <w:color w:val="000000"/>
          <w:spacing w:val="0"/>
          <w:w w:val="100"/>
          <w:position w:val="0"/>
        </w:rPr>
        <w:t>元（含税）；向全体股东每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股以资本公积金转增</w:t>
      </w:r>
      <w:r>
        <w:rPr>
          <w:rFonts w:ascii="Times New Roman" w:eastAsia="Times New Roman" w:hAnsi="Times New Roman" w:cs="Times New Roman"/>
          <w:color w:val="000000"/>
          <w:spacing w:val="0"/>
          <w:w w:val="100"/>
          <w:position w:val="0"/>
        </w:rPr>
        <w:t>7</w:t>
      </w:r>
      <w:r>
        <w:rPr>
          <w:color w:val="000000"/>
          <w:spacing w:val="0"/>
          <w:w w:val="100"/>
          <w:position w:val="0"/>
        </w:rPr>
        <w:t>股，合计转增股本</w:t>
      </w:r>
      <w:r>
        <w:rPr>
          <w:rFonts w:ascii="Times New Roman" w:eastAsia="Times New Roman" w:hAnsi="Times New Roman" w:cs="Times New Roman"/>
          <w:color w:val="000000"/>
          <w:spacing w:val="0"/>
          <w:w w:val="100"/>
          <w:position w:val="0"/>
        </w:rPr>
        <w:t>90,629,068</w:t>
      </w:r>
      <w:r>
        <w:rPr>
          <w:color w:val="000000"/>
          <w:spacing w:val="0"/>
          <w:w w:val="100"/>
          <w:position w:val="0"/>
        </w:rPr>
        <w:t>股。上述方 案已于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日实施完毕。</w:t>
      </w:r>
    </w:p>
    <w:p>
      <w:pPr>
        <w:pStyle w:val="Style12"/>
        <w:keepNext w:val="0"/>
        <w:keepLines w:val="0"/>
        <w:widowControl w:val="0"/>
        <w:shd w:val="clear" w:color="auto" w:fill="auto"/>
        <w:tabs>
          <w:tab w:pos="923" w:val="left"/>
        </w:tabs>
        <w:bidi w:val="0"/>
        <w:spacing w:before="0" w:after="0" w:line="407" w:lineRule="exact"/>
        <w:ind w:left="0" w:right="0" w:firstLine="440"/>
        <w:jc w:val="left"/>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rPr>
        <w:t>2</w:t>
      </w:r>
      <w:r>
        <w:rPr>
          <w:color w:val="000000"/>
          <w:spacing w:val="0"/>
          <w:w w:val="100"/>
          <w:position w:val="0"/>
        </w:rPr>
        <w:t>）</w:t>
        <w:tab/>
        <w:t>首次公开发行网下配售股上市流通</w:t>
      </w:r>
    </w:p>
    <w:p>
      <w:pPr>
        <w:pStyle w:val="Style1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本次解除限售股份为首次公开发行网下配售限售股，解除限售股东户数共</w:t>
      </w:r>
      <w:r>
        <w:rPr>
          <w:rFonts w:ascii="Times New Roman" w:eastAsia="Times New Roman" w:hAnsi="Times New Roman" w:cs="Times New Roman"/>
          <w:color w:val="000000"/>
          <w:spacing w:val="0"/>
          <w:w w:val="100"/>
          <w:position w:val="0"/>
        </w:rPr>
        <w:t>6,422</w:t>
      </w:r>
      <w:r>
        <w:rPr>
          <w:color w:val="000000"/>
          <w:spacing w:val="0"/>
          <w:w w:val="100"/>
          <w:position w:val="0"/>
        </w:rPr>
        <w:t xml:space="preserve">户，股份数量为 </w:t>
      </w:r>
      <w:r>
        <w:rPr>
          <w:rFonts w:ascii="Times New Roman" w:eastAsia="Times New Roman" w:hAnsi="Times New Roman" w:cs="Times New Roman"/>
          <w:color w:val="000000"/>
          <w:spacing w:val="0"/>
          <w:w w:val="100"/>
          <w:position w:val="0"/>
        </w:rPr>
        <w:t>2,839,136</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1.2899%</w:t>
      </w:r>
      <w:r>
        <w:rPr>
          <w:color w:val="000000"/>
          <w:spacing w:val="0"/>
          <w:w w:val="100"/>
          <w:position w:val="0"/>
        </w:rPr>
        <w:t>，限售期为自股票上市之日起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个月，解除限售的股份的上市流通 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12"/>
        <w:keepNext w:val="0"/>
        <w:keepLines w:val="0"/>
        <w:widowControl w:val="0"/>
        <w:shd w:val="clear" w:color="auto" w:fill="auto"/>
        <w:tabs>
          <w:tab w:pos="923" w:val="left"/>
        </w:tabs>
        <w:bidi w:val="0"/>
        <w:spacing w:before="0" w:after="240" w:line="407" w:lineRule="exact"/>
        <w:ind w:left="0" w:right="0" w:firstLine="440"/>
        <w:jc w:val="left"/>
      </w:pPr>
      <w:bookmarkStart w:id="625" w:name="bookmark625"/>
      <w:r>
        <w:rPr>
          <w:color w:val="000000"/>
          <w:spacing w:val="0"/>
          <w:w w:val="100"/>
          <w:position w:val="0"/>
        </w:rPr>
        <w:t>（</w:t>
      </w:r>
      <w:bookmarkEnd w:id="625"/>
      <w:r>
        <w:rPr>
          <w:rFonts w:ascii="Times New Roman" w:eastAsia="Times New Roman" w:hAnsi="Times New Roman" w:cs="Times New Roman"/>
          <w:color w:val="000000"/>
          <w:spacing w:val="0"/>
          <w:w w:val="100"/>
          <w:position w:val="0"/>
        </w:rPr>
        <w:t>3</w:t>
      </w:r>
      <w:r>
        <w:rPr>
          <w:color w:val="000000"/>
          <w:spacing w:val="0"/>
          <w:w w:val="100"/>
          <w:position w:val="0"/>
        </w:rPr>
        <w:t>）</w:t>
        <w:tab/>
        <w:t>首次公开发行前限售股解禁</w:t>
      </w:r>
    </w:p>
    <w:p>
      <w:pPr>
        <w:pStyle w:val="Style1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本次解除限售股份为首次公开发行前已发行股份，解除限售股东户数共</w:t>
      </w:r>
      <w:r>
        <w:rPr>
          <w:rFonts w:ascii="Times New Roman" w:eastAsia="Times New Roman" w:hAnsi="Times New Roman" w:cs="Times New Roman"/>
          <w:color w:val="000000"/>
          <w:spacing w:val="0"/>
          <w:w w:val="100"/>
          <w:position w:val="0"/>
        </w:rPr>
        <w:t>23</w:t>
      </w:r>
      <w:r>
        <w:rPr>
          <w:color w:val="000000"/>
          <w:spacing w:val="0"/>
          <w:w w:val="100"/>
          <w:position w:val="0"/>
        </w:rPr>
        <w:t>户，股份数量为</w:t>
      </w:r>
      <w:r>
        <w:rPr>
          <w:rFonts w:ascii="Times New Roman" w:eastAsia="Times New Roman" w:hAnsi="Times New Roman" w:cs="Times New Roman"/>
          <w:color w:val="000000"/>
          <w:spacing w:val="0"/>
          <w:w w:val="100"/>
          <w:position w:val="0"/>
        </w:rPr>
        <w:t xml:space="preserve">57,915,611 </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26.31%</w:t>
      </w:r>
      <w:r>
        <w:rPr>
          <w:color w:val="000000"/>
          <w:spacing w:val="0"/>
          <w:w w:val="100"/>
          <w:position w:val="0"/>
        </w:rPr>
        <w:t>。限售期为自股票上市之日起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个月，解除限售的股份的上市流通日期为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12"/>
        <w:keepNext w:val="0"/>
        <w:keepLines w:val="0"/>
        <w:widowControl w:val="0"/>
        <w:shd w:val="clear" w:color="auto" w:fill="auto"/>
        <w:bidi w:val="0"/>
        <w:spacing w:before="0" w:after="0" w:line="409" w:lineRule="exact"/>
        <w:ind w:left="0" w:right="0" w:firstLine="440"/>
        <w:jc w:val="left"/>
      </w:pPr>
      <w:bookmarkStart w:id="626" w:name="bookmark626"/>
      <w:r>
        <w:rPr>
          <w:color w:val="000000"/>
          <w:spacing w:val="0"/>
          <w:w w:val="100"/>
          <w:position w:val="0"/>
        </w:rPr>
        <w:t>（</w:t>
      </w:r>
      <w:bookmarkEnd w:id="626"/>
      <w:r>
        <w:rPr>
          <w:rFonts w:ascii="Times New Roman" w:eastAsia="Times New Roman" w:hAnsi="Times New Roman" w:cs="Times New Roman"/>
          <w:color w:val="000000"/>
          <w:spacing w:val="0"/>
          <w:w w:val="100"/>
          <w:position w:val="0"/>
        </w:rPr>
        <w:t>4</w:t>
      </w:r>
      <w:r>
        <w:rPr>
          <w:color w:val="000000"/>
          <w:spacing w:val="0"/>
          <w:w w:val="100"/>
          <w:position w:val="0"/>
        </w:rPr>
        <w:t>）高管股份锁定</w:t>
      </w:r>
    </w:p>
    <w:p>
      <w:pPr>
        <w:pStyle w:val="Style1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根据《公司法》《证券法》相关规定，公司董事、监事、高级管理人员在任职期间每年可转让股份 数量不超过其所持有公司股份总数的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，其余股份进行高管锁定；</w:t>
      </w:r>
      <w:r>
        <w:rPr>
          <w:rFonts w:ascii="Times New Roman" w:eastAsia="Times New Roman" w:hAnsi="Times New Roman" w:cs="Times New Roman"/>
          <w:color w:val="000000"/>
          <w:spacing w:val="0"/>
          <w:w w:val="100"/>
          <w:position w:val="0"/>
        </w:rPr>
        <w:t>2021</w:t>
      </w:r>
      <w:r>
        <w:rPr>
          <w:color w:val="000000"/>
          <w:spacing w:val="0"/>
          <w:w w:val="100"/>
          <w:position w:val="0"/>
        </w:rPr>
        <w:t>首次公开发行前限售股解禁后， 部分高管股份继续被锁定。</w:t>
      </w:r>
    </w:p>
    <w:p>
      <w:pPr>
        <w:pStyle w:val="Style12"/>
        <w:keepNext w:val="0"/>
        <w:keepLines w:val="0"/>
        <w:widowControl w:val="0"/>
        <w:shd w:val="clear" w:color="auto" w:fill="auto"/>
        <w:bidi w:val="0"/>
        <w:spacing w:before="0" w:after="0" w:line="412" w:lineRule="exact"/>
        <w:ind w:left="0" w:right="0" w:firstLine="0"/>
        <w:jc w:val="left"/>
      </w:pPr>
      <w:r>
        <w:rPr>
          <w:color w:val="000000"/>
          <w:spacing w:val="0"/>
          <w:w w:val="100"/>
          <w:position w:val="0"/>
        </w:rPr>
        <w:t>股份变动的批准情况</w:t>
      </w:r>
    </w:p>
    <w:p>
      <w:pPr>
        <w:pStyle w:val="Style12"/>
        <w:keepNext w:val="0"/>
        <w:keepLines w:val="0"/>
        <w:widowControl w:val="0"/>
        <w:shd w:val="clear" w:color="auto" w:fill="auto"/>
        <w:bidi w:val="0"/>
        <w:spacing w:before="0" w:after="0" w:line="41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tabs>
          <w:tab w:pos="923" w:val="left"/>
        </w:tabs>
        <w:bidi w:val="0"/>
        <w:spacing w:before="0" w:after="0" w:line="412" w:lineRule="exact"/>
        <w:ind w:left="0" w:right="0" w:firstLine="440"/>
        <w:jc w:val="left"/>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年度权益分派</w:t>
      </w:r>
    </w:p>
    <w:p>
      <w:pPr>
        <w:pStyle w:val="Style1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日召开了第三届董事会第五次会议、第三届监事会第五次会议及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 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年度利润分配预案的议案》，公司独立董事对本 议案事项发表了明确同意的独立意见。</w:t>
      </w:r>
    </w:p>
    <w:p>
      <w:pPr>
        <w:pStyle w:val="Style12"/>
        <w:keepNext w:val="0"/>
        <w:keepLines w:val="0"/>
        <w:widowControl w:val="0"/>
        <w:shd w:val="clear" w:color="auto" w:fill="auto"/>
        <w:tabs>
          <w:tab w:pos="923" w:val="left"/>
        </w:tabs>
        <w:bidi w:val="0"/>
        <w:spacing w:before="0" w:after="0" w:line="412" w:lineRule="exact"/>
        <w:ind w:left="0" w:right="0" w:firstLine="440"/>
        <w:jc w:val="left"/>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rPr>
        <w:t>2</w:t>
      </w:r>
      <w:r>
        <w:rPr>
          <w:color w:val="000000"/>
          <w:spacing w:val="0"/>
          <w:w w:val="100"/>
          <w:position w:val="0"/>
        </w:rPr>
        <w:t>）</w:t>
        <w:tab/>
        <w:t>首次公开发行网下配售股上市流通</w:t>
      </w:r>
    </w:p>
    <w:p>
      <w:pPr>
        <w:pStyle w:val="Style1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本次解除限售的股份为首次公开发行网下配售限售股，网下发行部分采用比例限售方式，网下投资 者承诺其获配股票数量的</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（向上取整计算）限售期限为自发行人首次公开发行并上市之日起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 除上述承诺外，本次申请上市流通的网下配售股股东无其他特别承诺。公司网下配售限售股的股东在限 售期内均严格履行了上述承诺，不存在相关承诺未履行影响本次限售股上市流通的情况。保荐机构对本 次网下配售限售股上市流通事项发表无异议的核查意见。</w:t>
      </w:r>
    </w:p>
    <w:p>
      <w:pPr>
        <w:pStyle w:val="Style12"/>
        <w:keepNext w:val="0"/>
        <w:keepLines w:val="0"/>
        <w:widowControl w:val="0"/>
        <w:shd w:val="clear" w:color="auto" w:fill="auto"/>
        <w:tabs>
          <w:tab w:pos="923" w:val="left"/>
        </w:tabs>
        <w:bidi w:val="0"/>
        <w:spacing w:before="0" w:after="0" w:line="412" w:lineRule="exact"/>
        <w:ind w:left="0" w:right="0" w:firstLine="440"/>
        <w:jc w:val="left"/>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rPr>
        <w:t>3</w:t>
      </w:r>
      <w:r>
        <w:rPr>
          <w:color w:val="000000"/>
          <w:spacing w:val="0"/>
          <w:w w:val="100"/>
          <w:position w:val="0"/>
        </w:rPr>
        <w:t>）</w:t>
        <w:tab/>
        <w:t>首次公开发行前限售股解禁</w:t>
      </w:r>
    </w:p>
    <w:p>
      <w:pPr>
        <w:pStyle w:val="Style1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本次解除限售股份为首次公开发行前已发行股份，限售期为自首次公开发行上市后</w:t>
      </w:r>
      <w:r>
        <w:rPr>
          <w:rFonts w:ascii="Times New Roman" w:eastAsia="Times New Roman" w:hAnsi="Times New Roman" w:cs="Times New Roman"/>
          <w:color w:val="000000"/>
          <w:spacing w:val="0"/>
          <w:w w:val="100"/>
          <w:position w:val="0"/>
        </w:rPr>
        <w:t>12</w:t>
      </w:r>
      <w:r>
        <w:rPr>
          <w:color w:val="000000"/>
          <w:spacing w:val="0"/>
          <w:w w:val="100"/>
          <w:position w:val="0"/>
        </w:rPr>
        <w:t>个月，相关股 东均已严格履行了相应的股份锁定承诺，保荐机构对本次网下配售限售股上市流通事项发表无异议的核 查意见。</w:t>
      </w:r>
    </w:p>
    <w:p>
      <w:pPr>
        <w:pStyle w:val="Style12"/>
        <w:keepNext w:val="0"/>
        <w:keepLines w:val="0"/>
        <w:widowControl w:val="0"/>
        <w:shd w:val="clear" w:color="auto" w:fill="auto"/>
        <w:bidi w:val="0"/>
        <w:spacing w:before="0" w:after="0" w:line="412" w:lineRule="exact"/>
        <w:ind w:left="0" w:right="0" w:firstLine="0"/>
        <w:jc w:val="left"/>
      </w:pPr>
      <w:r>
        <w:rPr>
          <w:color w:val="000000"/>
          <w:spacing w:val="0"/>
          <w:w w:val="100"/>
          <w:position w:val="0"/>
        </w:rPr>
        <w:t>股份变动的过户情况</w:t>
      </w:r>
    </w:p>
    <w:p>
      <w:pPr>
        <w:pStyle w:val="Style12"/>
        <w:keepNext w:val="0"/>
        <w:keepLines w:val="0"/>
        <w:widowControl w:val="0"/>
        <w:shd w:val="clear" w:color="auto" w:fill="auto"/>
        <w:bidi w:val="0"/>
        <w:spacing w:before="0" w:after="0" w:line="41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tabs>
          <w:tab w:pos="923" w:val="left"/>
        </w:tabs>
        <w:bidi w:val="0"/>
        <w:spacing w:before="0" w:after="0" w:line="413" w:lineRule="exact"/>
        <w:ind w:left="0" w:right="0" w:firstLine="440"/>
        <w:jc w:val="left"/>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年度权益分派</w:t>
      </w:r>
    </w:p>
    <w:p>
      <w:pPr>
        <w:pStyle w:val="Style12"/>
        <w:keepNext w:val="0"/>
        <w:keepLines w:val="0"/>
        <w:widowControl w:val="0"/>
        <w:shd w:val="clear" w:color="auto" w:fill="auto"/>
        <w:bidi w:val="0"/>
        <w:spacing w:before="0" w:after="0" w:line="413"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年度权益分派转增股份</w:t>
      </w:r>
      <w:r>
        <w:rPr>
          <w:rFonts w:ascii="Times New Roman" w:eastAsia="Times New Roman" w:hAnsi="Times New Roman" w:cs="Times New Roman"/>
          <w:color w:val="000000"/>
          <w:spacing w:val="0"/>
          <w:w w:val="100"/>
          <w:position w:val="0"/>
        </w:rPr>
        <w:t>90,629,068</w:t>
      </w:r>
      <w:r>
        <w:rPr>
          <w:color w:val="000000"/>
          <w:spacing w:val="0"/>
          <w:w w:val="100"/>
          <w:position w:val="0"/>
        </w:rPr>
        <w:t>股已全部在中国证券登记结算有限责任公司深圳分公司办理了 证券登记手续，本次转增的无限售条件流通股起始交易日为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12"/>
        <w:keepNext w:val="0"/>
        <w:keepLines w:val="0"/>
        <w:widowControl w:val="0"/>
        <w:shd w:val="clear" w:color="auto" w:fill="auto"/>
        <w:tabs>
          <w:tab w:pos="923" w:val="left"/>
        </w:tabs>
        <w:bidi w:val="0"/>
        <w:spacing w:before="0" w:after="0" w:line="413" w:lineRule="exact"/>
        <w:ind w:left="0" w:right="0" w:firstLine="440"/>
        <w:jc w:val="left"/>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rPr>
        <w:t>2</w:t>
      </w:r>
      <w:r>
        <w:rPr>
          <w:color w:val="000000"/>
          <w:spacing w:val="0"/>
          <w:w w:val="100"/>
          <w:position w:val="0"/>
        </w:rPr>
        <w:t>）</w:t>
        <w:tab/>
        <w:t>首次公开发行网下配售股上市流通</w:t>
      </w:r>
    </w:p>
    <w:p>
      <w:pPr>
        <w:pStyle w:val="Style1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本次解除限售的首次公开发行网下配售限售股合计</w:t>
      </w:r>
      <w:r>
        <w:rPr>
          <w:rFonts w:ascii="Times New Roman" w:eastAsia="Times New Roman" w:hAnsi="Times New Roman" w:cs="Times New Roman"/>
          <w:color w:val="000000"/>
          <w:spacing w:val="0"/>
          <w:w w:val="100"/>
          <w:position w:val="0"/>
        </w:rPr>
        <w:t>2,839,136</w:t>
      </w:r>
      <w:r>
        <w:rPr>
          <w:color w:val="000000"/>
          <w:spacing w:val="0"/>
          <w:w w:val="100"/>
          <w:position w:val="0"/>
        </w:rPr>
        <w:t>股，已在中国证券登记结算有限责任公 司深圳分公司完成登记手续，并于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日上市流通。</w:t>
      </w:r>
    </w:p>
    <w:p>
      <w:pPr>
        <w:pStyle w:val="Style12"/>
        <w:keepNext w:val="0"/>
        <w:keepLines w:val="0"/>
        <w:widowControl w:val="0"/>
        <w:shd w:val="clear" w:color="auto" w:fill="auto"/>
        <w:tabs>
          <w:tab w:pos="923" w:val="left"/>
        </w:tabs>
        <w:bidi w:val="0"/>
        <w:spacing w:before="0" w:after="0" w:line="413" w:lineRule="exact"/>
        <w:ind w:left="0" w:right="0" w:firstLine="440"/>
        <w:jc w:val="left"/>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rPr>
        <w:t>3</w:t>
      </w:r>
      <w:r>
        <w:rPr>
          <w:color w:val="000000"/>
          <w:spacing w:val="0"/>
          <w:w w:val="100"/>
          <w:position w:val="0"/>
        </w:rPr>
        <w:t>）</w:t>
        <w:tab/>
        <w:t>首次公开发行前限售股解禁</w:t>
      </w:r>
    </w:p>
    <w:p>
      <w:pPr>
        <w:pStyle w:val="Style1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本次解除限售的首次公开发行前已发行股份合计</w:t>
      </w:r>
      <w:r>
        <w:rPr>
          <w:rFonts w:ascii="Times New Roman" w:eastAsia="Times New Roman" w:hAnsi="Times New Roman" w:cs="Times New Roman"/>
          <w:color w:val="000000"/>
          <w:spacing w:val="0"/>
          <w:w w:val="100"/>
          <w:position w:val="0"/>
        </w:rPr>
        <w:t>57,915,611</w:t>
      </w:r>
      <w:r>
        <w:rPr>
          <w:color w:val="000000"/>
          <w:spacing w:val="0"/>
          <w:w w:val="100"/>
          <w:position w:val="0"/>
        </w:rPr>
        <w:t xml:space="preserve">股，已在中国证券登记结算有限责任公司 </w:t>
      </w:r>
      <w:r>
        <w:rPr>
          <w:color w:val="000000"/>
          <w:spacing w:val="0"/>
          <w:w w:val="100"/>
          <w:position w:val="0"/>
        </w:rPr>
        <w:t>深圳分公司完成登记手续，并于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日上市流通。</w:t>
      </w:r>
    </w:p>
    <w:p>
      <w:pPr>
        <w:pStyle w:val="Style12"/>
        <w:keepNext w:val="0"/>
        <w:keepLines w:val="0"/>
        <w:widowControl w:val="0"/>
        <w:shd w:val="clear" w:color="auto" w:fill="auto"/>
        <w:bidi w:val="0"/>
        <w:spacing w:before="0" w:after="180" w:line="408" w:lineRule="exact"/>
        <w:ind w:left="0" w:right="0" w:firstLine="0"/>
        <w:jc w:val="left"/>
      </w:pPr>
      <w:r>
        <w:rPr>
          <w:color w:val="000000"/>
          <w:spacing w:val="0"/>
          <w:w w:val="100"/>
          <w:position w:val="0"/>
        </w:rPr>
        <w:t>股份变动对最近一年和最近一期基本每股收益和稀释每股收益、归属于公司普通股股东的每股净资产等 财务指标的影响</w:t>
      </w:r>
    </w:p>
    <w:p>
      <w:pPr>
        <w:pStyle w:val="Style12"/>
        <w:keepNext w:val="0"/>
        <w:keepLines w:val="0"/>
        <w:widowControl w:val="0"/>
        <w:shd w:val="clear" w:color="auto" w:fill="auto"/>
        <w:bidi w:val="0"/>
        <w:spacing w:before="0" w:after="0" w:line="43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报告期内，公司实施完成</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年年度权益分派，按公司最新股本</w:t>
      </w:r>
      <w:r>
        <w:rPr>
          <w:rFonts w:ascii="Times New Roman" w:eastAsia="Times New Roman" w:hAnsi="Times New Roman" w:cs="Times New Roman"/>
          <w:color w:val="000000"/>
          <w:spacing w:val="0"/>
          <w:w w:val="100"/>
          <w:position w:val="0"/>
        </w:rPr>
        <w:t>220,099,166</w:t>
      </w:r>
      <w:r>
        <w:rPr>
          <w:color w:val="000000"/>
          <w:spacing w:val="0"/>
          <w:w w:val="100"/>
          <w:position w:val="0"/>
        </w:rPr>
        <w:t>股重新计算，公司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年基本每股收益由</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.25</w:t>
      </w:r>
      <w:r>
        <w:rPr>
          <w:color w:val="000000"/>
          <w:spacing w:val="0"/>
          <w:w w:val="100"/>
          <w:position w:val="0"/>
        </w:rPr>
        <w:t>元变更为</w:t>
      </w:r>
      <w:r>
        <w:rPr>
          <w:rFonts w:ascii="Times New Roman" w:eastAsia="Times New Roman" w:hAnsi="Times New Roman" w:cs="Times New Roman"/>
          <w:color w:val="000000"/>
          <w:spacing w:val="0"/>
          <w:w w:val="100"/>
          <w:position w:val="0"/>
        </w:rPr>
        <w:t>0.74</w:t>
      </w:r>
      <w:r>
        <w:rPr>
          <w:color w:val="000000"/>
          <w:spacing w:val="0"/>
          <w:w w:val="100"/>
          <w:position w:val="0"/>
        </w:rPr>
        <w:t>元，稀释每股收益由</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.25</w:t>
      </w:r>
      <w:r>
        <w:rPr>
          <w:color w:val="000000"/>
          <w:spacing w:val="0"/>
          <w:w w:val="100"/>
          <w:position w:val="0"/>
        </w:rPr>
        <w:t>元变更为</w:t>
      </w:r>
      <w:r>
        <w:rPr>
          <w:rFonts w:ascii="Times New Roman" w:eastAsia="Times New Roman" w:hAnsi="Times New Roman" w:cs="Times New Roman"/>
          <w:color w:val="000000"/>
          <w:spacing w:val="0"/>
          <w:w w:val="100"/>
          <w:position w:val="0"/>
        </w:rPr>
        <w:t>0.74</w:t>
      </w:r>
      <w:r>
        <w:rPr>
          <w:color w:val="000000"/>
          <w:spacing w:val="0"/>
          <w:w w:val="100"/>
          <w:position w:val="0"/>
        </w:rPr>
        <w:t>元，归属于公司普通股股东的 每股净资产由</w:t>
      </w:r>
      <w:r>
        <w:rPr>
          <w:rFonts w:ascii="Times New Roman" w:eastAsia="Times New Roman" w:hAnsi="Times New Roman" w:cs="Times New Roman"/>
          <w:color w:val="000000"/>
          <w:spacing w:val="0"/>
          <w:w w:val="100"/>
          <w:position w:val="0"/>
        </w:rPr>
        <w:t>8.64</w:t>
      </w:r>
      <w:r>
        <w:rPr>
          <w:color w:val="000000"/>
          <w:spacing w:val="0"/>
          <w:w w:val="100"/>
          <w:position w:val="0"/>
        </w:rPr>
        <w:t>元变更为</w:t>
      </w:r>
      <w:r>
        <w:rPr>
          <w:rFonts w:ascii="Times New Roman" w:eastAsia="Times New Roman" w:hAnsi="Times New Roman" w:cs="Times New Roman"/>
          <w:color w:val="000000"/>
          <w:spacing w:val="0"/>
          <w:w w:val="100"/>
          <w:position w:val="0"/>
        </w:rPr>
        <w:t>5.08</w:t>
      </w:r>
      <w:r>
        <w:rPr>
          <w:color w:val="000000"/>
          <w:spacing w:val="0"/>
          <w:w w:val="100"/>
          <w:position w:val="0"/>
        </w:rPr>
        <w:t>元。</w:t>
      </w:r>
    </w:p>
    <w:p>
      <w:pPr>
        <w:pStyle w:val="Style12"/>
        <w:keepNext w:val="0"/>
        <w:keepLines w:val="0"/>
        <w:widowControl w:val="0"/>
        <w:shd w:val="clear" w:color="auto" w:fill="auto"/>
        <w:bidi w:val="0"/>
        <w:spacing w:before="0" w:after="180" w:line="410" w:lineRule="exact"/>
        <w:ind w:left="0" w:right="0" w:firstLine="0"/>
        <w:jc w:val="left"/>
      </w:pPr>
      <w:r>
        <w:rPr>
          <w:color w:val="000000"/>
          <w:spacing w:val="0"/>
          <w:w w:val="100"/>
          <w:position w:val="0"/>
        </w:rPr>
        <w:t>公司认为必要或证券监管机构要求披露的其他内容</w:t>
      </w:r>
    </w:p>
    <w:p>
      <w:pPr>
        <w:pStyle w:val="Style12"/>
        <w:keepNext w:val="0"/>
        <w:keepLines w:val="0"/>
        <w:widowControl w:val="0"/>
        <w:shd w:val="clear" w:color="auto" w:fill="auto"/>
        <w:bidi w:val="0"/>
        <w:spacing w:before="0" w:after="240" w:line="43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240" w:line="43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、限售股份变动情况</w:t>
      </w:r>
      <w:bookmarkEnd w:id="633"/>
      <w:bookmarkEnd w:id="634"/>
      <w:bookmarkEnd w:id="636"/>
    </w:p>
    <w:p>
      <w:pPr>
        <w:pStyle w:val="Style12"/>
        <w:keepNext w:val="0"/>
        <w:keepLines w:val="0"/>
        <w:widowControl w:val="0"/>
        <w:shd w:val="clear" w:color="auto" w:fill="auto"/>
        <w:bidi w:val="0"/>
        <w:spacing w:before="0" w:after="0" w:line="43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48"/>
        <w:gridCol w:w="994"/>
        <w:gridCol w:w="994"/>
        <w:gridCol w:w="994"/>
        <w:gridCol w:w="989"/>
        <w:gridCol w:w="3120"/>
        <w:gridCol w:w="1243"/>
      </w:tblGrid>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期初限售股 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本期增加限 售股数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本期解除限 售股数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拟解除限售日 期</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31,684,334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76,947,669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首发前限售股份及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形成限售股份，限售期限为自公司首次 公开发行并上市之日起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r>
      <w:tr>
        <w:trPr>
          <w:trHeight w:val="7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深圳市耕读邦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投资合伙企业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首发前限售股份及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形成限售股份，限售期限为自公司首次 公开发行并上市之日起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深圳市嘉嘉通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投资合伙企业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首发前限售股份及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形成限售股份，限售期限为自公司首次 公开发行并上市之日起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深圳市木加林</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投资合伙企业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首发前限售股份及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形成限售股份，限售期限为自公司首次 公开发行并上市之日起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海通创新证券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3,034,378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2,124,065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5,158,443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首发前限售股份及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形成限售股份，限售期限为自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r>
      <w:tr>
        <w:trPr>
          <w:trHeight w:val="10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嘉兴海通旭初 股权投资基金 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 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3,034,378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2,124,065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5,158,443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首发前限售股份及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形成限售股份，限售期限为自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8"/>
                <w:szCs w:val="18"/>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黄照程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首发前限售股份及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形成限售股份，限售期限为自公司首次 公开发行并上市之日起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个月。解除 限售后任期内离职高管锁定。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每年初按照上 年末持股总数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 定</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宋燕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首发前限售股份及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形成限售股份，限售期限为自公司首次 公开发行并上市之日起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李冬祥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首发前限售股份及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形成限售股份，限售期限为自公司首次 公开发行并上市之日起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个月。解除</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每年初按照上 年末持股总数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w:t>
            </w:r>
          </w:p>
        </w:tc>
      </w:tr>
    </w:tbl>
    <w:p>
      <w:pPr>
        <w:spacing w:lineRule="exact" w:line="1"/>
        <w:rPr>
          <w:sz w:val="2"/>
          <w:szCs w:val="2"/>
        </w:rPr>
      </w:pPr>
      <w:r>
        <w:br w:type="page"/>
      </w:r>
    </w:p>
    <w:tbl>
      <w:tblPr>
        <w:tblOverlap w:val="never"/>
        <w:jc w:val="center"/>
        <w:tblLayout w:type="fixed"/>
      </w:tblPr>
      <w:tblGrid>
        <w:gridCol w:w="1248"/>
        <w:gridCol w:w="994"/>
        <w:gridCol w:w="994"/>
        <w:gridCol w:w="994"/>
        <w:gridCol w:w="989"/>
        <w:gridCol w:w="3120"/>
        <w:gridCol w:w="1243"/>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限售后高管锁定。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首发前限售股份及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形成限售股份，限售期限为自公司首次 公开发行并上市之日起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个月。解除 限售后任期内离职高管锁定。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每年初按照上 年末持股总数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 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王奉君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981,750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首发前限售股份及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形成限售股份，限售期限为自公司首次 公开发行并上市之日起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个月。解除 限售后高管锁定。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每年初按照上 年末持股总数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 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徐纯印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首发前限售股份及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形成限售股份，限售期限为自公司首次 公开发行并上市之日起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个月。解除 限售后高管锁定。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每年初按照上 年末持股总数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 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382,500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首发前限售股份及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形成限售股份，限售期限为自公司首次 公开发行并上市之日起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个月。解除 限售后高管锁定。</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每年初按照上 年末持股总数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解除锁 定</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30,568,087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21,397,660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51,965,747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网下配售投资者获配股票数量的</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限售期限为自公司首次公开发行并上市 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 形成限售增加股份数；首发前限售股份 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年度权益分派形成限售股份， 限售期限为自公司首次公开发行并上市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 xml:space="preserve">首次公开发行 网下配售股于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 xml:space="preserve">日上市流通； 首次公开发行 前限售股于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日上市流通</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98,770,178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69,139,124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53,100,497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114,808,805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sz w:val="24"/>
          <w:szCs w:val="24"/>
        </w:rPr>
        <w:t>二</w:t>
      </w:r>
      <w:bookmarkEnd w:id="639"/>
      <w:r>
        <w:rPr>
          <w:color w:val="000000"/>
          <w:spacing w:val="0"/>
          <w:w w:val="100"/>
          <w:position w:val="0"/>
          <w:sz w:val="24"/>
          <w:szCs w:val="24"/>
        </w:rPr>
        <w:t>、证券发行与上市情况</w:t>
      </w:r>
      <w:bookmarkEnd w:id="637"/>
      <w:bookmarkEnd w:id="638"/>
      <w:bookmarkEnd w:id="640"/>
    </w:p>
    <w:p>
      <w:pPr>
        <w:pStyle w:val="Style38"/>
        <w:keepNext/>
        <w:keepLines/>
        <w:widowControl w:val="0"/>
        <w:shd w:val="clear" w:color="auto" w:fill="auto"/>
        <w:bidi w:val="0"/>
        <w:spacing w:before="0" w:after="30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、报告期内证券发行（不含优先股）情况</w:t>
      </w:r>
      <w:bookmarkEnd w:id="641"/>
      <w:bookmarkEnd w:id="642"/>
      <w:bookmarkEnd w:id="644"/>
      <w:r>
        <w:rPr>
          <w:color w:val="000000"/>
          <w:spacing w:val="0"/>
          <w:w w:val="100"/>
          <w:position w:val="0"/>
        </w:rPr>
        <w:t xml:space="preserve"> </w:t>
      </w:r>
      <w:r>
        <w:rPr>
          <w:rStyle w:val="CharStyle13"/>
          <w:rFonts w:ascii="Times New Roman" w:eastAsia="Times New Roman" w:hAnsi="Times New Roman" w:cs="Times New Roman"/>
          <w:b w:val="0"/>
          <w:bCs w:val="0"/>
        </w:rPr>
        <w:t>□</w:t>
      </w:r>
      <w:r>
        <w:rPr>
          <w:rStyle w:val="CharStyle13"/>
          <w:b w:val="0"/>
          <w:bCs w:val="0"/>
        </w:rPr>
        <w:t>适用</w:t>
      </w:r>
      <w:r>
        <w:rPr>
          <w:rStyle w:val="CharStyle13"/>
          <w:rFonts w:ascii="Times New Roman" w:eastAsia="Times New Roman" w:hAnsi="Times New Roman" w:cs="Times New Roman"/>
          <w:b w:val="0"/>
          <w:bCs w:val="0"/>
        </w:rPr>
        <w:t>q</w:t>
      </w:r>
      <w:r>
        <w:rPr>
          <w:rStyle w:val="CharStyle13"/>
          <w:b w:val="0"/>
          <w:bCs w:val="0"/>
        </w:rPr>
        <w:t>不适用</w:t>
      </w:r>
    </w:p>
    <w:p>
      <w:pPr>
        <w:pStyle w:val="Style38"/>
        <w:keepNext/>
        <w:keepLines/>
        <w:widowControl w:val="0"/>
        <w:shd w:val="clear" w:color="auto" w:fill="auto"/>
        <w:bidi w:val="0"/>
        <w:spacing w:before="0" w:after="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、公司股份总数及股东结构的变动、公司资产和负债结构的变动情况说明</w:t>
      </w:r>
      <w:bookmarkEnd w:id="645"/>
      <w:bookmarkEnd w:id="646"/>
      <w:bookmarkEnd w:id="648"/>
      <w:r>
        <w:rPr>
          <w:color w:val="000000"/>
          <w:spacing w:val="0"/>
          <w:w w:val="100"/>
          <w:position w:val="0"/>
        </w:rPr>
        <w:t xml:space="preserve"> </w:t>
      </w:r>
      <w:r>
        <w:rPr>
          <w:rStyle w:val="CharStyle13"/>
          <w:rFonts w:ascii="Times New Roman" w:eastAsia="Times New Roman" w:hAnsi="Times New Roman" w:cs="Times New Roman"/>
          <w:b w:val="0"/>
          <w:bCs w:val="0"/>
        </w:rPr>
        <w:t>q</w:t>
      </w:r>
      <w:r>
        <w:rPr>
          <w:rStyle w:val="CharStyle13"/>
          <w:b w:val="0"/>
          <w:bCs w:val="0"/>
        </w:rPr>
        <w:t>适用</w:t>
      </w:r>
      <w:r>
        <w:rPr>
          <w:rStyle w:val="CharStyle13"/>
          <w:b w:val="0"/>
          <w:bCs w:val="0"/>
        </w:rPr>
        <w:t>口</w:t>
      </w:r>
      <w:r>
        <w:rPr>
          <w:rStyle w:val="CharStyle13"/>
          <w:b w:val="0"/>
          <w:bCs w:val="0"/>
        </w:rPr>
        <w:t>不适用</w:t>
      </w:r>
    </w:p>
    <w:p>
      <w:pPr>
        <w:pStyle w:val="Style12"/>
        <w:keepNext w:val="0"/>
        <w:keepLines w:val="0"/>
        <w:widowControl w:val="0"/>
        <w:shd w:val="clear" w:color="auto" w:fill="auto"/>
        <w:tabs>
          <w:tab w:pos="923" w:val="left"/>
        </w:tabs>
        <w:bidi w:val="0"/>
        <w:spacing w:before="0" w:after="0" w:line="407" w:lineRule="exact"/>
        <w:ind w:left="0" w:right="0" w:firstLine="440"/>
        <w:jc w:val="left"/>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年度权益分派</w:t>
      </w:r>
    </w:p>
    <w:p>
      <w:pPr>
        <w:pStyle w:val="Style1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报告期内，公司实施了</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129,470,098</w:t>
      </w:r>
      <w:r>
        <w:rPr>
          <w:color w:val="000000"/>
          <w:spacing w:val="0"/>
          <w:w w:val="100"/>
          <w:position w:val="0"/>
        </w:rPr>
        <w:t>股为 基数，按照总额不变的分配原则，向全体股东每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元（含税），合计派发现金股利 </w:t>
      </w:r>
      <w:r>
        <w:rPr>
          <w:rFonts w:ascii="Times New Roman" w:eastAsia="Times New Roman" w:hAnsi="Times New Roman" w:cs="Times New Roman"/>
          <w:color w:val="000000"/>
          <w:spacing w:val="0"/>
          <w:w w:val="100"/>
          <w:position w:val="0"/>
        </w:rPr>
        <w:t>12,947,009.8</w:t>
      </w:r>
      <w:r>
        <w:rPr>
          <w:color w:val="000000"/>
          <w:spacing w:val="0"/>
          <w:w w:val="100"/>
          <w:position w:val="0"/>
        </w:rPr>
        <w:t>元（含税）；向全体股东每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股以资本公积金转增</w:t>
      </w:r>
      <w:r>
        <w:rPr>
          <w:rFonts w:ascii="Times New Roman" w:eastAsia="Times New Roman" w:hAnsi="Times New Roman" w:cs="Times New Roman"/>
          <w:color w:val="000000"/>
          <w:spacing w:val="0"/>
          <w:w w:val="100"/>
          <w:position w:val="0"/>
        </w:rPr>
        <w:t>7</w:t>
      </w:r>
      <w:r>
        <w:rPr>
          <w:color w:val="000000"/>
          <w:spacing w:val="0"/>
          <w:w w:val="100"/>
          <w:position w:val="0"/>
        </w:rPr>
        <w:t>股，合计转增股本</w:t>
      </w:r>
      <w:r>
        <w:rPr>
          <w:rFonts w:ascii="Times New Roman" w:eastAsia="Times New Roman" w:hAnsi="Times New Roman" w:cs="Times New Roman"/>
          <w:color w:val="000000"/>
          <w:spacing w:val="0"/>
          <w:w w:val="100"/>
          <w:position w:val="0"/>
        </w:rPr>
        <w:t>90,629,068</w:t>
      </w:r>
      <w:r>
        <w:rPr>
          <w:color w:val="000000"/>
          <w:spacing w:val="0"/>
          <w:w w:val="100"/>
          <w:position w:val="0"/>
        </w:rPr>
        <w:t>股。上述方 案已于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日实施完毕。</w:t>
      </w:r>
    </w:p>
    <w:p>
      <w:pPr>
        <w:pStyle w:val="Style12"/>
        <w:keepNext w:val="0"/>
        <w:keepLines w:val="0"/>
        <w:widowControl w:val="0"/>
        <w:shd w:val="clear" w:color="auto" w:fill="auto"/>
        <w:tabs>
          <w:tab w:pos="923" w:val="left"/>
        </w:tabs>
        <w:bidi w:val="0"/>
        <w:spacing w:before="0" w:after="0" w:line="407" w:lineRule="exact"/>
        <w:ind w:left="0" w:right="0" w:firstLine="440"/>
        <w:jc w:val="left"/>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rPr>
        <w:t>2</w:t>
      </w:r>
      <w:r>
        <w:rPr>
          <w:color w:val="000000"/>
          <w:spacing w:val="0"/>
          <w:w w:val="100"/>
          <w:position w:val="0"/>
        </w:rPr>
        <w:t>）</w:t>
        <w:tab/>
        <w:t>首次公开发行网下配售股上市流通</w:t>
      </w:r>
    </w:p>
    <w:p>
      <w:pPr>
        <w:pStyle w:val="Style1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本次解除限售股份为首次公开发行网下配售限售股，解除限售股东户数共</w:t>
      </w:r>
      <w:r>
        <w:rPr>
          <w:rFonts w:ascii="Times New Roman" w:eastAsia="Times New Roman" w:hAnsi="Times New Roman" w:cs="Times New Roman"/>
          <w:color w:val="000000"/>
          <w:spacing w:val="0"/>
          <w:w w:val="100"/>
          <w:position w:val="0"/>
        </w:rPr>
        <w:t>6,422</w:t>
      </w:r>
      <w:r>
        <w:rPr>
          <w:color w:val="000000"/>
          <w:spacing w:val="0"/>
          <w:w w:val="100"/>
          <w:position w:val="0"/>
        </w:rPr>
        <w:t xml:space="preserve">户，股份数量为 </w:t>
      </w:r>
      <w:r>
        <w:rPr>
          <w:rFonts w:ascii="Times New Roman" w:eastAsia="Times New Roman" w:hAnsi="Times New Roman" w:cs="Times New Roman"/>
          <w:color w:val="000000"/>
          <w:spacing w:val="0"/>
          <w:w w:val="100"/>
          <w:position w:val="0"/>
        </w:rPr>
        <w:t>2,839,136</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1.2899%</w:t>
      </w:r>
      <w:r>
        <w:rPr>
          <w:color w:val="000000"/>
          <w:spacing w:val="0"/>
          <w:w w:val="100"/>
          <w:position w:val="0"/>
        </w:rPr>
        <w:t>，限售期为自股票上市之日起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个月，解除限售的股份的上市流通 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12"/>
        <w:keepNext w:val="0"/>
        <w:keepLines w:val="0"/>
        <w:widowControl w:val="0"/>
        <w:shd w:val="clear" w:color="auto" w:fill="auto"/>
        <w:tabs>
          <w:tab w:pos="923" w:val="left"/>
        </w:tabs>
        <w:bidi w:val="0"/>
        <w:spacing w:before="0" w:after="300" w:line="407" w:lineRule="exact"/>
        <w:ind w:left="0" w:right="0" w:firstLine="440"/>
        <w:jc w:val="left"/>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rPr>
        <w:t>3</w:t>
      </w:r>
      <w:r>
        <w:rPr>
          <w:color w:val="000000"/>
          <w:spacing w:val="0"/>
          <w:w w:val="100"/>
          <w:position w:val="0"/>
        </w:rPr>
        <w:t>）</w:t>
        <w:tab/>
        <w:t>首次公开发行前限售股解禁</w:t>
      </w:r>
    </w:p>
    <w:p>
      <w:pPr>
        <w:pStyle w:val="Style12"/>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本次解除限售股份为首次公开发行前已发行股份，解除限售股东户数共</w:t>
      </w:r>
      <w:r>
        <w:rPr>
          <w:rFonts w:ascii="Times New Roman" w:eastAsia="Times New Roman" w:hAnsi="Times New Roman" w:cs="Times New Roman"/>
          <w:color w:val="000000"/>
          <w:spacing w:val="0"/>
          <w:w w:val="100"/>
          <w:position w:val="0"/>
        </w:rPr>
        <w:t>23</w:t>
      </w:r>
      <w:r>
        <w:rPr>
          <w:color w:val="000000"/>
          <w:spacing w:val="0"/>
          <w:w w:val="100"/>
          <w:position w:val="0"/>
        </w:rPr>
        <w:t>户，股份数量为</w:t>
      </w:r>
      <w:r>
        <w:rPr>
          <w:rFonts w:ascii="Times New Roman" w:eastAsia="Times New Roman" w:hAnsi="Times New Roman" w:cs="Times New Roman"/>
          <w:color w:val="000000"/>
          <w:spacing w:val="0"/>
          <w:w w:val="100"/>
          <w:position w:val="0"/>
        </w:rPr>
        <w:t xml:space="preserve">57,915,611 </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26.31%</w:t>
      </w:r>
      <w:r>
        <w:rPr>
          <w:color w:val="000000"/>
          <w:spacing w:val="0"/>
          <w:w w:val="100"/>
          <w:position w:val="0"/>
        </w:rPr>
        <w:t>。限售期为自股票上市之日起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个月，解除限售的股份的上市流通日期为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12"/>
        <w:keepNext w:val="0"/>
        <w:keepLines w:val="0"/>
        <w:widowControl w:val="0"/>
        <w:shd w:val="clear" w:color="auto" w:fill="auto"/>
        <w:bidi w:val="0"/>
        <w:spacing w:before="0" w:after="40" w:line="406" w:lineRule="exact"/>
        <w:ind w:left="0" w:right="0" w:firstLine="440"/>
        <w:jc w:val="left"/>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rPr>
        <w:t>4</w:t>
      </w:r>
      <w:r>
        <w:rPr>
          <w:color w:val="000000"/>
          <w:spacing w:val="0"/>
          <w:w w:val="100"/>
          <w:position w:val="0"/>
        </w:rPr>
        <w:t>）高管股份锁定</w:t>
      </w:r>
    </w:p>
    <w:p>
      <w:pPr>
        <w:pStyle w:val="Style12"/>
        <w:keepNext w:val="0"/>
        <w:keepLines w:val="0"/>
        <w:widowControl w:val="0"/>
        <w:shd w:val="clear" w:color="auto" w:fill="auto"/>
        <w:bidi w:val="0"/>
        <w:spacing w:before="0" w:after="440" w:line="408" w:lineRule="exact"/>
        <w:ind w:left="0" w:right="0" w:firstLine="440"/>
        <w:jc w:val="left"/>
      </w:pPr>
      <w:r>
        <w:rPr>
          <w:color w:val="000000"/>
          <w:spacing w:val="0"/>
          <w:w w:val="100"/>
          <w:position w:val="0"/>
        </w:rPr>
        <w:t>根据《公司法》《证券法》相关规定，公司董事、监事、高级管理人员在任职期间每年可转让股份数 量不超过其所持有公司股份总数的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，其余股份进行高管锁定；</w:t>
      </w:r>
      <w:r>
        <w:rPr>
          <w:rFonts w:ascii="Times New Roman" w:eastAsia="Times New Roman" w:hAnsi="Times New Roman" w:cs="Times New Roman"/>
          <w:color w:val="000000"/>
          <w:spacing w:val="0"/>
          <w:w w:val="100"/>
          <w:position w:val="0"/>
        </w:rPr>
        <w:t>2021</w:t>
      </w:r>
      <w:r>
        <w:rPr>
          <w:color w:val="000000"/>
          <w:spacing w:val="0"/>
          <w:w w:val="100"/>
          <w:position w:val="0"/>
        </w:rPr>
        <w:t>首次公开发行前限售股解禁后，部 分高管股份继续被锁定。</w:t>
      </w:r>
    </w:p>
    <w:p>
      <w:pPr>
        <w:pStyle w:val="Style38"/>
        <w:keepNext/>
        <w:keepLines/>
        <w:widowControl w:val="0"/>
        <w:shd w:val="clear" w:color="auto" w:fill="auto"/>
        <w:bidi w:val="0"/>
        <w:spacing w:before="0" w:after="240" w:line="425"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3</w:t>
      </w:r>
      <w:bookmarkEnd w:id="655"/>
      <w:r>
        <w:rPr>
          <w:color w:val="000000"/>
          <w:spacing w:val="0"/>
          <w:w w:val="100"/>
          <w:position w:val="0"/>
        </w:rPr>
        <w:t>、现存的内部职工股情况</w:t>
      </w:r>
      <w:bookmarkEnd w:id="653"/>
      <w:bookmarkEnd w:id="654"/>
      <w:bookmarkEnd w:id="656"/>
    </w:p>
    <w:p>
      <w:pPr>
        <w:pStyle w:val="Style12"/>
        <w:keepNext w:val="0"/>
        <w:keepLines w:val="0"/>
        <w:widowControl w:val="0"/>
        <w:shd w:val="clear" w:color="auto" w:fill="auto"/>
        <w:bidi w:val="0"/>
        <w:spacing w:before="0" w:after="140" w:line="42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sz w:val="24"/>
          <w:szCs w:val="24"/>
        </w:rPr>
        <w:t>三</w:t>
      </w:r>
      <w:bookmarkEnd w:id="659"/>
      <w:r>
        <w:rPr>
          <w:color w:val="000000"/>
          <w:spacing w:val="0"/>
          <w:w w:val="100"/>
          <w:position w:val="0"/>
          <w:sz w:val="24"/>
          <w:szCs w:val="24"/>
        </w:rPr>
        <w:t>、股东和实际控制人情况</w:t>
      </w:r>
      <w:bookmarkEnd w:id="657"/>
      <w:bookmarkEnd w:id="658"/>
      <w:bookmarkEnd w:id="660"/>
    </w:p>
    <w:p>
      <w:pPr>
        <w:pStyle w:val="Style38"/>
        <w:keepNext/>
        <w:keepLines/>
        <w:widowControl w:val="0"/>
        <w:shd w:val="clear" w:color="auto" w:fill="auto"/>
        <w:bidi w:val="0"/>
        <w:spacing w:before="0" w:after="140" w:line="425"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、公司股东数量及持股情况</w:t>
      </w:r>
      <w:bookmarkEnd w:id="661"/>
      <w:bookmarkEnd w:id="662"/>
      <w:bookmarkEnd w:id="66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51"/>
        <w:gridCol w:w="970"/>
        <w:gridCol w:w="840"/>
        <w:gridCol w:w="989"/>
        <w:gridCol w:w="1118"/>
        <w:gridCol w:w="984"/>
        <w:gridCol w:w="869"/>
        <w:gridCol w:w="1234"/>
        <w:gridCol w:w="696"/>
        <w:gridCol w:w="293"/>
      </w:tblGrid>
      <w:tr>
        <w:trPr>
          <w:trHeight w:val="219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报告期末普通股股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20,768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年度报告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披露日前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上一月末</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普通股股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 xml:space="preserve">报告期末表 决权恢复的 优先股股东 总数（如 有）（参见注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年度报告 披露日前 上一月末 表决权恢 复的优先 股股东总 数（如 有）（参见 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持有特 别表决 权股份 的股东</w:t>
            </w:r>
          </w:p>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总数</w:t>
            </w:r>
          </w:p>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（如</w:t>
            </w:r>
          </w:p>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gridSpan w:val="10"/>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32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持股比例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报告期末持 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报告期内增</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减变动情况</w:t>
            </w:r>
          </w:p>
        </w:tc>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持有有限售 条件的股份 数量</w:t>
            </w:r>
          </w:p>
        </w:tc>
        <w:tc>
          <w:tcPr>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持有无限 售条件的 股份数量</w:t>
            </w:r>
          </w:p>
        </w:tc>
        <w:tc>
          <w:tcPr>
            <w:gridSpan w:val="3"/>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质押、标记或冻结情况</w:t>
            </w:r>
          </w:p>
        </w:tc>
      </w:tr>
      <w:tr>
        <w:trPr>
          <w:trHeight w:val="46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股份状态</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数量</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76,947,669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31,684,334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76,947,669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余华均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7,958,269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深圳市投控东海一 期基金（有限合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6,760,336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深圳市耕读邦投资 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深圳市木加林投资 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深圳市嘉嘉通投资 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2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深圳市汇博成长创 业投资有限公司一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5,408,269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651"/>
        <w:gridCol w:w="974"/>
        <w:gridCol w:w="835"/>
        <w:gridCol w:w="989"/>
        <w:gridCol w:w="1118"/>
        <w:gridCol w:w="984"/>
        <w:gridCol w:w="869"/>
        <w:gridCol w:w="1234"/>
        <w:gridCol w:w="989"/>
      </w:tblGrid>
      <w:tr>
        <w:trPr>
          <w:trHeight w:val="7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深圳市汇博红瑞三 号创业投资合伙企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海通创新证券投资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5,158,443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嘉兴海通旭初股权 投资基金合伙企业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5,158,443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87" w:hRule="exact"/>
        </w:trPr>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027"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上述股东关联关系或一致行动的 说明</w:t>
            </w:r>
          </w:p>
        </w:tc>
        <w:tc>
          <w:tcPr>
            <w:gridSpan w:val="7"/>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深圳市耕读邦投资合伙企业（有限合伙）、深圳市木加林投资合伙企业（有限合伙）、深 圳市嘉嘉通投资合伙企业（有限合伙）均为实际控制人严华先生直接控制的员工持股平 台企业。海通创新证券投资有限公司及嘉兴海通旭初股权投资基金合伙企业</w:t>
            </w:r>
            <w:r>
              <w:rPr>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均受海通证券股份有限公司控制。</w:t>
            </w:r>
          </w:p>
        </w:tc>
      </w:tr>
      <w:tr>
        <w:trPr>
          <w:trHeight w:val="557" w:hRule="exact"/>
        </w:trPr>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552" w:hRule="exact"/>
        </w:trPr>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名股东中存在回购专户的 特别说明（如有）（参见注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326" w:hRule="exact"/>
        </w:trPr>
        <w:tc>
          <w:tcPr>
            <w:gridSpan w:val="9"/>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322"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326"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数量</w:t>
            </w:r>
          </w:p>
        </w:tc>
      </w:tr>
      <w:tr>
        <w:trPr>
          <w:trHeight w:val="322"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夏海燕</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14,076,000</w:t>
            </w:r>
          </w:p>
        </w:tc>
      </w:tr>
      <w:tr>
        <w:trPr>
          <w:trHeight w:val="326"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余华均</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7,958,269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7,958,269</w:t>
            </w:r>
          </w:p>
        </w:tc>
      </w:tr>
      <w:tr>
        <w:trPr>
          <w:trHeight w:val="552"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深圳市投控东海一期基金（有限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6,760,336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6,760,336</w:t>
            </w:r>
          </w:p>
        </w:tc>
      </w:tr>
      <w:tr>
        <w:trPr>
          <w:trHeight w:val="792"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深圳市汇博成长创业投资有限公 司一深圳市汇博红瑞三号创业投 资合伙企业（有限合伙）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5,408,269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5,408,269</w:t>
            </w:r>
          </w:p>
        </w:tc>
      </w:tr>
      <w:tr>
        <w:trPr>
          <w:trHeight w:val="322"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袁金钰</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4,080,000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4,080,000</w:t>
            </w:r>
          </w:p>
        </w:tc>
      </w:tr>
      <w:tr>
        <w:trPr>
          <w:trHeight w:val="326"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谢从义</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2,704,037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2,704,037</w:t>
            </w:r>
          </w:p>
        </w:tc>
      </w:tr>
      <w:tr>
        <w:trPr>
          <w:trHeight w:val="322"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明钢生</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2,095,000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2,095,000</w:t>
            </w:r>
          </w:p>
        </w:tc>
      </w:tr>
      <w:tr>
        <w:trPr>
          <w:trHeight w:val="79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深圳市永诚资本管理有限公司一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深圳市永诚叁号投资合伙企业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1,700,000</w:t>
            </w:r>
          </w:p>
        </w:tc>
      </w:tr>
      <w:tr>
        <w:trPr>
          <w:trHeight w:val="322"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胡争怿</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1,088,000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1,088,000</w:t>
            </w:r>
          </w:p>
        </w:tc>
      </w:tr>
      <w:tr>
        <w:trPr>
          <w:trHeight w:val="322"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蒋玲香</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1,050,000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1,050,000</w:t>
            </w:r>
          </w:p>
        </w:tc>
      </w:tr>
      <w:tr>
        <w:trPr>
          <w:trHeight w:val="1027" w:hRule="exact"/>
        </w:trPr>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名股东之间关联关 系或一致行动的说明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名无限售流通股东与公司其他前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 东间是否存在关联关系或为一致行动人。</w:t>
            </w:r>
          </w:p>
        </w:tc>
      </w:tr>
      <w:tr>
        <w:trPr>
          <w:trHeight w:val="566" w:hRule="exact"/>
        </w:trPr>
        <w:tc>
          <w:tcPr>
            <w:gridSpan w:val="2"/>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参与融资融券业务股东情况说明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1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公司是否具有表决权差异安排</w:t>
      </w:r>
    </w:p>
    <w:p>
      <w:pPr>
        <w:pStyle w:val="Style1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1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r>
        <w:br w:type="page"/>
      </w:r>
    </w:p>
    <w:p>
      <w:pPr>
        <w:pStyle w:val="Style38"/>
        <w:keepNext/>
        <w:keepLines/>
        <w:widowControl w:val="0"/>
        <w:shd w:val="clear" w:color="auto" w:fill="auto"/>
        <w:bidi w:val="0"/>
        <w:spacing w:before="0" w:after="32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、公司控股股东情况</w:t>
      </w:r>
      <w:bookmarkEnd w:id="665"/>
      <w:bookmarkEnd w:id="666"/>
      <w:bookmarkEnd w:id="668"/>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5726"/>
        <w:gridCol w:w="941"/>
        <w:gridCol w:w="2976"/>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是否取得其他国家或地区居留权</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公司董事长、总经理</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控股股东报告期内变更</w:t>
      </w:r>
    </w:p>
    <w:p>
      <w:pPr>
        <w:widowControl w:val="0"/>
        <w:spacing w:after="159" w:line="1" w:lineRule="exact"/>
      </w:pPr>
    </w:p>
    <w:p>
      <w:pPr>
        <w:pStyle w:val="Style1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公司报告期控股股东未发生变更。</w:t>
      </w:r>
    </w:p>
    <w:p>
      <w:pPr>
        <w:pStyle w:val="Style38"/>
        <w:keepNext/>
        <w:keepLines/>
        <w:widowControl w:val="0"/>
        <w:shd w:val="clear" w:color="auto" w:fill="auto"/>
        <w:bidi w:val="0"/>
        <w:spacing w:before="0" w:after="32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3</w:t>
      </w:r>
      <w:bookmarkEnd w:id="671"/>
      <w:r>
        <w:rPr>
          <w:color w:val="000000"/>
          <w:spacing w:val="0"/>
          <w:w w:val="100"/>
          <w:position w:val="0"/>
        </w:rPr>
        <w:t>、公司实际控制人及其一致行动人</w:t>
      </w:r>
      <w:bookmarkEnd w:id="669"/>
      <w:bookmarkEnd w:id="670"/>
      <w:bookmarkEnd w:id="672"/>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4018"/>
        <w:gridCol w:w="1872"/>
        <w:gridCol w:w="518"/>
        <w:gridCol w:w="3235"/>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是否取得其他国家或地区居留权</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公司董事长、总经理</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实际控制人报告期内变更</w:t>
      </w:r>
    </w:p>
    <w:p>
      <w:pPr>
        <w:widowControl w:val="0"/>
        <w:spacing w:after="159" w:line="1" w:lineRule="exact"/>
      </w:pPr>
    </w:p>
    <w:p>
      <w:pPr>
        <w:pStyle w:val="Style1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212590" cy="2633345"/>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stretch/>
                  </pic:blipFill>
                  <pic:spPr>
                    <a:xfrm>
                      <a:ext cx="4212590" cy="2633345"/>
                    </a:xfrm>
                    <a:prstGeom prst="rect"/>
                  </pic:spPr>
                </pic:pic>
              </a:graphicData>
            </a:graphic>
          </wp:inline>
        </w:drawing>
      </w:r>
    </w:p>
    <w:p>
      <w:pPr>
        <w:widowControl w:val="0"/>
        <w:spacing w:after="159" w:line="1" w:lineRule="exact"/>
      </w:pP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实际控制人通过信托或其他资产管理方式控制公司</w:t>
      </w:r>
    </w:p>
    <w:p>
      <w:pPr>
        <w:pStyle w:val="Style1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tabs>
          <w:tab w:pos="378" w:val="left"/>
        </w:tabs>
        <w:bidi w:val="0"/>
        <w:spacing w:before="0" w:after="30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4</w:t>
      </w:r>
      <w:bookmarkEnd w:id="675"/>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73"/>
      <w:bookmarkEnd w:id="674"/>
      <w:bookmarkEnd w:id="676"/>
    </w:p>
    <w:p>
      <w:pPr>
        <w:pStyle w:val="Style1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after="300" w:line="240" w:lineRule="auto"/>
        <w:ind w:left="0" w:right="0" w:firstLine="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5</w:t>
      </w:r>
      <w:bookmarkEnd w:id="67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77"/>
      <w:bookmarkEnd w:id="678"/>
      <w:bookmarkEnd w:id="680"/>
    </w:p>
    <w:p>
      <w:pPr>
        <w:pStyle w:val="Style1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after="300" w:line="240" w:lineRule="auto"/>
        <w:ind w:left="0" w:right="0" w:firstLine="0"/>
        <w:jc w:val="both"/>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6</w:t>
      </w:r>
      <w:bookmarkEnd w:id="683"/>
      <w:r>
        <w:rPr>
          <w:color w:val="000000"/>
          <w:spacing w:val="0"/>
          <w:w w:val="100"/>
          <w:position w:val="0"/>
        </w:rPr>
        <w:t>、</w:t>
        <w:tab/>
        <w:t>控股股东、实际控制人、重组方及其他承诺主体股份限制减持情况</w:t>
      </w:r>
      <w:bookmarkEnd w:id="681"/>
      <w:bookmarkEnd w:id="682"/>
      <w:bookmarkEnd w:id="684"/>
    </w:p>
    <w:p>
      <w:pPr>
        <w:pStyle w:val="Style12"/>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both"/>
      </w:pPr>
      <w:bookmarkStart w:id="685" w:name="bookmark685"/>
      <w:bookmarkStart w:id="686" w:name="bookmark686"/>
      <w:bookmarkStart w:id="687" w:name="bookmark687"/>
      <w:bookmarkStart w:id="688" w:name="bookmark688"/>
      <w:r>
        <w:rPr>
          <w:color w:val="000000"/>
          <w:spacing w:val="0"/>
          <w:w w:val="100"/>
          <w:position w:val="0"/>
          <w:sz w:val="24"/>
          <w:szCs w:val="24"/>
        </w:rPr>
        <w:t>四</w:t>
      </w:r>
      <w:bookmarkEnd w:id="687"/>
      <w:r>
        <w:rPr>
          <w:color w:val="000000"/>
          <w:spacing w:val="0"/>
          <w:w w:val="100"/>
          <w:position w:val="0"/>
          <w:sz w:val="24"/>
          <w:szCs w:val="24"/>
        </w:rPr>
        <w:t>、股份回购在报告期的具体实施情况</w:t>
      </w:r>
      <w:bookmarkEnd w:id="685"/>
      <w:bookmarkEnd w:id="686"/>
      <w:bookmarkEnd w:id="688"/>
    </w:p>
    <w:p>
      <w:pPr>
        <w:pStyle w:val="Style1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1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2"/>
        <w:keepNext w:val="0"/>
        <w:keepLines w:val="0"/>
        <w:widowControl w:val="0"/>
        <w:shd w:val="clear" w:color="auto" w:fill="auto"/>
        <w:bidi w:val="0"/>
        <w:spacing w:before="0" w:after="300" w:line="240" w:lineRule="auto"/>
        <w:ind w:left="0" w:right="0" w:firstLine="0"/>
        <w:jc w:val="both"/>
        <w:sectPr>
          <w:footnotePr>
            <w:pos w:val="pageBottom"/>
            <w:numFmt w:val="decimal"/>
            <w:numRestart w:val="continuous"/>
          </w:footnotePr>
          <w:pgSz w:w="11900" w:h="16840"/>
          <w:pgMar w:top="1287" w:right="1129" w:bottom="1479" w:left="108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line="1" w:lineRule="exact"/>
      </w:pPr>
      <w:r>
        <mc:AlternateContent>
          <mc:Choice Requires="wps">
            <w:drawing>
              <wp:anchor distT="0" distB="508000" distL="0" distR="0" simplePos="0" relativeHeight="125829380" behindDoc="0" locked="0" layoutInCell="1" allowOverlap="1">
                <wp:simplePos x="0" y="0"/>
                <wp:positionH relativeFrom="page">
                  <wp:posOffset>2691765</wp:posOffset>
                </wp:positionH>
                <wp:positionV relativeFrom="paragraph">
                  <wp:posOffset>0</wp:posOffset>
                </wp:positionV>
                <wp:extent cx="2170430" cy="247015"/>
                <wp:wrapTopAndBottom/>
                <wp:docPr id="37" name="Shape 37"/>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689" w:name="bookmark689"/>
                            <w:bookmarkStart w:id="690" w:name="bookmark690"/>
                            <w:bookmarkStart w:id="691" w:name="bookmark691"/>
                            <w:r>
                              <w:rPr>
                                <w:color w:val="000000"/>
                                <w:spacing w:val="0"/>
                                <w:w w:val="100"/>
                                <w:position w:val="0"/>
                              </w:rPr>
                              <w:t>第八节优先股相关情况</w:t>
                            </w:r>
                            <w:bookmarkEnd w:id="689"/>
                            <w:bookmarkEnd w:id="690"/>
                            <w:bookmarkEnd w:id="691"/>
                          </w:p>
                        </w:txbxContent>
                      </wps:txbx>
                      <wps:bodyPr wrap="none" lIns="0" tIns="0" rIns="0" bIns="0">
                        <a:noAutoFit/>
                      </wps:bodyPr>
                    </wps:wsp>
                  </a:graphicData>
                </a:graphic>
              </wp:anchor>
            </w:drawing>
          </mc:Choice>
          <mc:Fallback>
            <w:pict>
              <v:shape id="_x0000_s1063" type="#_x0000_t202" style="position:absolute;margin-left:211.95000000000002pt;margin-top:0;width:170.90000000000001pt;height:19.449999999999999pt;z-index:-125829373;mso-wrap-distance-left:0;mso-wrap-distance-right:0;mso-wrap-distance-bottom:40.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689" w:name="bookmark689"/>
                      <w:bookmarkStart w:id="690" w:name="bookmark690"/>
                      <w:bookmarkStart w:id="691" w:name="bookmark691"/>
                      <w:r>
                        <w:rPr>
                          <w:color w:val="000000"/>
                          <w:spacing w:val="0"/>
                          <w:w w:val="100"/>
                          <w:position w:val="0"/>
                        </w:rPr>
                        <w:t>第八节优先股相关情况</w:t>
                      </w:r>
                      <w:bookmarkEnd w:id="689"/>
                      <w:bookmarkEnd w:id="690"/>
                      <w:bookmarkEnd w:id="691"/>
                    </w:p>
                  </w:txbxContent>
                </v:textbox>
                <w10:wrap type="topAndBottom" anchorx="page"/>
              </v:shape>
            </w:pict>
          </mc:Fallback>
        </mc:AlternateContent>
      </w:r>
    </w:p>
    <w:p>
      <w:pPr>
        <w:pStyle w:val="Style12"/>
        <w:keepNext w:val="0"/>
        <w:keepLines w:val="0"/>
        <w:widowControl w:val="0"/>
        <w:shd w:val="clear" w:color="auto" w:fill="auto"/>
        <w:bidi w:val="0"/>
        <w:spacing w:before="0" w:after="140" w:line="240" w:lineRule="auto"/>
        <w:ind w:left="0" w:right="0" w:firstLine="0"/>
        <w:jc w:val="left"/>
      </w:pPr>
      <w:bookmarkStart w:id="692" w:name="bookmark692"/>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92"/>
    </w:p>
    <w:p>
      <w:pPr>
        <w:pStyle w:val="Style1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758" w:right="1315" w:bottom="1758" w:left="1104"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0" w:after="920" w:line="240" w:lineRule="auto"/>
        <w:ind w:left="0" w:right="0" w:firstLine="0"/>
        <w:jc w:val="center"/>
      </w:pPr>
      <w:bookmarkStart w:id="693" w:name="bookmark693"/>
      <w:bookmarkStart w:id="694" w:name="bookmark694"/>
      <w:bookmarkStart w:id="695" w:name="bookmark695"/>
      <w:r>
        <w:rPr>
          <w:color w:val="000000"/>
          <w:spacing w:val="0"/>
          <w:w w:val="100"/>
          <w:position w:val="0"/>
        </w:rPr>
        <w:t>第九节债券相关情况</w:t>
      </w:r>
      <w:bookmarkEnd w:id="693"/>
      <w:bookmarkEnd w:id="694"/>
      <w:bookmarkEnd w:id="695"/>
    </w:p>
    <w:p>
      <w:pPr>
        <w:pStyle w:val="Style1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758" w:right="898" w:bottom="1758" w:left="1104" w:header="0" w:footer="3" w:gutter="0"/>
          <w:cols w:space="720"/>
          <w:noEndnote/>
          <w:rtlGutter w:val="0"/>
          <w:docGrid w:linePitch="360"/>
        </w:sectPr>
      </w:pPr>
      <w:bookmarkStart w:id="696" w:name="bookmark696"/>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96"/>
    </w:p>
    <w:p>
      <w:pPr>
        <w:pStyle w:val="Style17"/>
        <w:keepNext/>
        <w:keepLines/>
        <w:widowControl w:val="0"/>
        <w:shd w:val="clear" w:color="auto" w:fill="auto"/>
        <w:bidi w:val="0"/>
        <w:spacing w:before="480" w:after="960" w:line="240" w:lineRule="auto"/>
        <w:ind w:left="0" w:right="0" w:firstLine="0"/>
        <w:jc w:val="center"/>
      </w:pPr>
      <w:bookmarkStart w:id="697" w:name="bookmark697"/>
      <w:bookmarkStart w:id="698" w:name="bookmark698"/>
      <w:bookmarkStart w:id="699" w:name="bookmark699"/>
      <w:r>
        <w:rPr>
          <w:color w:val="000000"/>
          <w:spacing w:val="0"/>
          <w:w w:val="100"/>
          <w:position w:val="0"/>
        </w:rPr>
        <w:t>第十节财务报告</w:t>
      </w:r>
      <w:bookmarkEnd w:id="697"/>
      <w:bookmarkEnd w:id="698"/>
      <w:bookmarkEnd w:id="699"/>
    </w:p>
    <w:p>
      <w:pPr>
        <w:pStyle w:val="Style31"/>
        <w:keepNext/>
        <w:keepLines/>
        <w:widowControl w:val="0"/>
        <w:shd w:val="clear" w:color="auto" w:fill="auto"/>
        <w:bidi w:val="0"/>
        <w:spacing w:before="0" w:after="320" w:line="240" w:lineRule="auto"/>
        <w:ind w:left="0" w:right="0" w:firstLine="260"/>
        <w:jc w:val="left"/>
      </w:pPr>
      <w:bookmarkStart w:id="700" w:name="bookmark700"/>
      <w:bookmarkStart w:id="701" w:name="bookmark701"/>
      <w:bookmarkStart w:id="702" w:name="bookmark702"/>
      <w:bookmarkStart w:id="703" w:name="bookmark703"/>
      <w:r>
        <w:rPr>
          <w:color w:val="000000"/>
          <w:spacing w:val="0"/>
          <w:w w:val="100"/>
          <w:position w:val="0"/>
          <w:sz w:val="24"/>
          <w:szCs w:val="24"/>
        </w:rPr>
        <w:t>、审计报告</w:t>
      </w:r>
      <w:bookmarkEnd w:id="701"/>
      <w:bookmarkEnd w:id="702"/>
      <w:bookmarkEnd w:id="703"/>
      <w:bookmarkEnd w:id="700"/>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天健会计师事务所（特殊普通合伙）</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天健审〔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3-290</w:t>
            </w:r>
            <w:r>
              <w:rPr>
                <w:color w:val="000000"/>
                <w:spacing w:val="0"/>
                <w:w w:val="100"/>
                <w:position w:val="0"/>
                <w:sz w:val="18"/>
                <w:szCs w:val="18"/>
              </w:rPr>
              <w:t>号</w:t>
            </w:r>
          </w:p>
        </w:tc>
      </w:tr>
      <w:tr>
        <w:trPr>
          <w:trHeight w:val="331"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龙琦、杨雪燕</w:t>
            </w:r>
          </w:p>
        </w:tc>
      </w:tr>
    </w:tbl>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widowControl w:val="0"/>
        <w:spacing w:after="319" w:line="1" w:lineRule="exact"/>
      </w:pPr>
    </w:p>
    <w:p>
      <w:pPr>
        <w:pStyle w:val="Style12"/>
        <w:keepNext w:val="0"/>
        <w:keepLines w:val="0"/>
        <w:widowControl w:val="0"/>
        <w:shd w:val="clear" w:color="auto" w:fill="auto"/>
        <w:bidi w:val="0"/>
        <w:spacing w:before="0" w:after="0" w:line="408" w:lineRule="exact"/>
        <w:ind w:left="0" w:right="0" w:firstLine="0"/>
        <w:jc w:val="left"/>
      </w:pPr>
      <w:r>
        <w:rPr>
          <w:color w:val="000000"/>
          <w:spacing w:val="0"/>
          <w:w w:val="100"/>
          <w:position w:val="0"/>
        </w:rPr>
        <w:t>深圳市法本信息技术股份有限公司全体股东：</w:t>
      </w:r>
    </w:p>
    <w:p>
      <w:pPr>
        <w:pStyle w:val="Style12"/>
        <w:keepNext w:val="0"/>
        <w:keepLines w:val="0"/>
        <w:widowControl w:val="0"/>
        <w:shd w:val="clear" w:color="auto" w:fill="auto"/>
        <w:tabs>
          <w:tab w:pos="983" w:val="left"/>
        </w:tabs>
        <w:bidi w:val="0"/>
        <w:spacing w:before="0" w:after="0" w:line="408" w:lineRule="exact"/>
        <w:ind w:left="0" w:right="0" w:firstLine="500"/>
        <w:jc w:val="left"/>
      </w:pPr>
      <w:bookmarkStart w:id="704" w:name="bookmark704"/>
      <w:r>
        <w:rPr>
          <w:b/>
          <w:bCs/>
          <w:color w:val="000000"/>
          <w:spacing w:val="0"/>
          <w:w w:val="100"/>
          <w:position w:val="0"/>
        </w:rPr>
        <w:t>一</w:t>
      </w:r>
      <w:bookmarkEnd w:id="704"/>
      <w:r>
        <w:rPr>
          <w:b/>
          <w:bCs/>
          <w:color w:val="000000"/>
          <w:spacing w:val="0"/>
          <w:w w:val="100"/>
          <w:position w:val="0"/>
        </w:rPr>
        <w:t>、</w:t>
        <w:tab/>
        <w:t>审计意见</w:t>
      </w:r>
    </w:p>
    <w:p>
      <w:pPr>
        <w:pStyle w:val="Style12"/>
        <w:keepNext w:val="0"/>
        <w:keepLines w:val="0"/>
        <w:widowControl w:val="0"/>
        <w:shd w:val="clear" w:color="auto" w:fill="auto"/>
        <w:bidi w:val="0"/>
        <w:spacing w:before="0" w:after="0" w:line="408" w:lineRule="exact"/>
        <w:ind w:left="0" w:right="0" w:firstLine="500"/>
        <w:jc w:val="both"/>
      </w:pPr>
      <w:r>
        <w:rPr>
          <w:color w:val="000000"/>
          <w:spacing w:val="0"/>
          <w:w w:val="100"/>
          <w:position w:val="0"/>
        </w:rPr>
        <w:t>我们审计了深圳市法本信息技术股份有限公司（以下简称法本信息公司）财务报表，包括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 公司所有者权益变动表，以及相关财务报表附注。</w:t>
      </w:r>
    </w:p>
    <w:p>
      <w:pPr>
        <w:pStyle w:val="Style12"/>
        <w:keepNext w:val="0"/>
        <w:keepLines w:val="0"/>
        <w:widowControl w:val="0"/>
        <w:shd w:val="clear" w:color="auto" w:fill="auto"/>
        <w:bidi w:val="0"/>
        <w:spacing w:before="0" w:after="0" w:line="408" w:lineRule="exact"/>
        <w:ind w:left="0" w:right="0" w:firstLine="500"/>
        <w:jc w:val="both"/>
      </w:pPr>
      <w:r>
        <w:rPr>
          <w:color w:val="000000"/>
          <w:spacing w:val="0"/>
          <w:w w:val="100"/>
          <w:position w:val="0"/>
        </w:rPr>
        <w:t xml:space="preserve">我们认为，后附的财务报表在所有重大方面按照企业会计准则的规定编制，公允反映了法本信息公司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2"/>
        <w:keepNext w:val="0"/>
        <w:keepLines w:val="0"/>
        <w:widowControl w:val="0"/>
        <w:shd w:val="clear" w:color="auto" w:fill="auto"/>
        <w:tabs>
          <w:tab w:pos="983" w:val="left"/>
        </w:tabs>
        <w:bidi w:val="0"/>
        <w:spacing w:before="0" w:after="0" w:line="406" w:lineRule="exact"/>
        <w:ind w:left="0" w:right="0" w:firstLine="500"/>
        <w:jc w:val="left"/>
      </w:pPr>
      <w:bookmarkStart w:id="705" w:name="bookmark705"/>
      <w:r>
        <w:rPr>
          <w:b/>
          <w:bCs/>
          <w:color w:val="000000"/>
          <w:spacing w:val="0"/>
          <w:w w:val="100"/>
          <w:position w:val="0"/>
        </w:rPr>
        <w:t>二</w:t>
      </w:r>
      <w:bookmarkEnd w:id="705"/>
      <w:r>
        <w:rPr>
          <w:b/>
          <w:bCs/>
          <w:color w:val="000000"/>
          <w:spacing w:val="0"/>
          <w:w w:val="100"/>
          <w:position w:val="0"/>
        </w:rPr>
        <w:t>、</w:t>
        <w:tab/>
        <w:t>形成审计意见的基础</w:t>
      </w:r>
    </w:p>
    <w:p>
      <w:pPr>
        <w:pStyle w:val="Style12"/>
        <w:keepNext w:val="0"/>
        <w:keepLines w:val="0"/>
        <w:widowControl w:val="0"/>
        <w:shd w:val="clear" w:color="auto" w:fill="auto"/>
        <w:bidi w:val="0"/>
        <w:spacing w:before="0" w:after="0" w:line="406"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部分进一步阐述了我们在这些准则下的责任。按照中国注册会计师职业道德守则，我们独立于法本 信息公司，并履行了职业道德方面的其他责任。我们相信，我们获取的审计证据是充分、适当的，为发表 审计意见提供了基础。</w:t>
      </w:r>
    </w:p>
    <w:p>
      <w:pPr>
        <w:pStyle w:val="Style12"/>
        <w:keepNext w:val="0"/>
        <w:keepLines w:val="0"/>
        <w:widowControl w:val="0"/>
        <w:shd w:val="clear" w:color="auto" w:fill="auto"/>
        <w:tabs>
          <w:tab w:pos="983" w:val="left"/>
        </w:tabs>
        <w:bidi w:val="0"/>
        <w:spacing w:before="0" w:after="0" w:line="406" w:lineRule="exact"/>
        <w:ind w:left="0" w:right="0" w:firstLine="500"/>
        <w:jc w:val="both"/>
      </w:pPr>
      <w:bookmarkStart w:id="706" w:name="bookmark706"/>
      <w:r>
        <w:rPr>
          <w:b/>
          <w:bCs/>
          <w:color w:val="000000"/>
          <w:spacing w:val="0"/>
          <w:w w:val="100"/>
          <w:position w:val="0"/>
        </w:rPr>
        <w:t>三</w:t>
      </w:r>
      <w:bookmarkEnd w:id="706"/>
      <w:r>
        <w:rPr>
          <w:b/>
          <w:bCs/>
          <w:color w:val="000000"/>
          <w:spacing w:val="0"/>
          <w:w w:val="100"/>
          <w:position w:val="0"/>
        </w:rPr>
        <w:t>、</w:t>
        <w:tab/>
        <w:t>关键审计事项</w:t>
      </w:r>
    </w:p>
    <w:p>
      <w:pPr>
        <w:pStyle w:val="Style12"/>
        <w:keepNext w:val="0"/>
        <w:keepLines w:val="0"/>
        <w:widowControl w:val="0"/>
        <w:shd w:val="clear" w:color="auto" w:fill="auto"/>
        <w:bidi w:val="0"/>
        <w:spacing w:before="0" w:after="140" w:line="406" w:lineRule="exact"/>
        <w:ind w:left="0" w:right="0" w:firstLine="50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2"/>
        <w:keepNext w:val="0"/>
        <w:keepLines w:val="0"/>
        <w:widowControl w:val="0"/>
        <w:shd w:val="clear" w:color="auto" w:fill="auto"/>
        <w:bidi w:val="0"/>
        <w:spacing w:before="0" w:after="0" w:line="425" w:lineRule="auto"/>
        <w:ind w:left="0" w:right="0" w:firstLine="500"/>
        <w:jc w:val="left"/>
      </w:pPr>
      <w:bookmarkStart w:id="707" w:name="bookmark707"/>
      <w:r>
        <w:rPr>
          <w:rFonts w:ascii="Times New Roman" w:eastAsia="Times New Roman" w:hAnsi="Times New Roman" w:cs="Times New Roman"/>
          <w:b/>
          <w:bCs/>
          <w:color w:val="000000"/>
          <w:spacing w:val="0"/>
          <w:w w:val="100"/>
          <w:position w:val="0"/>
        </w:rPr>
        <w:t>（</w:t>
      </w:r>
      <w:bookmarkEnd w:id="707"/>
      <w:r>
        <w:rPr>
          <w:b/>
          <w:bCs/>
          <w:color w:val="000000"/>
          <w:spacing w:val="0"/>
          <w:w w:val="100"/>
          <w:position w:val="0"/>
        </w:rPr>
        <w:t>一</w:t>
      </w:r>
      <w:r>
        <w:rPr>
          <w:b/>
          <w:bCs/>
          <w:color w:val="000000"/>
          <w:spacing w:val="0"/>
          <w:w w:val="100"/>
          <w:position w:val="0"/>
        </w:rPr>
        <w:t>）</w:t>
      </w:r>
      <w:r>
        <w:rPr>
          <w:b/>
          <w:bCs/>
          <w:color w:val="000000"/>
          <w:spacing w:val="0"/>
          <w:w w:val="100"/>
          <w:position w:val="0"/>
        </w:rPr>
        <w:t>收入确认</w:t>
      </w:r>
    </w:p>
    <w:p>
      <w:pPr>
        <w:pStyle w:val="Style12"/>
        <w:keepNext w:val="0"/>
        <w:keepLines w:val="0"/>
        <w:widowControl w:val="0"/>
        <w:numPr>
          <w:ilvl w:val="0"/>
          <w:numId w:val="3"/>
        </w:numPr>
        <w:shd w:val="clear" w:color="auto" w:fill="auto"/>
        <w:bidi w:val="0"/>
        <w:spacing w:before="0" w:after="0" w:line="425" w:lineRule="auto"/>
        <w:ind w:left="0" w:right="0" w:firstLine="500"/>
        <w:jc w:val="left"/>
      </w:pPr>
      <w:bookmarkStart w:id="708" w:name="bookmark708"/>
      <w:bookmarkEnd w:id="708"/>
      <w:r>
        <w:rPr>
          <w:color w:val="000000"/>
          <w:spacing w:val="0"/>
          <w:w w:val="100"/>
          <w:position w:val="0"/>
        </w:rPr>
        <w:t>事项描述</w:t>
      </w:r>
    </w:p>
    <w:p>
      <w:pPr>
        <w:pStyle w:val="Style12"/>
        <w:keepNext w:val="0"/>
        <w:keepLines w:val="0"/>
        <w:widowControl w:val="0"/>
        <w:shd w:val="clear" w:color="auto" w:fill="auto"/>
        <w:bidi w:val="0"/>
        <w:spacing w:before="0" w:after="0" w:line="406" w:lineRule="exact"/>
        <w:ind w:left="0" w:right="0" w:firstLine="50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二十</w:t>
      </w:r>
      <w:r>
        <w:rPr>
          <w:rFonts w:ascii="Times New Roman" w:eastAsia="Times New Roman" w:hAnsi="Times New Roman" w:cs="Times New Roman"/>
          <w:color w:val="000000"/>
          <w:spacing w:val="0"/>
          <w:w w:val="100"/>
          <w:position w:val="0"/>
        </w:rPr>
        <w:t>）</w:t>
      </w:r>
      <w:r>
        <w:rPr>
          <w:color w:val="000000"/>
          <w:spacing w:val="0"/>
          <w:w w:val="100"/>
          <w:position w:val="0"/>
        </w:rPr>
        <w:t>及五</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2"/>
        <w:keepNext w:val="0"/>
        <w:keepLines w:val="0"/>
        <w:widowControl w:val="0"/>
        <w:shd w:val="clear" w:color="auto" w:fill="auto"/>
        <w:bidi w:val="0"/>
        <w:spacing w:before="0" w:after="0" w:line="406" w:lineRule="exact"/>
        <w:ind w:left="0" w:right="0" w:firstLine="500"/>
        <w:jc w:val="both"/>
      </w:pPr>
      <w:r>
        <w:rPr>
          <w:color w:val="000000"/>
          <w:spacing w:val="0"/>
          <w:w w:val="100"/>
          <w:position w:val="0"/>
        </w:rPr>
        <w:t>法本信息公司的营业收入主要源于提供软件技术服务，法本信息公司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年度营业收入为人民币 </w:t>
      </w:r>
      <w:r>
        <w:rPr>
          <w:rFonts w:ascii="Times New Roman" w:eastAsia="Times New Roman" w:hAnsi="Times New Roman" w:cs="Times New Roman"/>
          <w:color w:val="000000"/>
          <w:spacing w:val="0"/>
          <w:w w:val="100"/>
          <w:position w:val="0"/>
        </w:rPr>
        <w:t xml:space="preserve">308,822.75 </w:t>
      </w:r>
      <w:r>
        <w:rPr>
          <w:color w:val="000000"/>
          <w:spacing w:val="0"/>
          <w:w w:val="100"/>
          <w:position w:val="0"/>
        </w:rPr>
        <w:t>万元。</w:t>
      </w:r>
    </w:p>
    <w:p>
      <w:pPr>
        <w:pStyle w:val="Style12"/>
        <w:keepNext w:val="0"/>
        <w:keepLines w:val="0"/>
        <w:widowControl w:val="0"/>
        <w:shd w:val="clear" w:color="auto" w:fill="auto"/>
        <w:bidi w:val="0"/>
        <w:spacing w:before="0" w:after="0" w:line="406" w:lineRule="exact"/>
        <w:ind w:left="0" w:right="0" w:firstLine="500"/>
        <w:jc w:val="left"/>
      </w:pPr>
      <w:r>
        <w:rPr>
          <w:color w:val="000000"/>
          <w:spacing w:val="0"/>
          <w:w w:val="100"/>
          <w:position w:val="0"/>
        </w:rPr>
        <w:t>法本信息公司的收入确认时点和方式如下：</w:t>
      </w:r>
    </w:p>
    <w:p>
      <w:pPr>
        <w:pStyle w:val="Style12"/>
        <w:keepNext w:val="0"/>
        <w:keepLines w:val="0"/>
        <w:widowControl w:val="0"/>
        <w:shd w:val="clear" w:color="auto" w:fill="auto"/>
        <w:bidi w:val="0"/>
        <w:spacing w:before="0" w:after="0" w:line="406" w:lineRule="exact"/>
        <w:ind w:left="0" w:right="0" w:firstLine="500"/>
        <w:jc w:val="left"/>
      </w:pPr>
      <w:bookmarkStart w:id="709" w:name="bookmark709"/>
      <w:r>
        <w:rPr>
          <w:rFonts w:ascii="Times New Roman" w:eastAsia="Times New Roman" w:hAnsi="Times New Roman" w:cs="Times New Roman"/>
          <w:color w:val="000000"/>
          <w:spacing w:val="0"/>
          <w:w w:val="100"/>
          <w:position w:val="0"/>
        </w:rPr>
        <w:t>（</w:t>
      </w:r>
      <w:bookmarkEnd w:id="709"/>
      <w:r>
        <w:rPr>
          <w:rFonts w:ascii="Times New Roman" w:eastAsia="Times New Roman" w:hAnsi="Times New Roman" w:cs="Times New Roman"/>
          <w:color w:val="000000"/>
          <w:spacing w:val="0"/>
          <w:w w:val="100"/>
          <w:position w:val="0"/>
        </w:rPr>
        <w:t>1）</w:t>
      </w:r>
      <w:r>
        <w:rPr>
          <w:color w:val="000000"/>
          <w:spacing w:val="0"/>
          <w:w w:val="100"/>
          <w:position w:val="0"/>
        </w:rPr>
        <w:t>对于合同约定按人月、人天或小时工作量收费的软件技术服务</w:t>
      </w:r>
      <w:r>
        <w:rPr>
          <w:color w:val="000000"/>
          <w:spacing w:val="0"/>
          <w:w w:val="100"/>
          <w:position w:val="0"/>
        </w:rPr>
        <w:t>，</w:t>
      </w:r>
      <w:r>
        <w:rPr>
          <w:color w:val="000000"/>
          <w:spacing w:val="0"/>
          <w:w w:val="100"/>
          <w:position w:val="0"/>
        </w:rPr>
        <w:t>由于法本信息公司履约的同时客户 即取得并消耗法本信息公司履约所带来的经济利益</w:t>
      </w:r>
      <w:r>
        <w:rPr>
          <w:color w:val="000000"/>
          <w:spacing w:val="0"/>
          <w:w w:val="100"/>
          <w:position w:val="0"/>
        </w:rPr>
        <w:t>，</w:t>
      </w:r>
      <w:r>
        <w:rPr>
          <w:color w:val="000000"/>
          <w:spacing w:val="0"/>
          <w:w w:val="100"/>
          <w:position w:val="0"/>
        </w:rPr>
        <w:t xml:space="preserve">法本信息公司将其作为在某一时段内履行的履约义务， </w:t>
      </w:r>
      <w:r>
        <w:rPr>
          <w:color w:val="000000"/>
          <w:spacing w:val="0"/>
          <w:w w:val="100"/>
          <w:position w:val="0"/>
        </w:rPr>
        <w:t>在相关服务提供后，根据实际投入的人月、人天或小时乘以双方约定的单价确认收入。</w:t>
      </w:r>
    </w:p>
    <w:p>
      <w:pPr>
        <w:pStyle w:val="Style12"/>
        <w:keepNext w:val="0"/>
        <w:keepLines w:val="0"/>
        <w:widowControl w:val="0"/>
        <w:numPr>
          <w:ilvl w:val="0"/>
          <w:numId w:val="5"/>
        </w:numPr>
        <w:shd w:val="clear" w:color="auto" w:fill="auto"/>
        <w:bidi w:val="0"/>
        <w:spacing w:before="0" w:after="0" w:line="379" w:lineRule="exact"/>
        <w:ind w:left="0" w:right="0" w:firstLine="480"/>
        <w:jc w:val="both"/>
      </w:pPr>
      <w:bookmarkStart w:id="710" w:name="bookmark710"/>
      <w:bookmarkEnd w:id="710"/>
      <w:r>
        <w:rPr>
          <w:color w:val="000000"/>
          <w:spacing w:val="0"/>
          <w:w w:val="100"/>
          <w:position w:val="0"/>
        </w:rPr>
        <w:t>对于以成果交付的软件技术服务，法本信息公司按照合同约定提交成果并经客户验收，法本信息 公司将其作为在某一时点履行的履约义务，在向客户交付成果后，经客户验收时确认收入。</w:t>
      </w:r>
    </w:p>
    <w:p>
      <w:pPr>
        <w:pStyle w:val="Style12"/>
        <w:keepNext w:val="0"/>
        <w:keepLines w:val="0"/>
        <w:widowControl w:val="0"/>
        <w:shd w:val="clear" w:color="auto" w:fill="auto"/>
        <w:bidi w:val="0"/>
        <w:spacing w:before="0" w:after="140" w:line="408" w:lineRule="exact"/>
        <w:ind w:left="0" w:right="0" w:firstLine="480"/>
        <w:jc w:val="both"/>
      </w:pPr>
      <w:r>
        <w:rPr>
          <w:color w:val="000000"/>
          <w:spacing w:val="0"/>
          <w:w w:val="100"/>
          <w:position w:val="0"/>
        </w:rPr>
        <w:t>由于营业收入是法本信息公司关键业绩指标之一，可能存在法本信息公司管理层(以下简称管理层) 通过不恰当的收入确认以达到特定目标或预期的固有风险，因此，我们将收入确认确定为关键审计事项。</w:t>
      </w:r>
    </w:p>
    <w:p>
      <w:pPr>
        <w:pStyle w:val="Style12"/>
        <w:keepNext w:val="0"/>
        <w:keepLines w:val="0"/>
        <w:widowControl w:val="0"/>
        <w:numPr>
          <w:ilvl w:val="0"/>
          <w:numId w:val="3"/>
        </w:numPr>
        <w:shd w:val="clear" w:color="auto" w:fill="auto"/>
        <w:bidi w:val="0"/>
        <w:spacing w:before="0" w:after="0" w:line="427" w:lineRule="auto"/>
        <w:ind w:left="0" w:right="0" w:firstLine="480"/>
        <w:jc w:val="left"/>
      </w:pPr>
      <w:bookmarkStart w:id="711" w:name="bookmark711"/>
      <w:bookmarkEnd w:id="711"/>
      <w:r>
        <w:rPr>
          <w:color w:val="000000"/>
          <w:spacing w:val="0"/>
          <w:w w:val="100"/>
          <w:position w:val="0"/>
        </w:rPr>
        <w:t>审计应对</w:t>
      </w:r>
    </w:p>
    <w:p>
      <w:pPr>
        <w:pStyle w:val="Style12"/>
        <w:keepNext w:val="0"/>
        <w:keepLines w:val="0"/>
        <w:widowControl w:val="0"/>
        <w:shd w:val="clear" w:color="auto" w:fill="auto"/>
        <w:bidi w:val="0"/>
        <w:spacing w:before="0" w:after="0" w:line="408" w:lineRule="exact"/>
        <w:ind w:left="0" w:right="0" w:firstLine="480"/>
        <w:jc w:val="left"/>
      </w:pPr>
      <w:r>
        <w:rPr>
          <w:color w:val="000000"/>
          <w:spacing w:val="0"/>
          <w:w w:val="100"/>
          <w:position w:val="0"/>
        </w:rPr>
        <w:t>针对收入确认，我们实施的审计程序主要包括：</w:t>
      </w:r>
    </w:p>
    <w:p>
      <w:pPr>
        <w:pStyle w:val="Style12"/>
        <w:keepNext w:val="0"/>
        <w:keepLines w:val="0"/>
        <w:widowControl w:val="0"/>
        <w:numPr>
          <w:ilvl w:val="0"/>
          <w:numId w:val="7"/>
        </w:numPr>
        <w:shd w:val="clear" w:color="auto" w:fill="auto"/>
        <w:tabs>
          <w:tab w:pos="882" w:val="left"/>
        </w:tabs>
        <w:bidi w:val="0"/>
        <w:spacing w:before="0" w:after="0" w:line="408" w:lineRule="exact"/>
        <w:ind w:left="0" w:right="0" w:firstLine="480"/>
        <w:jc w:val="both"/>
      </w:pPr>
      <w:bookmarkStart w:id="712" w:name="bookmark712"/>
      <w:bookmarkEnd w:id="712"/>
      <w:r>
        <w:rPr>
          <w:color w:val="000000"/>
          <w:spacing w:val="0"/>
          <w:w w:val="100"/>
          <w:position w:val="0"/>
        </w:rPr>
        <w:t>了解与收入确认相关的关键内部控制，评价这些控制的设计，确定其是否得到执行，并测试相关 内部控制的运行有效性；</w:t>
      </w:r>
    </w:p>
    <w:p>
      <w:pPr>
        <w:pStyle w:val="Style12"/>
        <w:keepNext w:val="0"/>
        <w:keepLines w:val="0"/>
        <w:widowControl w:val="0"/>
        <w:numPr>
          <w:ilvl w:val="0"/>
          <w:numId w:val="7"/>
        </w:numPr>
        <w:shd w:val="clear" w:color="auto" w:fill="auto"/>
        <w:tabs>
          <w:tab w:pos="906" w:val="left"/>
        </w:tabs>
        <w:bidi w:val="0"/>
        <w:spacing w:before="0" w:after="0" w:line="408" w:lineRule="exact"/>
        <w:ind w:left="0" w:right="0" w:firstLine="480"/>
        <w:jc w:val="left"/>
      </w:pPr>
      <w:bookmarkStart w:id="713" w:name="bookmark713"/>
      <w:bookmarkEnd w:id="713"/>
      <w:r>
        <w:rPr>
          <w:color w:val="000000"/>
          <w:spacing w:val="0"/>
          <w:w w:val="100"/>
          <w:position w:val="0"/>
        </w:rPr>
        <w:t>检查主要的服务合同，了解主要合同条款或条件，评价收入确认方法是否适当；</w:t>
      </w:r>
    </w:p>
    <w:p>
      <w:pPr>
        <w:pStyle w:val="Style12"/>
        <w:keepNext w:val="0"/>
        <w:keepLines w:val="0"/>
        <w:widowControl w:val="0"/>
        <w:numPr>
          <w:ilvl w:val="0"/>
          <w:numId w:val="7"/>
        </w:numPr>
        <w:shd w:val="clear" w:color="auto" w:fill="auto"/>
        <w:tabs>
          <w:tab w:pos="886" w:val="left"/>
        </w:tabs>
        <w:bidi w:val="0"/>
        <w:spacing w:before="0" w:after="0" w:line="408" w:lineRule="exact"/>
        <w:ind w:left="0" w:right="0" w:firstLine="480"/>
        <w:jc w:val="both"/>
      </w:pPr>
      <w:bookmarkStart w:id="714" w:name="bookmark714"/>
      <w:bookmarkEnd w:id="714"/>
      <w:r>
        <w:rPr>
          <w:color w:val="000000"/>
          <w:spacing w:val="0"/>
          <w:w w:val="100"/>
          <w:position w:val="0"/>
        </w:rPr>
        <w:t>对营业收入及毛利率按月度、客户等实施实质性分析程序，识别是否存在重大或异常波动，并查 明波动原因；</w:t>
      </w:r>
    </w:p>
    <w:p>
      <w:pPr>
        <w:pStyle w:val="Style12"/>
        <w:keepNext w:val="0"/>
        <w:keepLines w:val="0"/>
        <w:widowControl w:val="0"/>
        <w:numPr>
          <w:ilvl w:val="0"/>
          <w:numId w:val="7"/>
        </w:numPr>
        <w:shd w:val="clear" w:color="auto" w:fill="auto"/>
        <w:tabs>
          <w:tab w:pos="886" w:val="left"/>
        </w:tabs>
        <w:bidi w:val="0"/>
        <w:spacing w:before="0" w:after="140" w:line="408" w:lineRule="exact"/>
        <w:ind w:left="0" w:right="0" w:firstLine="480"/>
        <w:jc w:val="both"/>
      </w:pPr>
      <w:bookmarkStart w:id="715" w:name="bookmark715"/>
      <w:bookmarkEnd w:id="715"/>
      <w:r>
        <w:rPr>
          <w:color w:val="000000"/>
          <w:spacing w:val="0"/>
          <w:w w:val="100"/>
          <w:position w:val="0"/>
        </w:rPr>
        <w:t>以抽样方式检查与收入确认相关的支持性文件，包括销售合同、对账邮件、验收单、服务进度单、 出勤记录、销售发票等；</w:t>
      </w:r>
    </w:p>
    <w:p>
      <w:pPr>
        <w:pStyle w:val="Style12"/>
        <w:keepNext w:val="0"/>
        <w:keepLines w:val="0"/>
        <w:widowControl w:val="0"/>
        <w:numPr>
          <w:ilvl w:val="0"/>
          <w:numId w:val="7"/>
        </w:numPr>
        <w:shd w:val="clear" w:color="auto" w:fill="auto"/>
        <w:tabs>
          <w:tab w:pos="906" w:val="left"/>
        </w:tabs>
        <w:bidi w:val="0"/>
        <w:spacing w:before="0" w:after="0" w:line="427" w:lineRule="auto"/>
        <w:ind w:left="0" w:right="0" w:firstLine="480"/>
        <w:jc w:val="left"/>
      </w:pPr>
      <w:bookmarkStart w:id="716" w:name="bookmark716"/>
      <w:bookmarkEnd w:id="716"/>
      <w:r>
        <w:rPr>
          <w:color w:val="000000"/>
          <w:spacing w:val="0"/>
          <w:w w:val="100"/>
          <w:position w:val="0"/>
        </w:rPr>
        <w:t>结合应收账款函证，以抽样方式向主要客户函证本期销售额；</w:t>
      </w:r>
    </w:p>
    <w:p>
      <w:pPr>
        <w:pStyle w:val="Style12"/>
        <w:keepNext w:val="0"/>
        <w:keepLines w:val="0"/>
        <w:widowControl w:val="0"/>
        <w:numPr>
          <w:ilvl w:val="0"/>
          <w:numId w:val="7"/>
        </w:numPr>
        <w:shd w:val="clear" w:color="auto" w:fill="auto"/>
        <w:tabs>
          <w:tab w:pos="906" w:val="left"/>
        </w:tabs>
        <w:bidi w:val="0"/>
        <w:spacing w:before="0" w:after="140" w:line="408" w:lineRule="exact"/>
        <w:ind w:left="0" w:right="0" w:firstLine="480"/>
        <w:jc w:val="left"/>
      </w:pPr>
      <w:bookmarkStart w:id="717" w:name="bookmark717"/>
      <w:bookmarkEnd w:id="717"/>
      <w:r>
        <w:rPr>
          <w:color w:val="000000"/>
          <w:spacing w:val="0"/>
          <w:w w:val="100"/>
          <w:position w:val="0"/>
        </w:rPr>
        <w:t>以抽样方式对资产负债表日前后确认的营业收入进行检查，评价营业收入是否在恰当期间确认；</w:t>
      </w:r>
    </w:p>
    <w:p>
      <w:pPr>
        <w:pStyle w:val="Style12"/>
        <w:keepNext w:val="0"/>
        <w:keepLines w:val="0"/>
        <w:widowControl w:val="0"/>
        <w:numPr>
          <w:ilvl w:val="0"/>
          <w:numId w:val="7"/>
        </w:numPr>
        <w:shd w:val="clear" w:color="auto" w:fill="auto"/>
        <w:tabs>
          <w:tab w:pos="906" w:val="left"/>
        </w:tabs>
        <w:bidi w:val="0"/>
        <w:spacing w:before="0" w:after="0" w:line="427" w:lineRule="auto"/>
        <w:ind w:left="0" w:right="0" w:firstLine="480"/>
        <w:jc w:val="left"/>
      </w:pPr>
      <w:bookmarkStart w:id="718" w:name="bookmark718"/>
      <w:bookmarkEnd w:id="718"/>
      <w:r>
        <w:rPr>
          <w:color w:val="000000"/>
          <w:spacing w:val="0"/>
          <w:w w:val="100"/>
          <w:position w:val="0"/>
        </w:rPr>
        <w:t>检查与营业收入相关的信息是否已在财务报表中作出恰当列报。</w:t>
      </w:r>
    </w:p>
    <w:p>
      <w:pPr>
        <w:pStyle w:val="Style12"/>
        <w:keepNext w:val="0"/>
        <w:keepLines w:val="0"/>
        <w:widowControl w:val="0"/>
        <w:numPr>
          <w:ilvl w:val="0"/>
          <w:numId w:val="9"/>
        </w:numPr>
        <w:shd w:val="clear" w:color="auto" w:fill="auto"/>
        <w:bidi w:val="0"/>
        <w:spacing w:before="0" w:after="0" w:line="427" w:lineRule="auto"/>
        <w:ind w:left="0" w:right="0" w:firstLine="480"/>
        <w:jc w:val="left"/>
      </w:pPr>
      <w:bookmarkStart w:id="719" w:name="bookmark719"/>
      <w:bookmarkEnd w:id="719"/>
      <w:r>
        <w:rPr>
          <w:color w:val="000000"/>
          <w:spacing w:val="0"/>
          <w:w w:val="100"/>
          <w:position w:val="0"/>
        </w:rPr>
        <w:t>应收账款减值</w:t>
      </w:r>
    </w:p>
    <w:p>
      <w:pPr>
        <w:pStyle w:val="Style12"/>
        <w:keepNext w:val="0"/>
        <w:keepLines w:val="0"/>
        <w:widowControl w:val="0"/>
        <w:numPr>
          <w:ilvl w:val="0"/>
          <w:numId w:val="11"/>
        </w:numPr>
        <w:shd w:val="clear" w:color="auto" w:fill="auto"/>
        <w:tabs>
          <w:tab w:pos="795" w:val="left"/>
        </w:tabs>
        <w:bidi w:val="0"/>
        <w:spacing w:before="0" w:after="0" w:line="427" w:lineRule="auto"/>
        <w:ind w:left="0" w:right="0" w:firstLine="480"/>
        <w:jc w:val="left"/>
      </w:pPr>
      <w:bookmarkStart w:id="720" w:name="bookmark720"/>
      <w:bookmarkEnd w:id="720"/>
      <w:r>
        <w:rPr>
          <w:color w:val="000000"/>
          <w:spacing w:val="0"/>
          <w:w w:val="100"/>
          <w:position w:val="0"/>
        </w:rPr>
        <w:t>事项描述</w:t>
      </w:r>
    </w:p>
    <w:p>
      <w:pPr>
        <w:pStyle w:val="Style12"/>
        <w:keepNext w:val="0"/>
        <w:keepLines w:val="0"/>
        <w:widowControl w:val="0"/>
        <w:shd w:val="clear" w:color="auto" w:fill="auto"/>
        <w:bidi w:val="0"/>
        <w:spacing w:before="0" w:after="0" w:line="408" w:lineRule="exact"/>
        <w:ind w:left="0" w:right="0" w:firstLine="480"/>
        <w:jc w:val="left"/>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九</w:t>
      </w:r>
      <w:r>
        <w:rPr>
          <w:rFonts w:ascii="Times New Roman" w:eastAsia="Times New Roman" w:hAnsi="Times New Roman" w:cs="Times New Roman"/>
          <w:color w:val="000000"/>
          <w:spacing w:val="0"/>
          <w:w w:val="100"/>
          <w:position w:val="0"/>
        </w:rPr>
        <w:t>)</w:t>
      </w:r>
      <w:r>
        <w:rPr>
          <w:color w:val="000000"/>
          <w:spacing w:val="0"/>
          <w:w w:val="100"/>
          <w:position w:val="0"/>
        </w:rPr>
        <w:t>及五</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)4</w:t>
      </w:r>
      <w:r>
        <w:rPr>
          <w:color w:val="000000"/>
          <w:spacing w:val="0"/>
          <w:w w:val="100"/>
          <w:position w:val="0"/>
        </w:rPr>
        <w:t>。</w:t>
      </w:r>
    </w:p>
    <w:p>
      <w:pPr>
        <w:pStyle w:val="Style1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日，法本信息公司应收账款余额为人民币</w:t>
      </w:r>
      <w:r>
        <w:rPr>
          <w:rFonts w:ascii="Times New Roman" w:eastAsia="Times New Roman" w:hAnsi="Times New Roman" w:cs="Times New Roman"/>
          <w:color w:val="000000"/>
          <w:spacing w:val="0"/>
          <w:w w:val="100"/>
          <w:position w:val="0"/>
        </w:rPr>
        <w:t>99,839.79</w:t>
      </w:r>
      <w:r>
        <w:rPr>
          <w:color w:val="000000"/>
          <w:spacing w:val="0"/>
          <w:w w:val="100"/>
          <w:position w:val="0"/>
        </w:rPr>
        <w:t xml:space="preserve">万元，坏账准备金额为人民币 </w:t>
      </w:r>
      <w:r>
        <w:rPr>
          <w:rFonts w:ascii="Times New Roman" w:eastAsia="Times New Roman" w:hAnsi="Times New Roman" w:cs="Times New Roman"/>
          <w:color w:val="000000"/>
          <w:spacing w:val="0"/>
          <w:w w:val="100"/>
          <w:position w:val="0"/>
        </w:rPr>
        <w:t>8,170.87</w:t>
      </w:r>
      <w:r>
        <w:rPr>
          <w:color w:val="000000"/>
          <w:spacing w:val="0"/>
          <w:w w:val="100"/>
          <w:position w:val="0"/>
        </w:rPr>
        <w:t>万元，账面价值为人民币</w:t>
      </w:r>
      <w:r>
        <w:rPr>
          <w:rFonts w:ascii="Times New Roman" w:eastAsia="Times New Roman" w:hAnsi="Times New Roman" w:cs="Times New Roman"/>
          <w:color w:val="000000"/>
          <w:spacing w:val="0"/>
          <w:w w:val="100"/>
          <w:position w:val="0"/>
        </w:rPr>
        <w:t>91,668.9</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1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管理层根据各项应收账款的信用风险特征，以单项应收账款或应收账款组合为基础，按照违约风险敞 口和整个存续期预期信用损失率计算预期信用损失。对于以单项为基础计量预期信用损失的应收账款，管 理层综合考虑有关过去事项、当前状况以及未来经济状况预测的合理且有依据的信息，估计预期收取的现 金流量，据此确定应计提的坏账准备；对于以组合为基础计量预期信用损失的应收账款，管理层以账龄为 依据划分组合，参照历史信用损失经验，并根据前瞻性估计予以调整，编制应收账款账龄与整个存续期预 期信用损失率对照表，据此确定应计提的坏账准备。</w:t>
      </w:r>
    </w:p>
    <w:p>
      <w:pPr>
        <w:pStyle w:val="Style12"/>
        <w:keepNext w:val="0"/>
        <w:keepLines w:val="0"/>
        <w:widowControl w:val="0"/>
        <w:shd w:val="clear" w:color="auto" w:fill="auto"/>
        <w:bidi w:val="0"/>
        <w:spacing w:before="0" w:after="140" w:line="408" w:lineRule="exact"/>
        <w:ind w:left="0" w:right="0" w:firstLine="480"/>
        <w:jc w:val="both"/>
      </w:pPr>
      <w:r>
        <w:rPr>
          <w:color w:val="000000"/>
          <w:spacing w:val="0"/>
          <w:w w:val="100"/>
          <w:position w:val="0"/>
        </w:rPr>
        <w:t>由于应收账款金额重大，且应收账款减值测试涉及重大管理层判断，我们将应收账款减值确定为关键 审计事项。</w:t>
      </w:r>
    </w:p>
    <w:p>
      <w:pPr>
        <w:pStyle w:val="Style12"/>
        <w:keepNext w:val="0"/>
        <w:keepLines w:val="0"/>
        <w:widowControl w:val="0"/>
        <w:numPr>
          <w:ilvl w:val="0"/>
          <w:numId w:val="11"/>
        </w:numPr>
        <w:shd w:val="clear" w:color="auto" w:fill="auto"/>
        <w:tabs>
          <w:tab w:pos="814" w:val="left"/>
        </w:tabs>
        <w:bidi w:val="0"/>
        <w:spacing w:before="0" w:after="0" w:line="427" w:lineRule="auto"/>
        <w:ind w:left="0" w:right="0" w:firstLine="480"/>
        <w:jc w:val="both"/>
      </w:pPr>
      <w:bookmarkStart w:id="721" w:name="bookmark721"/>
      <w:bookmarkEnd w:id="721"/>
      <w:r>
        <w:rPr>
          <w:color w:val="000000"/>
          <w:spacing w:val="0"/>
          <w:w w:val="100"/>
          <w:position w:val="0"/>
        </w:rPr>
        <w:t>审计应对</w:t>
      </w:r>
    </w:p>
    <w:p>
      <w:pPr>
        <w:pStyle w:val="Style12"/>
        <w:keepNext w:val="0"/>
        <w:keepLines w:val="0"/>
        <w:widowControl w:val="0"/>
        <w:shd w:val="clear" w:color="auto" w:fill="auto"/>
        <w:bidi w:val="0"/>
        <w:spacing w:before="0" w:after="0" w:line="408" w:lineRule="exact"/>
        <w:ind w:left="0" w:right="0" w:firstLine="480"/>
        <w:jc w:val="both"/>
      </w:pPr>
      <w:r>
        <w:rPr>
          <w:color w:val="000000"/>
          <w:spacing w:val="0"/>
          <w:w w:val="100"/>
          <w:position w:val="0"/>
        </w:rPr>
        <w:t>针对应收账款减值，我们实施的审计程序主要包括：</w:t>
      </w:r>
    </w:p>
    <w:p>
      <w:pPr>
        <w:pStyle w:val="Style12"/>
        <w:keepNext w:val="0"/>
        <w:keepLines w:val="0"/>
        <w:widowControl w:val="0"/>
        <w:numPr>
          <w:ilvl w:val="0"/>
          <w:numId w:val="13"/>
        </w:numPr>
        <w:shd w:val="clear" w:color="auto" w:fill="auto"/>
        <w:tabs>
          <w:tab w:pos="906" w:val="left"/>
        </w:tabs>
        <w:bidi w:val="0"/>
        <w:spacing w:before="0" w:after="0" w:line="408" w:lineRule="exact"/>
        <w:ind w:left="0" w:right="0" w:firstLine="480"/>
        <w:jc w:val="both"/>
      </w:pPr>
      <w:bookmarkStart w:id="722" w:name="bookmark722"/>
      <w:bookmarkEnd w:id="722"/>
      <w:r>
        <w:rPr>
          <w:color w:val="000000"/>
          <w:spacing w:val="0"/>
          <w:w w:val="100"/>
          <w:position w:val="0"/>
        </w:rPr>
        <w:t>了解与应收账款减值相关的关键内部控制，评价这些控制的设计，确定其是否得到执行，并测试 相关内部控制的运行有效性；</w:t>
      </w:r>
    </w:p>
    <w:p>
      <w:pPr>
        <w:pStyle w:val="Style12"/>
        <w:keepNext w:val="0"/>
        <w:keepLines w:val="0"/>
        <w:widowControl w:val="0"/>
        <w:numPr>
          <w:ilvl w:val="0"/>
          <w:numId w:val="13"/>
        </w:numPr>
        <w:shd w:val="clear" w:color="auto" w:fill="auto"/>
        <w:tabs>
          <w:tab w:pos="910" w:val="left"/>
        </w:tabs>
        <w:bidi w:val="0"/>
        <w:spacing w:before="0" w:after="0" w:line="422" w:lineRule="exact"/>
        <w:ind w:left="0" w:right="0" w:firstLine="500"/>
        <w:jc w:val="left"/>
      </w:pPr>
      <w:bookmarkStart w:id="723" w:name="bookmark723"/>
      <w:bookmarkEnd w:id="723"/>
      <w:r>
        <w:rPr>
          <w:color w:val="000000"/>
          <w:spacing w:val="0"/>
          <w:w w:val="100"/>
          <w:position w:val="0"/>
        </w:rPr>
        <w:t>复核以前年度已计提坏账准备的应收账款的后续实际核销或转回情况，评价管理层过往预测的准 确性；</w:t>
      </w:r>
    </w:p>
    <w:p>
      <w:pPr>
        <w:pStyle w:val="Style12"/>
        <w:keepNext w:val="0"/>
        <w:keepLines w:val="0"/>
        <w:widowControl w:val="0"/>
        <w:numPr>
          <w:ilvl w:val="0"/>
          <w:numId w:val="13"/>
        </w:numPr>
        <w:shd w:val="clear" w:color="auto" w:fill="auto"/>
        <w:tabs>
          <w:tab w:pos="910" w:val="left"/>
        </w:tabs>
        <w:bidi w:val="0"/>
        <w:spacing w:before="0" w:after="0" w:line="412" w:lineRule="exact"/>
        <w:ind w:left="0" w:right="0" w:firstLine="500"/>
        <w:jc w:val="left"/>
      </w:pPr>
      <w:bookmarkStart w:id="724" w:name="bookmark724"/>
      <w:bookmarkEnd w:id="724"/>
      <w:r>
        <w:rPr>
          <w:color w:val="000000"/>
          <w:spacing w:val="0"/>
          <w:w w:val="100"/>
          <w:position w:val="0"/>
        </w:rPr>
        <w:t>复核管理层对应收账款进行信用风险评估的相关考虑和客观证据，评价管理层是否恰当识别各项 应收账款的信用风险特征；</w:t>
      </w:r>
    </w:p>
    <w:p>
      <w:pPr>
        <w:pStyle w:val="Style12"/>
        <w:keepNext w:val="0"/>
        <w:keepLines w:val="0"/>
        <w:widowControl w:val="0"/>
        <w:numPr>
          <w:ilvl w:val="0"/>
          <w:numId w:val="13"/>
        </w:numPr>
        <w:shd w:val="clear" w:color="auto" w:fill="auto"/>
        <w:tabs>
          <w:tab w:pos="910" w:val="left"/>
        </w:tabs>
        <w:bidi w:val="0"/>
        <w:spacing w:before="0" w:after="0" w:line="412" w:lineRule="exact"/>
        <w:ind w:left="0" w:right="0" w:firstLine="500"/>
        <w:jc w:val="left"/>
      </w:pPr>
      <w:bookmarkStart w:id="725" w:name="bookmark725"/>
      <w:bookmarkEnd w:id="725"/>
      <w:r>
        <w:rPr>
          <w:color w:val="000000"/>
          <w:spacing w:val="0"/>
          <w:w w:val="100"/>
          <w:position w:val="0"/>
        </w:rPr>
        <w:t>对于以单项为基础计量预期信用损失的应收账款，获取并检查管理层对预期收取现金流量的预测， 评价在预测中使用的关键假设的合理性和数据的准确性，并与获取的外部证据进行核对；</w:t>
      </w:r>
    </w:p>
    <w:p>
      <w:pPr>
        <w:pStyle w:val="Style12"/>
        <w:keepNext w:val="0"/>
        <w:keepLines w:val="0"/>
        <w:widowControl w:val="0"/>
        <w:numPr>
          <w:ilvl w:val="0"/>
          <w:numId w:val="13"/>
        </w:numPr>
        <w:shd w:val="clear" w:color="auto" w:fill="auto"/>
        <w:tabs>
          <w:tab w:pos="910" w:val="left"/>
        </w:tabs>
        <w:bidi w:val="0"/>
        <w:spacing w:before="0" w:after="0" w:line="412" w:lineRule="exact"/>
        <w:ind w:left="0" w:right="0" w:firstLine="500"/>
        <w:jc w:val="left"/>
      </w:pPr>
      <w:bookmarkStart w:id="726" w:name="bookmark726"/>
      <w:bookmarkEnd w:id="726"/>
      <w:r>
        <w:rPr>
          <w:color w:val="000000"/>
          <w:spacing w:val="0"/>
          <w:w w:val="100"/>
          <w:position w:val="0"/>
        </w:rPr>
        <w:t>对于以组合为基础计量预期信用损失的应收账款，评价管理层按信用风险特征划分组合的合理性; 根据具有类似信用风险特征组合的历史信用损失经验及前瞻性估计，评价管理层编制的应收账款账龄与整 个存续期预期信用损失率违约损失率对照表的合理性；测试管理层使用数据(包括应收账款账龄、历史损 失率、迁徙率等)的准确性和完整性以及对坏账准备的计算是否准确；</w:t>
      </w:r>
    </w:p>
    <w:p>
      <w:pPr>
        <w:pStyle w:val="Style12"/>
        <w:keepNext w:val="0"/>
        <w:keepLines w:val="0"/>
        <w:widowControl w:val="0"/>
        <w:numPr>
          <w:ilvl w:val="0"/>
          <w:numId w:val="13"/>
        </w:numPr>
        <w:shd w:val="clear" w:color="auto" w:fill="auto"/>
        <w:tabs>
          <w:tab w:pos="930" w:val="left"/>
        </w:tabs>
        <w:bidi w:val="0"/>
        <w:spacing w:before="0" w:after="0" w:line="412" w:lineRule="exact"/>
        <w:ind w:left="0" w:right="0" w:firstLine="500"/>
        <w:jc w:val="both"/>
      </w:pPr>
      <w:bookmarkStart w:id="727" w:name="bookmark727"/>
      <w:bookmarkEnd w:id="727"/>
      <w:r>
        <w:rPr>
          <w:color w:val="000000"/>
          <w:spacing w:val="0"/>
          <w:w w:val="100"/>
          <w:position w:val="0"/>
        </w:rPr>
        <w:t>检查应收账款的期后回款情况，评价管理层计提应收账款坏账准备的合理性；</w:t>
      </w:r>
    </w:p>
    <w:p>
      <w:pPr>
        <w:pStyle w:val="Style12"/>
        <w:keepNext w:val="0"/>
        <w:keepLines w:val="0"/>
        <w:widowControl w:val="0"/>
        <w:numPr>
          <w:ilvl w:val="0"/>
          <w:numId w:val="13"/>
        </w:numPr>
        <w:shd w:val="clear" w:color="auto" w:fill="auto"/>
        <w:tabs>
          <w:tab w:pos="930" w:val="left"/>
        </w:tabs>
        <w:bidi w:val="0"/>
        <w:spacing w:before="0" w:after="0" w:line="412" w:lineRule="exact"/>
        <w:ind w:left="0" w:right="0" w:firstLine="500"/>
        <w:jc w:val="both"/>
      </w:pPr>
      <w:bookmarkStart w:id="728" w:name="bookmark728"/>
      <w:bookmarkEnd w:id="728"/>
      <w:r>
        <w:rPr>
          <w:color w:val="000000"/>
          <w:spacing w:val="0"/>
          <w:w w:val="100"/>
          <w:position w:val="0"/>
        </w:rPr>
        <w:t>以抽样方式对主要客户的应收账款余额进行函证；</w:t>
      </w:r>
    </w:p>
    <w:p>
      <w:pPr>
        <w:pStyle w:val="Style12"/>
        <w:keepNext w:val="0"/>
        <w:keepLines w:val="0"/>
        <w:widowControl w:val="0"/>
        <w:numPr>
          <w:ilvl w:val="0"/>
          <w:numId w:val="13"/>
        </w:numPr>
        <w:shd w:val="clear" w:color="auto" w:fill="auto"/>
        <w:tabs>
          <w:tab w:pos="930" w:val="left"/>
        </w:tabs>
        <w:bidi w:val="0"/>
        <w:spacing w:before="0" w:after="0" w:line="412" w:lineRule="exact"/>
        <w:ind w:left="0" w:right="0" w:firstLine="500"/>
        <w:jc w:val="both"/>
      </w:pPr>
      <w:bookmarkStart w:id="729" w:name="bookmark729"/>
      <w:bookmarkEnd w:id="729"/>
      <w:r>
        <w:rPr>
          <w:color w:val="000000"/>
          <w:spacing w:val="0"/>
          <w:w w:val="100"/>
          <w:position w:val="0"/>
        </w:rPr>
        <w:t>检查与应收账款减值相关的信息是否已在财务报表中作出恰当列报。</w:t>
      </w:r>
    </w:p>
    <w:p>
      <w:pPr>
        <w:pStyle w:val="Style12"/>
        <w:keepNext w:val="0"/>
        <w:keepLines w:val="0"/>
        <w:widowControl w:val="0"/>
        <w:shd w:val="clear" w:color="auto" w:fill="auto"/>
        <w:tabs>
          <w:tab w:pos="964" w:val="left"/>
        </w:tabs>
        <w:bidi w:val="0"/>
        <w:spacing w:before="0" w:after="0" w:line="412" w:lineRule="exact"/>
        <w:ind w:left="0" w:right="0" w:firstLine="500"/>
        <w:jc w:val="both"/>
      </w:pPr>
      <w:bookmarkStart w:id="730" w:name="bookmark730"/>
      <w:r>
        <w:rPr>
          <w:b/>
          <w:bCs/>
          <w:color w:val="000000"/>
          <w:spacing w:val="0"/>
          <w:w w:val="100"/>
          <w:position w:val="0"/>
        </w:rPr>
        <w:t>四</w:t>
      </w:r>
      <w:bookmarkEnd w:id="730"/>
      <w:r>
        <w:rPr>
          <w:b/>
          <w:bCs/>
          <w:color w:val="000000"/>
          <w:spacing w:val="0"/>
          <w:w w:val="100"/>
          <w:position w:val="0"/>
        </w:rPr>
        <w:t>、</w:t>
        <w:tab/>
        <w:t>其他信息</w:t>
      </w:r>
    </w:p>
    <w:p>
      <w:pPr>
        <w:pStyle w:val="Style12"/>
        <w:keepNext w:val="0"/>
        <w:keepLines w:val="0"/>
        <w:widowControl w:val="0"/>
        <w:shd w:val="clear" w:color="auto" w:fill="auto"/>
        <w:bidi w:val="0"/>
        <w:spacing w:before="0" w:after="0" w:line="412" w:lineRule="exact"/>
        <w:ind w:left="0" w:right="0" w:firstLine="500"/>
        <w:jc w:val="both"/>
      </w:pPr>
      <w:r>
        <w:rPr>
          <w:color w:val="000000"/>
          <w:spacing w:val="0"/>
          <w:w w:val="100"/>
          <w:position w:val="0"/>
        </w:rPr>
        <w:t>管理层对其他信息负责。其他信息包括年度报告中涵盖的信息，但不包括财务报表和我们的审计报告。</w:t>
      </w:r>
    </w:p>
    <w:p>
      <w:pPr>
        <w:pStyle w:val="Style12"/>
        <w:keepNext w:val="0"/>
        <w:keepLines w:val="0"/>
        <w:widowControl w:val="0"/>
        <w:shd w:val="clear" w:color="auto" w:fill="auto"/>
        <w:bidi w:val="0"/>
        <w:spacing w:before="0" w:after="0" w:line="412"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12"/>
        <w:keepNext w:val="0"/>
        <w:keepLines w:val="0"/>
        <w:widowControl w:val="0"/>
        <w:shd w:val="clear" w:color="auto" w:fill="auto"/>
        <w:bidi w:val="0"/>
        <w:spacing w:before="0" w:after="0" w:line="412" w:lineRule="exact"/>
        <w:ind w:left="0" w:right="0" w:firstLine="50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2"/>
        <w:keepNext w:val="0"/>
        <w:keepLines w:val="0"/>
        <w:widowControl w:val="0"/>
        <w:shd w:val="clear" w:color="auto" w:fill="auto"/>
        <w:bidi w:val="0"/>
        <w:spacing w:before="0" w:after="0" w:line="412" w:lineRule="exact"/>
        <w:ind w:left="0" w:right="0" w:firstLine="50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2"/>
        <w:keepNext w:val="0"/>
        <w:keepLines w:val="0"/>
        <w:widowControl w:val="0"/>
        <w:shd w:val="clear" w:color="auto" w:fill="auto"/>
        <w:tabs>
          <w:tab w:pos="983" w:val="left"/>
        </w:tabs>
        <w:bidi w:val="0"/>
        <w:spacing w:before="0" w:after="0" w:line="412" w:lineRule="exact"/>
        <w:ind w:left="0" w:right="0" w:firstLine="500"/>
        <w:jc w:val="both"/>
      </w:pPr>
      <w:bookmarkStart w:id="731" w:name="bookmark731"/>
      <w:r>
        <w:rPr>
          <w:b/>
          <w:bCs/>
          <w:color w:val="000000"/>
          <w:spacing w:val="0"/>
          <w:w w:val="100"/>
          <w:position w:val="0"/>
        </w:rPr>
        <w:t>五</w:t>
      </w:r>
      <w:bookmarkEnd w:id="731"/>
      <w:r>
        <w:rPr>
          <w:b/>
          <w:bCs/>
          <w:color w:val="000000"/>
          <w:spacing w:val="0"/>
          <w:w w:val="100"/>
          <w:position w:val="0"/>
        </w:rPr>
        <w:t>、</w:t>
        <w:tab/>
        <w:t>管理层和治理层对财务报表的责任</w:t>
      </w:r>
    </w:p>
    <w:p>
      <w:pPr>
        <w:pStyle w:val="Style12"/>
        <w:keepNext w:val="0"/>
        <w:keepLines w:val="0"/>
        <w:widowControl w:val="0"/>
        <w:shd w:val="clear" w:color="auto" w:fill="auto"/>
        <w:bidi w:val="0"/>
        <w:spacing w:before="0" w:after="0" w:line="412" w:lineRule="exact"/>
        <w:ind w:left="0" w:right="0" w:firstLine="50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12"/>
        <w:keepNext w:val="0"/>
        <w:keepLines w:val="0"/>
        <w:widowControl w:val="0"/>
        <w:shd w:val="clear" w:color="auto" w:fill="auto"/>
        <w:bidi w:val="0"/>
        <w:spacing w:before="0" w:after="0" w:line="412" w:lineRule="exact"/>
        <w:ind w:left="0" w:right="0" w:firstLine="500"/>
        <w:jc w:val="both"/>
      </w:pPr>
      <w:r>
        <w:rPr>
          <w:color w:val="000000"/>
          <w:spacing w:val="0"/>
          <w:w w:val="100"/>
          <w:position w:val="0"/>
        </w:rPr>
        <w:t>在编制财务报表时，管理层负责评估法本信息公司的持续经营能力，披露与持续经营相关的事项(如 适用)，并运用持续经营假设，除非计划进行清算、终止运营或别无其他现实的选择。</w:t>
      </w:r>
    </w:p>
    <w:p>
      <w:pPr>
        <w:pStyle w:val="Style12"/>
        <w:keepNext w:val="0"/>
        <w:keepLines w:val="0"/>
        <w:widowControl w:val="0"/>
        <w:shd w:val="clear" w:color="auto" w:fill="auto"/>
        <w:bidi w:val="0"/>
        <w:spacing w:before="0" w:after="0" w:line="412" w:lineRule="exact"/>
        <w:ind w:left="0" w:right="0" w:firstLine="500"/>
        <w:jc w:val="both"/>
      </w:pPr>
      <w:r>
        <w:rPr>
          <w:color w:val="000000"/>
          <w:spacing w:val="0"/>
          <w:w w:val="100"/>
          <w:position w:val="0"/>
        </w:rPr>
        <w:t>法本信息公司治理层(以下简称治理层)负责监督法本信息公司的财务报告过程。</w:t>
      </w:r>
    </w:p>
    <w:p>
      <w:pPr>
        <w:pStyle w:val="Style12"/>
        <w:keepNext w:val="0"/>
        <w:keepLines w:val="0"/>
        <w:widowControl w:val="0"/>
        <w:shd w:val="clear" w:color="auto" w:fill="auto"/>
        <w:tabs>
          <w:tab w:pos="983" w:val="left"/>
        </w:tabs>
        <w:bidi w:val="0"/>
        <w:spacing w:before="0" w:after="0" w:line="412" w:lineRule="exact"/>
        <w:ind w:left="0" w:right="0" w:firstLine="500"/>
        <w:jc w:val="both"/>
      </w:pPr>
      <w:bookmarkStart w:id="732" w:name="bookmark732"/>
      <w:r>
        <w:rPr>
          <w:b/>
          <w:bCs/>
          <w:color w:val="000000"/>
          <w:spacing w:val="0"/>
          <w:w w:val="100"/>
          <w:position w:val="0"/>
        </w:rPr>
        <w:t>六</w:t>
      </w:r>
      <w:bookmarkEnd w:id="732"/>
      <w:r>
        <w:rPr>
          <w:b/>
          <w:bCs/>
          <w:color w:val="000000"/>
          <w:spacing w:val="0"/>
          <w:w w:val="100"/>
          <w:position w:val="0"/>
        </w:rPr>
        <w:t>、</w:t>
        <w:tab/>
        <w:t>注册会计师对财务报表审计的责任</w:t>
      </w:r>
    </w:p>
    <w:p>
      <w:pPr>
        <w:pStyle w:val="Style12"/>
        <w:keepNext w:val="0"/>
        <w:keepLines w:val="0"/>
        <w:widowControl w:val="0"/>
        <w:shd w:val="clear" w:color="auto" w:fill="auto"/>
        <w:bidi w:val="0"/>
        <w:spacing w:before="0" w:after="0" w:line="412" w:lineRule="exact"/>
        <w:ind w:left="0" w:right="0" w:firstLine="50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2"/>
        <w:keepNext w:val="0"/>
        <w:keepLines w:val="0"/>
        <w:widowControl w:val="0"/>
        <w:shd w:val="clear" w:color="auto" w:fill="auto"/>
        <w:bidi w:val="0"/>
        <w:spacing w:before="0" w:after="0" w:line="412" w:lineRule="exact"/>
        <w:ind w:left="0" w:right="0" w:firstLine="500"/>
        <w:jc w:val="both"/>
      </w:pPr>
      <w:r>
        <w:rPr>
          <w:color w:val="000000"/>
          <w:spacing w:val="0"/>
          <w:w w:val="100"/>
          <w:position w:val="0"/>
        </w:rPr>
        <w:t>在按照审计准则执行审计工作的过程中，我们运用职业判断，并保持职业怀疑。同时，我们也执行以 下工作：</w:t>
      </w:r>
    </w:p>
    <w:p>
      <w:pPr>
        <w:pStyle w:val="Style12"/>
        <w:keepNext w:val="0"/>
        <w:keepLines w:val="0"/>
        <w:widowControl w:val="0"/>
        <w:numPr>
          <w:ilvl w:val="0"/>
          <w:numId w:val="15"/>
        </w:numPr>
        <w:shd w:val="clear" w:color="auto" w:fill="auto"/>
        <w:bidi w:val="0"/>
        <w:spacing w:before="0" w:after="0" w:line="412" w:lineRule="exact"/>
        <w:ind w:left="0" w:right="0" w:firstLine="480"/>
        <w:jc w:val="both"/>
      </w:pPr>
      <w:bookmarkStart w:id="733" w:name="bookmark733"/>
      <w:bookmarkEnd w:id="733"/>
      <w:r>
        <w:rPr>
          <w:color w:val="000000"/>
          <w:spacing w:val="0"/>
          <w:w w:val="100"/>
          <w:position w:val="0"/>
        </w:rPr>
        <w:t>识别和评估由于舞弊或错误导致的财务报表重大错报风险，设计和实施审计程序以应对这些风</w:t>
      </w:r>
      <w:r>
        <w:br w:type="page"/>
      </w:r>
    </w:p>
    <w:p>
      <w:pPr>
        <w:pStyle w:val="Style12"/>
        <w:keepNext w:val="0"/>
        <w:keepLines w:val="0"/>
        <w:widowControl w:val="0"/>
        <w:shd w:val="clear" w:color="auto" w:fill="auto"/>
        <w:bidi w:val="0"/>
        <w:spacing w:before="0" w:after="140" w:line="408" w:lineRule="exact"/>
        <w:ind w:left="0" w:right="0" w:firstLine="0"/>
        <w:jc w:val="both"/>
      </w:pPr>
      <w:r>
        <w:rPr>
          <w:color w:val="000000"/>
          <w:spacing w:val="0"/>
          <w:w w:val="100"/>
          <w:position w:val="0"/>
        </w:rPr>
        <w:t>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2"/>
        <w:keepNext w:val="0"/>
        <w:keepLines w:val="0"/>
        <w:widowControl w:val="0"/>
        <w:shd w:val="clear" w:color="auto" w:fill="auto"/>
        <w:tabs>
          <w:tab w:pos="995" w:val="left"/>
        </w:tabs>
        <w:bidi w:val="0"/>
        <w:spacing w:before="0" w:after="0" w:line="427" w:lineRule="auto"/>
        <w:ind w:left="0" w:right="0" w:firstLine="480"/>
        <w:jc w:val="both"/>
      </w:pPr>
      <w:bookmarkStart w:id="734" w:name="bookmark734"/>
      <w:r>
        <w:rPr>
          <w:rFonts w:ascii="Times New Roman" w:eastAsia="Times New Roman" w:hAnsi="Times New Roman" w:cs="Times New Roman"/>
          <w:color w:val="000000"/>
          <w:spacing w:val="0"/>
          <w:w w:val="100"/>
          <w:position w:val="0"/>
        </w:rPr>
        <w:t>（</w:t>
      </w:r>
      <w:bookmarkEnd w:id="73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了解与审计相关的内部控制，以设计恰当的审计程序，但目的并非对内部控制的有效性发表意见。</w:t>
      </w:r>
    </w:p>
    <w:p>
      <w:pPr>
        <w:pStyle w:val="Style12"/>
        <w:keepNext w:val="0"/>
        <w:keepLines w:val="0"/>
        <w:widowControl w:val="0"/>
        <w:shd w:val="clear" w:color="auto" w:fill="auto"/>
        <w:tabs>
          <w:tab w:pos="995" w:val="left"/>
        </w:tabs>
        <w:bidi w:val="0"/>
        <w:spacing w:before="0" w:after="0" w:line="427" w:lineRule="auto"/>
        <w:ind w:left="0" w:right="0" w:firstLine="480"/>
        <w:jc w:val="both"/>
      </w:pPr>
      <w:bookmarkStart w:id="735" w:name="bookmark735"/>
      <w:r>
        <w:rPr>
          <w:rFonts w:ascii="Times New Roman" w:eastAsia="Times New Roman" w:hAnsi="Times New Roman" w:cs="Times New Roman"/>
          <w:color w:val="000000"/>
          <w:spacing w:val="0"/>
          <w:w w:val="100"/>
          <w:position w:val="0"/>
        </w:rPr>
        <w:t>（</w:t>
      </w:r>
      <w:bookmarkEnd w:id="73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评价管理层选用会计政策的恰当性和作出会计估计及相关披露的合理性。</w:t>
      </w:r>
    </w:p>
    <w:p>
      <w:pPr>
        <w:pStyle w:val="Style12"/>
        <w:keepNext w:val="0"/>
        <w:keepLines w:val="0"/>
        <w:widowControl w:val="0"/>
        <w:shd w:val="clear" w:color="auto" w:fill="auto"/>
        <w:tabs>
          <w:tab w:pos="995" w:val="left"/>
        </w:tabs>
        <w:bidi w:val="0"/>
        <w:spacing w:before="0" w:after="140" w:line="409" w:lineRule="exact"/>
        <w:ind w:left="0" w:right="0" w:firstLine="480"/>
        <w:jc w:val="both"/>
      </w:pPr>
      <w:bookmarkStart w:id="736" w:name="bookmark736"/>
      <w:r>
        <w:rPr>
          <w:rFonts w:ascii="Times New Roman" w:eastAsia="Times New Roman" w:hAnsi="Times New Roman" w:cs="Times New Roman"/>
          <w:color w:val="000000"/>
          <w:spacing w:val="0"/>
          <w:w w:val="100"/>
          <w:position w:val="0"/>
        </w:rPr>
        <w:t>（</w:t>
      </w:r>
      <w:bookmarkEnd w:id="736"/>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对管理层使用持续经营假设的恰当性得出结论。同时，根据获取的审计证据，就可能导致对法本 信息公司持续经营能力产生重大疑虑的事项或情况是否存在重大不确定性得出结论。如果我们得出结论认 为存在重大不确定性，审计准则要求我们在审计报告中提请报表使用者注意财务报表中的相关披露；如果 披露不充分，我们应当发表非无保留意见。我们的结论基于截至审计报告日可获得的信息。然而，未来的 事项或情况可能导致法本信息公司不能持续经营。</w:t>
      </w:r>
    </w:p>
    <w:p>
      <w:pPr>
        <w:pStyle w:val="Style12"/>
        <w:keepNext w:val="0"/>
        <w:keepLines w:val="0"/>
        <w:widowControl w:val="0"/>
        <w:shd w:val="clear" w:color="auto" w:fill="auto"/>
        <w:tabs>
          <w:tab w:pos="995" w:val="left"/>
        </w:tabs>
        <w:bidi w:val="0"/>
        <w:spacing w:before="0" w:after="0" w:line="427" w:lineRule="auto"/>
        <w:ind w:left="0" w:right="0" w:firstLine="480"/>
        <w:jc w:val="both"/>
      </w:pPr>
      <w:bookmarkStart w:id="737" w:name="bookmark737"/>
      <w:r>
        <w:rPr>
          <w:rFonts w:ascii="Times New Roman" w:eastAsia="Times New Roman" w:hAnsi="Times New Roman" w:cs="Times New Roman"/>
          <w:color w:val="000000"/>
          <w:spacing w:val="0"/>
          <w:w w:val="100"/>
          <w:position w:val="0"/>
        </w:rPr>
        <w:t>（</w:t>
      </w:r>
      <w:bookmarkEnd w:id="737"/>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评价财务报表的总体列报、结构和内容，并评价财务报表是否公允反映相关交易和事项。</w:t>
      </w:r>
    </w:p>
    <w:p>
      <w:pPr>
        <w:pStyle w:val="Style12"/>
        <w:keepNext w:val="0"/>
        <w:keepLines w:val="0"/>
        <w:widowControl w:val="0"/>
        <w:shd w:val="clear" w:color="auto" w:fill="auto"/>
        <w:tabs>
          <w:tab w:pos="995" w:val="left"/>
        </w:tabs>
        <w:bidi w:val="0"/>
        <w:spacing w:before="0" w:after="0" w:line="409" w:lineRule="exact"/>
        <w:ind w:left="0" w:right="0" w:firstLine="480"/>
        <w:jc w:val="both"/>
      </w:pPr>
      <w:bookmarkStart w:id="738" w:name="bookmark738"/>
      <w:r>
        <w:rPr>
          <w:rFonts w:ascii="Times New Roman" w:eastAsia="Times New Roman" w:hAnsi="Times New Roman" w:cs="Times New Roman"/>
          <w:color w:val="000000"/>
          <w:spacing w:val="0"/>
          <w:w w:val="100"/>
          <w:position w:val="0"/>
        </w:rPr>
        <w:t>（</w:t>
      </w:r>
      <w:bookmarkEnd w:id="738"/>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就法本信息公司中实体或业务活动的财务信息获取充分、适当的审计证据，以对财务报表发表审 计意见。我们负责指导、监督和执行集团审计，并对审计意见承担全部责任。</w:t>
      </w:r>
    </w:p>
    <w:p>
      <w:pPr>
        <w:pStyle w:val="Style12"/>
        <w:keepNext w:val="0"/>
        <w:keepLines w:val="0"/>
        <w:widowControl w:val="0"/>
        <w:shd w:val="clear" w:color="auto" w:fill="auto"/>
        <w:bidi w:val="0"/>
        <w:spacing w:before="0" w:after="0" w:line="409" w:lineRule="exact"/>
        <w:ind w:left="0" w:right="0" w:firstLine="48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2"/>
        <w:keepNext w:val="0"/>
        <w:keepLines w:val="0"/>
        <w:widowControl w:val="0"/>
        <w:shd w:val="clear" w:color="auto" w:fill="auto"/>
        <w:bidi w:val="0"/>
        <w:spacing w:before="0" w:after="0" w:line="409" w:lineRule="exact"/>
        <w:ind w:left="0" w:right="0" w:firstLine="48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2"/>
        <w:keepNext w:val="0"/>
        <w:keepLines w:val="0"/>
        <w:widowControl w:val="0"/>
        <w:shd w:val="clear" w:color="auto" w:fill="auto"/>
        <w:bidi w:val="0"/>
        <w:spacing w:before="0" w:after="140" w:line="409" w:lineRule="exact"/>
        <w:ind w:left="0" w:right="0" w:firstLine="48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widowControl w:val="0"/>
        <w:spacing w:line="1" w:lineRule="exact"/>
      </w:pPr>
      <w:r>
        <mc:AlternateContent>
          <mc:Choice Requires="wps">
            <w:drawing>
              <wp:anchor distT="482600" distB="469265" distL="0" distR="0" simplePos="0" relativeHeight="125829382" behindDoc="0" locked="0" layoutInCell="1" allowOverlap="1">
                <wp:simplePos x="0" y="0"/>
                <wp:positionH relativeFrom="page">
                  <wp:posOffset>685165</wp:posOffset>
                </wp:positionH>
                <wp:positionV relativeFrom="paragraph">
                  <wp:posOffset>482600</wp:posOffset>
                </wp:positionV>
                <wp:extent cx="2157730" cy="701040"/>
                <wp:wrapTopAndBottom/>
                <wp:docPr id="39" name="Shape 39"/>
                <a:graphic xmlns:a="http://schemas.openxmlformats.org/drawingml/2006/main">
                  <a:graphicData uri="http://schemas.microsoft.com/office/word/2010/wordprocessingShape">
                    <wps:wsp>
                      <wps:cNvSpPr txBox="1"/>
                      <wps:spPr>
                        <a:xfrm>
                          <a:ext cx="2157730" cy="701040"/>
                        </a:xfrm>
                        <a:prstGeom prst="rect"/>
                        <a:noFill/>
                      </wps:spPr>
                      <wps:txbx>
                        <w:txbxContent>
                          <w:p>
                            <w:pPr>
                              <w:pStyle w:val="Style1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天健会计师事务所（特殊普通合伙）</w:t>
                            </w:r>
                          </w:p>
                          <w:p>
                            <w:pPr>
                              <w:pStyle w:val="Style1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杭州</w:t>
                            </w:r>
                          </w:p>
                        </w:txbxContent>
                      </wps:txbx>
                      <wps:bodyPr lIns="0" tIns="0" rIns="0" bIns="0">
                        <a:noAutoFit/>
                      </wps:bodyPr>
                    </wps:wsp>
                  </a:graphicData>
                </a:graphic>
              </wp:anchor>
            </w:drawing>
          </mc:Choice>
          <mc:Fallback>
            <w:pict>
              <v:shape id="_x0000_s1065" type="#_x0000_t202" style="position:absolute;margin-left:53.950000000000003pt;margin-top:38.pt;width:169.90000000000001pt;height:55.200000000000003pt;z-index:-125829371;mso-wrap-distance-left:0;mso-wrap-distance-top:38.pt;mso-wrap-distance-right:0;mso-wrap-distance-bottom:36.950000000000003pt;mso-position-horizontal-relative:page" filled="f" stroked="f">
                <v:textbox inset="0,0,0,0">
                  <w:txbxContent>
                    <w:p>
                      <w:pPr>
                        <w:pStyle w:val="Style12"/>
                        <w:keepNext w:val="0"/>
                        <w:keepLines w:val="0"/>
                        <w:widowControl w:val="0"/>
                        <w:shd w:val="clear" w:color="auto" w:fill="auto"/>
                        <w:bidi w:val="0"/>
                        <w:spacing w:before="0" w:after="540" w:line="240" w:lineRule="auto"/>
                        <w:ind w:left="0" w:right="0" w:firstLine="0"/>
                        <w:jc w:val="left"/>
                      </w:pPr>
                      <w:r>
                        <w:rPr>
                          <w:color w:val="000000"/>
                          <w:spacing w:val="0"/>
                          <w:w w:val="100"/>
                          <w:position w:val="0"/>
                        </w:rPr>
                        <w:t>天健会计师事务所（特殊普通合伙）</w:t>
                      </w:r>
                    </w:p>
                    <w:p>
                      <w:pPr>
                        <w:pStyle w:val="Style1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杭州</w:t>
                      </w:r>
                    </w:p>
                  </w:txbxContent>
                </v:textbox>
                <w10:wrap type="topAndBottom" anchorx="page"/>
              </v:shape>
            </w:pict>
          </mc:Fallback>
        </mc:AlternateContent>
      </w:r>
      <w:r>
        <mc:AlternateContent>
          <mc:Choice Requires="wps">
            <w:drawing>
              <wp:anchor distT="482600" distB="0" distL="0" distR="0" simplePos="0" relativeHeight="125829384" behindDoc="0" locked="0" layoutInCell="1" allowOverlap="1">
                <wp:simplePos x="0" y="0"/>
                <wp:positionH relativeFrom="page">
                  <wp:posOffset>4427855</wp:posOffset>
                </wp:positionH>
                <wp:positionV relativeFrom="paragraph">
                  <wp:posOffset>482600</wp:posOffset>
                </wp:positionV>
                <wp:extent cx="1880870" cy="1170305"/>
                <wp:wrapTopAndBottom/>
                <wp:docPr id="41" name="Shape 41"/>
                <a:graphic xmlns:a="http://schemas.openxmlformats.org/drawingml/2006/main">
                  <a:graphicData uri="http://schemas.microsoft.com/office/word/2010/wordprocessingShape">
                    <wps:wsp>
                      <wps:cNvSpPr txBox="1"/>
                      <wps:spPr>
                        <a:xfrm>
                          <a:ext cx="1880870" cy="1170305"/>
                        </a:xfrm>
                        <a:prstGeom prst="rect"/>
                        <a:noFill/>
                      </wps:spPr>
                      <wps:txbx>
                        <w:txbxContent>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中国注册会计师：龙琦</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（项目合伙人）</w:t>
                            </w:r>
                          </w:p>
                          <w:p>
                            <w:pPr>
                              <w:pStyle w:val="Style12"/>
                              <w:keepNext w:val="0"/>
                              <w:keepLines w:val="0"/>
                              <w:widowControl w:val="0"/>
                              <w:shd w:val="clear" w:color="auto" w:fill="auto"/>
                              <w:bidi w:val="0"/>
                              <w:spacing w:before="0" w:after="520" w:line="240" w:lineRule="auto"/>
                              <w:ind w:left="0" w:right="0" w:firstLine="0"/>
                              <w:jc w:val="left"/>
                            </w:pPr>
                            <w:r>
                              <w:rPr>
                                <w:color w:val="000000"/>
                                <w:spacing w:val="0"/>
                                <w:w w:val="100"/>
                                <w:position w:val="0"/>
                              </w:rPr>
                              <w:t>中国注册会计师：杨雪燕</w:t>
                            </w:r>
                          </w:p>
                          <w:p>
                            <w:pPr>
                              <w:pStyle w:val="Style12"/>
                              <w:keepNext w:val="0"/>
                              <w:keepLines w:val="0"/>
                              <w:widowControl w:val="0"/>
                              <w:shd w:val="clear" w:color="auto" w:fill="auto"/>
                              <w:bidi w:val="0"/>
                              <w:spacing w:before="0" w:after="340" w:line="240" w:lineRule="auto"/>
                              <w:ind w:left="0" w:right="0" w:firstLine="620"/>
                              <w:jc w:val="left"/>
                            </w:pPr>
                            <w:r>
                              <w:rPr>
                                <w:color w:val="000000"/>
                                <w:spacing w:val="0"/>
                                <w:w w:val="100"/>
                                <w:position w:val="0"/>
                              </w:rPr>
                              <w:t>二</w:t>
                            </w:r>
                            <w:r>
                              <w:rPr>
                                <w:color w:val="000000"/>
                                <w:spacing w:val="0"/>
                                <w:w w:val="100"/>
                                <w:position w:val="0"/>
                              </w:rPr>
                              <w:t>O</w:t>
                            </w:r>
                            <w:r>
                              <w:rPr>
                                <w:color w:val="000000"/>
                                <w:spacing w:val="0"/>
                                <w:w w:val="100"/>
                                <w:position w:val="0"/>
                              </w:rPr>
                              <w:t>二二年四月二十二日</w:t>
                            </w:r>
                          </w:p>
                        </w:txbxContent>
                      </wps:txbx>
                      <wps:bodyPr lIns="0" tIns="0" rIns="0" bIns="0">
                        <a:noAutoFit/>
                      </wps:bodyPr>
                    </wps:wsp>
                  </a:graphicData>
                </a:graphic>
              </wp:anchor>
            </w:drawing>
          </mc:Choice>
          <mc:Fallback>
            <w:pict>
              <v:shape id="_x0000_s1067" type="#_x0000_t202" style="position:absolute;margin-left:348.65000000000003pt;margin-top:38.pt;width:148.09999999999999pt;height:92.150000000000006pt;z-index:-125829369;mso-wrap-distance-left:0;mso-wrap-distance-top:38.pt;mso-wrap-distance-right:0;mso-position-horizontal-relative:page" filled="f" stroked="f">
                <v:textbox inset="0,0,0,0">
                  <w:txbxContent>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中国注册会计师：龙琦</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（项目合伙人）</w:t>
                      </w:r>
                    </w:p>
                    <w:p>
                      <w:pPr>
                        <w:pStyle w:val="Style12"/>
                        <w:keepNext w:val="0"/>
                        <w:keepLines w:val="0"/>
                        <w:widowControl w:val="0"/>
                        <w:shd w:val="clear" w:color="auto" w:fill="auto"/>
                        <w:bidi w:val="0"/>
                        <w:spacing w:before="0" w:after="520" w:line="240" w:lineRule="auto"/>
                        <w:ind w:left="0" w:right="0" w:firstLine="0"/>
                        <w:jc w:val="left"/>
                      </w:pPr>
                      <w:r>
                        <w:rPr>
                          <w:color w:val="000000"/>
                          <w:spacing w:val="0"/>
                          <w:w w:val="100"/>
                          <w:position w:val="0"/>
                        </w:rPr>
                        <w:t>中国注册会计师：杨雪燕</w:t>
                      </w:r>
                    </w:p>
                    <w:p>
                      <w:pPr>
                        <w:pStyle w:val="Style12"/>
                        <w:keepNext w:val="0"/>
                        <w:keepLines w:val="0"/>
                        <w:widowControl w:val="0"/>
                        <w:shd w:val="clear" w:color="auto" w:fill="auto"/>
                        <w:bidi w:val="0"/>
                        <w:spacing w:before="0" w:after="340" w:line="240" w:lineRule="auto"/>
                        <w:ind w:left="0" w:right="0" w:firstLine="620"/>
                        <w:jc w:val="left"/>
                      </w:pPr>
                      <w:r>
                        <w:rPr>
                          <w:color w:val="000000"/>
                          <w:spacing w:val="0"/>
                          <w:w w:val="100"/>
                          <w:position w:val="0"/>
                        </w:rPr>
                        <w:t>二</w:t>
                      </w:r>
                      <w:r>
                        <w:rPr>
                          <w:color w:val="000000"/>
                          <w:spacing w:val="0"/>
                          <w:w w:val="100"/>
                          <w:position w:val="0"/>
                        </w:rPr>
                        <w:t>O</w:t>
                      </w:r>
                      <w:r>
                        <w:rPr>
                          <w:color w:val="000000"/>
                          <w:spacing w:val="0"/>
                          <w:w w:val="100"/>
                          <w:position w:val="0"/>
                        </w:rPr>
                        <w:t>二二年四月二十二日</w:t>
                      </w:r>
                    </w:p>
                  </w:txbxContent>
                </v:textbox>
                <w10:wrap type="topAndBottom" anchorx="page"/>
              </v:shape>
            </w:pict>
          </mc:Fallback>
        </mc:AlternateContent>
      </w:r>
      <w:r>
        <w:br w:type="page"/>
      </w:r>
    </w:p>
    <w:p>
      <w:pPr>
        <w:pStyle w:val="Style31"/>
        <w:keepNext/>
        <w:keepLines/>
        <w:widowControl w:val="0"/>
        <w:shd w:val="clear" w:color="auto" w:fill="auto"/>
        <w:bidi w:val="0"/>
        <w:spacing w:before="0" w:after="320" w:line="240" w:lineRule="auto"/>
        <w:ind w:left="0" w:right="0" w:firstLine="0"/>
        <w:jc w:val="left"/>
      </w:pPr>
      <w:bookmarkStart w:id="739" w:name="bookmark739"/>
      <w:bookmarkStart w:id="740" w:name="bookmark740"/>
      <w:bookmarkStart w:id="741" w:name="bookmark741"/>
      <w:r>
        <w:rPr>
          <w:color w:val="000000"/>
          <w:spacing w:val="0"/>
          <w:w w:val="100"/>
          <w:position w:val="0"/>
          <w:sz w:val="24"/>
          <w:szCs w:val="24"/>
        </w:rPr>
        <w:t>二、财务报表</w:t>
      </w:r>
      <w:bookmarkEnd w:id="739"/>
      <w:bookmarkEnd w:id="740"/>
      <w:bookmarkEnd w:id="741"/>
    </w:p>
    <w:p>
      <w:pPr>
        <w:pStyle w:val="Style12"/>
        <w:keepNext w:val="0"/>
        <w:keepLines w:val="0"/>
        <w:widowControl w:val="0"/>
        <w:shd w:val="clear" w:color="auto" w:fill="auto"/>
        <w:bidi w:val="0"/>
        <w:spacing w:before="0" w:after="420" w:line="240" w:lineRule="auto"/>
        <w:ind w:left="0" w:right="0" w:firstLine="0"/>
        <w:jc w:val="left"/>
      </w:pPr>
      <w:r>
        <w:rPr>
          <w:color w:val="000000"/>
          <w:spacing w:val="0"/>
          <w:w w:val="100"/>
          <w:position w:val="0"/>
        </w:rPr>
        <w:t>财务附注中报表的单位为：元</w:t>
      </w:r>
    </w:p>
    <w:p>
      <w:pPr>
        <w:pStyle w:val="Style38"/>
        <w:keepNext/>
        <w:keepLines/>
        <w:widowControl w:val="0"/>
        <w:shd w:val="clear" w:color="auto" w:fill="auto"/>
        <w:bidi w:val="0"/>
        <w:spacing w:before="0" w:after="32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color w:val="000000"/>
          <w:spacing w:val="0"/>
          <w:w w:val="100"/>
          <w:position w:val="0"/>
        </w:rPr>
        <w:t>、合并资产负债表</w:t>
      </w:r>
      <w:bookmarkEnd w:id="742"/>
      <w:bookmarkEnd w:id="743"/>
      <w:bookmarkEnd w:id="745"/>
    </w:p>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编制单位：深圳市法本信息技术股份有限公司</w:t>
      </w:r>
    </w:p>
    <w:p>
      <w:pPr>
        <w:pStyle w:val="Style62"/>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0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498,880,693.09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870,578,935.00</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1,145,238.00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11,694,513.99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916,689,128.99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557,399,784.56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3,679,714.08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876,400.00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15,490,778.74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9,231,224.34</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13,821,121.70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12,002,483.47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9,894,801.01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4,687,406.74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51,623,299.59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1,548,310.46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1,671,312,650.20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1,468,019,058.56</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1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0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32,988,141.28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22,544,612.38</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57,998,536.32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1,514,779.61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922,221.69</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25,992,499.75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19,333,793.19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17,087,719.40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7,098,612.39</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2,234,897.02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1,028,537.40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137,816,573.38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50,927,777.05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1,809,129,223.58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1,518,946,835.61</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65,813,821.12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64,600,718.06</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15,493,242.10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26,770,495.33</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8,218,749.64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1,655,821.15</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328,455,899.01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248,682,380.74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62,836,841.15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40,261,271.62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15,200,421.49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10,694,309.62</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30,526,336.05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7,210,554.50</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475,563.85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102,074.92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527,020,874.41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399,977,625.94</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0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31,127,856.25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31,127,856.25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558,148,730.66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399,977,625.94</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220,099,166.00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129,470,098.00</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586,376,182.63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667,190,474.53</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-243,022.37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-133,342.77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47,679,670.03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32,955,907.63</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397,068,496.63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289,486,072.28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1,250,980,492.92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1,118,969,209.67</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1,250,980,492.92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1,118,969,209.67</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1,809,129,223.58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1,518,946,835.61</w:t>
            </w:r>
          </w:p>
        </w:tc>
      </w:tr>
    </w:tbl>
    <w:p>
      <w:pPr>
        <w:pStyle w:val="Style38"/>
        <w:keepNext/>
        <w:keepLines/>
        <w:widowControl w:val="0"/>
        <w:shd w:val="clear" w:color="auto" w:fill="auto"/>
        <w:bidi w:val="0"/>
        <w:spacing w:before="0" w:after="320" w:line="240" w:lineRule="auto"/>
        <w:ind w:left="0" w:right="0" w:firstLine="0"/>
        <w:jc w:val="left"/>
      </w:pPr>
      <w:r>
        <mc:AlternateContent>
          <mc:Choice Requires="wps">
            <w:drawing>
              <wp:anchor distT="63500" distB="6350" distL="114300" distR="5195570" simplePos="0" relativeHeight="125829386" behindDoc="0" locked="0" layoutInCell="1" allowOverlap="1">
                <wp:simplePos x="0" y="0"/>
                <wp:positionH relativeFrom="page">
                  <wp:posOffset>716915</wp:posOffset>
                </wp:positionH>
                <wp:positionV relativeFrom="margin">
                  <wp:posOffset>5584190</wp:posOffset>
                </wp:positionV>
                <wp:extent cx="1066800" cy="164465"/>
                <wp:wrapTopAndBottom/>
                <wp:docPr id="43" name="Shape 43"/>
                <a:graphic xmlns:a="http://schemas.openxmlformats.org/drawingml/2006/main">
                  <a:graphicData uri="http://schemas.microsoft.com/office/word/2010/wordprocessingShape">
                    <wps:wsp>
                      <wps:cNvSpPr txBox="1"/>
                      <wps:spPr>
                        <a:xfrm>
                          <a:ext cx="1066800"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法定代表人：严华</w:t>
                            </w:r>
                          </w:p>
                        </w:txbxContent>
                      </wps:txbx>
                      <wps:bodyPr wrap="none" lIns="0" tIns="0" rIns="0" bIns="0">
                        <a:noAutoFit/>
                      </wps:bodyPr>
                    </wps:wsp>
                  </a:graphicData>
                </a:graphic>
              </wp:anchor>
            </w:drawing>
          </mc:Choice>
          <mc:Fallback>
            <w:pict>
              <v:shape id="_x0000_s1069" type="#_x0000_t202" style="position:absolute;margin-left:56.450000000000003pt;margin-top:439.69999999999999pt;width:84.pt;height:12.950000000000001pt;z-index:-125829367;mso-wrap-distance-left:9.pt;mso-wrap-distance-top:5.pt;mso-wrap-distance-right:409.10000000000002pt;mso-wrap-distance-bottom:0.5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法定代表人：严华</w:t>
                      </w:r>
                    </w:p>
                  </w:txbxContent>
                </v:textbox>
                <w10:wrap type="topAndBottom" anchorx="page" anchory="margin"/>
              </v:shape>
            </w:pict>
          </mc:Fallback>
        </mc:AlternateContent>
      </w:r>
      <w:r>
        <mc:AlternateContent>
          <mc:Choice Requires="wps">
            <w:drawing>
              <wp:anchor distT="63500" distB="0" distL="2025650" distR="2620010" simplePos="0" relativeHeight="125829388" behindDoc="0" locked="0" layoutInCell="1" allowOverlap="1">
                <wp:simplePos x="0" y="0"/>
                <wp:positionH relativeFrom="page">
                  <wp:posOffset>2628265</wp:posOffset>
                </wp:positionH>
                <wp:positionV relativeFrom="margin">
                  <wp:posOffset>5584190</wp:posOffset>
                </wp:positionV>
                <wp:extent cx="1731010" cy="170815"/>
                <wp:wrapTopAndBottom/>
                <wp:docPr id="45" name="Shape 45"/>
                <a:graphic xmlns:a="http://schemas.openxmlformats.org/drawingml/2006/main">
                  <a:graphicData uri="http://schemas.microsoft.com/office/word/2010/wordprocessingShape">
                    <wps:wsp>
                      <wps:cNvSpPr txBox="1"/>
                      <wps:spPr>
                        <a:xfrm>
                          <a:ext cx="1731010" cy="17081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主管会计工作负责人：杜水合</w:t>
                            </w:r>
                          </w:p>
                        </w:txbxContent>
                      </wps:txbx>
                      <wps:bodyPr wrap="none" lIns="0" tIns="0" rIns="0" bIns="0">
                        <a:noAutoFit/>
                      </wps:bodyPr>
                    </wps:wsp>
                  </a:graphicData>
                </a:graphic>
              </wp:anchor>
            </w:drawing>
          </mc:Choice>
          <mc:Fallback>
            <w:pict>
              <v:shape id="_x0000_s1071" type="#_x0000_t202" style="position:absolute;margin-left:206.95000000000002pt;margin-top:439.69999999999999pt;width:136.30000000000001pt;height:13.450000000000001pt;z-index:-125829365;mso-wrap-distance-left:159.5pt;mso-wrap-distance-top:5.pt;mso-wrap-distance-right:206.30000000000001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主管会计工作负责人：杜水合</w:t>
                      </w:r>
                    </w:p>
                  </w:txbxContent>
                </v:textbox>
                <w10:wrap type="topAndBottom" anchorx="page" anchory="margin"/>
              </v:shape>
            </w:pict>
          </mc:Fallback>
        </mc:AlternateContent>
      </w:r>
      <w:r>
        <mc:AlternateContent>
          <mc:Choice Requires="wps">
            <w:drawing>
              <wp:anchor distT="63500" distB="3175" distL="4799330" distR="114300" simplePos="0" relativeHeight="125829390" behindDoc="0" locked="0" layoutInCell="1" allowOverlap="1">
                <wp:simplePos x="0" y="0"/>
                <wp:positionH relativeFrom="page">
                  <wp:posOffset>5401945</wp:posOffset>
                </wp:positionH>
                <wp:positionV relativeFrom="margin">
                  <wp:posOffset>5584190</wp:posOffset>
                </wp:positionV>
                <wp:extent cx="1463040" cy="167640"/>
                <wp:wrapTopAndBottom/>
                <wp:docPr id="47" name="Shape 47"/>
                <a:graphic xmlns:a="http://schemas.openxmlformats.org/drawingml/2006/main">
                  <a:graphicData uri="http://schemas.microsoft.com/office/word/2010/wordprocessingShape">
                    <wps:wsp>
                      <wps:cNvSpPr txBox="1"/>
                      <wps:spPr>
                        <a:xfrm>
                          <a:ext cx="1463040"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会计机构负责人：王丽丽</w:t>
                            </w:r>
                          </w:p>
                        </w:txbxContent>
                      </wps:txbx>
                      <wps:bodyPr wrap="none" lIns="0" tIns="0" rIns="0" bIns="0">
                        <a:noAutoFit/>
                      </wps:bodyPr>
                    </wps:wsp>
                  </a:graphicData>
                </a:graphic>
              </wp:anchor>
            </w:drawing>
          </mc:Choice>
          <mc:Fallback>
            <w:pict>
              <v:shape id="_x0000_s1073" type="#_x0000_t202" style="position:absolute;margin-left:425.35000000000002pt;margin-top:439.69999999999999pt;width:115.2pt;height:13.200000000000001pt;z-index:-125829363;mso-wrap-distance-left:377.90000000000003pt;mso-wrap-distance-top:5.pt;mso-wrap-distance-right:9.pt;mso-wrap-distance-bottom:0.25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会计机构负责人：王丽丽</w:t>
                      </w:r>
                    </w:p>
                  </w:txbxContent>
                </v:textbox>
                <w10:wrap type="topAndBottom" anchorx="page" anchory="margin"/>
              </v:shape>
            </w:pict>
          </mc:Fallback>
        </mc:AlternateContent>
      </w: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bookmarkEnd w:id="748"/>
      <w:r>
        <w:rPr>
          <w:color w:val="000000"/>
          <w:spacing w:val="0"/>
          <w:w w:val="100"/>
          <w:position w:val="0"/>
        </w:rPr>
        <w:t>、母公司资产负债表</w:t>
      </w:r>
      <w:bookmarkEnd w:id="746"/>
      <w:bookmarkEnd w:id="747"/>
      <w:bookmarkEnd w:id="74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0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492,581,062.14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867,972,977.30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1,145,238.00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11,694,513.99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904,267,142.65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556,615,400.79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3,679,714.08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876,400.00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15,168,923.26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9,197,561.22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14,544,147.95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11,995,061.60</w:t>
            </w:r>
          </w:p>
        </w:tc>
      </w:tr>
      <w:tr>
        <w:trPr>
          <w:trHeight w:val="331"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0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9,870,201.01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4,687,406.74</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40" w:right="0" w:firstLine="0"/>
              <w:jc w:val="left"/>
              <w:rPr>
                <w:sz w:val="18"/>
                <w:szCs w:val="18"/>
              </w:rPr>
            </w:pPr>
            <w:r>
              <w:rPr>
                <w:rFonts w:ascii="Times New Roman" w:eastAsia="Times New Roman" w:hAnsi="Times New Roman" w:cs="Times New Roman"/>
                <w:color w:val="000000"/>
                <w:spacing w:val="0"/>
                <w:w w:val="100"/>
                <w:position w:val="0"/>
                <w:sz w:val="18"/>
                <w:szCs w:val="18"/>
              </w:rPr>
              <w:t>87,875.00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51,623,299.59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1,548,310.46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1,652,967,603.68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1,464,587,632.10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22,380,000.00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4,250,000.00</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32,968,997.91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22,533,109.62</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52,599,869.27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1,514,779.61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922,221.69</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25,992,499.75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19,333,793.19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13,501,853.05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7,098,612.39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2,207,147.02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1,028,537.40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151,165,146.61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55,166,274.29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1,804,132,750.29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1,519,753,906.39</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65,813,821.12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64,600,718.06</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15,412,257.57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26,033,640.27</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7,881,810.95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1,655,821.15</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317,418,634.10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248,223,290.16</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60,509,871.76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40,261,271.62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15,405,874.88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10,694,309.62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29,083,142.00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7,210,554.50</w:t>
            </w:r>
          </w:p>
        </w:tc>
      </w:tr>
    </w:tbl>
    <w:p>
      <w:pPr>
        <w:widowControl w:val="0"/>
        <w:spacing w:line="1" w:lineRule="exact"/>
      </w:pPr>
      <w:r>
        <w:br w:type="page"/>
      </w:r>
    </w:p>
    <w:tbl>
      <w:tblPr>
        <w:tblOverlap w:val="never"/>
        <w:jc w:val="center"/>
        <w:tblLayout w:type="fixed"/>
      </w:tblPr>
      <w:tblGrid>
        <w:gridCol w:w="2976"/>
        <w:gridCol w:w="3298"/>
        <w:gridCol w:w="330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472,908.65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102,074.92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511,998,321.03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398,781,680.30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27,056,812.90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27,056,812.90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539,055,133.93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398,781,680.30</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220,099,166.00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129,470,098.00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586,376,182.63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667,190,474.53</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47,679,670.03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32,955,907.63</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410,922,597.70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291,355,745.93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1,265,077,616.36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1,120,972,226.09</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1,804,132,750.29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1,519,753,906.39</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3</w:t>
      </w:r>
      <w:bookmarkEnd w:id="752"/>
      <w:r>
        <w:rPr>
          <w:color w:val="000000"/>
          <w:spacing w:val="0"/>
          <w:w w:val="100"/>
          <w:position w:val="0"/>
        </w:rPr>
        <w:t>、合并利润表</w:t>
      </w:r>
      <w:bookmarkEnd w:id="750"/>
      <w:bookmarkEnd w:id="751"/>
      <w:bookmarkEnd w:id="75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3"/>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3,088,227,503.90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1,947,737,519.73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3,088,227,503.90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1,947,737,519.73</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2,938,664,359.65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1,812,248,660.85</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2,273,114,428.68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1,394,004,782.79</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940"/>
              <w:jc w:val="left"/>
              <w:rPr>
                <w:sz w:val="18"/>
                <w:szCs w:val="18"/>
              </w:rPr>
            </w:pPr>
            <w:r>
              <w:rPr>
                <w:color w:val="000000"/>
                <w:spacing w:val="0"/>
                <w:w w:val="100"/>
                <w:position w:val="0"/>
                <w:sz w:val="18"/>
                <w:szCs w:val="18"/>
              </w:rPr>
              <w:t>提取保险责任合同准备金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20,588,200.71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12,317,748.73</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83,774,947.38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68,172,151.32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374,444,972.07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220,955,635.27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186,166,576.43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113,734,884.24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575,234.38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3,063,458.50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5,227,367.13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3,277,383.42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5,393,248.66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982,530.32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16,243,546.50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11,021,487.55</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8,015,272.27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918,511.12</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740"/>
              <w:jc w:val="left"/>
              <w:rPr>
                <w:sz w:val="18"/>
                <w:szCs w:val="18"/>
              </w:rPr>
            </w:pPr>
            <w:r>
              <w:rPr>
                <w:color w:val="000000"/>
                <w:spacing w:val="0"/>
                <w:w w:val="100"/>
                <w:position w:val="0"/>
                <w:sz w:val="18"/>
                <w:szCs w:val="18"/>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1100"/>
              <w:jc w:val="left"/>
              <w:rPr>
                <w:sz w:val="18"/>
                <w:szCs w:val="18"/>
              </w:rPr>
            </w:pPr>
            <w:r>
              <w:rPr>
                <w:color w:val="000000"/>
                <w:spacing w:val="0"/>
                <w:w w:val="100"/>
                <w:position w:val="0"/>
                <w:sz w:val="18"/>
                <w:szCs w:val="18"/>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-38,940,953.94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-16,716,706.15</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740"/>
              <w:jc w:val="left"/>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-4,625.00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exact"/>
              <w:ind w:left="0" w:right="0" w:firstLine="740"/>
              <w:jc w:val="left"/>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1,521,007.05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136,397,391.13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130,712,151.40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45,311.09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126,992.61</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633,842.64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1,296,346.92</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135,808,859.58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129,542,797.09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555,663.03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8,002,591.72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135,253,196.55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121,540,205.37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135,253,196.55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121,540,205.37</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54"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135,253,196.55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121,540,205.37</w:t>
            </w:r>
          </w:p>
        </w:tc>
      </w:tr>
    </w:tbl>
    <w:p>
      <w:pPr>
        <w:widowControl w:val="0"/>
        <w:spacing w:line="1" w:lineRule="exact"/>
      </w:pPr>
      <w:r>
        <w:br w:type="page"/>
      </w:r>
    </w:p>
    <w:tbl>
      <w:tblPr>
        <w:tblOverlap w:val="never"/>
        <w:jc w:val="center"/>
        <w:tblLayout w:type="fixed"/>
      </w:tblPr>
      <w:tblGrid>
        <w:gridCol w:w="3086"/>
        <w:gridCol w:w="3211"/>
        <w:gridCol w:w="3283"/>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-109,679.60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-123,067.89</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220"/>
              <w:jc w:val="left"/>
              <w:rPr>
                <w:sz w:val="18"/>
                <w:szCs w:val="18"/>
              </w:rPr>
            </w:pPr>
            <w:r>
              <w:rPr>
                <w:color w:val="000000"/>
                <w:spacing w:val="0"/>
                <w:w w:val="100"/>
                <w:position w:val="0"/>
                <w:sz w:val="18"/>
                <w:szCs w:val="18"/>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-109,679.60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-123,067.89</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380"/>
              <w:jc w:val="left"/>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50"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59" w:lineRule="exact"/>
              <w:ind w:left="0" w:right="0" w:firstLine="38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-109,679.60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-123,067.89</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54"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54"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-109,679.60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-123,067.89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220"/>
              <w:jc w:val="left"/>
              <w:rPr>
                <w:sz w:val="18"/>
                <w:szCs w:val="18"/>
              </w:rPr>
            </w:pPr>
            <w:r>
              <w:rPr>
                <w:color w:val="000000"/>
                <w:spacing w:val="0"/>
                <w:w w:val="100"/>
                <w:position w:val="0"/>
                <w:sz w:val="18"/>
                <w:szCs w:val="18"/>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135,143,516.95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121,417,137.48</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26" w:lineRule="exact"/>
              <w:ind w:left="0" w:right="0" w:firstLine="380"/>
              <w:jc w:val="left"/>
              <w:rPr>
                <w:sz w:val="18"/>
                <w:szCs w:val="18"/>
              </w:rPr>
            </w:pPr>
            <w:r>
              <w:rPr>
                <w:color w:val="000000"/>
                <w:spacing w:val="0"/>
                <w:w w:val="100"/>
                <w:position w:val="0"/>
                <w:sz w:val="18"/>
                <w:szCs w:val="18"/>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135,143,516.95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121,417,137.48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widowControl w:val="0"/>
        <w:spacing w:after="159" w:line="1" w:lineRule="exact"/>
      </w:pPr>
    </w:p>
    <w:p>
      <w:pPr>
        <w:pStyle w:val="Style12"/>
        <w:keepNext w:val="0"/>
        <w:keepLines w:val="0"/>
        <w:widowControl w:val="0"/>
        <w:shd w:val="clear" w:color="auto" w:fill="auto"/>
        <w:tabs>
          <w:tab w:pos="3062" w:val="left"/>
          <w:tab w:pos="7320" w:val="left"/>
        </w:tabs>
        <w:bidi w:val="0"/>
        <w:spacing w:before="0" w:after="440" w:line="240" w:lineRule="auto"/>
        <w:ind w:left="0" w:right="0" w:firstLine="0"/>
        <w:jc w:val="left"/>
      </w:pPr>
      <w:r>
        <w:rPr>
          <w:color w:val="000000"/>
          <w:spacing w:val="0"/>
          <w:w w:val="100"/>
          <w:position w:val="0"/>
        </w:rPr>
        <w:t>法定代表人：严华</w:t>
        <w:tab/>
        <w:t>主管会计工作负责人：杜水合</w:t>
        <w:tab/>
        <w:t>会计机构负责人：王丽丽</w:t>
      </w:r>
    </w:p>
    <w:p>
      <w:pPr>
        <w:pStyle w:val="Style38"/>
        <w:keepNext/>
        <w:keepLines/>
        <w:widowControl w:val="0"/>
        <w:shd w:val="clear" w:color="auto" w:fill="auto"/>
        <w:bidi w:val="0"/>
        <w:spacing w:before="0" w:after="32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4</w:t>
      </w:r>
      <w:bookmarkEnd w:id="756"/>
      <w:r>
        <w:rPr>
          <w:color w:val="000000"/>
          <w:spacing w:val="0"/>
          <w:w w:val="100"/>
          <w:position w:val="0"/>
        </w:rPr>
        <w:t>、母公司利润表</w:t>
      </w:r>
      <w:bookmarkEnd w:id="754"/>
      <w:bookmarkEnd w:id="755"/>
      <w:bookmarkEnd w:id="75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07"/>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3,066,301,491.38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1,946,981,198.63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2,259,522,892.25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1,393,612,816.52</w:t>
            </w:r>
          </w:p>
        </w:tc>
      </w:tr>
    </w:tbl>
    <w:p>
      <w:pPr>
        <w:widowControl w:val="0"/>
        <w:spacing w:line="1" w:lineRule="exact"/>
      </w:pPr>
      <w:r>
        <w:br w:type="page"/>
      </w:r>
    </w:p>
    <w:tbl>
      <w:tblPr>
        <w:tblOverlap w:val="never"/>
        <w:jc w:val="center"/>
        <w:tblLayout w:type="fixed"/>
      </w:tblPr>
      <w:tblGrid>
        <w:gridCol w:w="2976"/>
        <w:gridCol w:w="3298"/>
        <w:gridCol w:w="330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20,493,059.62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12,317,748.73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76,391,645.88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68,051,574.68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358,721,942.82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219,344,652.17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186,166,576.43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113,734,884.24</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528,430.71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3,109,565.61</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5,199,774.16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3,277,383.42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5,390,100.73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981,815.72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16,243,546.50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11,021,487.55</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740"/>
              <w:jc w:val="both"/>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8,015,272.27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918,511.12</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740"/>
              <w:jc w:val="both"/>
              <w:rPr>
                <w:sz w:val="18"/>
                <w:szCs w:val="18"/>
              </w:rPr>
            </w:pPr>
            <w:r>
              <w:rPr>
                <w:color w:val="000000"/>
                <w:spacing w:val="0"/>
                <w:w w:val="100"/>
                <w:position w:val="0"/>
                <w:sz w:val="18"/>
                <w:szCs w:val="18"/>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3" w:lineRule="exact"/>
              <w:ind w:left="0" w:right="0" w:firstLine="1100"/>
              <w:jc w:val="left"/>
              <w:rPr>
                <w:sz w:val="18"/>
                <w:szCs w:val="18"/>
              </w:rPr>
            </w:pPr>
            <w:r>
              <w:rPr>
                <w:color w:val="000000"/>
                <w:spacing w:val="0"/>
                <w:w w:val="100"/>
                <w:position w:val="0"/>
                <w:sz w:val="18"/>
                <w:szCs w:val="18"/>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信用减值损失（损失以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-38,317,598.81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-16,675,032.17</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-4,625.00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740"/>
              <w:jc w:val="left"/>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1,521,007.05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151,934,545.68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132,074,923.18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45,309.13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126,992.61</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633,822.70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1,296,346.92</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151,346,032.11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130,905,568.87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4,108,408.14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8,002,591.72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147,237,623.97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122,902,977.15</w:t>
            </w: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380"/>
              <w:jc w:val="left"/>
              <w:rPr>
                <w:sz w:val="18"/>
                <w:szCs w:val="18"/>
              </w:rPr>
            </w:pPr>
            <w:r>
              <w:rPr>
                <w:color w:val="000000"/>
                <w:spacing w:val="0"/>
                <w:w w:val="100"/>
                <w:position w:val="0"/>
                <w:sz w:val="18"/>
                <w:szCs w:val="18"/>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147,237,623.97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122,902,977.15</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exact"/>
              <w:ind w:left="0" w:right="0" w:firstLine="380"/>
              <w:jc w:val="left"/>
              <w:rPr>
                <w:sz w:val="18"/>
                <w:szCs w:val="18"/>
              </w:rPr>
            </w:pPr>
            <w:r>
              <w:rPr>
                <w:color w:val="000000"/>
                <w:spacing w:val="0"/>
                <w:w w:val="100"/>
                <w:position w:val="0"/>
                <w:sz w:val="18"/>
                <w:szCs w:val="18"/>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380"/>
              <w:jc w:val="left"/>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5"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0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59" w:lineRule="exact"/>
              <w:ind w:left="0" w:right="0" w:firstLine="380"/>
              <w:jc w:val="both"/>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50"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50"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147,237,623.97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122,902,977.15</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5</w:t>
      </w:r>
      <w:bookmarkEnd w:id="760"/>
      <w:r>
        <w:rPr>
          <w:color w:val="000000"/>
          <w:spacing w:val="0"/>
          <w:w w:val="100"/>
          <w:position w:val="0"/>
        </w:rPr>
        <w:t>、合并现金流量表</w:t>
      </w:r>
      <w:bookmarkEnd w:id="758"/>
      <w:bookmarkEnd w:id="759"/>
      <w:bookmarkEnd w:id="76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0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2,885,542,313.00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1,868,958,752.49</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color w:val="000000"/>
                <w:spacing w:val="0"/>
                <w:w w:val="100"/>
                <w:position w:val="0"/>
                <w:sz w:val="18"/>
                <w:szCs w:val="18"/>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380"/>
              <w:jc w:val="both"/>
              <w:rPr>
                <w:sz w:val="18"/>
                <w:szCs w:val="18"/>
              </w:rPr>
            </w:pPr>
            <w:r>
              <w:rPr>
                <w:color w:val="000000"/>
                <w:spacing w:val="0"/>
                <w:w w:val="100"/>
                <w:position w:val="0"/>
                <w:sz w:val="18"/>
                <w:szCs w:val="18"/>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1,535,819.22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42,065.02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21,047,337.94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17,534,559.45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2,908,125,470.16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1,886,535,376.96</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64,384,211.94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41,293,071.42</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color w:val="000000"/>
                <w:spacing w:val="0"/>
                <w:w w:val="100"/>
                <w:position w:val="0"/>
                <w:sz w:val="18"/>
                <w:szCs w:val="18"/>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支付原保险合同赔付款项的现金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0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2,622,806,112.54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1,574,977,770.66</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184,910,095.74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112,114,433.82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99,767,041.61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91,458,882.50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2,971,867,461.83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1,819,844,158.40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-63,741,991.67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66,691,218.56</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8,146,114.60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930,168.73</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4,592,951.14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2,660.00</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1,462,000,000.00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705,100,000.00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1,474,739,065.74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706,032,828.73</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58,299,426.75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34,847,872.20</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1,672,000,000.00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625,000,000.00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1,730,429,426.75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659,847,872.20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-255,690,361.01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46,184,956.53</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607,065,758.49</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color w:val="000000"/>
                <w:spacing w:val="0"/>
                <w:w w:val="100"/>
                <w:position w:val="0"/>
                <w:sz w:val="18"/>
                <w:szCs w:val="18"/>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126,247,628.05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136,700,000.00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126,247,628.05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743,765,758.49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132,166,270.82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106,200,000.00</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15,300,212.36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5,263,357.55</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26" w:lineRule="exact"/>
              <w:ind w:left="0" w:right="0" w:firstLine="380"/>
              <w:jc w:val="both"/>
              <w:rPr>
                <w:sz w:val="18"/>
                <w:szCs w:val="18"/>
              </w:rPr>
            </w:pPr>
            <w:r>
              <w:rPr>
                <w:color w:val="000000"/>
                <w:spacing w:val="0"/>
                <w:w w:val="100"/>
                <w:position w:val="0"/>
                <w:sz w:val="18"/>
                <w:szCs w:val="18"/>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33,568,436.02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20,829,707.32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181,034,919.20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132,293,064.87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-54,787,291.15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611,472,693.62</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-87,072.58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-99,513.73</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-374,306,716.41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724,249,354.98</w:t>
            </w:r>
          </w:p>
        </w:tc>
      </w:tr>
    </w:tbl>
    <w:p>
      <w:pPr>
        <w:widowControl w:val="0"/>
        <w:spacing w:line="1" w:lineRule="exact"/>
      </w:pPr>
      <w:r>
        <w:br w:type="page"/>
      </w:r>
    </w:p>
    <w:tbl>
      <w:tblPr>
        <w:tblOverlap w:val="never"/>
        <w:jc w:val="center"/>
        <w:tblLayout w:type="fixed"/>
      </w:tblPr>
      <w:tblGrid>
        <w:gridCol w:w="2976"/>
        <w:gridCol w:w="3298"/>
        <w:gridCol w:w="330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868,011,475.00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143,762,120.02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493,704,758.59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868,011,475.00</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6</w:t>
      </w:r>
      <w:bookmarkEnd w:id="764"/>
      <w:r>
        <w:rPr>
          <w:color w:val="000000"/>
          <w:spacing w:val="0"/>
          <w:w w:val="100"/>
          <w:position w:val="0"/>
        </w:rPr>
        <w:t>、母公司现金流量表</w:t>
      </w:r>
      <w:bookmarkEnd w:id="762"/>
      <w:bookmarkEnd w:id="763"/>
      <w:bookmarkEnd w:id="76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07"/>
      </w:tblGrid>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2,874,696,764.37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1,868,996,622.26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1,535,819.22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42,065.02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22,231,599.62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17,533,704.77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2,898,464,183.21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1,886,572,392.05</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58,381,130.73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41,621,664.31</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2,606,661,583.88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1,573,668,293.41</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184,694,598.01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112,114,433.82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98,377,999.46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91,362,397.09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2,948,115,312.08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1,818,766,788.63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-49,651,128.87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67,805,603.42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8,146,114.60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930,168.73</w:t>
            </w: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4,592,951.14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2,660.00</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1,462,000,000.00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705,100,000.00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1,474,739,065.74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706,032,828.73</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58,253,697.57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34,836,369.44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18,130,000.00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2,450,000.00</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1,672,000,000.00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625,000,000.00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1,748,383,697.57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662,286,369.44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-273,644,631.83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43,746,459.29</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607,065,758.49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126,247,628.05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136,700,000.00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126,247,628.05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743,765,758.49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132,166,270.82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106,200,000.00</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15,300,212.36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5,263,357.55</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33,471,779.58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20,829,707.32</w:t>
            </w:r>
          </w:p>
        </w:tc>
      </w:tr>
    </w:tbl>
    <w:p>
      <w:pPr>
        <w:widowControl w:val="0"/>
        <w:spacing w:line="1" w:lineRule="exact"/>
      </w:pPr>
      <w:r>
        <w:br w:type="page"/>
      </w:r>
    </w:p>
    <w:tbl>
      <w:tblPr>
        <w:tblOverlap w:val="never"/>
        <w:jc w:val="center"/>
        <w:tblLayout w:type="fixed"/>
      </w:tblPr>
      <w:tblGrid>
        <w:gridCol w:w="2976"/>
        <w:gridCol w:w="3298"/>
        <w:gridCol w:w="330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180,938,262.76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132,293,064.87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-54,690,634.71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611,472,693.62</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-13,994.25</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-378,000,389.66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723,024,756.33</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865,405,517.30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142,380,760.97</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487,405,127.64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865,405,517.30</w:t>
            </w:r>
          </w:p>
        </w:tc>
      </w:tr>
    </w:tbl>
    <w:p>
      <w:pPr>
        <w:sectPr>
          <w:footnotePr>
            <w:pos w:val="pageBottom"/>
            <w:numFmt w:val="decimal"/>
            <w:numRestart w:val="continuous"/>
          </w:footnotePr>
          <w:pgSz w:w="11900" w:h="16840"/>
          <w:pgMar w:top="1278" w:right="986" w:bottom="1475" w:left="1017" w:header="0" w:footer="3" w:gutter="0"/>
          <w:cols w:space="720"/>
          <w:noEndnote/>
          <w:rtlGutter w:val="0"/>
          <w:docGrid w:linePitch="360"/>
        </w:sectPr>
      </w:pPr>
    </w:p>
    <w:p>
      <w:pPr>
        <w:pStyle w:val="Style38"/>
        <w:keepNext/>
        <w:keepLines/>
        <w:widowControl w:val="0"/>
        <w:shd w:val="clear" w:color="auto" w:fill="auto"/>
        <w:bidi w:val="0"/>
        <w:spacing w:before="0" w:after="34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7</w:t>
      </w:r>
      <w:bookmarkEnd w:id="768"/>
      <w:r>
        <w:rPr>
          <w:color w:val="000000"/>
          <w:spacing w:val="0"/>
          <w:w w:val="100"/>
          <w:position w:val="0"/>
        </w:rPr>
        <w:t>、合并所有者权益变动表</w:t>
      </w:r>
      <w:bookmarkEnd w:id="766"/>
      <w:bookmarkEnd w:id="767"/>
      <w:bookmarkEnd w:id="769"/>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920"/>
        <w:gridCol w:w="1181"/>
        <w:gridCol w:w="394"/>
        <w:gridCol w:w="394"/>
        <w:gridCol w:w="312"/>
        <w:gridCol w:w="1181"/>
        <w:gridCol w:w="653"/>
        <w:gridCol w:w="984"/>
        <w:gridCol w:w="466"/>
        <w:gridCol w:w="1094"/>
        <w:gridCol w:w="624"/>
        <w:gridCol w:w="1181"/>
        <w:gridCol w:w="312"/>
        <w:gridCol w:w="1320"/>
        <w:gridCol w:w="624"/>
        <w:gridCol w:w="1330"/>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326"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少数股</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557"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其他综合收 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一般风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险准备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8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textDirection w:val="tbRlV"/>
            <w:vAlign w:val="bottom"/>
          </w:tcPr>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129,470,098.00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667,190,474.53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32,955,907.63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289,486,072.28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1,118,969,209.67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1,118,969,209.67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760"/>
              <w:jc w:val="both"/>
              <w:rPr>
                <w:sz w:val="18"/>
                <w:szCs w:val="18"/>
              </w:rPr>
            </w:pPr>
            <w:r>
              <w:rPr>
                <w:color w:val="000000"/>
                <w:spacing w:val="0"/>
                <w:w w:val="100"/>
                <w:position w:val="0"/>
                <w:sz w:val="18"/>
                <w:szCs w:val="18"/>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129,470,098.00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667,190,474.53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32,955,907.63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289,486,072.28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1,118,969,209.67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1,118,969,209.67</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三、本期增减变动金额 （减少以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-80,814,291.90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14,723,762.40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107,582,424.35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132,011,283.25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132,011,283.25</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135,253,196.55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135,143,516.95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135,143,516.95</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9,740,686.08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9,740,686.08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9,740,686.08</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9,740,686.08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9,740,686.08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9,740,686.08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14,723,762.40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-27,670,772.20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-12,947,009.80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-12,947,009.80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14,723,762.40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-14,723,762.40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920"/>
        <w:gridCol w:w="1181"/>
        <w:gridCol w:w="394"/>
        <w:gridCol w:w="394"/>
        <w:gridCol w:w="312"/>
        <w:gridCol w:w="1181"/>
        <w:gridCol w:w="653"/>
        <w:gridCol w:w="984"/>
        <w:gridCol w:w="466"/>
        <w:gridCol w:w="1094"/>
        <w:gridCol w:w="624"/>
        <w:gridCol w:w="1181"/>
        <w:gridCol w:w="312"/>
        <w:gridCol w:w="1320"/>
        <w:gridCol w:w="624"/>
        <w:gridCol w:w="1330"/>
      </w:tblGrid>
      <w:tr>
        <w:trPr>
          <w:trHeight w:val="35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-12,947,009.80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-12,947,009.80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-12,947,009.80</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（四）所有者权益内部 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74,090.02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74,090.02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220,099,166.00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586,376,182.63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-243,022.37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47,679,670.03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397,068,496.63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1,250,980,492.92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1,250,980,492.92</w:t>
            </w:r>
          </w:p>
        </w:tc>
      </w:tr>
    </w:tbl>
    <w:p>
      <w:pPr>
        <w:widowControl w:val="0"/>
        <w:spacing w:after="379" w:line="1" w:lineRule="exact"/>
      </w:pP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上期金额</w:t>
      </w:r>
    </w:p>
    <w:p>
      <w:pPr>
        <w:pStyle w:val="Style54"/>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392" behindDoc="0" locked="0" layoutInCell="1" allowOverlap="1">
                <wp:simplePos x="0" y="0"/>
                <wp:positionH relativeFrom="page">
                  <wp:posOffset>913130</wp:posOffset>
                </wp:positionH>
                <wp:positionV relativeFrom="paragraph">
                  <wp:posOffset>0</wp:posOffset>
                </wp:positionV>
                <wp:extent cx="4465320" cy="1276985"/>
                <wp:wrapTopAndBottom/>
                <wp:docPr id="49" name="Shape 49"/>
                <a:graphic xmlns:a="http://schemas.openxmlformats.org/drawingml/2006/main">
                  <a:graphicData uri="http://schemas.microsoft.com/office/word/2010/wordprocessingShape">
                    <wps:wsp>
                      <wps:cNvSpPr txBox="1"/>
                      <wps:spPr>
                        <a:xfrm>
                          <a:ext cx="4465320" cy="1276985"/>
                        </a:xfrm>
                        <a:prstGeom prst="rect"/>
                        <a:noFill/>
                      </wps:spPr>
                      <wps:txbx>
                        <w:txbxContent>
                          <w:tbl>
                            <w:tblPr>
                              <w:tblOverlap w:val="never"/>
                              <w:jc w:val="left"/>
                              <w:tblLayout w:type="fixed"/>
                            </w:tblPr>
                            <w:tblGrid>
                              <w:gridCol w:w="1925"/>
                              <w:gridCol w:w="1181"/>
                              <w:gridCol w:w="394"/>
                              <w:gridCol w:w="394"/>
                              <w:gridCol w:w="317"/>
                              <w:gridCol w:w="1181"/>
                              <w:gridCol w:w="648"/>
                              <w:gridCol w:w="994"/>
                            </w:tblGrid>
                            <w:tr>
                              <w:trPr>
                                <w:tblHeade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7"/>
                                  <w:tcBorders>
                                    <w:top w:val="single" w:sz="4"/>
                                    <w:left w:val="single" w:sz="4"/>
                                  </w:tcBorders>
                                  <w:shd w:val="clear" w:color="auto" w:fill="D4D4D4"/>
                                  <w:vAlign w:val="top"/>
                                </w:tcPr>
                                <w:p>
                                  <w:pPr>
                                    <w:widowControl w:val="0"/>
                                    <w:rPr>
                                      <w:sz w:val="10"/>
                                      <w:szCs w:val="10"/>
                                    </w:rPr>
                                  </w:pPr>
                                </w:p>
                              </w:tc>
                            </w:tr>
                            <w:tr>
                              <w:trPr>
                                <w:trHeight w:val="322" w:hRule="exact"/>
                              </w:trPr>
                              <w:tc>
                                <w:tcPr>
                                  <w:vMerge/>
                                  <w:tcBorders>
                                    <w:left w:val="single" w:sz="4"/>
                                  </w:tcBorders>
                                  <w:shd w:val="clear" w:color="auto" w:fill="D4D4D4"/>
                                  <w:vAlign w:val="center"/>
                                </w:tcPr>
                                <w:p>
                                  <w:pPr/>
                                </w:p>
                              </w:tc>
                              <w:tc>
                                <w:tcPr>
                                  <w:gridSpan w:val="7"/>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归属于母公司</w:t>
                                  </w:r>
                                </w:p>
                              </w:tc>
                            </w:tr>
                            <w:tr>
                              <w:trPr>
                                <w:trHeight w:val="557"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其他综合收 益</w:t>
                                  </w:r>
                                </w:p>
                              </w:tc>
                            </w:tr>
                            <w:tr>
                              <w:trPr>
                                <w:trHeight w:val="802"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textDirection w:val="tbRlV"/>
                                  <w:vAlign w:val="bottom"/>
                                </w:tcPr>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他</w:t>
                                  </w: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075" type="#_x0000_t202" style="position:absolute;margin-left:71.900000000000006pt;margin-top:0;width:351.60000000000002pt;height:100.55pt;z-index:-125829361;mso-wrap-distance-left:0;mso-wrap-distance-right:0;mso-position-horizontal-relative:page" filled="f" stroked="f">
                <v:textbox inset="0,0,0,0">
                  <w:txbxContent>
                    <w:tbl>
                      <w:tblPr>
                        <w:tblOverlap w:val="never"/>
                        <w:jc w:val="left"/>
                        <w:tblLayout w:type="fixed"/>
                      </w:tblPr>
                      <w:tblGrid>
                        <w:gridCol w:w="1925"/>
                        <w:gridCol w:w="1181"/>
                        <w:gridCol w:w="394"/>
                        <w:gridCol w:w="394"/>
                        <w:gridCol w:w="317"/>
                        <w:gridCol w:w="1181"/>
                        <w:gridCol w:w="648"/>
                        <w:gridCol w:w="994"/>
                      </w:tblGrid>
                      <w:tr>
                        <w:trPr>
                          <w:tblHeade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7"/>
                            <w:tcBorders>
                              <w:top w:val="single" w:sz="4"/>
                              <w:left w:val="single" w:sz="4"/>
                            </w:tcBorders>
                            <w:shd w:val="clear" w:color="auto" w:fill="D4D4D4"/>
                            <w:vAlign w:val="top"/>
                          </w:tcPr>
                          <w:p>
                            <w:pPr>
                              <w:widowControl w:val="0"/>
                              <w:rPr>
                                <w:sz w:val="10"/>
                                <w:szCs w:val="10"/>
                              </w:rPr>
                            </w:pPr>
                          </w:p>
                        </w:tc>
                      </w:tr>
                      <w:tr>
                        <w:trPr>
                          <w:trHeight w:val="322" w:hRule="exact"/>
                        </w:trPr>
                        <w:tc>
                          <w:tcPr>
                            <w:vMerge/>
                            <w:tcBorders>
                              <w:left w:val="single" w:sz="4"/>
                            </w:tcBorders>
                            <w:shd w:val="clear" w:color="auto" w:fill="D4D4D4"/>
                            <w:vAlign w:val="center"/>
                          </w:tcPr>
                          <w:p>
                            <w:pPr/>
                          </w:p>
                        </w:tc>
                        <w:tc>
                          <w:tcPr>
                            <w:gridSpan w:val="7"/>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归属于母公司</w:t>
                            </w:r>
                          </w:p>
                        </w:tc>
                      </w:tr>
                      <w:tr>
                        <w:trPr>
                          <w:trHeight w:val="557"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其他综合收 益</w:t>
                            </w:r>
                          </w:p>
                        </w:tc>
                      </w:tr>
                      <w:tr>
                        <w:trPr>
                          <w:trHeight w:val="802"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textDirection w:val="tbRlV"/>
                            <w:vAlign w:val="bottom"/>
                          </w:tcPr>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他</w:t>
                            </w: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94" behindDoc="0" locked="0" layoutInCell="1" allowOverlap="1">
                <wp:simplePos x="0" y="0"/>
                <wp:positionH relativeFrom="page">
                  <wp:posOffset>5366385</wp:posOffset>
                </wp:positionH>
                <wp:positionV relativeFrom="paragraph">
                  <wp:posOffset>0</wp:posOffset>
                </wp:positionV>
                <wp:extent cx="4416425" cy="1276985"/>
                <wp:wrapTopAndBottom/>
                <wp:docPr id="51" name="Shape 51"/>
                <a:graphic xmlns:a="http://schemas.openxmlformats.org/drawingml/2006/main">
                  <a:graphicData uri="http://schemas.microsoft.com/office/word/2010/wordprocessingShape">
                    <wps:wsp>
                      <wps:cNvSpPr txBox="1"/>
                      <wps:spPr>
                        <a:xfrm>
                          <a:ext cx="4416425" cy="1276985"/>
                        </a:xfrm>
                        <a:prstGeom prst="rect"/>
                        <a:noFill/>
                      </wps:spPr>
                      <wps:txbx>
                        <w:txbxContent>
                          <w:tbl>
                            <w:tblPr>
                              <w:tblOverlap w:val="never"/>
                              <w:jc w:val="left"/>
                              <w:tblLayout w:type="fixed"/>
                            </w:tblPr>
                            <w:tblGrid>
                              <w:gridCol w:w="480"/>
                              <w:gridCol w:w="1090"/>
                              <w:gridCol w:w="629"/>
                              <w:gridCol w:w="1181"/>
                              <w:gridCol w:w="312"/>
                              <w:gridCol w:w="1310"/>
                              <w:gridCol w:w="629"/>
                              <w:gridCol w:w="1325"/>
                            </w:tblGrid>
                            <w:tr>
                              <w:trPr>
                                <w:tblHeader/>
                                <w:trHeight w:val="331" w:hRule="exact"/>
                              </w:trPr>
                              <w:tc>
                                <w:tcPr>
                                  <w:gridSpan w:val="8"/>
                                  <w:tcBorders>
                                    <w:top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322" w:hRule="exact"/>
                              </w:trPr>
                              <w:tc>
                                <w:tcPr>
                                  <w:gridSpan w:val="6"/>
                                  <w:tcBorders>
                                    <w:top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少数股</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所有者权益合 计</w:t>
                                  </w:r>
                                </w:p>
                              </w:tc>
                            </w:tr>
                            <w:tr>
                              <w:trPr>
                                <w:trHeight w:val="135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储备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一般风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险准备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077" type="#_x0000_t202" style="position:absolute;margin-left:422.55000000000001pt;margin-top:0;width:347.75pt;height:100.55pt;z-index:-125829359;mso-wrap-distance-left:0;mso-wrap-distance-right:0;mso-position-horizontal-relative:page" filled="f" stroked="f">
                <v:textbox inset="0,0,0,0">
                  <w:txbxContent>
                    <w:tbl>
                      <w:tblPr>
                        <w:tblOverlap w:val="never"/>
                        <w:jc w:val="left"/>
                        <w:tblLayout w:type="fixed"/>
                      </w:tblPr>
                      <w:tblGrid>
                        <w:gridCol w:w="480"/>
                        <w:gridCol w:w="1090"/>
                        <w:gridCol w:w="629"/>
                        <w:gridCol w:w="1181"/>
                        <w:gridCol w:w="312"/>
                        <w:gridCol w:w="1310"/>
                        <w:gridCol w:w="629"/>
                        <w:gridCol w:w="1325"/>
                      </w:tblGrid>
                      <w:tr>
                        <w:trPr>
                          <w:tblHeader/>
                          <w:trHeight w:val="331" w:hRule="exact"/>
                        </w:trPr>
                        <w:tc>
                          <w:tcPr>
                            <w:gridSpan w:val="8"/>
                            <w:tcBorders>
                              <w:top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322" w:hRule="exact"/>
                        </w:trPr>
                        <w:tc>
                          <w:tcPr>
                            <w:gridSpan w:val="6"/>
                            <w:tcBorders>
                              <w:top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少数股</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所有者权益合 计</w:t>
                            </w:r>
                          </w:p>
                        </w:tc>
                      </w:tr>
                      <w:tr>
                        <w:trPr>
                          <w:trHeight w:val="135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储备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一般风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险准备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1925"/>
        <w:gridCol w:w="1181"/>
        <w:gridCol w:w="394"/>
        <w:gridCol w:w="394"/>
        <w:gridCol w:w="317"/>
        <w:gridCol w:w="1181"/>
        <w:gridCol w:w="648"/>
        <w:gridCol w:w="984"/>
        <w:gridCol w:w="470"/>
        <w:gridCol w:w="1090"/>
        <w:gridCol w:w="629"/>
        <w:gridCol w:w="1181"/>
        <w:gridCol w:w="312"/>
        <w:gridCol w:w="1310"/>
        <w:gridCol w:w="629"/>
        <w:gridCol w:w="1325"/>
      </w:tblGrid>
      <w:tr>
        <w:trPr>
          <w:trHeight w:val="35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97,100,098.00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114,443,305.71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20,665,609.91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180,236,164.63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412,434,903.37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412,434,903.37</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740"/>
              <w:jc w:val="both"/>
              <w:rPr>
                <w:sz w:val="18"/>
                <w:szCs w:val="18"/>
              </w:rPr>
            </w:pPr>
            <w:r>
              <w:rPr>
                <w:color w:val="000000"/>
                <w:spacing w:val="0"/>
                <w:w w:val="100"/>
                <w:position w:val="0"/>
                <w:sz w:val="18"/>
                <w:szCs w:val="18"/>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97,100,098.00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114,443,305.71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20,665,609.91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180,236,164.63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412,434,903.37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412,434,903.37</w:t>
            </w: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三、本期增减变动金额 （减少以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552,747,168.82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-123,067.89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109,249,907.65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706,534,306.30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706,534,306.30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-123,067.89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121,540,205.37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121,417,137.48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121,417,137.48</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 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552,747,168.82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585,117,168.82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585,117,168.82</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,所有者投入的普通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552,747,168.82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585,117,168.82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585,117,168.82</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181"/>
        <w:gridCol w:w="394"/>
        <w:gridCol w:w="394"/>
        <w:gridCol w:w="317"/>
        <w:gridCol w:w="1181"/>
        <w:gridCol w:w="648"/>
        <w:gridCol w:w="984"/>
        <w:gridCol w:w="470"/>
        <w:gridCol w:w="1090"/>
        <w:gridCol w:w="629"/>
        <w:gridCol w:w="1181"/>
        <w:gridCol w:w="312"/>
        <w:gridCol w:w="1310"/>
        <w:gridCol w:w="629"/>
        <w:gridCol w:w="1325"/>
      </w:tblGrid>
      <w:tr>
        <w:trPr>
          <w:trHeight w:val="59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129,470,098.00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667,190,474.53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32,955,907.63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289,486,072.28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1,118,969,209.67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1,118,969,209.67</w:t>
            </w:r>
          </w:p>
        </w:tc>
      </w:tr>
    </w:tbl>
    <w:p>
      <w:pPr>
        <w:widowControl w:val="0"/>
        <w:spacing w:after="279" w:line="1" w:lineRule="exact"/>
      </w:pPr>
    </w:p>
    <w:p>
      <w:pPr>
        <w:pStyle w:val="Style38"/>
        <w:keepNext/>
        <w:keepLines/>
        <w:widowControl w:val="0"/>
        <w:shd w:val="clear" w:color="auto" w:fill="auto"/>
        <w:bidi w:val="0"/>
        <w:spacing w:before="0" w:after="34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8</w:t>
      </w:r>
      <w:bookmarkEnd w:id="772"/>
      <w:r>
        <w:rPr>
          <w:color w:val="000000"/>
          <w:spacing w:val="0"/>
          <w:w w:val="100"/>
          <w:position w:val="0"/>
        </w:rPr>
        <w:t>、母公司所有者权益变动表</w:t>
      </w:r>
      <w:bookmarkEnd w:id="770"/>
      <w:bookmarkEnd w:id="771"/>
      <w:bookmarkEnd w:id="773"/>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3379"/>
        <w:gridCol w:w="1181"/>
        <w:gridCol w:w="566"/>
        <w:gridCol w:w="566"/>
        <w:gridCol w:w="398"/>
        <w:gridCol w:w="1181"/>
        <w:gridCol w:w="912"/>
        <w:gridCol w:w="1051"/>
        <w:gridCol w:w="734"/>
        <w:gridCol w:w="1090"/>
        <w:gridCol w:w="1181"/>
        <w:gridCol w:w="398"/>
        <w:gridCol w:w="1330"/>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322"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其他综合收 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55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129,470,098.00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667,190,474.53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32,955,907.63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291,355,745.93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1,120,972,226.09</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129,470,098.00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667,190,474.53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32,955,907.63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291,355,745.93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1,120,972,226.09</w:t>
            </w: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-80,814,291.90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14,723,762.40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119,566,851.77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144,105,390.27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147,237,623.97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147,237,623.97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9,740,686.08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9,740,686.08</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79"/>
        <w:gridCol w:w="1181"/>
        <w:gridCol w:w="566"/>
        <w:gridCol w:w="566"/>
        <w:gridCol w:w="398"/>
        <w:gridCol w:w="1181"/>
        <w:gridCol w:w="912"/>
        <w:gridCol w:w="1051"/>
        <w:gridCol w:w="734"/>
        <w:gridCol w:w="1090"/>
        <w:gridCol w:w="1181"/>
        <w:gridCol w:w="398"/>
        <w:gridCol w:w="1330"/>
      </w:tblGrid>
      <w:tr>
        <w:trPr>
          <w:trHeight w:val="355"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9,740,686.08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9,740,686.08</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14,723,762.40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-27,670,772.20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-12,947,009.80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14,723,762.40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-14,723,762.40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-12,947,009.80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-12,947,009.80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74,090.02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74,090.02</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220,099,166.00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586,376,182.63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47,679,670.03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410,922,597.70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1,265,077,616.36</w:t>
            </w:r>
          </w:p>
        </w:tc>
      </w:tr>
    </w:tbl>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上期金额</w:t>
      </w:r>
    </w:p>
    <w:p>
      <w:pPr>
        <w:pStyle w:val="Style36"/>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3379"/>
        <w:gridCol w:w="1181"/>
        <w:gridCol w:w="566"/>
        <w:gridCol w:w="566"/>
        <w:gridCol w:w="398"/>
        <w:gridCol w:w="1181"/>
        <w:gridCol w:w="912"/>
        <w:gridCol w:w="1051"/>
        <w:gridCol w:w="734"/>
        <w:gridCol w:w="1090"/>
        <w:gridCol w:w="1181"/>
        <w:gridCol w:w="398"/>
        <w:gridCol w:w="1330"/>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322"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其他综合收 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他</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55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97,100,098.00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114,443,305.71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20,665,609.91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180,743,066.50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412,952,080.12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97,100,098.00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114,443,305.71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20,665,609.91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180,743,066.50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412,952,080.12</w:t>
            </w:r>
          </w:p>
        </w:tc>
      </w:tr>
    </w:tbl>
    <w:p>
      <w:pPr>
        <w:widowControl w:val="0"/>
        <w:spacing w:line="1" w:lineRule="exact"/>
      </w:pPr>
      <w:r>
        <w:br w:type="page"/>
      </w:r>
    </w:p>
    <w:tbl>
      <w:tblPr>
        <w:tblOverlap w:val="never"/>
        <w:jc w:val="center"/>
        <w:tblLayout w:type="fixed"/>
      </w:tblPr>
      <w:tblGrid>
        <w:gridCol w:w="3379"/>
        <w:gridCol w:w="1181"/>
        <w:gridCol w:w="566"/>
        <w:gridCol w:w="566"/>
        <w:gridCol w:w="398"/>
        <w:gridCol w:w="1181"/>
        <w:gridCol w:w="912"/>
        <w:gridCol w:w="1051"/>
        <w:gridCol w:w="734"/>
        <w:gridCol w:w="1090"/>
        <w:gridCol w:w="1181"/>
        <w:gridCol w:w="398"/>
        <w:gridCol w:w="1330"/>
      </w:tblGrid>
      <w:tr>
        <w:trPr>
          <w:trHeight w:val="59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552,747,168.82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12,290,297.72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110,612,679.43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708,020,145.97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122,902,977.15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122,902,977.15</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552,747,168.82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585,117,168.82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552,747,168.82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585,117,168.82</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12,290,297.72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12,290,297.72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-12,290,297.72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129,470,098.00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667,190,474.53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32,955,907.63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291,355,745.93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1,120,972,226.09</w:t>
            </w:r>
          </w:p>
        </w:tc>
      </w:tr>
    </w:tbl>
    <w:p>
      <w:pPr>
        <w:sectPr>
          <w:footnotePr>
            <w:pos w:val="pageBottom"/>
            <w:numFmt w:val="decimal"/>
            <w:numRestart w:val="continuous"/>
          </w:footnotePr>
          <w:pgSz w:w="16840" w:h="11900" w:orient="landscape"/>
          <w:pgMar w:top="1104" w:right="1420" w:bottom="1215" w:left="1428" w:header="0" w:footer="3" w:gutter="0"/>
          <w:cols w:space="720"/>
          <w:noEndnote/>
          <w:rtlGutter w:val="0"/>
          <w:docGrid w:linePitch="360"/>
        </w:sectPr>
      </w:pPr>
    </w:p>
    <w:p>
      <w:pPr>
        <w:pStyle w:val="Style31"/>
        <w:keepNext/>
        <w:keepLines/>
        <w:widowControl w:val="0"/>
        <w:shd w:val="clear" w:color="auto" w:fill="auto"/>
        <w:tabs>
          <w:tab w:pos="522" w:val="left"/>
        </w:tabs>
        <w:bidi w:val="0"/>
        <w:spacing w:before="180" w:after="16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sz w:val="24"/>
          <w:szCs w:val="24"/>
        </w:rPr>
        <w:t>三</w:t>
      </w:r>
      <w:bookmarkEnd w:id="777"/>
      <w:r>
        <w:rPr>
          <w:color w:val="000000"/>
          <w:spacing w:val="0"/>
          <w:w w:val="100"/>
          <w:position w:val="0"/>
          <w:sz w:val="24"/>
          <w:szCs w:val="24"/>
        </w:rPr>
        <w:t>、</w:t>
        <w:tab/>
        <w:t>公司基本情况</w:t>
      </w:r>
      <w:bookmarkEnd w:id="775"/>
      <w:bookmarkEnd w:id="776"/>
      <w:bookmarkEnd w:id="778"/>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深圳市法本信息技术股份有限公司（以下简称公司或本公司）前身系原深圳市法本信息技术有限公司 （以下简称法本信息有限公司），法本信息有限公司原名深圳巴门尼德科技有限公司（以下简称巴门尼德 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日更名。巴门尼德公司系由严华、宋燕共同出资组建，于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日在深圳市 工商行政管理局登记注册，总部位于广东省深圳市。公司现持有统一社会信用代码为</w:t>
      </w:r>
      <w:r>
        <w:rPr>
          <w:rFonts w:ascii="Times New Roman" w:eastAsia="Times New Roman" w:hAnsi="Times New Roman" w:cs="Times New Roman"/>
          <w:color w:val="000000"/>
          <w:spacing w:val="0"/>
          <w:w w:val="100"/>
          <w:position w:val="0"/>
        </w:rPr>
        <w:t xml:space="preserve">91440300795421713J </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220,099,166.00</w:t>
      </w:r>
      <w:r>
        <w:rPr>
          <w:color w:val="000000"/>
          <w:spacing w:val="0"/>
          <w:w w:val="100"/>
          <w:position w:val="0"/>
        </w:rPr>
        <w:t>元，股份总数</w:t>
      </w:r>
      <w:r>
        <w:rPr>
          <w:rFonts w:ascii="Times New Roman" w:eastAsia="Times New Roman" w:hAnsi="Times New Roman" w:cs="Times New Roman"/>
          <w:color w:val="000000"/>
          <w:spacing w:val="0"/>
          <w:w w:val="100"/>
          <w:position w:val="0"/>
        </w:rPr>
        <w:t>220,099,166</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元）。其中，有限售条件的 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114,808,805</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105,290,361</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在深圳证券交易所挂牌交易。</w:t>
      </w:r>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本公司属于软件和信息技术服务业。主要经营活动为向客户提供软件技术服务。</w:t>
      </w:r>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日召开的第三届董事会第十次会议批准对外报出。</w:t>
      </w:r>
    </w:p>
    <w:p>
      <w:pPr>
        <w:pStyle w:val="Style12"/>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本公司将法本信息技术</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以下简称法本信息</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Farben Information Technology （Deutschland） GmbH</w:t>
      </w:r>
      <w:r>
        <w:rPr>
          <w:rFonts w:ascii="Times New Roman" w:eastAsia="Times New Roman" w:hAnsi="Times New Roman" w:cs="Times New Roman"/>
          <w:color w:val="000000"/>
          <w:spacing w:val="0"/>
          <w:w w:val="100"/>
          <w:position w:val="0"/>
        </w:rPr>
        <w:t>（</w:t>
      </w:r>
      <w:r>
        <w:rPr>
          <w:color w:val="000000"/>
          <w:spacing w:val="0"/>
          <w:w w:val="100"/>
          <w:position w:val="0"/>
        </w:rPr>
        <w:t>以下简称法本信息</w:t>
      </w:r>
      <w:r>
        <w:rPr>
          <w:rFonts w:ascii="Times New Roman" w:eastAsia="Times New Roman" w:hAnsi="Times New Roman" w:cs="Times New Roman"/>
          <w:color w:val="000000"/>
          <w:spacing w:val="0"/>
          <w:w w:val="100"/>
          <w:position w:val="0"/>
        </w:rPr>
        <w:t>（</w:t>
      </w:r>
      <w:r>
        <w:rPr>
          <w:color w:val="000000"/>
          <w:spacing w:val="0"/>
          <w:w w:val="100"/>
          <w:position w:val="0"/>
        </w:rPr>
        <w:t>德国</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、深圳市法本通信技术有限公司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以下简称法本通信</w:t>
      </w:r>
      <w:r>
        <w:rPr>
          <w:rFonts w:ascii="Times New Roman" w:eastAsia="Times New Roman" w:hAnsi="Times New Roman" w:cs="Times New Roman"/>
          <w:color w:val="000000"/>
          <w:spacing w:val="0"/>
          <w:w w:val="100"/>
          <w:position w:val="0"/>
        </w:rPr>
        <w:t>）</w:t>
      </w:r>
      <w:r>
        <w:rPr>
          <w:color w:val="000000"/>
          <w:spacing w:val="0"/>
          <w:w w:val="100"/>
          <w:position w:val="0"/>
        </w:rPr>
        <w:t>和 上海法本信息技术有限公司</w:t>
      </w:r>
      <w:r>
        <w:rPr>
          <w:rFonts w:ascii="Times New Roman" w:eastAsia="Times New Roman" w:hAnsi="Times New Roman" w:cs="Times New Roman"/>
          <w:color w:val="000000"/>
          <w:spacing w:val="0"/>
          <w:w w:val="100"/>
          <w:position w:val="0"/>
        </w:rPr>
        <w:t>（</w:t>
      </w:r>
      <w:r>
        <w:rPr>
          <w:color w:val="000000"/>
          <w:spacing w:val="0"/>
          <w:w w:val="100"/>
          <w:position w:val="0"/>
        </w:rPr>
        <w:t>上海法本信息</w:t>
      </w:r>
      <w:r>
        <w:rPr>
          <w:rFonts w:ascii="Times New Roman" w:eastAsia="Times New Roman" w:hAnsi="Times New Roman" w:cs="Times New Roman"/>
          <w:color w:val="000000"/>
          <w:spacing w:val="0"/>
          <w:w w:val="100"/>
          <w:position w:val="0"/>
        </w:rPr>
        <w:t>）</w:t>
      </w:r>
      <w:r>
        <w:rPr>
          <w:color w:val="000000"/>
          <w:spacing w:val="0"/>
          <w:w w:val="100"/>
          <w:position w:val="0"/>
        </w:rPr>
        <w:t>等</w:t>
      </w:r>
      <w:r>
        <w:rPr>
          <w:rFonts w:ascii="Times New Roman" w:eastAsia="Times New Roman" w:hAnsi="Times New Roman" w:cs="Times New Roman"/>
          <w:color w:val="000000"/>
          <w:spacing w:val="0"/>
          <w:w w:val="100"/>
          <w:position w:val="0"/>
        </w:rPr>
        <w:t>4</w:t>
      </w:r>
      <w:r>
        <w:rPr>
          <w:color w:val="000000"/>
          <w:spacing w:val="0"/>
          <w:w w:val="100"/>
          <w:position w:val="0"/>
        </w:rPr>
        <w:t>家子公司纳入本期合并财务报表范围，情况详见本财务报表 附注六和七之说明。</w:t>
      </w:r>
    </w:p>
    <w:p>
      <w:pPr>
        <w:pStyle w:val="Style31"/>
        <w:keepNext/>
        <w:keepLines/>
        <w:widowControl w:val="0"/>
        <w:shd w:val="clear" w:color="auto" w:fill="auto"/>
        <w:tabs>
          <w:tab w:pos="522" w:val="left"/>
        </w:tabs>
        <w:bidi w:val="0"/>
        <w:spacing w:before="0" w:after="300" w:line="240" w:lineRule="auto"/>
        <w:ind w:left="0" w:right="0" w:firstLine="0"/>
        <w:jc w:val="left"/>
      </w:pPr>
      <w:bookmarkStart w:id="779" w:name="bookmark779"/>
      <w:bookmarkStart w:id="780" w:name="bookmark780"/>
      <w:bookmarkStart w:id="781" w:name="bookmark781"/>
      <w:bookmarkStart w:id="782" w:name="bookmark782"/>
      <w:r>
        <w:rPr>
          <w:color w:val="000000"/>
          <w:spacing w:val="0"/>
          <w:w w:val="100"/>
          <w:position w:val="0"/>
          <w:sz w:val="24"/>
          <w:szCs w:val="24"/>
        </w:rPr>
        <w:t>四</w:t>
      </w:r>
      <w:bookmarkEnd w:id="781"/>
      <w:r>
        <w:rPr>
          <w:color w:val="000000"/>
          <w:spacing w:val="0"/>
          <w:w w:val="100"/>
          <w:position w:val="0"/>
          <w:sz w:val="24"/>
          <w:szCs w:val="24"/>
        </w:rPr>
        <w:t>、</w:t>
        <w:tab/>
        <w:t>财务报表的编制基础</w:t>
      </w:r>
      <w:bookmarkEnd w:id="779"/>
      <w:bookmarkEnd w:id="780"/>
      <w:bookmarkEnd w:id="782"/>
    </w:p>
    <w:p>
      <w:pPr>
        <w:pStyle w:val="Style38"/>
        <w:keepNext/>
        <w:keepLines/>
        <w:widowControl w:val="0"/>
        <w:shd w:val="clear" w:color="auto" w:fill="auto"/>
        <w:tabs>
          <w:tab w:pos="385" w:val="left"/>
        </w:tabs>
        <w:bidi w:val="0"/>
        <w:spacing w:before="0" w:after="0" w:line="427"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color w:val="000000"/>
          <w:spacing w:val="0"/>
          <w:w w:val="100"/>
          <w:position w:val="0"/>
        </w:rPr>
        <w:t>、</w:t>
        <w:tab/>
        <w:t>编制基础</w:t>
      </w:r>
      <w:bookmarkEnd w:id="783"/>
      <w:bookmarkEnd w:id="784"/>
      <w:bookmarkEnd w:id="786"/>
    </w:p>
    <w:p>
      <w:pPr>
        <w:pStyle w:val="Style12"/>
        <w:keepNext w:val="0"/>
        <w:keepLines w:val="0"/>
        <w:widowControl w:val="0"/>
        <w:shd w:val="clear" w:color="auto" w:fill="auto"/>
        <w:bidi w:val="0"/>
        <w:spacing w:before="0" w:after="460" w:line="410" w:lineRule="exact"/>
        <w:ind w:left="0" w:right="0" w:firstLine="440"/>
        <w:jc w:val="left"/>
      </w:pPr>
      <w:r>
        <w:rPr>
          <w:color w:val="000000"/>
          <w:spacing w:val="0"/>
          <w:w w:val="100"/>
          <w:position w:val="0"/>
        </w:rPr>
        <w:t>本公司财务报表以持续经营为编制基础。</w:t>
      </w:r>
    </w:p>
    <w:p>
      <w:pPr>
        <w:pStyle w:val="Style38"/>
        <w:keepNext/>
        <w:keepLines/>
        <w:widowControl w:val="0"/>
        <w:shd w:val="clear" w:color="auto" w:fill="auto"/>
        <w:tabs>
          <w:tab w:pos="385" w:val="left"/>
        </w:tabs>
        <w:bidi w:val="0"/>
        <w:spacing w:before="0" w:after="0" w:line="427"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2</w:t>
      </w:r>
      <w:bookmarkEnd w:id="789"/>
      <w:r>
        <w:rPr>
          <w:color w:val="000000"/>
          <w:spacing w:val="0"/>
          <w:w w:val="100"/>
          <w:position w:val="0"/>
        </w:rPr>
        <w:t>、</w:t>
        <w:tab/>
        <w:t>持续经营</w:t>
      </w:r>
      <w:bookmarkEnd w:id="787"/>
      <w:bookmarkEnd w:id="788"/>
      <w:bookmarkEnd w:id="790"/>
    </w:p>
    <w:p>
      <w:pPr>
        <w:pStyle w:val="Style12"/>
        <w:keepNext w:val="0"/>
        <w:keepLines w:val="0"/>
        <w:widowControl w:val="0"/>
        <w:shd w:val="clear" w:color="auto" w:fill="auto"/>
        <w:bidi w:val="0"/>
        <w:spacing w:before="0" w:after="460" w:line="410" w:lineRule="exact"/>
        <w:ind w:left="0" w:right="0" w:firstLine="44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个月内的持续经营能力产生重大疑虑的事项或情况。</w:t>
      </w:r>
    </w:p>
    <w:p>
      <w:pPr>
        <w:pStyle w:val="Style31"/>
        <w:keepNext/>
        <w:keepLines/>
        <w:widowControl w:val="0"/>
        <w:shd w:val="clear" w:color="auto" w:fill="auto"/>
        <w:tabs>
          <w:tab w:pos="522" w:val="left"/>
        </w:tabs>
        <w:bidi w:val="0"/>
        <w:spacing w:before="0" w:after="160" w:line="240" w:lineRule="auto"/>
        <w:ind w:left="0" w:right="0" w:firstLine="0"/>
        <w:jc w:val="left"/>
      </w:pPr>
      <w:bookmarkStart w:id="791" w:name="bookmark791"/>
      <w:bookmarkStart w:id="792" w:name="bookmark792"/>
      <w:bookmarkStart w:id="793" w:name="bookmark793"/>
      <w:bookmarkStart w:id="794" w:name="bookmark794"/>
      <w:r>
        <w:rPr>
          <w:color w:val="000000"/>
          <w:spacing w:val="0"/>
          <w:w w:val="100"/>
          <w:position w:val="0"/>
          <w:sz w:val="24"/>
          <w:szCs w:val="24"/>
        </w:rPr>
        <w:t>五</w:t>
      </w:r>
      <w:bookmarkEnd w:id="793"/>
      <w:r>
        <w:rPr>
          <w:color w:val="000000"/>
          <w:spacing w:val="0"/>
          <w:w w:val="100"/>
          <w:position w:val="0"/>
          <w:sz w:val="24"/>
          <w:szCs w:val="24"/>
        </w:rPr>
        <w:t>、</w:t>
        <w:tab/>
        <w:t>重要会计政策及会计估计</w:t>
      </w:r>
      <w:bookmarkEnd w:id="791"/>
      <w:bookmarkEnd w:id="792"/>
      <w:bookmarkEnd w:id="794"/>
    </w:p>
    <w:p>
      <w:pPr>
        <w:pStyle w:val="Style1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具体会计政策和会计估计提示：</w:t>
      </w:r>
    </w:p>
    <w:p>
      <w:pPr>
        <w:pStyle w:val="Style12"/>
        <w:keepNext w:val="0"/>
        <w:keepLines w:val="0"/>
        <w:widowControl w:val="0"/>
        <w:shd w:val="clear" w:color="auto" w:fill="auto"/>
        <w:bidi w:val="0"/>
        <w:spacing w:before="0" w:after="300" w:line="413" w:lineRule="exact"/>
        <w:ind w:left="0" w:right="0" w:firstLine="440"/>
        <w:jc w:val="left"/>
      </w:pPr>
      <w:r>
        <w:rPr>
          <w:color w:val="000000"/>
          <w:spacing w:val="0"/>
          <w:w w:val="100"/>
          <w:position w:val="0"/>
        </w:rPr>
        <w:t>本公司根据实际生产经营特点针对金融工具减值、固定资产折旧、使用权资产折旧、无形资产摊销、 收入确认等交易或事项制定了具体会计政策和会计估计。</w:t>
      </w:r>
    </w:p>
    <w:p>
      <w:pPr>
        <w:pStyle w:val="Style38"/>
        <w:keepNext/>
        <w:keepLines/>
        <w:widowControl w:val="0"/>
        <w:shd w:val="clear" w:color="auto" w:fill="auto"/>
        <w:tabs>
          <w:tab w:pos="385" w:val="left"/>
        </w:tabs>
        <w:bidi w:val="0"/>
        <w:spacing w:before="0" w:after="160" w:line="410" w:lineRule="exact"/>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color w:val="000000"/>
          <w:spacing w:val="0"/>
          <w:w w:val="100"/>
          <w:position w:val="0"/>
        </w:rPr>
        <w:t>、</w:t>
        <w:tab/>
        <w:t>遵循企业会计准则的声明</w:t>
      </w:r>
      <w:bookmarkEnd w:id="795"/>
      <w:bookmarkEnd w:id="796"/>
      <w:bookmarkEnd w:id="798"/>
    </w:p>
    <w:p>
      <w:pPr>
        <w:pStyle w:val="Style12"/>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本公司所编制的财务报表符合企业会计准则的要求，真实、完整地反映了公司的财务状况、经营成果 和现金流量等有关信息。</w:t>
      </w:r>
    </w:p>
    <w:p>
      <w:pPr>
        <w:pStyle w:val="Style38"/>
        <w:keepNext/>
        <w:keepLines/>
        <w:widowControl w:val="0"/>
        <w:shd w:val="clear" w:color="auto" w:fill="auto"/>
        <w:tabs>
          <w:tab w:pos="385" w:val="left"/>
        </w:tabs>
        <w:bidi w:val="0"/>
        <w:spacing w:before="0" w:after="300" w:line="427"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2</w:t>
      </w:r>
      <w:bookmarkEnd w:id="801"/>
      <w:r>
        <w:rPr>
          <w:color w:val="000000"/>
          <w:spacing w:val="0"/>
          <w:w w:val="100"/>
          <w:position w:val="0"/>
        </w:rPr>
        <w:t>、</w:t>
        <w:tab/>
        <w:t>会计期间</w:t>
      </w:r>
      <w:bookmarkEnd w:id="799"/>
      <w:bookmarkEnd w:id="800"/>
      <w:bookmarkEnd w:id="802"/>
    </w:p>
    <w:p>
      <w:pPr>
        <w:pStyle w:val="Style12"/>
        <w:keepNext w:val="0"/>
        <w:keepLines w:val="0"/>
        <w:widowControl w:val="0"/>
        <w:shd w:val="clear" w:color="auto" w:fill="auto"/>
        <w:bidi w:val="0"/>
        <w:spacing w:before="0" w:after="300" w:line="410" w:lineRule="exact"/>
        <w:ind w:left="0" w:right="0" w:firstLine="44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8"/>
        <w:keepNext/>
        <w:keepLines/>
        <w:widowControl w:val="0"/>
        <w:shd w:val="clear" w:color="auto" w:fill="auto"/>
        <w:tabs>
          <w:tab w:pos="378" w:val="left"/>
        </w:tabs>
        <w:bidi w:val="0"/>
        <w:spacing w:before="0" w:after="160" w:line="410" w:lineRule="exact"/>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3</w:t>
      </w:r>
      <w:bookmarkEnd w:id="805"/>
      <w:r>
        <w:rPr>
          <w:color w:val="000000"/>
          <w:spacing w:val="0"/>
          <w:w w:val="100"/>
          <w:position w:val="0"/>
        </w:rPr>
        <w:t>、</w:t>
        <w:tab/>
        <w:t>营业周期</w:t>
      </w:r>
      <w:bookmarkEnd w:id="803"/>
      <w:bookmarkEnd w:id="804"/>
      <w:bookmarkEnd w:id="806"/>
    </w:p>
    <w:p>
      <w:pPr>
        <w:pStyle w:val="Style12"/>
        <w:keepNext w:val="0"/>
        <w:keepLines w:val="0"/>
        <w:widowControl w:val="0"/>
        <w:shd w:val="clear" w:color="auto" w:fill="auto"/>
        <w:bidi w:val="0"/>
        <w:spacing w:before="0" w:after="300" w:line="410" w:lineRule="exact"/>
        <w:ind w:left="0" w:right="0" w:firstLine="44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38"/>
        <w:keepNext/>
        <w:keepLines/>
        <w:widowControl w:val="0"/>
        <w:shd w:val="clear" w:color="auto" w:fill="auto"/>
        <w:tabs>
          <w:tab w:pos="378" w:val="left"/>
        </w:tabs>
        <w:bidi w:val="0"/>
        <w:spacing w:before="0" w:after="160" w:line="410" w:lineRule="exact"/>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4</w:t>
      </w:r>
      <w:bookmarkEnd w:id="809"/>
      <w:r>
        <w:rPr>
          <w:color w:val="000000"/>
          <w:spacing w:val="0"/>
          <w:w w:val="100"/>
          <w:position w:val="0"/>
        </w:rPr>
        <w:t>、</w:t>
        <w:tab/>
        <w:t>记账本位币</w:t>
      </w:r>
      <w:bookmarkEnd w:id="807"/>
      <w:bookmarkEnd w:id="808"/>
      <w:bookmarkEnd w:id="810"/>
    </w:p>
    <w:p>
      <w:pPr>
        <w:pStyle w:val="Style12"/>
        <w:keepNext w:val="0"/>
        <w:keepLines w:val="0"/>
        <w:widowControl w:val="0"/>
        <w:shd w:val="clear" w:color="auto" w:fill="auto"/>
        <w:bidi w:val="0"/>
        <w:spacing w:before="0" w:after="300" w:line="408" w:lineRule="exact"/>
        <w:ind w:left="0" w:right="0" w:firstLine="440"/>
        <w:jc w:val="left"/>
      </w:pPr>
      <w:r>
        <w:rPr>
          <w:color w:val="000000"/>
          <w:spacing w:val="0"/>
          <w:w w:val="100"/>
          <w:position w:val="0"/>
        </w:rPr>
        <w:t>本公司及境内子公司采用人民币为记账本位币，法本信息</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公司、法本信息</w:t>
      </w:r>
      <w:r>
        <w:rPr>
          <w:rFonts w:ascii="Times New Roman" w:eastAsia="Times New Roman" w:hAnsi="Times New Roman" w:cs="Times New Roman"/>
          <w:color w:val="000000"/>
          <w:spacing w:val="0"/>
          <w:w w:val="100"/>
          <w:position w:val="0"/>
        </w:rPr>
        <w:t>（</w:t>
      </w:r>
      <w:r>
        <w:rPr>
          <w:color w:val="000000"/>
          <w:spacing w:val="0"/>
          <w:w w:val="100"/>
          <w:position w:val="0"/>
        </w:rPr>
        <w:t>德国</w:t>
      </w:r>
      <w:r>
        <w:rPr>
          <w:rFonts w:ascii="Times New Roman" w:eastAsia="Times New Roman" w:hAnsi="Times New Roman" w:cs="Times New Roman"/>
          <w:color w:val="000000"/>
          <w:spacing w:val="0"/>
          <w:w w:val="100"/>
          <w:position w:val="0"/>
        </w:rPr>
        <w:t>）</w:t>
      </w:r>
      <w:r>
        <w:rPr>
          <w:color w:val="000000"/>
          <w:spacing w:val="0"/>
          <w:w w:val="100"/>
          <w:position w:val="0"/>
        </w:rPr>
        <w:t>公司等境外子公 司从事境外经营，选择其经营所处的主要经济环境中的货币为记账本位币。</w:t>
      </w:r>
    </w:p>
    <w:p>
      <w:pPr>
        <w:pStyle w:val="Style38"/>
        <w:keepNext/>
        <w:keepLines/>
        <w:widowControl w:val="0"/>
        <w:shd w:val="clear" w:color="auto" w:fill="auto"/>
        <w:tabs>
          <w:tab w:pos="378" w:val="left"/>
        </w:tabs>
        <w:bidi w:val="0"/>
        <w:spacing w:before="0" w:after="160" w:line="410" w:lineRule="exact"/>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5</w:t>
      </w:r>
      <w:bookmarkEnd w:id="813"/>
      <w:r>
        <w:rPr>
          <w:color w:val="000000"/>
          <w:spacing w:val="0"/>
          <w:w w:val="100"/>
          <w:position w:val="0"/>
        </w:rPr>
        <w:t>、</w:t>
        <w:tab/>
        <w:t>同一控制下和非同一控制下企业合并的会计处理方法</w:t>
      </w:r>
      <w:bookmarkEnd w:id="811"/>
      <w:bookmarkEnd w:id="812"/>
      <w:bookmarkEnd w:id="814"/>
    </w:p>
    <w:p>
      <w:pPr>
        <w:pStyle w:val="Style12"/>
        <w:keepNext w:val="0"/>
        <w:keepLines w:val="0"/>
        <w:widowControl w:val="0"/>
        <w:numPr>
          <w:ilvl w:val="0"/>
          <w:numId w:val="17"/>
        </w:numPr>
        <w:shd w:val="clear" w:color="auto" w:fill="auto"/>
        <w:tabs>
          <w:tab w:pos="755" w:val="left"/>
        </w:tabs>
        <w:bidi w:val="0"/>
        <w:spacing w:before="0" w:after="0" w:line="410" w:lineRule="exact"/>
        <w:ind w:left="0" w:right="0" w:firstLine="440"/>
        <w:jc w:val="left"/>
      </w:pPr>
      <w:bookmarkStart w:id="815" w:name="bookmark815"/>
      <w:bookmarkEnd w:id="815"/>
      <w:r>
        <w:rPr>
          <w:color w:val="000000"/>
          <w:spacing w:val="0"/>
          <w:w w:val="100"/>
          <w:position w:val="0"/>
        </w:rPr>
        <w:t>同一控制下企业合并的会计处理方法</w:t>
      </w:r>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12"/>
        <w:keepNext w:val="0"/>
        <w:keepLines w:val="0"/>
        <w:widowControl w:val="0"/>
        <w:numPr>
          <w:ilvl w:val="0"/>
          <w:numId w:val="17"/>
        </w:numPr>
        <w:shd w:val="clear" w:color="auto" w:fill="auto"/>
        <w:tabs>
          <w:tab w:pos="774" w:val="left"/>
        </w:tabs>
        <w:bidi w:val="0"/>
        <w:spacing w:before="0" w:after="0" w:line="410" w:lineRule="exact"/>
        <w:ind w:left="0" w:right="0" w:firstLine="440"/>
        <w:jc w:val="left"/>
      </w:pPr>
      <w:bookmarkStart w:id="816" w:name="bookmark816"/>
      <w:bookmarkEnd w:id="816"/>
      <w:r>
        <w:rPr>
          <w:color w:val="000000"/>
          <w:spacing w:val="0"/>
          <w:w w:val="100"/>
          <w:position w:val="0"/>
        </w:rPr>
        <w:t>非同一控制下企业合并的会计处理方法</w:t>
      </w:r>
    </w:p>
    <w:p>
      <w:pPr>
        <w:pStyle w:val="Style12"/>
        <w:keepNext w:val="0"/>
        <w:keepLines w:val="0"/>
        <w:widowControl w:val="0"/>
        <w:shd w:val="clear" w:color="auto" w:fill="auto"/>
        <w:bidi w:val="0"/>
        <w:spacing w:before="0" w:after="300" w:line="410" w:lineRule="exact"/>
        <w:ind w:left="0" w:right="0" w:firstLine="440"/>
        <w:jc w:val="left"/>
      </w:pPr>
      <w:r>
        <w:rPr>
          <w:color w:val="000000"/>
          <w:spacing w:val="0"/>
          <w:w w:val="100"/>
          <w:position w:val="0"/>
        </w:rPr>
        <w:t>公司在购买日对合并成本大于合并中取得的被购买方可辨认净资产公允价值份额的差额，确认为商誉; 如果合并成本小于合并中取得的被购买方可辨认净资产公允价值份额，首先对取得的被购买方各项可辨认 资产、负债及或有负债的公允价值以及合并成本的计量进行复核，经复核后合并成本仍小于合并中取得的 被购买方可辨认净资产公允价值份额的，其差额计入当期损益。</w:t>
      </w:r>
    </w:p>
    <w:p>
      <w:pPr>
        <w:pStyle w:val="Style38"/>
        <w:keepNext/>
        <w:keepLines/>
        <w:widowControl w:val="0"/>
        <w:shd w:val="clear" w:color="auto" w:fill="auto"/>
        <w:tabs>
          <w:tab w:pos="378" w:val="left"/>
        </w:tabs>
        <w:bidi w:val="0"/>
        <w:spacing w:before="0" w:after="160" w:line="410" w:lineRule="exact"/>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6</w:t>
      </w:r>
      <w:bookmarkEnd w:id="819"/>
      <w:r>
        <w:rPr>
          <w:color w:val="000000"/>
          <w:spacing w:val="0"/>
          <w:w w:val="100"/>
          <w:position w:val="0"/>
        </w:rPr>
        <w:t>、</w:t>
        <w:tab/>
        <w:t>合并财务报表的编制方法</w:t>
      </w:r>
      <w:bookmarkEnd w:id="817"/>
      <w:bookmarkEnd w:id="818"/>
      <w:bookmarkEnd w:id="820"/>
    </w:p>
    <w:p>
      <w:pPr>
        <w:pStyle w:val="Style12"/>
        <w:keepNext w:val="0"/>
        <w:keepLines w:val="0"/>
        <w:widowControl w:val="0"/>
        <w:shd w:val="clear" w:color="auto" w:fill="auto"/>
        <w:bidi w:val="0"/>
        <w:spacing w:before="0" w:after="300" w:line="408" w:lineRule="exact"/>
        <w:ind w:left="0" w:right="0" w:firstLine="440"/>
        <w:jc w:val="left"/>
      </w:pPr>
      <w:r>
        <w:rPr>
          <w:color w:val="000000"/>
          <w:spacing w:val="0"/>
          <w:w w:val="100"/>
          <w:position w:val="0"/>
        </w:rPr>
        <w:t>母公司将其控制的所有子公司纳入合并财务报表的合并范围。合并财务报表以母公司及其子公司的 财务报表为基础，根据其他有关资料，由母公司按照《企业会计准则第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38"/>
        <w:keepNext/>
        <w:keepLines/>
        <w:widowControl w:val="0"/>
        <w:shd w:val="clear" w:color="auto" w:fill="auto"/>
        <w:tabs>
          <w:tab w:pos="378" w:val="left"/>
        </w:tabs>
        <w:bidi w:val="0"/>
        <w:spacing w:before="0" w:after="160" w:line="410" w:lineRule="exact"/>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7</w:t>
      </w:r>
      <w:bookmarkEnd w:id="823"/>
      <w:r>
        <w:rPr>
          <w:color w:val="000000"/>
          <w:spacing w:val="0"/>
          <w:w w:val="100"/>
          <w:position w:val="0"/>
        </w:rPr>
        <w:t>、</w:t>
        <w:tab/>
        <w:t>合营安排分类及共同经营会计处理方法</w:t>
      </w:r>
      <w:bookmarkEnd w:id="821"/>
      <w:bookmarkEnd w:id="822"/>
      <w:bookmarkEnd w:id="824"/>
    </w:p>
    <w:p>
      <w:pPr>
        <w:pStyle w:val="Style12"/>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不适用。</w:t>
      </w:r>
    </w:p>
    <w:p>
      <w:pPr>
        <w:pStyle w:val="Style38"/>
        <w:keepNext/>
        <w:keepLines/>
        <w:widowControl w:val="0"/>
        <w:shd w:val="clear" w:color="auto" w:fill="auto"/>
        <w:tabs>
          <w:tab w:pos="378" w:val="left"/>
        </w:tabs>
        <w:bidi w:val="0"/>
        <w:spacing w:before="0" w:after="160" w:line="410" w:lineRule="exact"/>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8</w:t>
      </w:r>
      <w:bookmarkEnd w:id="827"/>
      <w:r>
        <w:rPr>
          <w:color w:val="000000"/>
          <w:spacing w:val="0"/>
          <w:w w:val="100"/>
          <w:position w:val="0"/>
        </w:rPr>
        <w:t>、</w:t>
        <w:tab/>
        <w:t>现金及现金等价物的确定标准</w:t>
      </w:r>
      <w:bookmarkEnd w:id="825"/>
      <w:bookmarkEnd w:id="826"/>
      <w:bookmarkEnd w:id="828"/>
    </w:p>
    <w:p>
      <w:pPr>
        <w:pStyle w:val="Style12"/>
        <w:keepNext w:val="0"/>
        <w:keepLines w:val="0"/>
        <w:widowControl w:val="0"/>
        <w:shd w:val="clear" w:color="auto" w:fill="auto"/>
        <w:bidi w:val="0"/>
        <w:spacing w:before="0" w:after="300" w:line="408" w:lineRule="exact"/>
        <w:ind w:left="0" w:right="0" w:firstLine="440"/>
        <w:jc w:val="left"/>
      </w:pPr>
      <w:r>
        <w:rPr>
          <w:color w:val="000000"/>
          <w:spacing w:val="0"/>
          <w:w w:val="100"/>
          <w:position w:val="0"/>
        </w:rPr>
        <w:t>列示于现金流量表中的现金是指库存现金以及可以随时用于支付的存款。现金等价物是指企业持有的 期限短、流动性强、易于转换为已知金额现金、价值变动风险很小的投资。</w:t>
      </w:r>
    </w:p>
    <w:p>
      <w:pPr>
        <w:pStyle w:val="Style38"/>
        <w:keepNext/>
        <w:keepLines/>
        <w:widowControl w:val="0"/>
        <w:shd w:val="clear" w:color="auto" w:fill="auto"/>
        <w:tabs>
          <w:tab w:pos="378" w:val="left"/>
        </w:tabs>
        <w:bidi w:val="0"/>
        <w:spacing w:before="0" w:after="300" w:line="410" w:lineRule="exact"/>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9</w:t>
      </w:r>
      <w:bookmarkEnd w:id="831"/>
      <w:r>
        <w:rPr>
          <w:color w:val="000000"/>
          <w:spacing w:val="0"/>
          <w:w w:val="100"/>
          <w:position w:val="0"/>
        </w:rPr>
        <w:t>、</w:t>
        <w:tab/>
        <w:t>外币业务和外币报表折算</w:t>
      </w:r>
      <w:bookmarkEnd w:id="829"/>
      <w:bookmarkEnd w:id="830"/>
      <w:bookmarkEnd w:id="832"/>
    </w:p>
    <w:p>
      <w:pPr>
        <w:pStyle w:val="Style12"/>
        <w:keepNext w:val="0"/>
        <w:keepLines w:val="0"/>
        <w:widowControl w:val="0"/>
        <w:numPr>
          <w:ilvl w:val="0"/>
          <w:numId w:val="19"/>
        </w:numPr>
        <w:shd w:val="clear" w:color="auto" w:fill="auto"/>
        <w:bidi w:val="0"/>
        <w:spacing w:before="0" w:after="300" w:line="240" w:lineRule="auto"/>
        <w:ind w:left="0" w:right="0" w:firstLine="440"/>
        <w:jc w:val="left"/>
      </w:pPr>
      <w:bookmarkStart w:id="833" w:name="bookmark833"/>
      <w:bookmarkEnd w:id="833"/>
      <w:r>
        <w:rPr>
          <w:color w:val="000000"/>
          <w:spacing w:val="0"/>
          <w:w w:val="100"/>
          <w:position w:val="0"/>
        </w:rPr>
        <w:t>外币业务折算</w:t>
      </w:r>
    </w:p>
    <w:p>
      <w:pPr>
        <w:pStyle w:val="Style12"/>
        <w:keepNext w:val="0"/>
        <w:keepLines w:val="0"/>
        <w:widowControl w:val="0"/>
        <w:shd w:val="clear" w:color="auto" w:fill="auto"/>
        <w:bidi w:val="0"/>
        <w:spacing w:before="0" w:after="140" w:line="406" w:lineRule="exact"/>
        <w:ind w:left="0" w:right="0" w:firstLine="420"/>
        <w:jc w:val="both"/>
      </w:pPr>
      <w:r>
        <w:rPr>
          <w:color w:val="000000"/>
          <w:spacing w:val="0"/>
          <w:w w:val="100"/>
          <w:position w:val="0"/>
        </w:rPr>
        <w:t>外币交易在初始确认时，采用交易发生日的即期汇率的近似汇率折算为人民币金额。资产负债表日， 外币货币性项目采用资产负债表日即期汇率折算，因汇率不同而产生的汇兑差额，除与购建符合资本化条 件资产有关的外币专门借款本金及利息的汇兑差额外，计入当期损益；以历史成本计量的外币非货币性项 目仍采用交易发生日即期汇率的近似汇率折算，不改变其人民币金额；以公允价值计量的外币非货币性项 目，采用公允价值确定日的即期汇率折算，差额计入当期损益或其他综合收益。</w:t>
      </w:r>
    </w:p>
    <w:p>
      <w:pPr>
        <w:pStyle w:val="Style12"/>
        <w:keepNext w:val="0"/>
        <w:keepLines w:val="0"/>
        <w:widowControl w:val="0"/>
        <w:numPr>
          <w:ilvl w:val="0"/>
          <w:numId w:val="19"/>
        </w:numPr>
        <w:shd w:val="clear" w:color="auto" w:fill="auto"/>
        <w:bidi w:val="0"/>
        <w:spacing w:before="0" w:after="0" w:line="425" w:lineRule="auto"/>
        <w:ind w:left="0" w:right="0" w:firstLine="420"/>
        <w:jc w:val="both"/>
      </w:pPr>
      <w:bookmarkStart w:id="834" w:name="bookmark834"/>
      <w:bookmarkEnd w:id="834"/>
      <w:r>
        <w:rPr>
          <w:color w:val="000000"/>
          <w:spacing w:val="0"/>
          <w:w w:val="100"/>
          <w:position w:val="0"/>
        </w:rPr>
        <w:t>外币财务报表折算</w:t>
      </w:r>
    </w:p>
    <w:p>
      <w:pPr>
        <w:pStyle w:val="Style12"/>
        <w:keepNext w:val="0"/>
        <w:keepLines w:val="0"/>
        <w:widowControl w:val="0"/>
        <w:shd w:val="clear" w:color="auto" w:fill="auto"/>
        <w:bidi w:val="0"/>
        <w:spacing w:before="0" w:after="440" w:line="406" w:lineRule="exact"/>
        <w:ind w:left="0" w:right="0" w:firstLine="42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润''项目外，其他项目采用交易发生日的即期汇率折算；利润表中的收入和费用项目，采用交易发生日即期 汇率的近似汇率折算。按照上述折算产生的外币财务报表折算差额，计入其他综合收益。</w:t>
      </w:r>
    </w:p>
    <w:p>
      <w:pPr>
        <w:pStyle w:val="Style38"/>
        <w:keepNext/>
        <w:keepLines/>
        <w:widowControl w:val="0"/>
        <w:shd w:val="clear" w:color="auto" w:fill="auto"/>
        <w:bidi w:val="0"/>
        <w:spacing w:before="0" w:after="140" w:line="425" w:lineRule="auto"/>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35"/>
      <w:bookmarkEnd w:id="836"/>
      <w:bookmarkEnd w:id="838"/>
    </w:p>
    <w:p>
      <w:pPr>
        <w:pStyle w:val="Style12"/>
        <w:keepNext w:val="0"/>
        <w:keepLines w:val="0"/>
        <w:widowControl w:val="0"/>
        <w:numPr>
          <w:ilvl w:val="0"/>
          <w:numId w:val="21"/>
        </w:numPr>
        <w:shd w:val="clear" w:color="auto" w:fill="auto"/>
        <w:tabs>
          <w:tab w:pos="735" w:val="left"/>
        </w:tabs>
        <w:bidi w:val="0"/>
        <w:spacing w:before="0" w:after="0" w:line="425" w:lineRule="auto"/>
        <w:ind w:left="0" w:right="0" w:firstLine="420"/>
        <w:jc w:val="both"/>
      </w:pPr>
      <w:bookmarkStart w:id="839" w:name="bookmark839"/>
      <w:bookmarkEnd w:id="839"/>
      <w:r>
        <w:rPr>
          <w:color w:val="000000"/>
          <w:spacing w:val="0"/>
          <w:w w:val="100"/>
          <w:position w:val="0"/>
        </w:rPr>
        <w:t>金融资产和金融负债的分类</w:t>
      </w:r>
    </w:p>
    <w:p>
      <w:pPr>
        <w:pStyle w:val="Style12"/>
        <w:keepNext w:val="0"/>
        <w:keepLines w:val="0"/>
        <w:widowControl w:val="0"/>
        <w:shd w:val="clear" w:color="auto" w:fill="auto"/>
        <w:bidi w:val="0"/>
        <w:spacing w:before="0" w:after="0" w:line="406" w:lineRule="exact"/>
        <w:ind w:left="0" w:right="0" w:firstLine="420"/>
        <w:jc w:val="both"/>
      </w:pPr>
      <w:r>
        <w:rPr>
          <w:color w:val="000000"/>
          <w:spacing w:val="0"/>
          <w:w w:val="100"/>
          <w:position w:val="0"/>
        </w:rPr>
        <w:t>金融资产在初始确认时划分为以下三类：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 动计入其他综合收益的金融资产；</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以公允价值计量且其变动计入当期损益的金融资产。</w:t>
      </w:r>
    </w:p>
    <w:p>
      <w:pPr>
        <w:pStyle w:val="Style12"/>
        <w:keepNext w:val="0"/>
        <w:keepLines w:val="0"/>
        <w:widowControl w:val="0"/>
        <w:shd w:val="clear" w:color="auto" w:fill="auto"/>
        <w:bidi w:val="0"/>
        <w:spacing w:before="0" w:after="140" w:line="406" w:lineRule="exact"/>
        <w:ind w:left="0" w:right="0" w:firstLine="420"/>
        <w:jc w:val="both"/>
      </w:pPr>
      <w:r>
        <w:rPr>
          <w:color w:val="000000"/>
          <w:spacing w:val="0"/>
          <w:w w:val="100"/>
          <w:position w:val="0"/>
        </w:rPr>
        <w:t>金融负债在初始确认时划分为以下四类：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金融资产转移不符合终止确认条件或继续涉入被转移金融资产所形成的金融负债；</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 xml:space="preserve">(2) </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r>
        <w:rPr>
          <w:rFonts w:ascii="Times New Roman" w:eastAsia="Times New Roman" w:hAnsi="Times New Roman" w:cs="Times New Roman"/>
          <w:color w:val="000000"/>
          <w:spacing w:val="0"/>
          <w:w w:val="100"/>
          <w:position w:val="0"/>
        </w:rPr>
        <w:t>(4)</w:t>
      </w:r>
      <w:r>
        <w:rPr>
          <w:color w:val="000000"/>
          <w:spacing w:val="0"/>
          <w:w w:val="100"/>
          <w:position w:val="0"/>
        </w:rPr>
        <w:t>以摊余成本计量的金融负债。</w:t>
      </w:r>
    </w:p>
    <w:p>
      <w:pPr>
        <w:pStyle w:val="Style12"/>
        <w:keepNext w:val="0"/>
        <w:keepLines w:val="0"/>
        <w:widowControl w:val="0"/>
        <w:numPr>
          <w:ilvl w:val="0"/>
          <w:numId w:val="21"/>
        </w:numPr>
        <w:shd w:val="clear" w:color="auto" w:fill="auto"/>
        <w:tabs>
          <w:tab w:pos="754" w:val="left"/>
        </w:tabs>
        <w:bidi w:val="0"/>
        <w:spacing w:before="0" w:after="0" w:line="425" w:lineRule="auto"/>
        <w:ind w:left="0" w:right="0" w:firstLine="420"/>
        <w:jc w:val="both"/>
      </w:pPr>
      <w:bookmarkStart w:id="840" w:name="bookmark840"/>
      <w:bookmarkEnd w:id="840"/>
      <w:r>
        <w:rPr>
          <w:color w:val="000000"/>
          <w:spacing w:val="0"/>
          <w:w w:val="100"/>
          <w:position w:val="0"/>
        </w:rPr>
        <w:t>金融资产和金融负债的确认依据、计量方法和终止确认条件</w:t>
      </w:r>
    </w:p>
    <w:p>
      <w:pPr>
        <w:pStyle w:val="Style12"/>
        <w:keepNext w:val="0"/>
        <w:keepLines w:val="0"/>
        <w:widowControl w:val="0"/>
        <w:numPr>
          <w:ilvl w:val="0"/>
          <w:numId w:val="23"/>
        </w:numPr>
        <w:shd w:val="clear" w:color="auto" w:fill="auto"/>
        <w:tabs>
          <w:tab w:pos="850" w:val="left"/>
        </w:tabs>
        <w:bidi w:val="0"/>
        <w:spacing w:before="0" w:after="0" w:line="425" w:lineRule="auto"/>
        <w:ind w:left="0" w:right="0" w:firstLine="420"/>
        <w:jc w:val="both"/>
      </w:pPr>
      <w:bookmarkStart w:id="841" w:name="bookmark841"/>
      <w:bookmarkEnd w:id="841"/>
      <w:r>
        <w:rPr>
          <w:color w:val="000000"/>
          <w:spacing w:val="0"/>
          <w:w w:val="100"/>
          <w:position w:val="0"/>
        </w:rPr>
        <w:t>金融资产和金融负债的确认依据和初始计量方法</w:t>
      </w:r>
    </w:p>
    <w:p>
      <w:pPr>
        <w:pStyle w:val="Style12"/>
        <w:keepNext w:val="0"/>
        <w:keepLines w:val="0"/>
        <w:widowControl w:val="0"/>
        <w:shd w:val="clear" w:color="auto" w:fill="auto"/>
        <w:bidi w:val="0"/>
        <w:spacing w:before="0" w:after="140" w:line="406" w:lineRule="exact"/>
        <w:ind w:left="0" w:right="0" w:firstLine="42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接计入当期损益；对于其他类别的金融资产或金融负债，相关交易费用计入初始确认金额。但是，公司初 始确认的应收账款未包含重大融资成分或公司不考虑未超过一年的合同中的融资成分的，按照《企业会计 准则第</w:t>
      </w:r>
      <w:r>
        <w:rPr>
          <w:rFonts w:ascii="Times New Roman" w:eastAsia="Times New Roman" w:hAnsi="Times New Roman" w:cs="Times New Roman"/>
          <w:color w:val="000000"/>
          <w:spacing w:val="0"/>
          <w:w w:val="100"/>
          <w:position w:val="0"/>
        </w:rPr>
        <w:t>14</w:t>
      </w:r>
      <w:r>
        <w:rPr>
          <w:color w:val="000000"/>
          <w:spacing w:val="0"/>
          <w:w w:val="100"/>
          <w:position w:val="0"/>
        </w:rPr>
        <w:t>号——收入》所定义的交易价格进行初始计量。</w:t>
      </w:r>
    </w:p>
    <w:p>
      <w:pPr>
        <w:pStyle w:val="Style12"/>
        <w:keepNext w:val="0"/>
        <w:keepLines w:val="0"/>
        <w:widowControl w:val="0"/>
        <w:numPr>
          <w:ilvl w:val="0"/>
          <w:numId w:val="23"/>
        </w:numPr>
        <w:shd w:val="clear" w:color="auto" w:fill="auto"/>
        <w:tabs>
          <w:tab w:pos="850" w:val="left"/>
        </w:tabs>
        <w:bidi w:val="0"/>
        <w:spacing w:before="0" w:after="0" w:line="425" w:lineRule="auto"/>
        <w:ind w:left="0" w:right="0" w:firstLine="420"/>
        <w:jc w:val="both"/>
      </w:pPr>
      <w:bookmarkStart w:id="842" w:name="bookmark842"/>
      <w:bookmarkEnd w:id="842"/>
      <w:r>
        <w:rPr>
          <w:color w:val="000000"/>
          <w:spacing w:val="0"/>
          <w:w w:val="100"/>
          <w:position w:val="0"/>
        </w:rPr>
        <w:t>金融资产的后续计量方法</w:t>
      </w:r>
    </w:p>
    <w:p>
      <w:pPr>
        <w:pStyle w:val="Style12"/>
        <w:keepNext w:val="0"/>
        <w:keepLines w:val="0"/>
        <w:widowControl w:val="0"/>
        <w:numPr>
          <w:ilvl w:val="0"/>
          <w:numId w:val="25"/>
        </w:numPr>
        <w:shd w:val="clear" w:color="auto" w:fill="auto"/>
        <w:tabs>
          <w:tab w:pos="764" w:val="left"/>
        </w:tabs>
        <w:bidi w:val="0"/>
        <w:spacing w:before="0" w:after="0" w:line="425" w:lineRule="auto"/>
        <w:ind w:left="0" w:right="0" w:firstLine="420"/>
        <w:jc w:val="both"/>
      </w:pPr>
      <w:bookmarkStart w:id="843" w:name="bookmark843"/>
      <w:bookmarkEnd w:id="843"/>
      <w:r>
        <w:rPr>
          <w:color w:val="000000"/>
          <w:spacing w:val="0"/>
          <w:w w:val="100"/>
          <w:position w:val="0"/>
        </w:rPr>
        <w:t>以摊余成本计量的金融资产</w:t>
      </w:r>
    </w:p>
    <w:p>
      <w:pPr>
        <w:pStyle w:val="Style12"/>
        <w:keepNext w:val="0"/>
        <w:keepLines w:val="0"/>
        <w:widowControl w:val="0"/>
        <w:shd w:val="clear" w:color="auto" w:fill="auto"/>
        <w:bidi w:val="0"/>
        <w:spacing w:before="0" w:after="140" w:line="406" w:lineRule="exact"/>
        <w:ind w:left="0" w:right="0" w:firstLine="420"/>
        <w:jc w:val="both"/>
      </w:pPr>
      <w:r>
        <w:rPr>
          <w:color w:val="000000"/>
          <w:spacing w:val="0"/>
          <w:w w:val="100"/>
          <w:position w:val="0"/>
        </w:rPr>
        <w:t>采用实际利率法，按照摊余成本进行后续计量。以摊余成本计量且不属于任何套期关系的一部分的金 融资产所产生的利得或损失，在终止确认、重分类、按照实际利率法摊销或确认减值时，计入当期损益。</w:t>
      </w:r>
    </w:p>
    <w:p>
      <w:pPr>
        <w:pStyle w:val="Style12"/>
        <w:keepNext w:val="0"/>
        <w:keepLines w:val="0"/>
        <w:widowControl w:val="0"/>
        <w:numPr>
          <w:ilvl w:val="0"/>
          <w:numId w:val="25"/>
        </w:numPr>
        <w:shd w:val="clear" w:color="auto" w:fill="auto"/>
        <w:tabs>
          <w:tab w:pos="783" w:val="left"/>
        </w:tabs>
        <w:bidi w:val="0"/>
        <w:spacing w:before="0" w:after="0" w:line="425" w:lineRule="auto"/>
        <w:ind w:left="0" w:right="0" w:firstLine="420"/>
        <w:jc w:val="both"/>
      </w:pPr>
      <w:bookmarkStart w:id="844" w:name="bookmark844"/>
      <w:bookmarkEnd w:id="844"/>
      <w:r>
        <w:rPr>
          <w:color w:val="000000"/>
          <w:spacing w:val="0"/>
          <w:w w:val="100"/>
          <w:position w:val="0"/>
        </w:rPr>
        <w:t>以公允价值计量且其变动计入其他综合收益的债务工具投资</w:t>
      </w:r>
    </w:p>
    <w:p>
      <w:pPr>
        <w:pStyle w:val="Style12"/>
        <w:keepNext w:val="0"/>
        <w:keepLines w:val="0"/>
        <w:widowControl w:val="0"/>
        <w:shd w:val="clear" w:color="auto" w:fill="auto"/>
        <w:bidi w:val="0"/>
        <w:spacing w:before="0" w:after="140" w:line="406" w:lineRule="exact"/>
        <w:ind w:left="0" w:right="0" w:firstLine="420"/>
        <w:jc w:val="both"/>
      </w:pPr>
      <w:r>
        <w:rPr>
          <w:color w:val="000000"/>
          <w:spacing w:val="0"/>
          <w:w w:val="100"/>
          <w:position w:val="0"/>
        </w:rPr>
        <w:t>采用公允价值进行后续计量。采用实际利率法计算的利息、减值损失或利得及汇兑损益计入当期损益， 其他利得或损失计入其他综合收益。终止确认时，将之前计入其他综合收益的累计利得或损失从其他综合 收益中转出，计入当期损益。</w:t>
      </w:r>
    </w:p>
    <w:p>
      <w:pPr>
        <w:pStyle w:val="Style12"/>
        <w:keepNext w:val="0"/>
        <w:keepLines w:val="0"/>
        <w:widowControl w:val="0"/>
        <w:numPr>
          <w:ilvl w:val="0"/>
          <w:numId w:val="25"/>
        </w:numPr>
        <w:shd w:val="clear" w:color="auto" w:fill="auto"/>
        <w:tabs>
          <w:tab w:pos="783" w:val="left"/>
        </w:tabs>
        <w:bidi w:val="0"/>
        <w:spacing w:before="0" w:after="0" w:line="425" w:lineRule="auto"/>
        <w:ind w:left="0" w:right="0" w:firstLine="420"/>
        <w:jc w:val="both"/>
      </w:pPr>
      <w:bookmarkStart w:id="845" w:name="bookmark845"/>
      <w:bookmarkEnd w:id="845"/>
      <w:r>
        <w:rPr>
          <w:color w:val="000000"/>
          <w:spacing w:val="0"/>
          <w:w w:val="100"/>
          <w:position w:val="0"/>
        </w:rPr>
        <w:t>以公允价值计量且其变动计入其他综合收益的权益工具投资</w:t>
      </w:r>
    </w:p>
    <w:p>
      <w:pPr>
        <w:pStyle w:val="Style12"/>
        <w:keepNext w:val="0"/>
        <w:keepLines w:val="0"/>
        <w:widowControl w:val="0"/>
        <w:shd w:val="clear" w:color="auto" w:fill="auto"/>
        <w:bidi w:val="0"/>
        <w:spacing w:before="0" w:after="140" w:line="406" w:lineRule="exact"/>
        <w:ind w:left="0" w:right="0" w:firstLine="420"/>
        <w:jc w:val="both"/>
      </w:pPr>
      <w:r>
        <w:rPr>
          <w:color w:val="000000"/>
          <w:spacing w:val="0"/>
          <w:w w:val="100"/>
          <w:position w:val="0"/>
        </w:rPr>
        <w:t xml:space="preserve">采用公允价值进行后续计量。获得的股利(属于投资成本收回部分的除外)计入当期损益，其他利得 </w:t>
      </w:r>
      <w:r>
        <w:rPr>
          <w:color w:val="000000"/>
          <w:spacing w:val="0"/>
          <w:w w:val="100"/>
          <w:position w:val="0"/>
        </w:rPr>
        <w:t>或损失计入其他综合收益。终止确认时，将之前计入其他综合收益的累计利得或损失从其他综合收益中转 出，计入留存收益。</w:t>
      </w:r>
    </w:p>
    <w:p>
      <w:pPr>
        <w:pStyle w:val="Style12"/>
        <w:keepNext w:val="0"/>
        <w:keepLines w:val="0"/>
        <w:widowControl w:val="0"/>
        <w:shd w:val="clear" w:color="auto" w:fill="auto"/>
        <w:bidi w:val="0"/>
        <w:spacing w:before="0" w:after="0" w:line="427" w:lineRule="auto"/>
        <w:ind w:left="0" w:right="0" w:firstLine="420"/>
        <w:jc w:val="left"/>
      </w:pPr>
      <w:bookmarkStart w:id="846" w:name="bookmark846"/>
      <w:r>
        <w:rPr>
          <w:rFonts w:ascii="Times New Roman" w:eastAsia="Times New Roman" w:hAnsi="Times New Roman" w:cs="Times New Roman"/>
          <w:color w:val="000000"/>
          <w:spacing w:val="0"/>
          <w:w w:val="100"/>
          <w:position w:val="0"/>
        </w:rPr>
        <w:t>4</w:t>
      </w:r>
      <w:bookmarkEnd w:id="846"/>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以公允价值计量且其变动计入当期损益的金融资产</w:t>
      </w:r>
    </w:p>
    <w:p>
      <w:pPr>
        <w:pStyle w:val="Style12"/>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采用公允价值进行后续计量，产生的利得或损失（包括利息和股利收入）计入当期损益，除非该金融 资产属于套期关系的一部分。</w:t>
      </w:r>
    </w:p>
    <w:p>
      <w:pPr>
        <w:pStyle w:val="Style12"/>
        <w:keepNext w:val="0"/>
        <w:keepLines w:val="0"/>
        <w:widowControl w:val="0"/>
        <w:shd w:val="clear" w:color="auto" w:fill="auto"/>
        <w:tabs>
          <w:tab w:pos="846" w:val="left"/>
        </w:tabs>
        <w:bidi w:val="0"/>
        <w:spacing w:before="0" w:after="0" w:line="427" w:lineRule="auto"/>
        <w:ind w:left="0" w:right="0" w:firstLine="420"/>
        <w:jc w:val="both"/>
      </w:pPr>
      <w:bookmarkStart w:id="847" w:name="bookmark847"/>
      <w:r>
        <w:rPr>
          <w:rFonts w:ascii="Times New Roman" w:eastAsia="Times New Roman" w:hAnsi="Times New Roman" w:cs="Times New Roman"/>
          <w:color w:val="000000"/>
          <w:spacing w:val="0"/>
          <w:w w:val="100"/>
          <w:position w:val="0"/>
        </w:rPr>
        <w:t>（</w:t>
      </w:r>
      <w:bookmarkEnd w:id="847"/>
      <w:r>
        <w:rPr>
          <w:rFonts w:ascii="Times New Roman" w:eastAsia="Times New Roman" w:hAnsi="Times New Roman" w:cs="Times New Roman"/>
          <w:color w:val="000000"/>
          <w:spacing w:val="0"/>
          <w:w w:val="100"/>
          <w:position w:val="0"/>
        </w:rPr>
        <w:t>3）</w:t>
        <w:tab/>
      </w:r>
      <w:r>
        <w:rPr>
          <w:color w:val="000000"/>
          <w:spacing w:val="0"/>
          <w:w w:val="100"/>
          <w:position w:val="0"/>
        </w:rPr>
        <w:t>金融负债的后续计量方法</w:t>
      </w:r>
    </w:p>
    <w:p>
      <w:pPr>
        <w:pStyle w:val="Style12"/>
        <w:keepNext w:val="0"/>
        <w:keepLines w:val="0"/>
        <w:widowControl w:val="0"/>
        <w:shd w:val="clear" w:color="auto" w:fill="auto"/>
        <w:tabs>
          <w:tab w:pos="764" w:val="left"/>
        </w:tabs>
        <w:bidi w:val="0"/>
        <w:spacing w:before="0" w:after="0" w:line="427" w:lineRule="auto"/>
        <w:ind w:left="0" w:right="0" w:firstLine="420"/>
        <w:jc w:val="left"/>
      </w:pPr>
      <w:bookmarkStart w:id="848" w:name="bookmark848"/>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以公允价值计量且其变动计入当期损益的金融负债</w:t>
      </w:r>
    </w:p>
    <w:p>
      <w:pPr>
        <w:pStyle w:val="Style12"/>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此类金融负债包括交易性金融负债（含属于金融负债的衍生工具）和指定为以公允价值计量且其变动 计入当期损益的金融负债。对于此类金融负债以公允价值进行后续计量。因公司自身信用风险变动引起的 指定为以公允价值计量且其变动计入当期损益的金融负债的公允价值变动金额计入其他综合收益，除非该 处理会造成或扩大损益中的会计错配。此类金融负债产生的其他利得或损失（包括利息费用、除因公司自 身信用风险变动引起的公允价值变动）计入当期损益，除非该金融负债属于套期关系的一部分。终止确认 时，将之前计入其他综合收益的累计利得或损失从其他综合收益中转出，计入留存收益。</w:t>
      </w:r>
    </w:p>
    <w:p>
      <w:pPr>
        <w:pStyle w:val="Style12"/>
        <w:keepNext w:val="0"/>
        <w:keepLines w:val="0"/>
        <w:widowControl w:val="0"/>
        <w:shd w:val="clear" w:color="auto" w:fill="auto"/>
        <w:tabs>
          <w:tab w:pos="783" w:val="left"/>
        </w:tabs>
        <w:bidi w:val="0"/>
        <w:spacing w:before="0" w:after="0" w:line="427" w:lineRule="auto"/>
        <w:ind w:left="0" w:right="0" w:firstLine="420"/>
        <w:jc w:val="both"/>
      </w:pPr>
      <w:bookmarkStart w:id="849" w:name="bookmark849"/>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12"/>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号——金融资产转移》相关规定进行计量。</w:t>
      </w:r>
    </w:p>
    <w:p>
      <w:pPr>
        <w:pStyle w:val="Style12"/>
        <w:keepNext w:val="0"/>
        <w:keepLines w:val="0"/>
        <w:widowControl w:val="0"/>
        <w:shd w:val="clear" w:color="auto" w:fill="auto"/>
        <w:tabs>
          <w:tab w:pos="783" w:val="left"/>
        </w:tabs>
        <w:bidi w:val="0"/>
        <w:spacing w:before="0" w:after="0" w:line="427" w:lineRule="auto"/>
        <w:ind w:left="0" w:right="0" w:firstLine="420"/>
        <w:jc w:val="both"/>
      </w:pPr>
      <w:bookmarkStart w:id="850" w:name="bookmark850"/>
      <w:r>
        <w:rPr>
          <w:rFonts w:ascii="Times New Roman" w:eastAsia="Times New Roman" w:hAnsi="Times New Roman" w:cs="Times New Roman"/>
          <w:color w:val="000000"/>
          <w:spacing w:val="0"/>
          <w:w w:val="100"/>
          <w:position w:val="0"/>
        </w:rPr>
        <w:t>3</w:t>
      </w:r>
      <w:bookmarkEnd w:id="850"/>
      <w:r>
        <w:rPr>
          <w:rFonts w:ascii="Times New Roman" w:eastAsia="Times New Roman" w:hAnsi="Times New Roman" w:cs="Times New Roman"/>
          <w:color w:val="000000"/>
          <w:spacing w:val="0"/>
          <w:w w:val="100"/>
          <w:position w:val="0"/>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p>
    <w:p>
      <w:pPr>
        <w:pStyle w:val="Style12"/>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在初始确认后按照下列两项金额之中的较高者进行后续计量：①按照金融工具的减值规定确定的损 失准备金额；②初始确认金额扣除按照《企业会计准则第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号——收入》相关规定所确定的累计摊销额后 的余额。</w:t>
      </w:r>
    </w:p>
    <w:p>
      <w:pPr>
        <w:pStyle w:val="Style12"/>
        <w:keepNext w:val="0"/>
        <w:keepLines w:val="0"/>
        <w:widowControl w:val="0"/>
        <w:shd w:val="clear" w:color="auto" w:fill="auto"/>
        <w:tabs>
          <w:tab w:pos="783" w:val="left"/>
        </w:tabs>
        <w:bidi w:val="0"/>
        <w:spacing w:before="0" w:after="0" w:line="427" w:lineRule="auto"/>
        <w:ind w:left="0" w:right="0" w:firstLine="420"/>
        <w:jc w:val="both"/>
      </w:pPr>
      <w:bookmarkStart w:id="851" w:name="bookmark851"/>
      <w:r>
        <w:rPr>
          <w:rFonts w:ascii="Times New Roman" w:eastAsia="Times New Roman" w:hAnsi="Times New Roman" w:cs="Times New Roman"/>
          <w:color w:val="000000"/>
          <w:spacing w:val="0"/>
          <w:w w:val="100"/>
          <w:position w:val="0"/>
        </w:rPr>
        <w:t>4</w:t>
      </w:r>
      <w:bookmarkEnd w:id="851"/>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以摊余成本计量的金融负债</w:t>
      </w:r>
    </w:p>
    <w:p>
      <w:pPr>
        <w:pStyle w:val="Style12"/>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采用实际利率法以摊余成本计量。以摊余成本计量且不属于任何套期关系的一部分的金融负债所产生 的利得或损失，在终止确认、按照实际利率法摊销时计入当期损益。</w:t>
      </w:r>
    </w:p>
    <w:p>
      <w:pPr>
        <w:pStyle w:val="Style12"/>
        <w:keepNext w:val="0"/>
        <w:keepLines w:val="0"/>
        <w:widowControl w:val="0"/>
        <w:shd w:val="clear" w:color="auto" w:fill="auto"/>
        <w:tabs>
          <w:tab w:pos="850" w:val="left"/>
        </w:tabs>
        <w:bidi w:val="0"/>
        <w:spacing w:before="0" w:after="0" w:line="427" w:lineRule="auto"/>
        <w:ind w:left="0" w:right="0" w:firstLine="420"/>
        <w:jc w:val="both"/>
      </w:pPr>
      <w:bookmarkStart w:id="852" w:name="bookmark852"/>
      <w:r>
        <w:rPr>
          <w:rFonts w:ascii="Times New Roman" w:eastAsia="Times New Roman" w:hAnsi="Times New Roman" w:cs="Times New Roman"/>
          <w:color w:val="000000"/>
          <w:spacing w:val="0"/>
          <w:w w:val="100"/>
          <w:position w:val="0"/>
        </w:rPr>
        <w:t>（</w:t>
      </w:r>
      <w:bookmarkEnd w:id="852"/>
      <w:r>
        <w:rPr>
          <w:rFonts w:ascii="Times New Roman" w:eastAsia="Times New Roman" w:hAnsi="Times New Roman" w:cs="Times New Roman"/>
          <w:color w:val="000000"/>
          <w:spacing w:val="0"/>
          <w:w w:val="100"/>
          <w:position w:val="0"/>
        </w:rPr>
        <w:t>4）</w:t>
        <w:tab/>
      </w:r>
      <w:r>
        <w:rPr>
          <w:color w:val="000000"/>
          <w:spacing w:val="0"/>
          <w:w w:val="100"/>
          <w:position w:val="0"/>
        </w:rPr>
        <w:t>金融资产和金融负债的终止确认</w:t>
      </w:r>
    </w:p>
    <w:p>
      <w:pPr>
        <w:pStyle w:val="Style12"/>
        <w:keepNext w:val="0"/>
        <w:keepLines w:val="0"/>
        <w:widowControl w:val="0"/>
        <w:shd w:val="clear" w:color="auto" w:fill="auto"/>
        <w:tabs>
          <w:tab w:pos="764" w:val="left"/>
        </w:tabs>
        <w:bidi w:val="0"/>
        <w:spacing w:before="0" w:after="0" w:line="427" w:lineRule="auto"/>
        <w:ind w:left="0" w:right="0" w:firstLine="420"/>
        <w:jc w:val="both"/>
      </w:pPr>
      <w:bookmarkStart w:id="853" w:name="bookmark853"/>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w:t>
        <w:tab/>
      </w:r>
      <w:r>
        <w:rPr>
          <w:color w:val="000000"/>
          <w:spacing w:val="0"/>
          <w:w w:val="100"/>
          <w:position w:val="0"/>
        </w:rPr>
        <w:t>当满足下列条件之一时，终止确认金融资产：</w:t>
      </w:r>
    </w:p>
    <w:p>
      <w:pPr>
        <w:pStyle w:val="Style12"/>
        <w:keepNext w:val="0"/>
        <w:keepLines w:val="0"/>
        <w:widowControl w:val="0"/>
        <w:numPr>
          <w:ilvl w:val="0"/>
          <w:numId w:val="27"/>
        </w:numPr>
        <w:shd w:val="clear" w:color="auto" w:fill="auto"/>
        <w:tabs>
          <w:tab w:pos="812" w:val="left"/>
        </w:tabs>
        <w:bidi w:val="0"/>
        <w:spacing w:before="0" w:after="0" w:line="410" w:lineRule="exact"/>
        <w:ind w:left="0" w:right="0" w:firstLine="420"/>
        <w:jc w:val="both"/>
      </w:pPr>
      <w:bookmarkStart w:id="854" w:name="bookmark854"/>
      <w:bookmarkEnd w:id="854"/>
      <w:r>
        <w:rPr>
          <w:color w:val="000000"/>
          <w:spacing w:val="0"/>
          <w:w w:val="100"/>
          <w:position w:val="0"/>
        </w:rPr>
        <w:t>收取金融资产现金流量的合同权利已终止；</w:t>
      </w:r>
    </w:p>
    <w:p>
      <w:pPr>
        <w:pStyle w:val="Style12"/>
        <w:keepNext w:val="0"/>
        <w:keepLines w:val="0"/>
        <w:widowControl w:val="0"/>
        <w:numPr>
          <w:ilvl w:val="0"/>
          <w:numId w:val="27"/>
        </w:numPr>
        <w:shd w:val="clear" w:color="auto" w:fill="auto"/>
        <w:tabs>
          <w:tab w:pos="795" w:val="left"/>
        </w:tabs>
        <w:bidi w:val="0"/>
        <w:spacing w:before="0" w:after="140" w:line="410" w:lineRule="exact"/>
        <w:ind w:left="0" w:right="0" w:firstLine="420"/>
        <w:jc w:val="both"/>
      </w:pPr>
      <w:bookmarkStart w:id="855" w:name="bookmark855"/>
      <w:bookmarkEnd w:id="855"/>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号——金融资产转移》关于金融资产终止确认 的规定。</w:t>
      </w:r>
    </w:p>
    <w:p>
      <w:pPr>
        <w:pStyle w:val="Style12"/>
        <w:keepNext w:val="0"/>
        <w:keepLines w:val="0"/>
        <w:widowControl w:val="0"/>
        <w:shd w:val="clear" w:color="auto" w:fill="auto"/>
        <w:tabs>
          <w:tab w:pos="783" w:val="left"/>
        </w:tabs>
        <w:bidi w:val="0"/>
        <w:spacing w:before="0" w:after="0" w:line="427" w:lineRule="auto"/>
        <w:ind w:left="0" w:right="0" w:firstLine="420"/>
        <w:jc w:val="both"/>
      </w:pPr>
      <w:bookmarkStart w:id="856" w:name="bookmark856"/>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w:t>
        <w:tab/>
      </w:r>
      <w:r>
        <w:rPr>
          <w:color w:val="000000"/>
          <w:spacing w:val="0"/>
          <w:w w:val="100"/>
          <w:position w:val="0"/>
        </w:rPr>
        <w:t>当金融负债（或其一部分）的现时义务已经解除时，相应终止确认该金融负债（或该部分金融负债）。</w:t>
      </w:r>
    </w:p>
    <w:p>
      <w:pPr>
        <w:pStyle w:val="Style12"/>
        <w:keepNext w:val="0"/>
        <w:keepLines w:val="0"/>
        <w:widowControl w:val="0"/>
        <w:numPr>
          <w:ilvl w:val="0"/>
          <w:numId w:val="21"/>
        </w:numPr>
        <w:shd w:val="clear" w:color="auto" w:fill="auto"/>
        <w:bidi w:val="0"/>
        <w:spacing w:before="0" w:after="0" w:line="427" w:lineRule="auto"/>
        <w:ind w:left="0" w:right="0" w:firstLine="420"/>
        <w:jc w:val="both"/>
      </w:pPr>
      <w:bookmarkStart w:id="857" w:name="bookmark857"/>
      <w:bookmarkEnd w:id="857"/>
      <w:r>
        <w:rPr>
          <w:color w:val="000000"/>
          <w:spacing w:val="0"/>
          <w:w w:val="100"/>
          <w:position w:val="0"/>
        </w:rPr>
        <w:t>金融资产转移的确认依据和计量方法</w:t>
      </w:r>
    </w:p>
    <w:p>
      <w:pPr>
        <w:pStyle w:val="Style1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公司转移了金融资产所有权上几乎所有的风险和报酬的，终止确认该金融资产，并将转移中产生或保 留的权利和义务单独确认为资产或负债；保留了金融资产所有权上几乎所有的风险和报酬的，继续确认所 转移的金融资产。公司既没有转移也没有保留金融资产所有权上几乎所有的风险和报酬的，分别下列情况 处理：</w:t>
      </w:r>
      <w:r>
        <w:rPr>
          <w:rFonts w:ascii="Times New Roman" w:eastAsia="Times New Roman" w:hAnsi="Times New Roman" w:cs="Times New Roman"/>
          <w:color w:val="000000"/>
          <w:spacing w:val="0"/>
          <w:w w:val="100"/>
          <w:position w:val="0"/>
        </w:rPr>
        <w:t>（1）</w:t>
      </w:r>
      <w:r>
        <w:rPr>
          <w:color w:val="000000"/>
          <w:spacing w:val="0"/>
          <w:w w:val="100"/>
          <w:position w:val="0"/>
        </w:rPr>
        <w:t>未保留对该金融资产控制的，终止确认该金融资产，并将转移中产生或保留的权利和义务单独确 认为资产或负债；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保留了对该金融资产控制的，按照继续涉入所转移金融资产的程度确认有关金融资 </w:t>
      </w:r>
      <w:r>
        <w:rPr>
          <w:color w:val="000000"/>
          <w:spacing w:val="0"/>
          <w:w w:val="100"/>
          <w:position w:val="0"/>
        </w:rPr>
        <w:t>产，并相应确认有关负债。</w:t>
      </w:r>
    </w:p>
    <w:p>
      <w:pPr>
        <w:pStyle w:val="Style12"/>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 在终止确认日的账面价值；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因转移金融资产而收到的对价，与原直接计入其他综合收益的公允价值变 动累计额中对应终止确认部分的金额（涉及转移的金融资产为以公允价值计量且其变动计入其他综合收益 的债务工具投资）之和。转移了金融资产的一部分，且该被转移部分整体满足终止确认条件的，将转移前 金融资产整体的账面价值，在终止确认部分和继续确认部分之间，按照转移日各自的相对公允价值进行分 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 原直接计入其他综合收益的公允价值变动累计额中对应终止确认部分的金额（涉及转移的金融资产为以公 允价值计量且其变动计入其他综合收益的债务工具投资）之和。</w:t>
      </w:r>
    </w:p>
    <w:p>
      <w:pPr>
        <w:pStyle w:val="Style12"/>
        <w:keepNext w:val="0"/>
        <w:keepLines w:val="0"/>
        <w:widowControl w:val="0"/>
        <w:numPr>
          <w:ilvl w:val="0"/>
          <w:numId w:val="21"/>
        </w:numPr>
        <w:shd w:val="clear" w:color="auto" w:fill="auto"/>
        <w:tabs>
          <w:tab w:pos="716" w:val="left"/>
        </w:tabs>
        <w:bidi w:val="0"/>
        <w:spacing w:before="0" w:after="0" w:line="430" w:lineRule="auto"/>
        <w:ind w:left="0" w:right="0" w:firstLine="420"/>
        <w:jc w:val="left"/>
      </w:pPr>
      <w:bookmarkStart w:id="858" w:name="bookmark858"/>
      <w:bookmarkEnd w:id="858"/>
      <w:r>
        <w:rPr>
          <w:color w:val="000000"/>
          <w:spacing w:val="0"/>
          <w:w w:val="100"/>
          <w:position w:val="0"/>
        </w:rPr>
        <w:t>金融资产和金融负债的公允价值确定方法</w:t>
      </w:r>
    </w:p>
    <w:p>
      <w:pPr>
        <w:pStyle w:val="Style12"/>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12"/>
        <w:keepNext w:val="0"/>
        <w:keepLines w:val="0"/>
        <w:widowControl w:val="0"/>
        <w:shd w:val="clear" w:color="auto" w:fill="auto"/>
        <w:tabs>
          <w:tab w:pos="811" w:val="left"/>
        </w:tabs>
        <w:bidi w:val="0"/>
        <w:spacing w:before="0" w:after="0" w:line="430" w:lineRule="auto"/>
        <w:ind w:left="0" w:right="0" w:firstLine="420"/>
        <w:jc w:val="left"/>
      </w:pPr>
      <w:bookmarkStart w:id="859" w:name="bookmark859"/>
      <w:r>
        <w:rPr>
          <w:rFonts w:ascii="Times New Roman" w:eastAsia="Times New Roman" w:hAnsi="Times New Roman" w:cs="Times New Roman"/>
          <w:color w:val="000000"/>
          <w:spacing w:val="0"/>
          <w:w w:val="100"/>
          <w:position w:val="0"/>
        </w:rPr>
        <w:t>（</w:t>
      </w:r>
      <w:bookmarkEnd w:id="859"/>
      <w:r>
        <w:rPr>
          <w:rFonts w:ascii="Times New Roman" w:eastAsia="Times New Roman" w:hAnsi="Times New Roman" w:cs="Times New Roman"/>
          <w:color w:val="000000"/>
          <w:spacing w:val="0"/>
          <w:w w:val="100"/>
          <w:position w:val="0"/>
        </w:rPr>
        <w:t>1）</w:t>
        <w:tab/>
      </w:r>
      <w:r>
        <w:rPr>
          <w:color w:val="000000"/>
          <w:spacing w:val="0"/>
          <w:w w:val="100"/>
          <w:position w:val="0"/>
        </w:rPr>
        <w:t>第一层次输入值是在计量日能够取得的相同资产或负债在活跃市场上未经调整的报价；</w:t>
      </w:r>
    </w:p>
    <w:p>
      <w:pPr>
        <w:pStyle w:val="Style12"/>
        <w:keepNext w:val="0"/>
        <w:keepLines w:val="0"/>
        <w:widowControl w:val="0"/>
        <w:shd w:val="clear" w:color="auto" w:fill="auto"/>
        <w:tabs>
          <w:tab w:pos="809" w:val="left"/>
        </w:tabs>
        <w:bidi w:val="0"/>
        <w:spacing w:before="0" w:after="0" w:line="410" w:lineRule="exact"/>
        <w:ind w:left="0" w:right="0" w:firstLine="440"/>
        <w:jc w:val="both"/>
      </w:pPr>
      <w:bookmarkStart w:id="860" w:name="bookmark860"/>
      <w:r>
        <w:rPr>
          <w:rFonts w:ascii="Times New Roman" w:eastAsia="Times New Roman" w:hAnsi="Times New Roman" w:cs="Times New Roman"/>
          <w:color w:val="000000"/>
          <w:spacing w:val="0"/>
          <w:w w:val="100"/>
          <w:position w:val="0"/>
        </w:rPr>
        <w:t>（</w:t>
      </w:r>
      <w:bookmarkEnd w:id="860"/>
      <w:r>
        <w:rPr>
          <w:rFonts w:ascii="Times New Roman" w:eastAsia="Times New Roman" w:hAnsi="Times New Roman" w:cs="Times New Roman"/>
          <w:color w:val="000000"/>
          <w:spacing w:val="0"/>
          <w:w w:val="100"/>
          <w:position w:val="0"/>
        </w:rPr>
        <w:t>2）</w:t>
        <w:tab/>
      </w:r>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12"/>
        <w:keepNext w:val="0"/>
        <w:keepLines w:val="0"/>
        <w:widowControl w:val="0"/>
        <w:shd w:val="clear" w:color="auto" w:fill="auto"/>
        <w:tabs>
          <w:tab w:pos="813" w:val="left"/>
        </w:tabs>
        <w:bidi w:val="0"/>
        <w:spacing w:before="0" w:after="140" w:line="410" w:lineRule="exact"/>
        <w:ind w:left="0" w:right="0" w:firstLine="440"/>
        <w:jc w:val="both"/>
      </w:pPr>
      <w:bookmarkStart w:id="861" w:name="bookmark861"/>
      <w:r>
        <w:rPr>
          <w:rFonts w:ascii="Times New Roman" w:eastAsia="Times New Roman" w:hAnsi="Times New Roman" w:cs="Times New Roman"/>
          <w:color w:val="000000"/>
          <w:spacing w:val="0"/>
          <w:w w:val="100"/>
          <w:position w:val="0"/>
        </w:rPr>
        <w:t>（</w:t>
      </w:r>
      <w:bookmarkEnd w:id="861"/>
      <w:r>
        <w:rPr>
          <w:rFonts w:ascii="Times New Roman" w:eastAsia="Times New Roman" w:hAnsi="Times New Roman" w:cs="Times New Roman"/>
          <w:color w:val="000000"/>
          <w:spacing w:val="0"/>
          <w:w w:val="100"/>
          <w:position w:val="0"/>
        </w:rPr>
        <w:t>3）</w:t>
        <w:tab/>
      </w:r>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12"/>
        <w:keepNext w:val="0"/>
        <w:keepLines w:val="0"/>
        <w:widowControl w:val="0"/>
        <w:numPr>
          <w:ilvl w:val="0"/>
          <w:numId w:val="21"/>
        </w:numPr>
        <w:shd w:val="clear" w:color="auto" w:fill="auto"/>
        <w:tabs>
          <w:tab w:pos="716" w:val="left"/>
        </w:tabs>
        <w:bidi w:val="0"/>
        <w:spacing w:before="0" w:after="0" w:line="430" w:lineRule="auto"/>
        <w:ind w:left="0" w:right="0" w:firstLine="420"/>
        <w:jc w:val="left"/>
      </w:pPr>
      <w:bookmarkStart w:id="862" w:name="bookmark862"/>
      <w:bookmarkEnd w:id="862"/>
      <w:r>
        <w:rPr>
          <w:color w:val="000000"/>
          <w:spacing w:val="0"/>
          <w:w w:val="100"/>
          <w:position w:val="0"/>
        </w:rPr>
        <w:t>金融工具减值</w:t>
      </w:r>
    </w:p>
    <w:p>
      <w:pPr>
        <w:pStyle w:val="Style12"/>
        <w:keepNext w:val="0"/>
        <w:keepLines w:val="0"/>
        <w:widowControl w:val="0"/>
        <w:shd w:val="clear" w:color="auto" w:fill="auto"/>
        <w:bidi w:val="0"/>
        <w:spacing w:before="0" w:after="0" w:line="430" w:lineRule="auto"/>
        <w:ind w:left="0" w:right="0" w:firstLine="420"/>
        <w:jc w:val="left"/>
      </w:pPr>
      <w:bookmarkStart w:id="863" w:name="bookmark863"/>
      <w:r>
        <w:rPr>
          <w:rFonts w:ascii="Times New Roman" w:eastAsia="Times New Roman" w:hAnsi="Times New Roman" w:cs="Times New Roman"/>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金融工具减值计量和会计处理</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公司以预期信用损失为基础，对以摊余成本计量的金融资产、以公允价值计量且其变动计入其他综合 收益的债务工具投资、合同资产、租赁应收款、分类为以公允价值计量且其变动计入当期损益的金融负债 以外的贷款承诺、不属于以公允价值计量且其变动计入当期损益的金融负债或不属于金融资产转移不符合 终止确认条件或继续涉入被转移金融资产所形成的金融负债的财务担保合同进行减值处理并确认损失准 备。</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全部现金短缺的现值。其中，对于公司购买或源生的已发生信用减值的金融资产，按照该金融资产经信用 调整的实际利率折现。</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对于购买或源生的已发生信用减值的金融资产，公司在资产负债表日仅将自初始确认后整个存续期内 预期信用损失的累计变动确认为损失准备。</w:t>
      </w:r>
    </w:p>
    <w:p>
      <w:pPr>
        <w:pStyle w:val="Style12"/>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号——收入》规范的交易形成的应收款项及合同资产，公司 运用简化计量方法，按照相当于整个存续期内的预期信用损失金额计量损失准备。</w:t>
      </w:r>
    </w:p>
    <w:p>
      <w:pPr>
        <w:pStyle w:val="Style1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除上述计量方法以外的金融资产，公司在每个资产负债表日评估其信用风险自初始确认后是否已经显 著增加。如果信用风险自初始确认后已显著增加，公司按照整个存续期内预期信用损失的金额计量损失准 备；如果信用风险自初始确认后未显著增加，公司按照该金融工具未来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 损失准备。</w:t>
      </w:r>
    </w:p>
    <w:p>
      <w:pPr>
        <w:pStyle w:val="Style1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公司利用可获得的合理且有依据的信息，包括前瞻性信息，通过比较金融工具在资产负债表日发生违 约的风险与在初始确认日发生违约的风险，以确定金融工具的信用风险自初始确认后是否已显著增加。</w:t>
      </w:r>
    </w:p>
    <w:p>
      <w:pPr>
        <w:pStyle w:val="Style1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于资产负债表日，若公司判断金融工具只具有较低的信用风险，则假定该金融工具的信用风险自初始 确认后并未显著增加。</w:t>
      </w:r>
    </w:p>
    <w:p>
      <w:pPr>
        <w:pStyle w:val="Style1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公司以单项金融工具或金融工具组合为基础评估预期信用风险和计量预期信用损失。当以金融工具组 合为基础时，公司以共同风险特征为依据，将金融工具划分为不同组合。</w:t>
      </w:r>
    </w:p>
    <w:p>
      <w:pPr>
        <w:pStyle w:val="Style12"/>
        <w:keepNext w:val="0"/>
        <w:keepLines w:val="0"/>
        <w:widowControl w:val="0"/>
        <w:shd w:val="clear" w:color="auto" w:fill="auto"/>
        <w:bidi w:val="0"/>
        <w:spacing w:before="0" w:after="120" w:line="409" w:lineRule="exact"/>
        <w:ind w:left="0" w:right="0" w:firstLine="420"/>
        <w:jc w:val="both"/>
      </w:pPr>
      <w:r>
        <w:rPr>
          <w:color w:val="000000"/>
          <w:spacing w:val="0"/>
          <w:w w:val="100"/>
          <w:position w:val="0"/>
        </w:rPr>
        <w:t>公司在每个资产负债表日重新计量预期信用损失，由此形成的损失准备的增加或转回金额，作为减值 损失或利得计入当期损益。对于以摊余成本计量的金融资产，损失准备抵减该金融资产在资产负债表中列 示的账面价值；对于以公允价值计量且其变动计入其他综合收益的债权投资，公司在其他综合收益中确认 其损失准备，不抵减该金融资产的账面价值。</w:t>
      </w:r>
    </w:p>
    <w:p>
      <w:pPr>
        <w:pStyle w:val="Style36"/>
        <w:keepNext w:val="0"/>
        <w:keepLines w:val="0"/>
        <w:widowControl w:val="0"/>
        <w:shd w:val="clear" w:color="auto" w:fill="auto"/>
        <w:bidi w:val="0"/>
        <w:spacing w:before="0" w:after="0" w:line="240" w:lineRule="auto"/>
        <w:ind w:left="403"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按组合评估预期信用风险和计量预期信用损失的金融工具</w:t>
      </w:r>
    </w:p>
    <w:tbl>
      <w:tblPr>
        <w:tblOverlap w:val="never"/>
        <w:jc w:val="center"/>
        <w:tblLayout w:type="fixed"/>
      </w:tblPr>
      <w:tblGrid>
        <w:gridCol w:w="3264"/>
        <w:gridCol w:w="2150"/>
        <w:gridCol w:w="4229"/>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确定组合的依据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计量预期信用损失的方法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其他应收款一合并范围内关联方组合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客户类型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参考历史信用损失经验，结合当前状况以及对未来经 济状况的预测，通过违约风险敞口和未来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个月内或 整个存续期预期信用损失率，计算预期信用损失</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其他应收款一账龄组合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vMerge/>
            <w:tcBorders>
              <w:left w:val="single" w:sz="4"/>
              <w:bottom w:val="single" w:sz="4"/>
              <w:right w:val="single" w:sz="4"/>
            </w:tcBorders>
            <w:shd w:val="clear" w:color="auto" w:fill="FFFFFF"/>
            <w:vAlign w:val="center"/>
          </w:tcPr>
          <w:p>
            <w:pPr/>
          </w:p>
        </w:tc>
      </w:tr>
    </w:tbl>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仔）按组合计量预期信用损失的应收款项及合同资产</w:t>
      </w:r>
    </w:p>
    <w:p>
      <w:pPr>
        <w:widowControl w:val="0"/>
        <w:spacing w:after="119" w:line="1" w:lineRule="exact"/>
      </w:pPr>
    </w:p>
    <w:p>
      <w:pPr>
        <w:pStyle w:val="Style12"/>
        <w:keepNext w:val="0"/>
        <w:keepLines w:val="0"/>
        <w:widowControl w:val="0"/>
        <w:shd w:val="clear" w:color="auto" w:fill="auto"/>
        <w:bidi w:val="0"/>
        <w:spacing w:before="0" w:after="120" w:line="240" w:lineRule="auto"/>
        <w:ind w:left="0" w:right="0" w:firstLine="420"/>
        <w:jc w:val="left"/>
      </w:pPr>
      <w:bookmarkStart w:id="864" w:name="bookmark864"/>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w:t>
      </w:r>
      <w:r>
        <w:rPr>
          <w:color w:val="000000"/>
          <w:spacing w:val="0"/>
          <w:w w:val="100"/>
          <w:position w:val="0"/>
        </w:rPr>
        <w:t>具体组合及计量预期信用损失的方法</w:t>
      </w:r>
    </w:p>
    <w:tbl>
      <w:tblPr>
        <w:tblOverlap w:val="never"/>
        <w:jc w:val="center"/>
        <w:tblLayout w:type="fixed"/>
      </w:tblPr>
      <w:tblGrid>
        <w:gridCol w:w="1896"/>
        <w:gridCol w:w="840"/>
        <w:gridCol w:w="6907"/>
      </w:tblGrid>
      <w:tr>
        <w:trPr>
          <w:trHeight w:val="58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确定组合 的依据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计量预期信用损失的方法</w:t>
            </w: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应收银行承兑汇票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票据类型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参考历史信用损失经验，结合当前状况以及对未来经济状况的预测，通过违约风险敞口 和整个存续期预期信用损失率，计算预期信用损失</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应收账款一合并范围 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参考历史信用损失经验，结合当前状况以及对未来经济状况的预测，通过违约风险敞口 和整个存续期预期信用损失率，计算预期信用损失</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应收账款一账龄组合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参考历史信用损失经验，结合当前状况以及对未来经济状况的预测，编制应收账款账龄 与整个存续期预期信用损失率对照表，计算预期信用损失</w:t>
            </w:r>
          </w:p>
        </w:tc>
      </w:tr>
      <w:tr>
        <w:trPr>
          <w:trHeight w:val="5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合同资产</w:t>
            </w:r>
            <w:r>
              <w:rPr>
                <w:color w:val="000000"/>
                <w:spacing w:val="0"/>
                <w:w w:val="100"/>
                <w:position w:val="0"/>
                <w:sz w:val="18"/>
                <w:szCs w:val="18"/>
              </w:rPr>
              <w:t>一一</w:t>
            </w:r>
            <w:r>
              <w:rPr>
                <w:color w:val="000000"/>
                <w:spacing w:val="0"/>
                <w:w w:val="100"/>
                <w:position w:val="0"/>
                <w:sz w:val="18"/>
                <w:szCs w:val="18"/>
              </w:rPr>
              <w:t>质保金组 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参考历史信用损失经验，结合当前状况以及对未来经济状况的预测，编制合同资产账龄 与整个存续期预期信用损失率对照表，计算预期信用损失</w:t>
            </w:r>
          </w:p>
        </w:tc>
      </w:tr>
    </w:tbl>
    <w:p>
      <w:pPr>
        <w:pStyle w:val="Style36"/>
        <w:keepNext w:val="0"/>
        <w:keepLines w:val="0"/>
        <w:widowControl w:val="0"/>
        <w:shd w:val="clear" w:color="auto" w:fill="auto"/>
        <w:bidi w:val="0"/>
        <w:spacing w:before="0" w:after="0" w:line="240" w:lineRule="auto"/>
        <w:ind w:left="39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应收账款——账龄组合的账龄与整个存续期预期信用损失率对照表</w:t>
      </w:r>
    </w:p>
    <w:p>
      <w:pPr>
        <w:widowControl w:val="0"/>
        <w:spacing w:after="119" w:line="1" w:lineRule="exact"/>
      </w:pPr>
    </w:p>
    <w:p>
      <w:pPr>
        <w:widowControl w:val="0"/>
        <w:spacing w:line="1" w:lineRule="exact"/>
      </w:pPr>
    </w:p>
    <w:tbl>
      <w:tblPr>
        <w:tblOverlap w:val="never"/>
        <w:jc w:val="center"/>
        <w:tblLayout w:type="fixed"/>
      </w:tblPr>
      <w:tblGrid>
        <w:gridCol w:w="3120"/>
        <w:gridCol w:w="6523"/>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应收账款预期信用损失率（</w:t>
            </w:r>
            <w:r>
              <w:rPr>
                <w:color w:val="000000"/>
                <w:spacing w:val="0"/>
                <w:w w:val="100"/>
                <w:position w:val="0"/>
                <w:sz w:val="18"/>
                <w:szCs w:val="18"/>
              </w:rPr>
              <w:t>％</w:t>
            </w: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6"/>
        <w:keepNext w:val="0"/>
        <w:keepLines w:val="0"/>
        <w:widowControl w:val="0"/>
        <w:shd w:val="clear" w:color="auto" w:fill="auto"/>
        <w:bidi w:val="0"/>
        <w:spacing w:before="0" w:after="0" w:line="240" w:lineRule="auto"/>
        <w:ind w:left="403"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金融资产和金融负债的抵销</w:t>
      </w:r>
    </w:p>
    <w:p>
      <w:pPr>
        <w:pStyle w:val="Style12"/>
        <w:keepNext w:val="0"/>
        <w:keepLines w:val="0"/>
        <w:widowControl w:val="0"/>
        <w:shd w:val="clear" w:color="auto" w:fill="auto"/>
        <w:bidi w:val="0"/>
        <w:spacing w:before="0" w:after="0" w:line="403" w:lineRule="exact"/>
        <w:ind w:left="0" w:right="0" w:firstLine="420"/>
        <w:jc w:val="both"/>
      </w:pPr>
      <w:r>
        <w:rPr>
          <w:color w:val="000000"/>
          <w:spacing w:val="0"/>
          <w:w w:val="100"/>
          <w:position w:val="0"/>
        </w:rPr>
        <w:t>金融资产和金融负债在资产负债表内分别列示，不相互抵销。但同时满足下列条件的，公司以相互抵 销后的净额在资产负债表内列示：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公司具有抵销已确认金额的法定权利，且该种法定权利是当前可执 行的；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公司计划以净额结算，或同时变现该金融资产和清偿该金融负债。</w:t>
      </w:r>
    </w:p>
    <w:p>
      <w:pPr>
        <w:pStyle w:val="Style12"/>
        <w:keepNext w:val="0"/>
        <w:keepLines w:val="0"/>
        <w:widowControl w:val="0"/>
        <w:shd w:val="clear" w:color="auto" w:fill="auto"/>
        <w:bidi w:val="0"/>
        <w:spacing w:before="0" w:after="440" w:line="403" w:lineRule="exact"/>
        <w:ind w:left="0" w:right="0" w:firstLine="420"/>
        <w:jc w:val="both"/>
      </w:pPr>
      <w:r>
        <w:rPr>
          <w:color w:val="000000"/>
          <w:spacing w:val="0"/>
          <w:w w:val="100"/>
          <w:position w:val="0"/>
        </w:rPr>
        <w:t>不满足终止确认条件的金融资产转移，公司不对已转移的金融资产和相关负债进行抵销。</w:t>
      </w:r>
    </w:p>
    <w:p>
      <w:pPr>
        <w:pStyle w:val="Style38"/>
        <w:keepNext/>
        <w:keepLines/>
        <w:widowControl w:val="0"/>
        <w:shd w:val="clear" w:color="auto" w:fill="auto"/>
        <w:tabs>
          <w:tab w:pos="474" w:val="left"/>
        </w:tabs>
        <w:bidi w:val="0"/>
        <w:spacing w:before="0" w:after="0" w:line="425"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65"/>
      <w:bookmarkEnd w:id="866"/>
      <w:bookmarkEnd w:id="868"/>
    </w:p>
    <w:p>
      <w:pPr>
        <w:pStyle w:val="Style12"/>
        <w:keepNext w:val="0"/>
        <w:keepLines w:val="0"/>
        <w:widowControl w:val="0"/>
        <w:shd w:val="clear" w:color="auto" w:fill="auto"/>
        <w:bidi w:val="0"/>
        <w:spacing w:before="0" w:after="440" w:line="407" w:lineRule="exact"/>
        <w:ind w:left="0" w:right="0" w:firstLine="420"/>
        <w:jc w:val="both"/>
      </w:pPr>
      <w:r>
        <w:rPr>
          <w:color w:val="000000"/>
          <w:spacing w:val="0"/>
          <w:w w:val="100"/>
          <w:position w:val="0"/>
        </w:rPr>
        <w:t>详见本年度审计报告附注三（九）之说明。</w:t>
      </w:r>
    </w:p>
    <w:p>
      <w:pPr>
        <w:pStyle w:val="Style38"/>
        <w:keepNext/>
        <w:keepLines/>
        <w:widowControl w:val="0"/>
        <w:shd w:val="clear" w:color="auto" w:fill="auto"/>
        <w:tabs>
          <w:tab w:pos="474" w:val="left"/>
        </w:tabs>
        <w:bidi w:val="0"/>
        <w:spacing w:before="0" w:after="0" w:line="425"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69"/>
      <w:bookmarkEnd w:id="870"/>
      <w:bookmarkEnd w:id="872"/>
    </w:p>
    <w:p>
      <w:pPr>
        <w:pStyle w:val="Style12"/>
        <w:keepNext w:val="0"/>
        <w:keepLines w:val="0"/>
        <w:widowControl w:val="0"/>
        <w:shd w:val="clear" w:color="auto" w:fill="auto"/>
        <w:bidi w:val="0"/>
        <w:spacing w:before="0" w:after="440" w:line="407" w:lineRule="exact"/>
        <w:ind w:left="0" w:right="0" w:firstLine="420"/>
        <w:jc w:val="both"/>
      </w:pPr>
      <w:r>
        <w:rPr>
          <w:color w:val="000000"/>
          <w:spacing w:val="0"/>
          <w:w w:val="100"/>
          <w:position w:val="0"/>
        </w:rPr>
        <w:t>详见本年度审计报告附注三（九）之说明。</w:t>
      </w:r>
    </w:p>
    <w:p>
      <w:pPr>
        <w:pStyle w:val="Style38"/>
        <w:keepNext/>
        <w:keepLines/>
        <w:widowControl w:val="0"/>
        <w:shd w:val="clear" w:color="auto" w:fill="auto"/>
        <w:tabs>
          <w:tab w:pos="474" w:val="left"/>
        </w:tabs>
        <w:bidi w:val="0"/>
        <w:spacing w:before="0" w:after="0" w:line="425"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73"/>
      <w:bookmarkEnd w:id="874"/>
      <w:bookmarkEnd w:id="876"/>
    </w:p>
    <w:p>
      <w:pPr>
        <w:pStyle w:val="Style12"/>
        <w:keepNext w:val="0"/>
        <w:keepLines w:val="0"/>
        <w:widowControl w:val="0"/>
        <w:shd w:val="clear" w:color="auto" w:fill="auto"/>
        <w:bidi w:val="0"/>
        <w:spacing w:before="0" w:after="440" w:line="407" w:lineRule="exact"/>
        <w:ind w:left="0" w:right="0" w:firstLine="420"/>
        <w:jc w:val="both"/>
      </w:pPr>
      <w:r>
        <w:rPr>
          <w:color w:val="000000"/>
          <w:spacing w:val="0"/>
          <w:w w:val="100"/>
          <w:position w:val="0"/>
        </w:rPr>
        <w:t>详见本年度审计报告附注三（九）之说明。</w:t>
      </w:r>
    </w:p>
    <w:p>
      <w:pPr>
        <w:pStyle w:val="Style38"/>
        <w:keepNext/>
        <w:keepLines/>
        <w:widowControl w:val="0"/>
        <w:shd w:val="clear" w:color="auto" w:fill="auto"/>
        <w:tabs>
          <w:tab w:pos="474" w:val="left"/>
        </w:tabs>
        <w:bidi w:val="0"/>
        <w:spacing w:before="0" w:after="0" w:line="425"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77"/>
      <w:bookmarkEnd w:id="878"/>
      <w:bookmarkEnd w:id="880"/>
    </w:p>
    <w:p>
      <w:pPr>
        <w:pStyle w:val="Style1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其他应收款的预期信用损失的确定方法及会计处理方法</w:t>
      </w:r>
    </w:p>
    <w:p>
      <w:pPr>
        <w:pStyle w:val="Style12"/>
        <w:keepNext w:val="0"/>
        <w:keepLines w:val="0"/>
        <w:widowControl w:val="0"/>
        <w:shd w:val="clear" w:color="auto" w:fill="auto"/>
        <w:bidi w:val="0"/>
        <w:spacing w:before="0" w:after="440" w:line="407" w:lineRule="exact"/>
        <w:ind w:left="0" w:right="0" w:firstLine="420"/>
        <w:jc w:val="both"/>
      </w:pPr>
      <w:r>
        <w:rPr>
          <w:color w:val="000000"/>
          <w:spacing w:val="0"/>
          <w:w w:val="100"/>
          <w:position w:val="0"/>
        </w:rPr>
        <w:t>详见本年度审计报告附注三（九）之说明。</w:t>
      </w:r>
    </w:p>
    <w:p>
      <w:pPr>
        <w:pStyle w:val="Style38"/>
        <w:keepNext/>
        <w:keepLines/>
        <w:widowControl w:val="0"/>
        <w:shd w:val="clear" w:color="auto" w:fill="auto"/>
        <w:tabs>
          <w:tab w:pos="474" w:val="left"/>
        </w:tabs>
        <w:bidi w:val="0"/>
        <w:spacing w:before="0" w:after="120" w:line="425"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81"/>
      <w:bookmarkEnd w:id="882"/>
      <w:bookmarkEnd w:id="884"/>
    </w:p>
    <w:p>
      <w:pPr>
        <w:pStyle w:val="Style12"/>
        <w:keepNext w:val="0"/>
        <w:keepLines w:val="0"/>
        <w:widowControl w:val="0"/>
        <w:numPr>
          <w:ilvl w:val="0"/>
          <w:numId w:val="29"/>
        </w:numPr>
        <w:shd w:val="clear" w:color="auto" w:fill="auto"/>
        <w:tabs>
          <w:tab w:pos="735" w:val="left"/>
        </w:tabs>
        <w:bidi w:val="0"/>
        <w:spacing w:before="0" w:after="0" w:line="425" w:lineRule="auto"/>
        <w:ind w:left="0" w:right="0" w:firstLine="420"/>
        <w:jc w:val="both"/>
      </w:pPr>
      <w:bookmarkStart w:id="885" w:name="bookmark885"/>
      <w:bookmarkEnd w:id="885"/>
      <w:r>
        <w:rPr>
          <w:color w:val="000000"/>
          <w:spacing w:val="0"/>
          <w:w w:val="100"/>
          <w:position w:val="0"/>
        </w:rPr>
        <w:t>存货的分类</w:t>
      </w:r>
    </w:p>
    <w:p>
      <w:pPr>
        <w:pStyle w:val="Style12"/>
        <w:keepNext w:val="0"/>
        <w:keepLines w:val="0"/>
        <w:widowControl w:val="0"/>
        <w:shd w:val="clear" w:color="auto" w:fill="auto"/>
        <w:bidi w:val="0"/>
        <w:spacing w:before="0" w:after="120" w:line="407" w:lineRule="exact"/>
        <w:ind w:left="0" w:right="0" w:firstLine="42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12"/>
        <w:keepNext w:val="0"/>
        <w:keepLines w:val="0"/>
        <w:widowControl w:val="0"/>
        <w:numPr>
          <w:ilvl w:val="0"/>
          <w:numId w:val="29"/>
        </w:numPr>
        <w:shd w:val="clear" w:color="auto" w:fill="auto"/>
        <w:tabs>
          <w:tab w:pos="754" w:val="left"/>
        </w:tabs>
        <w:bidi w:val="0"/>
        <w:spacing w:before="0" w:after="0" w:line="425" w:lineRule="auto"/>
        <w:ind w:left="0" w:right="0" w:firstLine="420"/>
        <w:jc w:val="both"/>
      </w:pPr>
      <w:bookmarkStart w:id="886" w:name="bookmark886"/>
      <w:bookmarkEnd w:id="886"/>
      <w:r>
        <w:rPr>
          <w:color w:val="000000"/>
          <w:spacing w:val="0"/>
          <w:w w:val="100"/>
          <w:position w:val="0"/>
        </w:rPr>
        <w:t>发出存货的计价方法</w:t>
      </w:r>
    </w:p>
    <w:p>
      <w:pPr>
        <w:pStyle w:val="Style12"/>
        <w:keepNext w:val="0"/>
        <w:keepLines w:val="0"/>
        <w:widowControl w:val="0"/>
        <w:shd w:val="clear" w:color="auto" w:fill="auto"/>
        <w:bidi w:val="0"/>
        <w:spacing w:before="0" w:after="120" w:line="407" w:lineRule="exact"/>
        <w:ind w:left="0" w:right="0" w:firstLine="420"/>
        <w:jc w:val="both"/>
      </w:pPr>
      <w:r>
        <w:rPr>
          <w:color w:val="000000"/>
          <w:spacing w:val="0"/>
          <w:w w:val="100"/>
          <w:position w:val="0"/>
        </w:rPr>
        <w:t>发出存货采用先进先出法确定其实际成本；但在履行合同过程中不能替代使用的存货以及服务项目成 本，针对特殊项目采购的非通用产品，则采用个别计价法确定其实际成本；低值易耗品于其领用时采用一 次摊销法。</w:t>
      </w:r>
    </w:p>
    <w:p>
      <w:pPr>
        <w:pStyle w:val="Style12"/>
        <w:keepNext w:val="0"/>
        <w:keepLines w:val="0"/>
        <w:widowControl w:val="0"/>
        <w:numPr>
          <w:ilvl w:val="0"/>
          <w:numId w:val="29"/>
        </w:numPr>
        <w:shd w:val="clear" w:color="auto" w:fill="auto"/>
        <w:tabs>
          <w:tab w:pos="754" w:val="left"/>
        </w:tabs>
        <w:bidi w:val="0"/>
        <w:spacing w:before="0" w:after="0" w:line="425" w:lineRule="auto"/>
        <w:ind w:left="0" w:right="0" w:firstLine="420"/>
        <w:jc w:val="both"/>
      </w:pPr>
      <w:bookmarkStart w:id="887" w:name="bookmark887"/>
      <w:bookmarkEnd w:id="887"/>
      <w:r>
        <w:rPr>
          <w:color w:val="000000"/>
          <w:spacing w:val="0"/>
          <w:w w:val="100"/>
          <w:position w:val="0"/>
        </w:rPr>
        <w:t>存货可变现净值的确定依据</w:t>
      </w:r>
    </w:p>
    <w:p>
      <w:pPr>
        <w:pStyle w:val="Style12"/>
        <w:keepNext w:val="0"/>
        <w:keepLines w:val="0"/>
        <w:widowControl w:val="0"/>
        <w:shd w:val="clear" w:color="auto" w:fill="auto"/>
        <w:bidi w:val="0"/>
        <w:spacing w:before="0" w:after="440" w:line="407" w:lineRule="exact"/>
        <w:ind w:left="0" w:right="0" w:firstLine="42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12"/>
        <w:keepNext w:val="0"/>
        <w:keepLines w:val="0"/>
        <w:widowControl w:val="0"/>
        <w:numPr>
          <w:ilvl w:val="0"/>
          <w:numId w:val="31"/>
        </w:numPr>
        <w:shd w:val="clear" w:color="auto" w:fill="auto"/>
        <w:tabs>
          <w:tab w:pos="754" w:val="left"/>
        </w:tabs>
        <w:bidi w:val="0"/>
        <w:spacing w:before="0" w:after="0" w:line="409" w:lineRule="exact"/>
        <w:ind w:left="0" w:right="0" w:firstLine="420"/>
        <w:jc w:val="left"/>
      </w:pPr>
      <w:bookmarkStart w:id="888" w:name="bookmark888"/>
      <w:bookmarkEnd w:id="888"/>
      <w:r>
        <w:rPr>
          <w:color w:val="000000"/>
          <w:spacing w:val="0"/>
          <w:w w:val="100"/>
          <w:position w:val="0"/>
        </w:rPr>
        <w:t>存货的盘存制度</w:t>
      </w:r>
    </w:p>
    <w:p>
      <w:pPr>
        <w:pStyle w:val="Style1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存货的盘存制度为永续盘存制。</w:t>
      </w:r>
    </w:p>
    <w:p>
      <w:pPr>
        <w:pStyle w:val="Style12"/>
        <w:keepNext w:val="0"/>
        <w:keepLines w:val="0"/>
        <w:widowControl w:val="0"/>
        <w:numPr>
          <w:ilvl w:val="0"/>
          <w:numId w:val="33"/>
        </w:numPr>
        <w:shd w:val="clear" w:color="auto" w:fill="auto"/>
        <w:tabs>
          <w:tab w:pos="754" w:val="left"/>
        </w:tabs>
        <w:bidi w:val="0"/>
        <w:spacing w:before="0" w:after="140" w:line="409" w:lineRule="exact"/>
        <w:ind w:left="0" w:right="0" w:firstLine="420"/>
        <w:jc w:val="left"/>
      </w:pPr>
      <w:bookmarkStart w:id="889" w:name="bookmark889"/>
      <w:bookmarkEnd w:id="889"/>
      <w:r>
        <w:rPr>
          <w:color w:val="000000"/>
          <w:spacing w:val="0"/>
          <w:w w:val="100"/>
          <w:position w:val="0"/>
        </w:rPr>
        <w:t>低值易耗品和包装物的摊销方法</w:t>
      </w:r>
    </w:p>
    <w:p>
      <w:pPr>
        <w:pStyle w:val="Style12"/>
        <w:keepNext w:val="0"/>
        <w:keepLines w:val="0"/>
        <w:widowControl w:val="0"/>
        <w:numPr>
          <w:ilvl w:val="0"/>
          <w:numId w:val="35"/>
        </w:numPr>
        <w:shd w:val="clear" w:color="auto" w:fill="auto"/>
        <w:tabs>
          <w:tab w:pos="850" w:val="left"/>
        </w:tabs>
        <w:bidi w:val="0"/>
        <w:spacing w:before="0" w:after="0" w:line="427" w:lineRule="auto"/>
        <w:ind w:left="0" w:right="0" w:firstLine="420"/>
        <w:jc w:val="left"/>
      </w:pPr>
      <w:bookmarkStart w:id="890" w:name="bookmark890"/>
      <w:bookmarkEnd w:id="890"/>
      <w:r>
        <w:rPr>
          <w:color w:val="000000"/>
          <w:spacing w:val="0"/>
          <w:w w:val="100"/>
          <w:position w:val="0"/>
        </w:rPr>
        <w:t>低值易耗品</w:t>
      </w:r>
    </w:p>
    <w:p>
      <w:pPr>
        <w:pStyle w:val="Style12"/>
        <w:keepNext w:val="0"/>
        <w:keepLines w:val="0"/>
        <w:widowControl w:val="0"/>
        <w:shd w:val="clear" w:color="auto" w:fill="auto"/>
        <w:bidi w:val="0"/>
        <w:spacing w:before="0" w:after="140" w:line="409" w:lineRule="exact"/>
        <w:ind w:left="0" w:right="0" w:firstLine="420"/>
        <w:jc w:val="left"/>
      </w:pPr>
      <w:r>
        <w:rPr>
          <w:color w:val="000000"/>
          <w:spacing w:val="0"/>
          <w:w w:val="100"/>
          <w:position w:val="0"/>
        </w:rPr>
        <w:t>按照一次转销法进行摊销。</w:t>
      </w:r>
    </w:p>
    <w:p>
      <w:pPr>
        <w:pStyle w:val="Style12"/>
        <w:keepNext w:val="0"/>
        <w:keepLines w:val="0"/>
        <w:widowControl w:val="0"/>
        <w:numPr>
          <w:ilvl w:val="0"/>
          <w:numId w:val="35"/>
        </w:numPr>
        <w:shd w:val="clear" w:color="auto" w:fill="auto"/>
        <w:tabs>
          <w:tab w:pos="850" w:val="left"/>
        </w:tabs>
        <w:bidi w:val="0"/>
        <w:spacing w:before="0" w:after="0" w:line="427" w:lineRule="auto"/>
        <w:ind w:left="0" w:right="0" w:firstLine="420"/>
        <w:jc w:val="left"/>
      </w:pPr>
      <w:bookmarkStart w:id="891" w:name="bookmark891"/>
      <w:bookmarkEnd w:id="891"/>
      <w:r>
        <w:rPr>
          <w:color w:val="000000"/>
          <w:spacing w:val="0"/>
          <w:w w:val="100"/>
          <w:position w:val="0"/>
        </w:rPr>
        <w:t>包装物</w:t>
      </w:r>
    </w:p>
    <w:p>
      <w:pPr>
        <w:pStyle w:val="Style12"/>
        <w:keepNext w:val="0"/>
        <w:keepLines w:val="0"/>
        <w:widowControl w:val="0"/>
        <w:shd w:val="clear" w:color="auto" w:fill="auto"/>
        <w:bidi w:val="0"/>
        <w:spacing w:before="0" w:after="300" w:line="409" w:lineRule="exact"/>
        <w:ind w:left="0" w:right="0" w:firstLine="420"/>
        <w:jc w:val="left"/>
      </w:pPr>
      <w:r>
        <w:rPr>
          <w:color w:val="000000"/>
          <w:spacing w:val="0"/>
          <w:w w:val="100"/>
          <w:position w:val="0"/>
        </w:rPr>
        <w:t>按照一次转销法进行摊销。</w:t>
      </w:r>
    </w:p>
    <w:p>
      <w:pPr>
        <w:pStyle w:val="Style38"/>
        <w:keepNext/>
        <w:keepLines/>
        <w:widowControl w:val="0"/>
        <w:shd w:val="clear" w:color="auto" w:fill="auto"/>
        <w:bidi w:val="0"/>
        <w:spacing w:before="0" w:after="140" w:line="409" w:lineRule="exact"/>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92"/>
      <w:bookmarkEnd w:id="893"/>
      <w:bookmarkEnd w:id="895"/>
    </w:p>
    <w:p>
      <w:pPr>
        <w:pStyle w:val="Style1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合同资产是指公司已向客户转让商品而有权收取对价的权利，且该权利取决于时间流逝之外的其他因 素。公司拥有的、无条件</w:t>
      </w:r>
      <w:r>
        <w:rPr>
          <w:rFonts w:ascii="Times New Roman" w:eastAsia="Times New Roman" w:hAnsi="Times New Roman" w:cs="Times New Roman"/>
          <w:color w:val="000000"/>
          <w:spacing w:val="0"/>
          <w:w w:val="100"/>
          <w:position w:val="0"/>
        </w:rPr>
        <w:t>(</w:t>
      </w:r>
      <w:r>
        <w:rPr>
          <w:color w:val="000000"/>
          <w:spacing w:val="0"/>
          <w:w w:val="100"/>
          <w:position w:val="0"/>
        </w:rPr>
        <w:t>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向客户收取对价的权利作为应收款项列示。</w:t>
      </w:r>
    </w:p>
    <w:p>
      <w:pPr>
        <w:pStyle w:val="Style1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公司将同一合同下的合同资产和合同负债相互抵销后以净额列示。</w:t>
      </w:r>
    </w:p>
    <w:p>
      <w:pPr>
        <w:pStyle w:val="Style12"/>
        <w:keepNext w:val="0"/>
        <w:keepLines w:val="0"/>
        <w:widowControl w:val="0"/>
        <w:shd w:val="clear" w:color="auto" w:fill="auto"/>
        <w:bidi w:val="0"/>
        <w:spacing w:before="0" w:after="140" w:line="409" w:lineRule="exact"/>
        <w:ind w:left="0" w:right="0" w:firstLine="420"/>
        <w:jc w:val="both"/>
      </w:pPr>
      <w:r>
        <w:rPr>
          <w:color w:val="000000"/>
          <w:spacing w:val="0"/>
          <w:w w:val="100"/>
          <w:position w:val="0"/>
        </w:rPr>
        <w:t>本公司按照本附注所述的简化计量方法确定合同资产的预期信用损失并进行会计处理。在资产负债 表日，本公司按应收取的合同现金流量与预期收取的现金流量之间的差额的现值计量合同资产的信用损 失。当单项合同资产无法以合理成本评估预期信用损失的信息时，本公司根据信用风险特征将合同资产 划分为若干组合，参考历史信用损失经验，结合当前状况并考虑前瞻性信息，在组合基础上估计预期信 用损失，确定组合的依据如下：</w:t>
      </w:r>
    </w:p>
    <w:tbl>
      <w:tblPr>
        <w:tblOverlap w:val="never"/>
        <w:jc w:val="center"/>
        <w:tblLayout w:type="fixed"/>
      </w:tblPr>
      <w:tblGrid>
        <w:gridCol w:w="3058"/>
        <w:gridCol w:w="6586"/>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确定组合的依据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按账龄划分的具有类似信用风险特征的应收账款</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合并范围内往来组合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以合并报表范围内的应收款项为信用风险组合确认依据</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bookmarkStart w:id="896" w:name="bookmark896"/>
      <w:r>
        <w:rPr>
          <w:rFonts w:ascii="Times New Roman" w:eastAsia="Times New Roman" w:hAnsi="Times New Roman" w:cs="Times New Roman"/>
          <w:b/>
          <w:bCs/>
          <w:color w:val="000000"/>
          <w:spacing w:val="0"/>
          <w:w w:val="100"/>
          <w:position w:val="0"/>
          <w:sz w:val="20"/>
          <w:szCs w:val="20"/>
        </w:rPr>
        <w:t>17</w:t>
      </w:r>
      <w:r>
        <w:rPr>
          <w:b/>
          <w:bCs/>
          <w:color w:val="000000"/>
          <w:spacing w:val="0"/>
          <w:w w:val="100"/>
          <w:position w:val="0"/>
          <w:sz w:val="20"/>
          <w:szCs w:val="20"/>
        </w:rPr>
        <w:t>、合同成本</w:t>
      </w:r>
      <w:bookmarkEnd w:id="896"/>
    </w:p>
    <w:p>
      <w:pPr>
        <w:widowControl w:val="0"/>
        <w:spacing w:after="79" w:line="1" w:lineRule="exact"/>
      </w:pPr>
    </w:p>
    <w:p>
      <w:pPr>
        <w:pStyle w:val="Style12"/>
        <w:keepNext w:val="0"/>
        <w:keepLines w:val="0"/>
        <w:widowControl w:val="0"/>
        <w:shd w:val="clear" w:color="auto" w:fill="auto"/>
        <w:bidi w:val="0"/>
        <w:spacing w:before="0" w:after="0" w:line="406" w:lineRule="exact"/>
        <w:ind w:left="0" w:right="0" w:firstLine="420"/>
        <w:jc w:val="left"/>
      </w:pPr>
      <w:r>
        <w:rPr>
          <w:color w:val="000000"/>
          <w:spacing w:val="0"/>
          <w:w w:val="100"/>
          <w:position w:val="0"/>
        </w:rPr>
        <w:t>与合同成本有关的资产包括合同取得成本和合同履约成本。</w:t>
      </w:r>
    </w:p>
    <w:p>
      <w:pPr>
        <w:pStyle w:val="Style12"/>
        <w:keepNext w:val="0"/>
        <w:keepLines w:val="0"/>
        <w:widowControl w:val="0"/>
        <w:shd w:val="clear" w:color="auto" w:fill="auto"/>
        <w:bidi w:val="0"/>
        <w:spacing w:before="0" w:after="0" w:line="398" w:lineRule="exact"/>
        <w:ind w:left="0" w:right="0" w:firstLine="420"/>
        <w:jc w:val="left"/>
      </w:pPr>
      <w:r>
        <w:rPr>
          <w:color w:val="000000"/>
          <w:spacing w:val="0"/>
          <w:w w:val="100"/>
          <w:position w:val="0"/>
        </w:rPr>
        <w:t>公司为取得合同发生的增量成本预期能够收回的，作为合同取得成本确认为一项资产。如果合同取得 成本的摊销期限不超过一年，在发生时直接计入当期损益。</w:t>
      </w:r>
    </w:p>
    <w:p>
      <w:pPr>
        <w:pStyle w:val="Style12"/>
        <w:keepNext w:val="0"/>
        <w:keepLines w:val="0"/>
        <w:widowControl w:val="0"/>
        <w:shd w:val="clear" w:color="auto" w:fill="auto"/>
        <w:bidi w:val="0"/>
        <w:spacing w:before="0" w:after="0" w:line="398" w:lineRule="exact"/>
        <w:ind w:left="0" w:right="0" w:firstLine="420"/>
        <w:jc w:val="left"/>
      </w:pPr>
      <w:r>
        <w:rPr>
          <w:color w:val="000000"/>
          <w:spacing w:val="0"/>
          <w:w w:val="100"/>
          <w:position w:val="0"/>
        </w:rPr>
        <w:t>公司为履行合同发生的成本，不适用存货、固定资产或无形资产等相关准则的规范范围且同时满足下 列条件的，作为合同履约成本确认为一项资产：</w:t>
      </w:r>
    </w:p>
    <w:p>
      <w:pPr>
        <w:pStyle w:val="Style12"/>
        <w:keepNext w:val="0"/>
        <w:keepLines w:val="0"/>
        <w:widowControl w:val="0"/>
        <w:numPr>
          <w:ilvl w:val="0"/>
          <w:numId w:val="37"/>
        </w:numPr>
        <w:shd w:val="clear" w:color="auto" w:fill="auto"/>
        <w:tabs>
          <w:tab w:pos="728" w:val="left"/>
        </w:tabs>
        <w:bidi w:val="0"/>
        <w:spacing w:before="0" w:after="140" w:line="406" w:lineRule="exact"/>
        <w:ind w:left="0" w:right="0" w:firstLine="420"/>
        <w:jc w:val="left"/>
      </w:pPr>
      <w:bookmarkStart w:id="897" w:name="bookmark897"/>
      <w:bookmarkEnd w:id="897"/>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12"/>
        <w:keepNext w:val="0"/>
        <w:keepLines w:val="0"/>
        <w:widowControl w:val="0"/>
        <w:numPr>
          <w:ilvl w:val="0"/>
          <w:numId w:val="37"/>
        </w:numPr>
        <w:shd w:val="clear" w:color="auto" w:fill="auto"/>
        <w:tabs>
          <w:tab w:pos="754" w:val="left"/>
        </w:tabs>
        <w:bidi w:val="0"/>
        <w:spacing w:before="0" w:after="0" w:line="425" w:lineRule="auto"/>
        <w:ind w:left="0" w:right="0" w:firstLine="420"/>
        <w:jc w:val="left"/>
      </w:pPr>
      <w:bookmarkStart w:id="898" w:name="bookmark898"/>
      <w:bookmarkEnd w:id="898"/>
      <w:r>
        <w:rPr>
          <w:color w:val="000000"/>
          <w:spacing w:val="0"/>
          <w:w w:val="100"/>
          <w:position w:val="0"/>
        </w:rPr>
        <w:t>该成本增加了公司未来用于履行履约义务的资源；</w:t>
      </w:r>
    </w:p>
    <w:p>
      <w:pPr>
        <w:pStyle w:val="Style12"/>
        <w:keepNext w:val="0"/>
        <w:keepLines w:val="0"/>
        <w:widowControl w:val="0"/>
        <w:numPr>
          <w:ilvl w:val="0"/>
          <w:numId w:val="37"/>
        </w:numPr>
        <w:shd w:val="clear" w:color="auto" w:fill="auto"/>
        <w:tabs>
          <w:tab w:pos="754" w:val="left"/>
        </w:tabs>
        <w:bidi w:val="0"/>
        <w:spacing w:before="0" w:after="0" w:line="425" w:lineRule="auto"/>
        <w:ind w:left="0" w:right="0" w:firstLine="420"/>
        <w:jc w:val="left"/>
      </w:pPr>
      <w:bookmarkStart w:id="899" w:name="bookmark899"/>
      <w:bookmarkEnd w:id="899"/>
      <w:r>
        <w:rPr>
          <w:color w:val="000000"/>
          <w:spacing w:val="0"/>
          <w:w w:val="100"/>
          <w:position w:val="0"/>
        </w:rPr>
        <w:t>该成本预期能够收回。</w:t>
      </w:r>
    </w:p>
    <w:p>
      <w:pPr>
        <w:pStyle w:val="Style12"/>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公司对于与合同成本有关的资产采用与该资产相关的商品或服务收入确认相同的基础进行摊销，计入 当期损益。</w:t>
      </w:r>
    </w:p>
    <w:p>
      <w:pPr>
        <w:pStyle w:val="Style12"/>
        <w:keepNext w:val="0"/>
        <w:keepLines w:val="0"/>
        <w:widowControl w:val="0"/>
        <w:shd w:val="clear" w:color="auto" w:fill="auto"/>
        <w:bidi w:val="0"/>
        <w:spacing w:before="0" w:after="420" w:line="406" w:lineRule="exact"/>
        <w:ind w:left="0" w:right="0" w:firstLine="420"/>
        <w:jc w:val="left"/>
      </w:pPr>
      <w:r>
        <w:rPr>
          <w:color w:val="000000"/>
          <w:spacing w:val="0"/>
          <w:w w:val="100"/>
          <w:position w:val="0"/>
        </w:rPr>
        <w:t xml:space="preserve">如果与合同成本有关的资产的账面价值高于因转让与该资产相关的商品或服务预期能够取得的剩余 </w:t>
      </w:r>
      <w:r>
        <w:rPr>
          <w:color w:val="000000"/>
          <w:spacing w:val="0"/>
          <w:w w:val="100"/>
          <w:position w:val="0"/>
        </w:rPr>
        <w:t>对价减去估计将要发生的成本，公司对超出部分计提减值准备，并确认为资产减值损失。以前期间减值的 因素之后发生变化，使得转让该资产相关的商品或服务预期能够取得的剩余对价减去估计将要发生的成本 高于该资产账面价值的，转回原已计提的资产减值准备，并计入当期损益，但转回后的资产账面价值不超 过假定不计提减值准备情况下该资产在转回日的账面价值。</w:t>
      </w:r>
    </w:p>
    <w:p>
      <w:pPr>
        <w:pStyle w:val="Style38"/>
        <w:keepNext/>
        <w:keepLines/>
        <w:widowControl w:val="0"/>
        <w:shd w:val="clear" w:color="auto" w:fill="auto"/>
        <w:tabs>
          <w:tab w:pos="474" w:val="left"/>
        </w:tabs>
        <w:bidi w:val="0"/>
        <w:spacing w:before="0" w:after="0" w:line="425"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00"/>
      <w:bookmarkEnd w:id="901"/>
      <w:bookmarkEnd w:id="903"/>
    </w:p>
    <w:p>
      <w:pPr>
        <w:pStyle w:val="Style12"/>
        <w:keepNext w:val="0"/>
        <w:keepLines w:val="0"/>
        <w:widowControl w:val="0"/>
        <w:shd w:val="clear" w:color="auto" w:fill="auto"/>
        <w:bidi w:val="0"/>
        <w:spacing w:before="0" w:after="420" w:line="407" w:lineRule="exact"/>
        <w:ind w:left="0" w:right="0" w:firstLine="0"/>
        <w:jc w:val="both"/>
      </w:pPr>
      <w:r>
        <w:rPr>
          <w:color w:val="000000"/>
          <w:spacing w:val="0"/>
          <w:w w:val="100"/>
          <w:position w:val="0"/>
        </w:rPr>
        <w:t>不适用。</w:t>
      </w:r>
    </w:p>
    <w:p>
      <w:pPr>
        <w:pStyle w:val="Style38"/>
        <w:keepNext/>
        <w:keepLines/>
        <w:widowControl w:val="0"/>
        <w:shd w:val="clear" w:color="auto" w:fill="auto"/>
        <w:tabs>
          <w:tab w:pos="474" w:val="left"/>
        </w:tabs>
        <w:bidi w:val="0"/>
        <w:spacing w:before="0" w:after="0" w:line="425" w:lineRule="auto"/>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04"/>
      <w:bookmarkEnd w:id="905"/>
      <w:bookmarkEnd w:id="907"/>
    </w:p>
    <w:p>
      <w:pPr>
        <w:pStyle w:val="Style12"/>
        <w:keepNext w:val="0"/>
        <w:keepLines w:val="0"/>
        <w:widowControl w:val="0"/>
        <w:shd w:val="clear" w:color="auto" w:fill="auto"/>
        <w:bidi w:val="0"/>
        <w:spacing w:before="0" w:after="420" w:line="407" w:lineRule="exact"/>
        <w:ind w:left="0" w:right="0" w:firstLine="0"/>
        <w:jc w:val="both"/>
      </w:pPr>
      <w:r>
        <w:rPr>
          <w:color w:val="000000"/>
          <w:spacing w:val="0"/>
          <w:w w:val="100"/>
          <w:position w:val="0"/>
        </w:rPr>
        <w:t>不适用。</w:t>
      </w:r>
    </w:p>
    <w:p>
      <w:pPr>
        <w:pStyle w:val="Style38"/>
        <w:keepNext/>
        <w:keepLines/>
        <w:widowControl w:val="0"/>
        <w:shd w:val="clear" w:color="auto" w:fill="auto"/>
        <w:tabs>
          <w:tab w:pos="483" w:val="left"/>
        </w:tabs>
        <w:bidi w:val="0"/>
        <w:spacing w:before="0" w:after="0" w:line="425" w:lineRule="auto"/>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08"/>
      <w:bookmarkEnd w:id="909"/>
      <w:bookmarkEnd w:id="911"/>
    </w:p>
    <w:p>
      <w:pPr>
        <w:pStyle w:val="Style12"/>
        <w:keepNext w:val="0"/>
        <w:keepLines w:val="0"/>
        <w:widowControl w:val="0"/>
        <w:shd w:val="clear" w:color="auto" w:fill="auto"/>
        <w:bidi w:val="0"/>
        <w:spacing w:before="0" w:after="420" w:line="407" w:lineRule="exact"/>
        <w:ind w:left="0" w:right="0" w:firstLine="0"/>
        <w:jc w:val="both"/>
      </w:pPr>
      <w:r>
        <w:rPr>
          <w:color w:val="000000"/>
          <w:spacing w:val="0"/>
          <w:w w:val="100"/>
          <w:position w:val="0"/>
        </w:rPr>
        <w:t>不适用。</w:t>
      </w:r>
    </w:p>
    <w:p>
      <w:pPr>
        <w:pStyle w:val="Style38"/>
        <w:keepNext/>
        <w:keepLines/>
        <w:widowControl w:val="0"/>
        <w:shd w:val="clear" w:color="auto" w:fill="auto"/>
        <w:tabs>
          <w:tab w:pos="483" w:val="left"/>
        </w:tabs>
        <w:bidi w:val="0"/>
        <w:spacing w:before="0" w:after="0" w:line="425"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12"/>
      <w:bookmarkEnd w:id="913"/>
      <w:bookmarkEnd w:id="915"/>
    </w:p>
    <w:p>
      <w:pPr>
        <w:pStyle w:val="Style12"/>
        <w:keepNext w:val="0"/>
        <w:keepLines w:val="0"/>
        <w:widowControl w:val="0"/>
        <w:shd w:val="clear" w:color="auto" w:fill="auto"/>
        <w:bidi w:val="0"/>
        <w:spacing w:before="0" w:after="420" w:line="407" w:lineRule="exact"/>
        <w:ind w:left="0" w:right="0" w:firstLine="0"/>
        <w:jc w:val="both"/>
      </w:pPr>
      <w:r>
        <w:rPr>
          <w:color w:val="000000"/>
          <w:spacing w:val="0"/>
          <w:w w:val="100"/>
          <w:position w:val="0"/>
        </w:rPr>
        <w:t>不适用。</w:t>
      </w:r>
    </w:p>
    <w:p>
      <w:pPr>
        <w:pStyle w:val="Style38"/>
        <w:keepNext/>
        <w:keepLines/>
        <w:widowControl w:val="0"/>
        <w:shd w:val="clear" w:color="auto" w:fill="auto"/>
        <w:tabs>
          <w:tab w:pos="483" w:val="left"/>
        </w:tabs>
        <w:bidi w:val="0"/>
        <w:spacing w:before="0" w:after="140" w:line="425" w:lineRule="auto"/>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16"/>
      <w:bookmarkEnd w:id="917"/>
      <w:bookmarkEnd w:id="919"/>
    </w:p>
    <w:p>
      <w:pPr>
        <w:pStyle w:val="Style12"/>
        <w:keepNext w:val="0"/>
        <w:keepLines w:val="0"/>
        <w:widowControl w:val="0"/>
        <w:numPr>
          <w:ilvl w:val="0"/>
          <w:numId w:val="39"/>
        </w:numPr>
        <w:shd w:val="clear" w:color="auto" w:fill="auto"/>
        <w:tabs>
          <w:tab w:pos="755" w:val="left"/>
        </w:tabs>
        <w:bidi w:val="0"/>
        <w:spacing w:before="0" w:after="0" w:line="425" w:lineRule="auto"/>
        <w:ind w:left="0" w:right="0" w:firstLine="440"/>
        <w:jc w:val="left"/>
      </w:pPr>
      <w:bookmarkStart w:id="920" w:name="bookmark920"/>
      <w:bookmarkEnd w:id="920"/>
      <w:r>
        <w:rPr>
          <w:color w:val="000000"/>
          <w:spacing w:val="0"/>
          <w:w w:val="100"/>
          <w:position w:val="0"/>
        </w:rPr>
        <w:t>共同控制、重大影响的判断</w:t>
      </w:r>
    </w:p>
    <w:p>
      <w:pPr>
        <w:pStyle w:val="Style12"/>
        <w:keepNext w:val="0"/>
        <w:keepLines w:val="0"/>
        <w:widowControl w:val="0"/>
        <w:shd w:val="clear" w:color="auto" w:fill="auto"/>
        <w:bidi w:val="0"/>
        <w:spacing w:before="0" w:after="140" w:line="407" w:lineRule="exact"/>
        <w:ind w:left="0" w:right="0" w:firstLine="440"/>
        <w:jc w:val="left"/>
      </w:pPr>
      <w:r>
        <w:rPr>
          <w:color w:val="000000"/>
          <w:spacing w:val="0"/>
          <w:w w:val="100"/>
          <w:position w:val="0"/>
        </w:rPr>
        <w:t>按照相关约定对某项安排存在共有的控制，并且该安排的相关活动必须经过分享控制权的参与方一 致同意后才能决策，认定为共同控制。对被投资单位的财务和经营政策有参与决策的权力，但并不能够 控制或者与其他方一起共同控制这些政策的制定，认定为重大影响。</w:t>
      </w:r>
    </w:p>
    <w:p>
      <w:pPr>
        <w:pStyle w:val="Style12"/>
        <w:keepNext w:val="0"/>
        <w:keepLines w:val="0"/>
        <w:widowControl w:val="0"/>
        <w:numPr>
          <w:ilvl w:val="0"/>
          <w:numId w:val="39"/>
        </w:numPr>
        <w:shd w:val="clear" w:color="auto" w:fill="auto"/>
        <w:tabs>
          <w:tab w:pos="774" w:val="left"/>
        </w:tabs>
        <w:bidi w:val="0"/>
        <w:spacing w:before="0" w:after="0" w:line="425" w:lineRule="auto"/>
        <w:ind w:left="0" w:right="0" w:firstLine="440"/>
        <w:jc w:val="left"/>
      </w:pPr>
      <w:bookmarkStart w:id="921" w:name="bookmark921"/>
      <w:bookmarkEnd w:id="921"/>
      <w:r>
        <w:rPr>
          <w:color w:val="000000"/>
          <w:spacing w:val="0"/>
          <w:w w:val="100"/>
          <w:position w:val="0"/>
        </w:rPr>
        <w:t>投资成本的确定</w:t>
      </w:r>
    </w:p>
    <w:p>
      <w:pPr>
        <w:pStyle w:val="Style12"/>
        <w:keepNext w:val="0"/>
        <w:keepLines w:val="0"/>
        <w:widowControl w:val="0"/>
        <w:numPr>
          <w:ilvl w:val="0"/>
          <w:numId w:val="41"/>
        </w:numPr>
        <w:shd w:val="clear" w:color="auto" w:fill="auto"/>
        <w:bidi w:val="0"/>
        <w:spacing w:before="0" w:after="0" w:line="407" w:lineRule="exact"/>
        <w:ind w:left="0" w:right="0" w:firstLine="440"/>
        <w:jc w:val="left"/>
      </w:pPr>
      <w:bookmarkStart w:id="922" w:name="bookmark922"/>
      <w:bookmarkEnd w:id="922"/>
      <w:r>
        <w:rPr>
          <w:color w:val="000000"/>
          <w:spacing w:val="0"/>
          <w:w w:val="100"/>
          <w:position w:val="0"/>
        </w:rPr>
        <w:t>同一控制下的企业合并形成的，合并方以支付现金、转让非现金资产、承担债务或发行权益性证 券作为合并对价的，在合并日按照取得被合并方所有者权益在最终控制方合并财务报表中的账面价值的 份额作为其初始投资成本。长期股权投资初始投资成本与支付的合并对价的账面价值或发行股份的面值 总额之间的差额调整资本公积；资本公积不足冲减的，调整留存收益。</w:t>
      </w:r>
    </w:p>
    <w:p>
      <w:pPr>
        <w:pStyle w:val="Style12"/>
        <w:keepNext w:val="0"/>
        <w:keepLines w:val="0"/>
        <w:widowControl w:val="0"/>
        <w:shd w:val="clear" w:color="auto" w:fill="auto"/>
        <w:bidi w:val="0"/>
        <w:spacing w:before="0" w:after="140" w:line="407" w:lineRule="exact"/>
        <w:ind w:left="0" w:right="0" w:firstLine="0"/>
        <w:jc w:val="left"/>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xml:space="preserve">。属于 </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 日，根据合并后应享有被合并方净资产在最终控制方合并财务报表中的账面价值的份额确定初始投资成 本。合并日长期股权投资的初始投资成本，与达到合并前的长期股权投资账面价值加上合并日进一步取 得股份新支付对价的账面价值之和的差额，调整资本公积；资本公积不足冲减的，调整留存收益。</w:t>
      </w:r>
    </w:p>
    <w:p>
      <w:pPr>
        <w:pStyle w:val="Style12"/>
        <w:keepNext w:val="0"/>
        <w:keepLines w:val="0"/>
        <w:widowControl w:val="0"/>
        <w:numPr>
          <w:ilvl w:val="0"/>
          <w:numId w:val="41"/>
        </w:numPr>
        <w:shd w:val="clear" w:color="auto" w:fill="auto"/>
        <w:bidi w:val="0"/>
        <w:spacing w:before="0" w:after="0" w:line="240" w:lineRule="auto"/>
        <w:ind w:left="0" w:right="0" w:firstLine="440"/>
        <w:jc w:val="left"/>
      </w:pPr>
      <w:bookmarkStart w:id="923" w:name="bookmark923"/>
      <w:bookmarkEnd w:id="923"/>
      <w:r>
        <w:rPr>
          <w:color w:val="000000"/>
          <w:spacing w:val="0"/>
          <w:w w:val="100"/>
          <w:position w:val="0"/>
        </w:rPr>
        <w:t xml:space="preserve">非同一控制下的企业合并形成的，在购买日按照支付的合并对价的公允价值作为其初始投资成 </w:t>
      </w:r>
      <w:r>
        <w:rPr>
          <w:color w:val="000000"/>
          <w:spacing w:val="0"/>
          <w:w w:val="100"/>
          <w:position w:val="0"/>
        </w:rPr>
        <w:t>本。</w:t>
      </w:r>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公司通过多次交易分步实现非同一控制下企业合并形成的长期股权投资，区分个别财务报表和合并 财务报表进行相关会计处理：</w:t>
      </w:r>
    </w:p>
    <w:p>
      <w:pPr>
        <w:pStyle w:val="Style12"/>
        <w:keepNext w:val="0"/>
        <w:keepLines w:val="0"/>
        <w:widowControl w:val="0"/>
        <w:numPr>
          <w:ilvl w:val="0"/>
          <w:numId w:val="43"/>
        </w:numPr>
        <w:shd w:val="clear" w:color="auto" w:fill="auto"/>
        <w:tabs>
          <w:tab w:pos="781" w:val="left"/>
        </w:tabs>
        <w:bidi w:val="0"/>
        <w:spacing w:before="0" w:after="0" w:line="408" w:lineRule="exact"/>
        <w:ind w:left="0" w:right="0" w:firstLine="440"/>
        <w:jc w:val="left"/>
      </w:pPr>
      <w:bookmarkStart w:id="924" w:name="bookmark924"/>
      <w:bookmarkEnd w:id="924"/>
      <w:r>
        <w:rPr>
          <w:color w:val="000000"/>
          <w:spacing w:val="0"/>
          <w:w w:val="100"/>
          <w:position w:val="0"/>
        </w:rPr>
        <w:t>在个别财务报表中，按照原持有的股权投资的账面价值加上新增投资成本之和，作为改按成本法 核算的初始投资成本。</w:t>
      </w:r>
    </w:p>
    <w:p>
      <w:pPr>
        <w:pStyle w:val="Style12"/>
        <w:keepNext w:val="0"/>
        <w:keepLines w:val="0"/>
        <w:widowControl w:val="0"/>
        <w:numPr>
          <w:ilvl w:val="0"/>
          <w:numId w:val="43"/>
        </w:numPr>
        <w:shd w:val="clear" w:color="auto" w:fill="auto"/>
        <w:tabs>
          <w:tab w:pos="781" w:val="left"/>
        </w:tabs>
        <w:bidi w:val="0"/>
        <w:spacing w:before="0" w:after="0" w:line="408" w:lineRule="exact"/>
        <w:ind w:left="0" w:right="0" w:firstLine="440"/>
        <w:jc w:val="left"/>
      </w:pPr>
      <w:bookmarkStart w:id="925" w:name="bookmark925"/>
      <w:bookmarkEnd w:id="925"/>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的，把各项交易作为一项取 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的，对于购买日之前持有的被购买方的股权，按照该 股权在购买日的公允价值进行重新计量，公允价值与其账面价值的差额计入当期投资收益；购买日之前 持有的被购买方的股权涉及权益法核算下的其他综合收益等的，与其相关的其他综合收益等转为购买日 所属当期收益。但由于被投资方重新计量设定受益计划净负债或净资产变动而产生的其他综合收益除 外。</w:t>
      </w:r>
    </w:p>
    <w:p>
      <w:pPr>
        <w:pStyle w:val="Style12"/>
        <w:keepNext w:val="0"/>
        <w:keepLines w:val="0"/>
        <w:widowControl w:val="0"/>
        <w:numPr>
          <w:ilvl w:val="0"/>
          <w:numId w:val="41"/>
        </w:numPr>
        <w:shd w:val="clear" w:color="auto" w:fill="auto"/>
        <w:bidi w:val="0"/>
        <w:spacing w:before="0" w:after="0" w:line="408" w:lineRule="exact"/>
        <w:ind w:left="0" w:right="0" w:firstLine="440"/>
        <w:jc w:val="left"/>
      </w:pPr>
      <w:bookmarkStart w:id="926" w:name="bookmark926"/>
      <w:bookmarkEnd w:id="926"/>
      <w:r>
        <w:rPr>
          <w:color w:val="000000"/>
          <w:spacing w:val="0"/>
          <w:w w:val="100"/>
          <w:position w:val="0"/>
        </w:rPr>
        <w:t>除企业合并形成以外的：以支付现金取得的，按照实际支付的购买价款作为其初始投资成本；以 发行权益性证券取得的，按照发行权益性证券的公允价值作为其初始投资成本；以债务重组方式取得 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号——债务重组》确定其初始投资成本；以非货币性资产交换取得的，按</w:t>
      </w:r>
    </w:p>
    <w:p>
      <w:pPr>
        <w:pStyle w:val="Style12"/>
        <w:keepNext w:val="0"/>
        <w:keepLines w:val="0"/>
        <w:widowControl w:val="0"/>
        <w:shd w:val="clear" w:color="auto" w:fill="auto"/>
        <w:bidi w:val="0"/>
        <w:spacing w:before="0" w:after="140" w:line="408" w:lineRule="exact"/>
        <w:ind w:left="0" w:right="0" w:firstLine="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号——非货币性资产交换》确定其初始投资成本。</w:t>
      </w:r>
    </w:p>
    <w:p>
      <w:pPr>
        <w:pStyle w:val="Style12"/>
        <w:keepNext w:val="0"/>
        <w:keepLines w:val="0"/>
        <w:widowControl w:val="0"/>
        <w:numPr>
          <w:ilvl w:val="0"/>
          <w:numId w:val="39"/>
        </w:numPr>
        <w:shd w:val="clear" w:color="auto" w:fill="auto"/>
        <w:tabs>
          <w:tab w:pos="774" w:val="left"/>
        </w:tabs>
        <w:bidi w:val="0"/>
        <w:spacing w:before="0" w:after="0" w:line="427" w:lineRule="auto"/>
        <w:ind w:left="0" w:right="0" w:firstLine="440"/>
        <w:jc w:val="left"/>
      </w:pPr>
      <w:bookmarkStart w:id="927" w:name="bookmark927"/>
      <w:bookmarkEnd w:id="927"/>
      <w:r>
        <w:rPr>
          <w:color w:val="000000"/>
          <w:spacing w:val="0"/>
          <w:w w:val="100"/>
          <w:position w:val="0"/>
        </w:rPr>
        <w:t>后续计量及损益确认方法</w:t>
      </w:r>
    </w:p>
    <w:p>
      <w:pPr>
        <w:pStyle w:val="Style12"/>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对被投资单位实施控制的长期股权投资采用成本法核算；对联营企业和合营企业的长期股权投资， 采用权益法核算。</w:t>
      </w:r>
    </w:p>
    <w:p>
      <w:pPr>
        <w:pStyle w:val="Style12"/>
        <w:keepNext w:val="0"/>
        <w:keepLines w:val="0"/>
        <w:widowControl w:val="0"/>
        <w:numPr>
          <w:ilvl w:val="0"/>
          <w:numId w:val="39"/>
        </w:numPr>
        <w:shd w:val="clear" w:color="auto" w:fill="auto"/>
        <w:tabs>
          <w:tab w:pos="774" w:val="left"/>
        </w:tabs>
        <w:bidi w:val="0"/>
        <w:spacing w:before="0" w:after="0" w:line="427" w:lineRule="auto"/>
        <w:ind w:left="0" w:right="0" w:firstLine="440"/>
        <w:jc w:val="left"/>
      </w:pPr>
      <w:bookmarkStart w:id="928" w:name="bookmark928"/>
      <w:bookmarkEnd w:id="928"/>
      <w:r>
        <w:rPr>
          <w:color w:val="000000"/>
          <w:spacing w:val="0"/>
          <w:w w:val="100"/>
          <w:position w:val="0"/>
        </w:rPr>
        <w:t>通过多次交易分步处置对子公司投资至丧失控制权的处理方法</w:t>
      </w:r>
    </w:p>
    <w:p>
      <w:pPr>
        <w:pStyle w:val="Style12"/>
        <w:keepNext w:val="0"/>
        <w:keepLines w:val="0"/>
        <w:widowControl w:val="0"/>
        <w:numPr>
          <w:ilvl w:val="0"/>
          <w:numId w:val="45"/>
        </w:numPr>
        <w:shd w:val="clear" w:color="auto" w:fill="auto"/>
        <w:tabs>
          <w:tab w:pos="866" w:val="left"/>
        </w:tabs>
        <w:bidi w:val="0"/>
        <w:spacing w:before="0" w:after="0" w:line="427" w:lineRule="auto"/>
        <w:ind w:left="0" w:right="0" w:firstLine="440"/>
        <w:jc w:val="left"/>
      </w:pPr>
      <w:bookmarkStart w:id="929" w:name="bookmark929"/>
      <w:bookmarkEnd w:id="929"/>
      <w:r>
        <w:rPr>
          <w:color w:val="000000"/>
          <w:spacing w:val="0"/>
          <w:w w:val="100"/>
          <w:position w:val="0"/>
        </w:rPr>
        <w:t>个别财务报表</w:t>
      </w:r>
    </w:p>
    <w:p>
      <w:pPr>
        <w:pStyle w:val="Style12"/>
        <w:keepNext w:val="0"/>
        <w:keepLines w:val="0"/>
        <w:widowControl w:val="0"/>
        <w:shd w:val="clear" w:color="auto" w:fill="auto"/>
        <w:bidi w:val="0"/>
        <w:spacing w:before="0" w:after="140" w:line="408" w:lineRule="exact"/>
        <w:ind w:left="0" w:right="0" w:firstLine="0"/>
        <w:jc w:val="left"/>
      </w:pPr>
      <w:r>
        <w:rPr>
          <w:color w:val="000000"/>
          <w:spacing w:val="0"/>
          <w:w w:val="100"/>
          <w:position w:val="0"/>
        </w:rPr>
        <w:t>对处置的股权，其账面价值与实际取得价款之间的差额，计入当期损益。对于剩余股权，对被投资单位 仍具有重大影响或者与其他方一起实施共同控制的，转为权益法核算；不能再对被投资单位实施控制、 共同控制或重大影响的，按照《企业会计准则第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号——金融工具确认和计量》的相关规定进行核算。</w:t>
      </w:r>
    </w:p>
    <w:p>
      <w:pPr>
        <w:pStyle w:val="Style12"/>
        <w:keepNext w:val="0"/>
        <w:keepLines w:val="0"/>
        <w:widowControl w:val="0"/>
        <w:numPr>
          <w:ilvl w:val="0"/>
          <w:numId w:val="45"/>
        </w:numPr>
        <w:shd w:val="clear" w:color="auto" w:fill="auto"/>
        <w:tabs>
          <w:tab w:pos="866" w:val="left"/>
        </w:tabs>
        <w:bidi w:val="0"/>
        <w:spacing w:before="0" w:after="0" w:line="427" w:lineRule="auto"/>
        <w:ind w:left="0" w:right="0" w:firstLine="440"/>
        <w:jc w:val="left"/>
      </w:pPr>
      <w:bookmarkStart w:id="930" w:name="bookmark930"/>
      <w:bookmarkEnd w:id="930"/>
      <w:r>
        <w:rPr>
          <w:color w:val="000000"/>
          <w:spacing w:val="0"/>
          <w:w w:val="100"/>
          <w:position w:val="0"/>
        </w:rPr>
        <w:t>合并财务报表</w:t>
      </w:r>
    </w:p>
    <w:p>
      <w:pPr>
        <w:pStyle w:val="Style12"/>
        <w:keepNext w:val="0"/>
        <w:keepLines w:val="0"/>
        <w:widowControl w:val="0"/>
        <w:numPr>
          <w:ilvl w:val="0"/>
          <w:numId w:val="47"/>
        </w:numPr>
        <w:shd w:val="clear" w:color="auto" w:fill="auto"/>
        <w:tabs>
          <w:tab w:pos="784" w:val="left"/>
        </w:tabs>
        <w:bidi w:val="0"/>
        <w:spacing w:before="0" w:after="0" w:line="427" w:lineRule="auto"/>
        <w:ind w:left="0" w:right="0" w:firstLine="440"/>
        <w:jc w:val="left"/>
      </w:pPr>
      <w:bookmarkStart w:id="931" w:name="bookmark931"/>
      <w:bookmarkEnd w:id="931"/>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12"/>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在丧失控制权之前，处置价款与处置长期股权投资相对应享有子公司自购买日或合并日开始持续计 算的净资产份额之间的差额，调整资本公积(资本溢价)，资本溢价不足冲减的，冲减留存收益。 丧失对原子公司控制权时，对于剩余股权，按照其在丧失控制权日的公允价值进行重新计量。处置股权 取得的对价与剩余股权公允价值之和，减去按原持股比例计算应享有原有子公司自购买日或合并日开始 持续计算的净资产的份额之间的差额，计入丧失控制权当期的投资收益，同时冲减商誉。与原有子公司 股权投资相关的其他综合收益等，应当在丧失控制权时转为当期投资收益。</w:t>
      </w:r>
    </w:p>
    <w:p>
      <w:pPr>
        <w:pStyle w:val="Style12"/>
        <w:keepNext w:val="0"/>
        <w:keepLines w:val="0"/>
        <w:widowControl w:val="0"/>
        <w:numPr>
          <w:ilvl w:val="0"/>
          <w:numId w:val="47"/>
        </w:numPr>
        <w:shd w:val="clear" w:color="auto" w:fill="auto"/>
        <w:tabs>
          <w:tab w:pos="803" w:val="left"/>
        </w:tabs>
        <w:bidi w:val="0"/>
        <w:spacing w:before="0" w:after="0" w:line="427" w:lineRule="auto"/>
        <w:ind w:left="0" w:right="0" w:firstLine="440"/>
        <w:jc w:val="left"/>
      </w:pPr>
      <w:bookmarkStart w:id="932" w:name="bookmark932"/>
      <w:bookmarkEnd w:id="932"/>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1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将各项交易作为一项处置子公司并丧失控制权的交易进行会计处理。但是，在丧失控制权之前每一 次处置价款与处置投资对应的享有该子公司净资产份额的差额，在合并财务报表中确认为其他综合收</w:t>
      </w:r>
    </w:p>
    <w:p>
      <w:pPr>
        <w:pStyle w:val="Style12"/>
        <w:keepNext w:val="0"/>
        <w:keepLines w:val="0"/>
        <w:widowControl w:val="0"/>
        <w:shd w:val="clear" w:color="auto" w:fill="auto"/>
        <w:bidi w:val="0"/>
        <w:spacing w:before="0" w:after="420" w:line="413" w:lineRule="exact"/>
        <w:ind w:left="0" w:right="0" w:firstLine="0"/>
        <w:jc w:val="both"/>
      </w:pPr>
      <w:r>
        <w:rPr>
          <w:color w:val="000000"/>
          <w:spacing w:val="0"/>
          <w:w w:val="100"/>
          <w:position w:val="0"/>
        </w:rPr>
        <w:t>益，在丧失控制权时一并转入丧失控制权当期的损益。</w:t>
      </w:r>
    </w:p>
    <w:p>
      <w:pPr>
        <w:pStyle w:val="Style38"/>
        <w:keepNext/>
        <w:keepLines/>
        <w:widowControl w:val="0"/>
        <w:shd w:val="clear" w:color="auto" w:fill="auto"/>
        <w:tabs>
          <w:tab w:pos="483" w:val="left"/>
        </w:tabs>
        <w:bidi w:val="0"/>
        <w:spacing w:before="0" w:after="0" w:line="432"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33"/>
      <w:bookmarkEnd w:id="934"/>
      <w:bookmarkEnd w:id="936"/>
    </w:p>
    <w:p>
      <w:pPr>
        <w:pStyle w:val="Style12"/>
        <w:keepNext w:val="0"/>
        <w:keepLines w:val="0"/>
        <w:widowControl w:val="0"/>
        <w:shd w:val="clear" w:color="auto" w:fill="auto"/>
        <w:bidi w:val="0"/>
        <w:spacing w:before="0" w:after="420" w:line="413" w:lineRule="exact"/>
        <w:ind w:left="0" w:right="0" w:firstLine="440"/>
        <w:jc w:val="both"/>
      </w:pPr>
      <w:r>
        <w:rPr>
          <w:color w:val="000000"/>
          <w:spacing w:val="0"/>
          <w:w w:val="100"/>
          <w:position w:val="0"/>
        </w:rPr>
        <w:t>不适用</w:t>
      </w:r>
    </w:p>
    <w:p>
      <w:pPr>
        <w:pStyle w:val="Style38"/>
        <w:keepNext/>
        <w:keepLines/>
        <w:widowControl w:val="0"/>
        <w:shd w:val="clear" w:color="auto" w:fill="auto"/>
        <w:tabs>
          <w:tab w:pos="483" w:val="left"/>
        </w:tabs>
        <w:bidi w:val="0"/>
        <w:spacing w:before="0" w:after="0" w:line="432"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37"/>
      <w:bookmarkEnd w:id="938"/>
      <w:bookmarkEnd w:id="940"/>
    </w:p>
    <w:p>
      <w:pPr>
        <w:pStyle w:val="Style46"/>
        <w:keepNext/>
        <w:keepLines/>
        <w:widowControl w:val="0"/>
        <w:shd w:val="clear" w:color="auto" w:fill="auto"/>
        <w:bidi w:val="0"/>
        <w:spacing w:before="0" w:after="160" w:line="413" w:lineRule="exact"/>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41"/>
      <w:bookmarkEnd w:id="942"/>
      <w:bookmarkEnd w:id="944"/>
    </w:p>
    <w:p>
      <w:pPr>
        <w:pStyle w:val="Style12"/>
        <w:keepNext w:val="0"/>
        <w:keepLines w:val="0"/>
        <w:widowControl w:val="0"/>
        <w:shd w:val="clear" w:color="auto" w:fill="auto"/>
        <w:bidi w:val="0"/>
        <w:spacing w:before="0" w:after="420" w:line="413" w:lineRule="exact"/>
        <w:ind w:left="0" w:right="0" w:firstLine="440"/>
        <w:jc w:val="left"/>
      </w:pPr>
      <w:r>
        <w:rPr>
          <w:color w:val="000000"/>
          <w:spacing w:val="0"/>
          <w:w w:val="100"/>
          <w:position w:val="0"/>
        </w:rPr>
        <w:t>固定资产是指为生产商品、提供劳务、出租或经营管理而持有的，使用年限超过一个会计年度的有 形资产。固定资产在同时满足经济利益很可能流入、成本能够可靠计量时予以确认。</w:t>
      </w:r>
    </w:p>
    <w:p>
      <w:pPr>
        <w:pStyle w:val="Style36"/>
        <w:keepNext w:val="0"/>
        <w:keepLines w:val="0"/>
        <w:widowControl w:val="0"/>
        <w:shd w:val="clear" w:color="auto" w:fill="auto"/>
        <w:bidi w:val="0"/>
        <w:spacing w:before="0" w:after="0" w:line="240" w:lineRule="auto"/>
        <w:ind w:left="0" w:right="0" w:firstLine="0"/>
        <w:jc w:val="left"/>
        <w:rPr>
          <w:sz w:val="20"/>
          <w:szCs w:val="20"/>
        </w:rPr>
      </w:pPr>
      <w:bookmarkStart w:id="945" w:name="bookmark94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945"/>
    </w:p>
    <w:tbl>
      <w:tblPr>
        <w:tblOverlap w:val="never"/>
        <w:jc w:val="center"/>
        <w:tblLayout w:type="fixed"/>
      </w:tblPr>
      <w:tblGrid>
        <w:gridCol w:w="1920"/>
        <w:gridCol w:w="1915"/>
        <w:gridCol w:w="1910"/>
        <w:gridCol w:w="1915"/>
        <w:gridCol w:w="1925"/>
      </w:tblGrid>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bookmarkStart w:id="946" w:name="bookmark94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bookmarkEnd w:id="946"/>
    </w:p>
    <w:p>
      <w:pPr>
        <w:widowControl w:val="0"/>
        <w:spacing w:after="99" w:line="1" w:lineRule="exact"/>
      </w:pPr>
    </w:p>
    <w:p>
      <w:pPr>
        <w:pStyle w:val="Style12"/>
        <w:keepNext w:val="0"/>
        <w:keepLines w:val="0"/>
        <w:widowControl w:val="0"/>
        <w:shd w:val="clear" w:color="auto" w:fill="auto"/>
        <w:bidi w:val="0"/>
        <w:spacing w:before="0" w:after="300" w:line="415" w:lineRule="exact"/>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160" w:line="415" w:lineRule="exact"/>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47"/>
      <w:bookmarkEnd w:id="948"/>
      <w:bookmarkEnd w:id="950"/>
    </w:p>
    <w:p>
      <w:pPr>
        <w:pStyle w:val="Style12"/>
        <w:keepNext w:val="0"/>
        <w:keepLines w:val="0"/>
        <w:widowControl w:val="0"/>
        <w:shd w:val="clear" w:color="auto" w:fill="auto"/>
        <w:bidi w:val="0"/>
        <w:spacing w:before="0" w:after="300" w:line="415" w:lineRule="exact"/>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160" w:line="415" w:lineRule="exact"/>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51"/>
      <w:bookmarkEnd w:id="952"/>
      <w:bookmarkEnd w:id="954"/>
    </w:p>
    <w:p>
      <w:pPr>
        <w:pStyle w:val="Style12"/>
        <w:keepNext w:val="0"/>
        <w:keepLines w:val="0"/>
        <w:widowControl w:val="0"/>
        <w:numPr>
          <w:ilvl w:val="0"/>
          <w:numId w:val="49"/>
        </w:numPr>
        <w:shd w:val="clear" w:color="auto" w:fill="auto"/>
        <w:tabs>
          <w:tab w:pos="755" w:val="left"/>
        </w:tabs>
        <w:bidi w:val="0"/>
        <w:spacing w:before="0" w:after="0" w:line="415" w:lineRule="exact"/>
        <w:ind w:left="0" w:right="0" w:firstLine="440"/>
        <w:jc w:val="both"/>
      </w:pPr>
      <w:bookmarkStart w:id="955" w:name="bookmark955"/>
      <w:bookmarkEnd w:id="955"/>
      <w:r>
        <w:rPr>
          <w:color w:val="000000"/>
          <w:spacing w:val="0"/>
          <w:w w:val="100"/>
          <w:position w:val="0"/>
        </w:rPr>
        <w:t>借款费用资本化的确认原则</w:t>
      </w:r>
    </w:p>
    <w:p>
      <w:pPr>
        <w:pStyle w:val="Style12"/>
        <w:keepNext w:val="0"/>
        <w:keepLines w:val="0"/>
        <w:widowControl w:val="0"/>
        <w:shd w:val="clear" w:color="auto" w:fill="auto"/>
        <w:bidi w:val="0"/>
        <w:spacing w:before="0" w:after="0" w:line="415" w:lineRule="exact"/>
        <w:ind w:left="0" w:right="0" w:firstLine="440"/>
        <w:jc w:val="left"/>
      </w:pPr>
      <w:r>
        <w:rPr>
          <w:color w:val="000000"/>
          <w:spacing w:val="0"/>
          <w:w w:val="100"/>
          <w:position w:val="0"/>
        </w:rPr>
        <w:t>公司发生的借款费用，可直接归属于符合资本化条件的资产的购建或者生产的，予以资本化，计入 相关资产成本；其他借款费用，在发生时确认为费用，计入当期损益。</w:t>
      </w:r>
    </w:p>
    <w:p>
      <w:pPr>
        <w:pStyle w:val="Style12"/>
        <w:keepNext w:val="0"/>
        <w:keepLines w:val="0"/>
        <w:widowControl w:val="0"/>
        <w:numPr>
          <w:ilvl w:val="0"/>
          <w:numId w:val="49"/>
        </w:numPr>
        <w:shd w:val="clear" w:color="auto" w:fill="auto"/>
        <w:tabs>
          <w:tab w:pos="774" w:val="left"/>
        </w:tabs>
        <w:bidi w:val="0"/>
        <w:spacing w:before="0" w:after="0" w:line="415" w:lineRule="exact"/>
        <w:ind w:left="0" w:right="0" w:firstLine="440"/>
        <w:jc w:val="both"/>
      </w:pPr>
      <w:bookmarkStart w:id="956" w:name="bookmark956"/>
      <w:bookmarkEnd w:id="956"/>
      <w:r>
        <w:rPr>
          <w:color w:val="000000"/>
          <w:spacing w:val="0"/>
          <w:w w:val="100"/>
          <w:position w:val="0"/>
        </w:rPr>
        <w:t>借款费用资本化期间</w:t>
      </w:r>
    </w:p>
    <w:p>
      <w:pPr>
        <w:pStyle w:val="Style12"/>
        <w:keepNext w:val="0"/>
        <w:keepLines w:val="0"/>
        <w:widowControl w:val="0"/>
        <w:shd w:val="clear" w:color="auto" w:fill="auto"/>
        <w:tabs>
          <w:tab w:pos="1293" w:val="left"/>
        </w:tabs>
        <w:bidi w:val="0"/>
        <w:spacing w:before="0" w:after="0" w:line="415" w:lineRule="exact"/>
        <w:ind w:left="0" w:right="0" w:firstLine="440"/>
        <w:jc w:val="both"/>
      </w:pPr>
      <w:bookmarkStart w:id="957" w:name="bookmark957"/>
      <w:r>
        <w:rPr>
          <w:rFonts w:ascii="Times New Roman" w:eastAsia="Times New Roman" w:hAnsi="Times New Roman" w:cs="Times New Roman"/>
          <w:color w:val="000000"/>
          <w:spacing w:val="0"/>
          <w:w w:val="100"/>
          <w:position w:val="0"/>
          <w:shd w:val="clear" w:color="auto" w:fill="FFFFFF"/>
        </w:rPr>
        <w:t>（</w:t>
      </w:r>
      <w:bookmarkEnd w:id="957"/>
      <w:r>
        <w:rPr>
          <w:rFonts w:ascii="Times New Roman" w:eastAsia="Times New Roman" w:hAnsi="Times New Roman" w:cs="Times New Roman"/>
          <w:color w:val="000000"/>
          <w:spacing w:val="0"/>
          <w:w w:val="100"/>
          <w:position w:val="0"/>
          <w:shd w:val="clear" w:color="auto" w:fill="FFFFFF"/>
        </w:rPr>
        <w:t>1）</w:t>
        <w:tab/>
      </w:r>
      <w:r>
        <w:rPr>
          <w:color w:val="000000"/>
          <w:spacing w:val="0"/>
          <w:w w:val="100"/>
          <w:position w:val="0"/>
          <w:shd w:val="clear" w:color="auto" w:fill="FFFFFF"/>
        </w:rPr>
        <w:t>当借款费用同时满足下列条件时，开始资本化：</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资产支出已经发生；</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借款费用已经发生；</w:t>
      </w:r>
    </w:p>
    <w:p>
      <w:pPr>
        <w:pStyle w:val="Style12"/>
        <w:keepNext w:val="0"/>
        <w:keepLines w:val="0"/>
        <w:widowControl w:val="0"/>
        <w:shd w:val="clear" w:color="auto" w:fill="auto"/>
        <w:tabs>
          <w:tab w:pos="787" w:val="left"/>
        </w:tabs>
        <w:bidi w:val="0"/>
        <w:spacing w:before="0" w:after="0" w:line="415" w:lineRule="exact"/>
        <w:ind w:left="0" w:right="0" w:firstLine="0"/>
        <w:jc w:val="left"/>
      </w:pPr>
      <w:bookmarkStart w:id="958" w:name="bookmark958"/>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w:t>
      </w:r>
      <w:r>
        <w:rPr>
          <w:color w:val="000000"/>
          <w:spacing w:val="0"/>
          <w:w w:val="100"/>
          <w:position w:val="0"/>
        </w:rPr>
        <w:t>为使资产达到预定可使用或可销售状态所必要的购建或者生产活动已经开始。</w:t>
      </w:r>
    </w:p>
    <w:p>
      <w:pPr>
        <w:pStyle w:val="Style12"/>
        <w:keepNext w:val="0"/>
        <w:keepLines w:val="0"/>
        <w:widowControl w:val="0"/>
        <w:shd w:val="clear" w:color="auto" w:fill="auto"/>
        <w:tabs>
          <w:tab w:pos="848" w:val="left"/>
        </w:tabs>
        <w:bidi w:val="0"/>
        <w:spacing w:before="0" w:after="0" w:line="415" w:lineRule="exact"/>
        <w:ind w:left="0" w:right="0" w:firstLine="440"/>
        <w:jc w:val="left"/>
      </w:pPr>
      <w:bookmarkStart w:id="959" w:name="bookmark959"/>
      <w:r>
        <w:rPr>
          <w:rFonts w:ascii="Times New Roman" w:eastAsia="Times New Roman" w:hAnsi="Times New Roman" w:cs="Times New Roman"/>
          <w:color w:val="000000"/>
          <w:spacing w:val="0"/>
          <w:w w:val="100"/>
          <w:position w:val="0"/>
        </w:rPr>
        <w:t>（</w:t>
      </w:r>
      <w:bookmarkEnd w:id="959"/>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 月，暂停借款费用的资本化；中断期间发生的借款费用确认为当期费用，直至资产的购建或者生产活动 重新开始。</w:t>
      </w:r>
    </w:p>
    <w:p>
      <w:pPr>
        <w:pStyle w:val="Style12"/>
        <w:keepNext w:val="0"/>
        <w:keepLines w:val="0"/>
        <w:widowControl w:val="0"/>
        <w:shd w:val="clear" w:color="auto" w:fill="auto"/>
        <w:tabs>
          <w:tab w:pos="430" w:val="left"/>
        </w:tabs>
        <w:bidi w:val="0"/>
        <w:spacing w:before="0" w:after="220" w:line="415" w:lineRule="exact"/>
        <w:ind w:left="0" w:right="0" w:firstLine="440"/>
        <w:jc w:val="left"/>
      </w:pPr>
      <w:bookmarkStart w:id="960" w:name="bookmark960"/>
      <w:r>
        <w:rPr>
          <w:rFonts w:ascii="Times New Roman" w:eastAsia="Times New Roman" w:hAnsi="Times New Roman" w:cs="Times New Roman"/>
          <w:color w:val="000000"/>
          <w:spacing w:val="0"/>
          <w:w w:val="100"/>
          <w:position w:val="0"/>
        </w:rPr>
        <w:t>（</w:t>
      </w:r>
      <w:bookmarkEnd w:id="960"/>
      <w:r>
        <w:rPr>
          <w:rFonts w:ascii="Times New Roman" w:eastAsia="Times New Roman" w:hAnsi="Times New Roman" w:cs="Times New Roman"/>
          <w:color w:val="000000"/>
          <w:spacing w:val="0"/>
          <w:w w:val="100"/>
          <w:position w:val="0"/>
        </w:rPr>
        <w:t>3）</w:t>
        <w:tab/>
      </w:r>
      <w:r>
        <w:rPr>
          <w:color w:val="000000"/>
          <w:spacing w:val="0"/>
          <w:w w:val="100"/>
          <w:position w:val="0"/>
        </w:rPr>
        <w:t xml:space="preserve">当所购建或者生产符合资本化条件的资产达到预定可使用或可销售状态时，借款费用停止资本 </w:t>
      </w:r>
      <w:r>
        <w:rPr>
          <w:color w:val="000000"/>
          <w:spacing w:val="0"/>
          <w:w w:val="100"/>
          <w:position w:val="0"/>
        </w:rPr>
        <w:t>化。</w:t>
      </w:r>
    </w:p>
    <w:p>
      <w:pPr>
        <w:pStyle w:val="Style12"/>
        <w:keepNext w:val="0"/>
        <w:keepLines w:val="0"/>
        <w:widowControl w:val="0"/>
        <w:numPr>
          <w:ilvl w:val="0"/>
          <w:numId w:val="49"/>
        </w:numPr>
        <w:shd w:val="clear" w:color="auto" w:fill="auto"/>
        <w:bidi w:val="0"/>
        <w:spacing w:before="0" w:after="160" w:line="240" w:lineRule="auto"/>
        <w:ind w:left="0" w:right="0" w:firstLine="440"/>
        <w:jc w:val="left"/>
      </w:pPr>
      <w:bookmarkStart w:id="961" w:name="bookmark961"/>
      <w:bookmarkEnd w:id="961"/>
      <w:r>
        <w:rPr>
          <w:color w:val="000000"/>
          <w:spacing w:val="0"/>
          <w:w w:val="100"/>
          <w:position w:val="0"/>
        </w:rPr>
        <w:t>借款费用资本化率以及资本化金额</w:t>
      </w:r>
    </w:p>
    <w:p>
      <w:pPr>
        <w:pStyle w:val="Style1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为购建或者生产符合资本化条件的资产而借入专门借款的，以专门借款当期实际发生的利息费用</w:t>
      </w:r>
    </w:p>
    <w:tbl>
      <w:tblPr>
        <w:tblOverlap w:val="never"/>
        <w:jc w:val="center"/>
        <w:tblLayout w:type="fixed"/>
      </w:tblPr>
      <w:tblGrid>
        <w:gridCol w:w="4723"/>
        <w:gridCol w:w="4978"/>
      </w:tblGrid>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（包括按照实际利率法确定的折价或溢价的摊销），</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60" w:right="0" w:firstLine="0"/>
              <w:jc w:val="center"/>
            </w:pPr>
            <w:r>
              <w:rPr>
                <w:color w:val="000000"/>
                <w:spacing w:val="0"/>
                <w:w w:val="100"/>
                <w:position w:val="0"/>
              </w:rPr>
              <w:t>减去将尚未动用的借款资金存入银行取得的利息收</w:t>
            </w:r>
          </w:p>
        </w:tc>
      </w:tr>
    </w:tbl>
    <w:p>
      <w:pPr>
        <w:pStyle w:val="Style12"/>
        <w:keepNext w:val="0"/>
        <w:keepLines w:val="0"/>
        <w:widowControl w:val="0"/>
        <w:shd w:val="clear" w:color="auto" w:fill="auto"/>
        <w:bidi w:val="0"/>
        <w:spacing w:before="0" w:after="420" w:line="408" w:lineRule="exact"/>
        <w:ind w:left="0" w:right="0" w:firstLine="0"/>
        <w:jc w:val="left"/>
      </w:pPr>
      <w:r>
        <w:rPr>
          <w:color w:val="000000"/>
          <w:spacing w:val="0"/>
          <w:w w:val="100"/>
          <w:position w:val="0"/>
        </w:rPr>
        <w:t>入或进行暂时性投资取得的投资收益后的金额，确定应予资本化的利息金额；为购建或者生产符合资本 化条件的资产占用了一般借款的，根据累计资产支出超过专门借款的资产支出加权平均数乘以占用一般 借款的资本化率，计算确定一般借款应予资本化的利息金额。</w:t>
      </w:r>
    </w:p>
    <w:p>
      <w:pPr>
        <w:pStyle w:val="Style38"/>
        <w:keepNext/>
        <w:keepLines/>
        <w:widowControl w:val="0"/>
        <w:shd w:val="clear" w:color="auto" w:fill="auto"/>
        <w:tabs>
          <w:tab w:pos="483" w:val="left"/>
        </w:tabs>
        <w:bidi w:val="0"/>
        <w:spacing w:before="0" w:after="0" w:line="42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62"/>
      <w:bookmarkEnd w:id="963"/>
      <w:bookmarkEnd w:id="965"/>
    </w:p>
    <w:p>
      <w:pPr>
        <w:pStyle w:val="Style12"/>
        <w:keepNext w:val="0"/>
        <w:keepLines w:val="0"/>
        <w:widowControl w:val="0"/>
        <w:shd w:val="clear" w:color="auto" w:fill="auto"/>
        <w:bidi w:val="0"/>
        <w:spacing w:before="0" w:after="420" w:line="403" w:lineRule="exact"/>
        <w:ind w:left="0" w:right="0" w:firstLine="440"/>
        <w:jc w:val="both"/>
      </w:pPr>
      <w:r>
        <w:rPr>
          <w:color w:val="000000"/>
          <w:spacing w:val="0"/>
          <w:w w:val="100"/>
          <w:position w:val="0"/>
        </w:rPr>
        <w:t>不适用</w:t>
      </w:r>
    </w:p>
    <w:p>
      <w:pPr>
        <w:pStyle w:val="Style38"/>
        <w:keepNext/>
        <w:keepLines/>
        <w:widowControl w:val="0"/>
        <w:shd w:val="clear" w:color="auto" w:fill="auto"/>
        <w:tabs>
          <w:tab w:pos="483" w:val="left"/>
        </w:tabs>
        <w:bidi w:val="0"/>
        <w:spacing w:before="0" w:after="0" w:line="42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66"/>
      <w:bookmarkEnd w:id="967"/>
      <w:bookmarkEnd w:id="969"/>
    </w:p>
    <w:p>
      <w:pPr>
        <w:pStyle w:val="Style12"/>
        <w:keepNext w:val="0"/>
        <w:keepLines w:val="0"/>
        <w:widowControl w:val="0"/>
        <w:shd w:val="clear" w:color="auto" w:fill="auto"/>
        <w:bidi w:val="0"/>
        <w:spacing w:before="0" w:after="420" w:line="403" w:lineRule="exact"/>
        <w:ind w:left="0" w:right="0" w:firstLine="440"/>
        <w:jc w:val="both"/>
      </w:pPr>
      <w:r>
        <w:rPr>
          <w:color w:val="000000"/>
          <w:spacing w:val="0"/>
          <w:w w:val="100"/>
          <w:position w:val="0"/>
        </w:rPr>
        <w:t>不适用</w:t>
      </w:r>
    </w:p>
    <w:p>
      <w:pPr>
        <w:pStyle w:val="Style38"/>
        <w:keepNext/>
        <w:keepLines/>
        <w:widowControl w:val="0"/>
        <w:shd w:val="clear" w:color="auto" w:fill="auto"/>
        <w:tabs>
          <w:tab w:pos="483" w:val="left"/>
        </w:tabs>
        <w:bidi w:val="0"/>
        <w:spacing w:before="0" w:after="0" w:line="42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70"/>
      <w:bookmarkEnd w:id="971"/>
      <w:bookmarkEnd w:id="973"/>
    </w:p>
    <w:p>
      <w:pPr>
        <w:pStyle w:val="Style12"/>
        <w:keepNext w:val="0"/>
        <w:keepLines w:val="0"/>
        <w:widowControl w:val="0"/>
        <w:shd w:val="clear" w:color="auto" w:fill="auto"/>
        <w:bidi w:val="0"/>
        <w:spacing w:before="0" w:after="420" w:line="403" w:lineRule="exact"/>
        <w:ind w:left="0" w:right="0" w:firstLine="440"/>
        <w:jc w:val="left"/>
      </w:pPr>
      <w:r>
        <w:rPr>
          <w:color w:val="000000"/>
          <w:spacing w:val="0"/>
          <w:w w:val="100"/>
          <w:position w:val="0"/>
        </w:rPr>
        <w:t>详见本年度审计报告附注三（二十四）之说明。</w:t>
      </w:r>
    </w:p>
    <w:p>
      <w:pPr>
        <w:pStyle w:val="Style38"/>
        <w:keepNext/>
        <w:keepLines/>
        <w:widowControl w:val="0"/>
        <w:shd w:val="clear" w:color="auto" w:fill="auto"/>
        <w:tabs>
          <w:tab w:pos="483" w:val="left"/>
        </w:tabs>
        <w:bidi w:val="0"/>
        <w:spacing w:before="0" w:after="0" w:line="42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74"/>
      <w:bookmarkEnd w:id="975"/>
      <w:bookmarkEnd w:id="977"/>
    </w:p>
    <w:p>
      <w:pPr>
        <w:pStyle w:val="Style46"/>
        <w:keepNext/>
        <w:keepLines/>
        <w:widowControl w:val="0"/>
        <w:shd w:val="clear" w:color="auto" w:fill="auto"/>
        <w:bidi w:val="0"/>
        <w:spacing w:before="0" w:after="300" w:line="403" w:lineRule="exact"/>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78"/>
      <w:bookmarkEnd w:id="979"/>
      <w:bookmarkEnd w:id="981"/>
    </w:p>
    <w:p>
      <w:pPr>
        <w:pStyle w:val="Style12"/>
        <w:keepNext w:val="0"/>
        <w:keepLines w:val="0"/>
        <w:widowControl w:val="0"/>
        <w:numPr>
          <w:ilvl w:val="0"/>
          <w:numId w:val="51"/>
        </w:numPr>
        <w:shd w:val="clear" w:color="auto" w:fill="auto"/>
        <w:tabs>
          <w:tab w:pos="755" w:val="left"/>
        </w:tabs>
        <w:bidi w:val="0"/>
        <w:spacing w:before="0" w:after="0" w:line="415" w:lineRule="auto"/>
        <w:ind w:left="0" w:right="0" w:firstLine="440"/>
        <w:jc w:val="left"/>
      </w:pPr>
      <w:bookmarkStart w:id="982" w:name="bookmark982"/>
      <w:bookmarkEnd w:id="982"/>
      <w:r>
        <w:rPr>
          <w:color w:val="000000"/>
          <w:spacing w:val="0"/>
          <w:w w:val="100"/>
          <w:position w:val="0"/>
        </w:rPr>
        <w:t>无形资产包括办公软件等，按成本进行初始计量。</w:t>
      </w:r>
    </w:p>
    <w:p>
      <w:pPr>
        <w:pStyle w:val="Style12"/>
        <w:keepNext w:val="0"/>
        <w:keepLines w:val="0"/>
        <w:widowControl w:val="0"/>
        <w:numPr>
          <w:ilvl w:val="0"/>
          <w:numId w:val="51"/>
        </w:numPr>
        <w:shd w:val="clear" w:color="auto" w:fill="auto"/>
        <w:tabs>
          <w:tab w:pos="747" w:val="left"/>
        </w:tabs>
        <w:bidi w:val="0"/>
        <w:spacing w:before="0" w:after="160" w:line="398" w:lineRule="exact"/>
        <w:ind w:left="0" w:right="0" w:firstLine="440"/>
        <w:jc w:val="left"/>
      </w:pPr>
      <w:bookmarkStart w:id="983" w:name="bookmark983"/>
      <w:bookmarkEnd w:id="983"/>
      <w:r>
        <w:rPr>
          <w:color w:val="000000"/>
          <w:spacing w:val="0"/>
          <w:w w:val="100"/>
          <w:position w:val="0"/>
        </w:rPr>
        <w:t>使用寿命有限的无形资产，在使用寿命内按照与该项无形资产有关的经济利益的预期实现方式系 统合理地摊销，无法可靠确定预期实现方式的，采用直线法摊销。具体年限如下：</w:t>
      </w:r>
    </w:p>
    <w:tbl>
      <w:tblPr>
        <w:tblOverlap w:val="never"/>
        <w:jc w:val="center"/>
        <w:tblLayout w:type="fixed"/>
      </w:tblPr>
      <w:tblGrid>
        <w:gridCol w:w="4694"/>
        <w:gridCol w:w="4949"/>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项目</w:t>
            </w:r>
          </w:p>
        </w:tc>
        <w:tc>
          <w:tcPr>
            <w:tcBorders>
              <w:top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摊销年限（年）</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办公软件</w:t>
            </w:r>
          </w:p>
        </w:tc>
        <w:tc>
          <w:tcPr>
            <w:tcBorders>
              <w:top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bl>
    <w:p>
      <w:pPr>
        <w:widowControl w:val="0"/>
        <w:spacing w:after="159" w:line="1" w:lineRule="exact"/>
      </w:pPr>
    </w:p>
    <w:p>
      <w:pPr>
        <w:pStyle w:val="Style46"/>
        <w:keepNext/>
        <w:keepLines/>
        <w:widowControl w:val="0"/>
        <w:shd w:val="clear" w:color="auto" w:fill="auto"/>
        <w:bidi w:val="0"/>
        <w:spacing w:before="0" w:after="160" w:line="408" w:lineRule="exact"/>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84"/>
      <w:bookmarkEnd w:id="985"/>
      <w:bookmarkEnd w:id="987"/>
    </w:p>
    <w:p>
      <w:pPr>
        <w:pStyle w:val="Style12"/>
        <w:keepNext w:val="0"/>
        <w:keepLines w:val="0"/>
        <w:widowControl w:val="0"/>
        <w:shd w:val="clear" w:color="auto" w:fill="auto"/>
        <w:bidi w:val="0"/>
        <w:spacing w:before="0" w:after="160" w:line="408" w:lineRule="exact"/>
        <w:ind w:left="0" w:right="0" w:firstLine="440"/>
        <w:jc w:val="left"/>
      </w:pPr>
      <w:r>
        <w:rPr>
          <w:color w:val="000000"/>
          <w:spacing w:val="0"/>
          <w:w w:val="100"/>
          <w:position w:val="0"/>
        </w:rPr>
        <w:t>内部研究开发项目研究阶段的支出，于发生时计入当期损益。内部研究开发项目开发阶段的支出， 同时满足下列条件的，确认为无形资产：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 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 用该无形资产生产的产品存在市场或无形资产自身存在市场，无形资产将在内部使用的，能证明其有用 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有足够的技术、财务资源和其他资源支持，以完成该无形资产的开发，并有能力使用或出售该无 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38"/>
        <w:keepNext/>
        <w:keepLines/>
        <w:widowControl w:val="0"/>
        <w:shd w:val="clear" w:color="auto" w:fill="auto"/>
        <w:tabs>
          <w:tab w:pos="483" w:val="left"/>
        </w:tabs>
        <w:bidi w:val="0"/>
        <w:spacing w:before="0" w:after="160" w:line="410" w:lineRule="exact"/>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88"/>
      <w:bookmarkEnd w:id="989"/>
      <w:bookmarkEnd w:id="991"/>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对长期股权投资、固定资产、使用权资产、使用寿命有限的无形资产等长期资产，在资产负债表日 有迹象表明发生减值的，估计其可收回金额。对因企业合并所形成的商誉和使用寿命不确定的无形资 产，无论是否存在减值迹象，每年都进行减值测试。商誉结合与其相关的资产组或者资产组组合进行减 值测试。</w:t>
      </w:r>
    </w:p>
    <w:p>
      <w:pPr>
        <w:pStyle w:val="Style12"/>
        <w:keepNext w:val="0"/>
        <w:keepLines w:val="0"/>
        <w:widowControl w:val="0"/>
        <w:shd w:val="clear" w:color="auto" w:fill="auto"/>
        <w:bidi w:val="0"/>
        <w:spacing w:before="0" w:after="280" w:line="408" w:lineRule="exact"/>
        <w:ind w:left="0" w:right="0" w:firstLine="440"/>
        <w:jc w:val="left"/>
      </w:pPr>
      <w:r>
        <w:rPr>
          <w:color w:val="000000"/>
          <w:spacing w:val="0"/>
          <w:w w:val="100"/>
          <w:position w:val="0"/>
        </w:rPr>
        <w:t>若上述长期资产的可收回金额低于其账面价值的，按其差额确认资产减值准备并计入当期损益。</w:t>
      </w:r>
    </w:p>
    <w:p>
      <w:pPr>
        <w:pStyle w:val="Style38"/>
        <w:keepNext/>
        <w:keepLines/>
        <w:widowControl w:val="0"/>
        <w:shd w:val="clear" w:color="auto" w:fill="auto"/>
        <w:tabs>
          <w:tab w:pos="483" w:val="left"/>
        </w:tabs>
        <w:bidi w:val="0"/>
        <w:spacing w:before="0" w:after="160" w:line="410" w:lineRule="exact"/>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92"/>
      <w:bookmarkEnd w:id="993"/>
      <w:bookmarkEnd w:id="995"/>
    </w:p>
    <w:p>
      <w:pPr>
        <w:pStyle w:val="Style12"/>
        <w:keepNext w:val="0"/>
        <w:keepLines w:val="0"/>
        <w:widowControl w:val="0"/>
        <w:shd w:val="clear" w:color="auto" w:fill="auto"/>
        <w:bidi w:val="0"/>
        <w:spacing w:before="0" w:after="280" w:line="410" w:lineRule="exact"/>
        <w:ind w:left="0" w:right="0" w:firstLine="440"/>
        <w:jc w:val="left"/>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年）的各项费用。长期待摊费用按实际发 生额入账，在受益期或规定的期限内分期平均摊销。如果长期待摊的费用项目不能使以后会计期间受益 则将尚未摊销的该项目的摊余价值全部转入当期损益。</w:t>
      </w:r>
    </w:p>
    <w:p>
      <w:pPr>
        <w:pStyle w:val="Style38"/>
        <w:keepNext/>
        <w:keepLines/>
        <w:widowControl w:val="0"/>
        <w:shd w:val="clear" w:color="auto" w:fill="auto"/>
        <w:tabs>
          <w:tab w:pos="483" w:val="left"/>
        </w:tabs>
        <w:bidi w:val="0"/>
        <w:spacing w:before="0" w:after="160" w:line="410" w:lineRule="exact"/>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96"/>
      <w:bookmarkEnd w:id="997"/>
      <w:bookmarkEnd w:id="999"/>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公司根据履行履约义务与客户付款之间的关系在资产负债表中列示合同资产或合同负债。公司将同 一合同下的合同资产和合同负债相互抵销后以净额列示。</w:t>
      </w:r>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公司将拥有的、无条件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向客户收取对价的权利作为应收款项列示，将已向客 户转让商品而有权收取对价的权利（该权利取决于时间流逝之外的其他因素）作为合同资产列示。</w:t>
      </w:r>
    </w:p>
    <w:p>
      <w:pPr>
        <w:pStyle w:val="Style12"/>
        <w:keepNext w:val="0"/>
        <w:keepLines w:val="0"/>
        <w:widowControl w:val="0"/>
        <w:shd w:val="clear" w:color="auto" w:fill="auto"/>
        <w:bidi w:val="0"/>
        <w:spacing w:before="0" w:after="280" w:line="410" w:lineRule="exact"/>
        <w:ind w:left="0" w:right="0" w:firstLine="440"/>
        <w:jc w:val="left"/>
      </w:pPr>
      <w:r>
        <w:rPr>
          <w:color w:val="000000"/>
          <w:spacing w:val="0"/>
          <w:w w:val="100"/>
          <w:position w:val="0"/>
        </w:rPr>
        <w:t>公司将已收或应收客户对价而应向客户转让商品的义务作为合同负债列示。</w:t>
      </w:r>
    </w:p>
    <w:p>
      <w:pPr>
        <w:pStyle w:val="Style38"/>
        <w:keepNext/>
        <w:keepLines/>
        <w:widowControl w:val="0"/>
        <w:shd w:val="clear" w:color="auto" w:fill="auto"/>
        <w:tabs>
          <w:tab w:pos="483" w:val="left"/>
        </w:tabs>
        <w:bidi w:val="0"/>
        <w:spacing w:before="0" w:after="160" w:line="410" w:lineRule="exact"/>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3</w:t>
      </w:r>
      <w:bookmarkEnd w:id="100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00"/>
      <w:bookmarkEnd w:id="1001"/>
      <w:bookmarkEnd w:id="1003"/>
    </w:p>
    <w:p>
      <w:pPr>
        <w:pStyle w:val="Style46"/>
        <w:keepNext/>
        <w:keepLines/>
        <w:widowControl w:val="0"/>
        <w:shd w:val="clear" w:color="auto" w:fill="auto"/>
        <w:tabs>
          <w:tab w:pos="493" w:val="left"/>
        </w:tabs>
        <w:bidi w:val="0"/>
        <w:spacing w:before="0" w:after="160" w:line="410" w:lineRule="exact"/>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4"/>
      <w:bookmarkEnd w:id="1005"/>
      <w:bookmarkEnd w:id="1007"/>
    </w:p>
    <w:p>
      <w:pPr>
        <w:pStyle w:val="Style12"/>
        <w:keepNext w:val="0"/>
        <w:keepLines w:val="0"/>
        <w:widowControl w:val="0"/>
        <w:shd w:val="clear" w:color="auto" w:fill="auto"/>
        <w:bidi w:val="0"/>
        <w:spacing w:before="0" w:after="280" w:line="413" w:lineRule="exact"/>
        <w:ind w:left="0" w:right="0" w:firstLine="440"/>
        <w:jc w:val="left"/>
      </w:pPr>
      <w:r>
        <w:rPr>
          <w:color w:val="000000"/>
          <w:spacing w:val="0"/>
          <w:w w:val="100"/>
          <w:position w:val="0"/>
        </w:rPr>
        <w:t>在职工为公司提供服务的会计期间，将实际发生的短期薪酬确认为负债，并计入当期损益或相关资 产成本。</w:t>
      </w:r>
    </w:p>
    <w:p>
      <w:pPr>
        <w:pStyle w:val="Style46"/>
        <w:keepNext/>
        <w:keepLines/>
        <w:widowControl w:val="0"/>
        <w:shd w:val="clear" w:color="auto" w:fill="auto"/>
        <w:tabs>
          <w:tab w:pos="493" w:val="left"/>
        </w:tabs>
        <w:bidi w:val="0"/>
        <w:spacing w:before="0" w:after="160" w:line="410" w:lineRule="exact"/>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8"/>
      <w:bookmarkEnd w:id="1009"/>
      <w:bookmarkEnd w:id="1011"/>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离职后福利分为设定提存计划和设定受益计划。</w:t>
      </w:r>
    </w:p>
    <w:p>
      <w:pPr>
        <w:pStyle w:val="Style12"/>
        <w:keepNext w:val="0"/>
        <w:keepLines w:val="0"/>
        <w:widowControl w:val="0"/>
        <w:shd w:val="clear" w:color="auto" w:fill="auto"/>
        <w:tabs>
          <w:tab w:pos="848" w:val="left"/>
        </w:tabs>
        <w:bidi w:val="0"/>
        <w:spacing w:before="0" w:after="0" w:line="410" w:lineRule="exact"/>
        <w:ind w:left="0" w:right="0" w:firstLine="440"/>
        <w:jc w:val="left"/>
      </w:pPr>
      <w:bookmarkStart w:id="1012" w:name="bookmark1012"/>
      <w:r>
        <w:rPr>
          <w:rFonts w:ascii="Times New Roman" w:eastAsia="Times New Roman" w:hAnsi="Times New Roman" w:cs="Times New Roman"/>
          <w:color w:val="000000"/>
          <w:spacing w:val="0"/>
          <w:w w:val="100"/>
          <w:position w:val="0"/>
        </w:rPr>
        <w:t>（</w:t>
      </w:r>
      <w:bookmarkEnd w:id="1012"/>
      <w:r>
        <w:rPr>
          <w:rFonts w:ascii="Times New Roman" w:eastAsia="Times New Roman" w:hAnsi="Times New Roman" w:cs="Times New Roman"/>
          <w:color w:val="000000"/>
          <w:spacing w:val="0"/>
          <w:w w:val="100"/>
          <w:position w:val="0"/>
        </w:rPr>
        <w:t>1）</w:t>
        <w:tab/>
      </w:r>
      <w:r>
        <w:rPr>
          <w:color w:val="000000"/>
          <w:spacing w:val="0"/>
          <w:w w:val="100"/>
          <w:position w:val="0"/>
        </w:rPr>
        <w:t>在职工为公司提供服务的会计期间，根据设定提存计划计算的应缴存金额确认为负债，并计入当 期损益或相关资产成本。</w:t>
      </w:r>
    </w:p>
    <w:p>
      <w:pPr>
        <w:pStyle w:val="Style12"/>
        <w:keepNext w:val="0"/>
        <w:keepLines w:val="0"/>
        <w:widowControl w:val="0"/>
        <w:shd w:val="clear" w:color="auto" w:fill="auto"/>
        <w:tabs>
          <w:tab w:pos="870" w:val="left"/>
        </w:tabs>
        <w:bidi w:val="0"/>
        <w:spacing w:before="0" w:after="0" w:line="410" w:lineRule="exact"/>
        <w:ind w:left="0" w:right="0" w:firstLine="440"/>
        <w:jc w:val="left"/>
      </w:pPr>
      <w:bookmarkStart w:id="1013" w:name="bookmark1013"/>
      <w:r>
        <w:rPr>
          <w:rFonts w:ascii="Times New Roman" w:eastAsia="Times New Roman" w:hAnsi="Times New Roman" w:cs="Times New Roman"/>
          <w:color w:val="000000"/>
          <w:spacing w:val="0"/>
          <w:w w:val="100"/>
          <w:position w:val="0"/>
        </w:rPr>
        <w:t>（</w:t>
      </w:r>
      <w:bookmarkEnd w:id="1013"/>
      <w:r>
        <w:rPr>
          <w:rFonts w:ascii="Times New Roman" w:eastAsia="Times New Roman" w:hAnsi="Times New Roman" w:cs="Times New Roman"/>
          <w:color w:val="000000"/>
          <w:spacing w:val="0"/>
          <w:w w:val="100"/>
          <w:position w:val="0"/>
        </w:rPr>
        <w:t>2）</w:t>
        <w:tab/>
      </w:r>
      <w:r>
        <w:rPr>
          <w:color w:val="000000"/>
          <w:spacing w:val="0"/>
          <w:w w:val="100"/>
          <w:position w:val="0"/>
        </w:rPr>
        <w:t>对设定受益计划的会计处理通常包括下列步骤：</w:t>
      </w:r>
    </w:p>
    <w:p>
      <w:pPr>
        <w:pStyle w:val="Style12"/>
        <w:keepNext w:val="0"/>
        <w:keepLines w:val="0"/>
        <w:widowControl w:val="0"/>
        <w:shd w:val="clear" w:color="auto" w:fill="auto"/>
        <w:tabs>
          <w:tab w:pos="762" w:val="left"/>
        </w:tabs>
        <w:bidi w:val="0"/>
        <w:spacing w:before="0" w:after="0" w:line="410" w:lineRule="exact"/>
        <w:ind w:left="0" w:right="0" w:firstLine="440"/>
        <w:jc w:val="left"/>
      </w:pPr>
      <w:bookmarkStart w:id="1014" w:name="bookmark1014"/>
      <w:r>
        <w:rPr>
          <w:rFonts w:ascii="Times New Roman" w:eastAsia="Times New Roman" w:hAnsi="Times New Roman" w:cs="Times New Roman"/>
          <w:color w:val="000000"/>
          <w:spacing w:val="0"/>
          <w:w w:val="100"/>
          <w:position w:val="0"/>
        </w:rPr>
        <w:t>1</w:t>
      </w:r>
      <w:bookmarkEnd w:id="1014"/>
      <w:r>
        <w:rPr>
          <w:rFonts w:ascii="Times New Roman" w:eastAsia="Times New Roman" w:hAnsi="Times New Roman" w:cs="Times New Roman"/>
          <w:color w:val="000000"/>
          <w:spacing w:val="0"/>
          <w:w w:val="100"/>
          <w:position w:val="0"/>
        </w:rPr>
        <w:t>）</w:t>
        <w:tab/>
      </w:r>
      <w:r>
        <w:rPr>
          <w:color w:val="000000"/>
          <w:spacing w:val="0"/>
          <w:w w:val="100"/>
          <w:position w:val="0"/>
        </w:rPr>
        <w:t>根据预期累计福利单位法，采用无偏且相互一致的精算假设对有关人口统计变量和财务变量等作 出估计，计量设定受益计划所产生的义务，并确定相关义务的所属期间。同时，对设定受益计划所产生 的义务予以折现，以确定设定受益计划义务的现值和当期服务成本；</w:t>
      </w:r>
    </w:p>
    <w:p>
      <w:pPr>
        <w:pStyle w:val="Style12"/>
        <w:keepNext w:val="0"/>
        <w:keepLines w:val="0"/>
        <w:widowControl w:val="0"/>
        <w:shd w:val="clear" w:color="auto" w:fill="auto"/>
        <w:tabs>
          <w:tab w:pos="363" w:val="left"/>
        </w:tabs>
        <w:bidi w:val="0"/>
        <w:spacing w:before="0" w:after="0" w:line="410" w:lineRule="exact"/>
        <w:ind w:left="0" w:right="0" w:firstLine="440"/>
        <w:jc w:val="left"/>
      </w:pPr>
      <w:bookmarkStart w:id="1015" w:name="bookmark1015"/>
      <w:r>
        <w:rPr>
          <w:rFonts w:ascii="Times New Roman" w:eastAsia="Times New Roman" w:hAnsi="Times New Roman" w:cs="Times New Roman"/>
          <w:color w:val="000000"/>
          <w:spacing w:val="0"/>
          <w:w w:val="100"/>
          <w:position w:val="0"/>
        </w:rPr>
        <w:t>2</w:t>
      </w:r>
      <w:bookmarkEnd w:id="1015"/>
      <w:r>
        <w:rPr>
          <w:rFonts w:ascii="Times New Roman" w:eastAsia="Times New Roman" w:hAnsi="Times New Roman" w:cs="Times New Roman"/>
          <w:color w:val="000000"/>
          <w:spacing w:val="0"/>
          <w:w w:val="100"/>
          <w:position w:val="0"/>
        </w:rPr>
        <w:t>）</w:t>
        <w:tab/>
      </w:r>
      <w:r>
        <w:rPr>
          <w:color w:val="000000"/>
          <w:spacing w:val="0"/>
          <w:w w:val="100"/>
          <w:position w:val="0"/>
        </w:rPr>
        <w:t xml:space="preserve">设定受益计划存在资产的，将设定受益计划义务现值减去设定受益计划资产公允价值所形成的赤 </w:t>
      </w:r>
      <w:r>
        <w:rPr>
          <w:color w:val="000000"/>
          <w:spacing w:val="0"/>
          <w:w w:val="100"/>
          <w:position w:val="0"/>
        </w:rPr>
        <w:t>字或盈余确认为一项设定受益计划净负债或净资产。设定受益计划存在盈余的，以设定受益计划的盈余 和资产上限两项的孰低者计量设定受益计划净资产；</w:t>
      </w:r>
    </w:p>
    <w:p>
      <w:pPr>
        <w:pStyle w:val="Style12"/>
        <w:keepNext w:val="0"/>
        <w:keepLines w:val="0"/>
        <w:widowControl w:val="0"/>
        <w:shd w:val="clear" w:color="auto" w:fill="auto"/>
        <w:bidi w:val="0"/>
        <w:spacing w:before="0" w:after="280" w:line="410" w:lineRule="exact"/>
        <w:ind w:left="0" w:right="0" w:firstLine="440"/>
        <w:jc w:val="left"/>
      </w:pPr>
      <w:bookmarkStart w:id="1016" w:name="bookmark1016"/>
      <w:r>
        <w:rPr>
          <w:rFonts w:ascii="Times New Roman" w:eastAsia="Times New Roman" w:hAnsi="Times New Roman" w:cs="Times New Roman"/>
          <w:color w:val="000000"/>
          <w:spacing w:val="0"/>
          <w:w w:val="100"/>
          <w:position w:val="0"/>
        </w:rPr>
        <w:t>3</w:t>
      </w:r>
      <w:bookmarkEnd w:id="1016"/>
      <w:r>
        <w:rPr>
          <w:rFonts w:ascii="Times New Roman" w:eastAsia="Times New Roman" w:hAnsi="Times New Roman" w:cs="Times New Roman"/>
          <w:color w:val="000000"/>
          <w:spacing w:val="0"/>
          <w:w w:val="100"/>
          <w:position w:val="0"/>
        </w:rPr>
        <w:t>）</w:t>
      </w:r>
      <w:r>
        <w:rPr>
          <w:color w:val="000000"/>
          <w:spacing w:val="0"/>
          <w:w w:val="100"/>
          <w:position w:val="0"/>
        </w:rPr>
        <w:t>期末，将设定受益计划产生的职工薪酬成本确认为服务成本、设定受益计划净负债或净资产的利 息净额以及重新计量设定受益计划净负债或净资产所产生的变动等三部分，其中服务成本和设定受益计 划净负债或净资产的利息净额计入当期损益或相关资产成本，重新计量设定受益计划净负债或净资产所 产生的变动计入其他综合收益，并且在后续会计期间不允许转回至损益，但可以在权益范围内转移这些 在其他综合收益确认的金额。</w:t>
      </w:r>
    </w:p>
    <w:p>
      <w:pPr>
        <w:pStyle w:val="Style46"/>
        <w:keepNext/>
        <w:keepLines/>
        <w:widowControl w:val="0"/>
        <w:shd w:val="clear" w:color="auto" w:fill="auto"/>
        <w:tabs>
          <w:tab w:pos="493" w:val="left"/>
        </w:tabs>
        <w:bidi w:val="0"/>
        <w:spacing w:before="0" w:after="140" w:line="410" w:lineRule="exact"/>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17"/>
      <w:bookmarkEnd w:id="1018"/>
      <w:bookmarkEnd w:id="1020"/>
    </w:p>
    <w:p>
      <w:pPr>
        <w:pStyle w:val="Style12"/>
        <w:keepNext w:val="0"/>
        <w:keepLines w:val="0"/>
        <w:widowControl w:val="0"/>
        <w:shd w:val="clear" w:color="auto" w:fill="auto"/>
        <w:bidi w:val="0"/>
        <w:spacing w:before="0" w:after="0" w:line="408" w:lineRule="exact"/>
        <w:ind w:left="0" w:right="0" w:firstLine="440"/>
        <w:jc w:val="both"/>
      </w:pPr>
      <w:r>
        <w:rPr>
          <w:color w:val="000000"/>
          <w:spacing w:val="0"/>
          <w:w w:val="100"/>
          <w:position w:val="0"/>
          <w:shd w:val="clear" w:color="auto" w:fill="FFFFFF"/>
        </w:rPr>
        <w:t>向职工提供的辞退福利，在下列两者孰早日确认辞退福利产生的职工薪酬负债，并计入当期损益：</w:t>
      </w:r>
    </w:p>
    <w:p>
      <w:pPr>
        <w:pStyle w:val="Style12"/>
        <w:keepNext w:val="0"/>
        <w:keepLines w:val="0"/>
        <w:widowControl w:val="0"/>
        <w:shd w:val="clear" w:color="auto" w:fill="auto"/>
        <w:bidi w:val="0"/>
        <w:spacing w:before="0" w:after="280" w:line="408" w:lineRule="exact"/>
        <w:ind w:left="0" w:right="0" w:firstLine="0"/>
        <w:jc w:val="left"/>
      </w:pPr>
      <w:bookmarkStart w:id="1021" w:name="bookmark1021"/>
      <w:r>
        <w:rPr>
          <w:rFonts w:ascii="Times New Roman" w:eastAsia="Times New Roman" w:hAnsi="Times New Roman" w:cs="Times New Roman"/>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公司不能单方面撤回因解除劳动关系计划或裁减建议所提供的辞退福利时；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 辞退福利的重组相关的成本或费用时。</w:t>
      </w:r>
    </w:p>
    <w:p>
      <w:pPr>
        <w:pStyle w:val="Style46"/>
        <w:keepNext/>
        <w:keepLines/>
        <w:widowControl w:val="0"/>
        <w:shd w:val="clear" w:color="auto" w:fill="auto"/>
        <w:tabs>
          <w:tab w:pos="493" w:val="left"/>
        </w:tabs>
        <w:bidi w:val="0"/>
        <w:spacing w:before="0" w:after="140" w:line="410" w:lineRule="exact"/>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22"/>
      <w:bookmarkEnd w:id="1023"/>
      <w:bookmarkEnd w:id="1025"/>
    </w:p>
    <w:p>
      <w:pPr>
        <w:pStyle w:val="Style1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向职工提供的其他长期福利，符合设定提存计划条件的，按照设定提存计划的有关规定进行会计处 理；除此之外的其他长期福利，按照设定受益计划的有关规定进行会计处理，为简化相关会计处理，将 其产生的职工薪酬成本确认为服务成本、其他长期职工福利净负债或净资产的利息净额以及重新计量其 他长期职工福利净负债或净资产所产生的变动等组成项目的总净额计入当期损益或相关资产成本。</w:t>
      </w:r>
    </w:p>
    <w:p>
      <w:pPr>
        <w:pStyle w:val="Style38"/>
        <w:keepNext/>
        <w:keepLines/>
        <w:widowControl w:val="0"/>
        <w:shd w:val="clear" w:color="auto" w:fill="auto"/>
        <w:tabs>
          <w:tab w:pos="483" w:val="left"/>
        </w:tabs>
        <w:bidi w:val="0"/>
        <w:spacing w:before="0" w:after="0" w:line="427"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26"/>
      <w:bookmarkEnd w:id="1027"/>
      <w:bookmarkEnd w:id="1029"/>
    </w:p>
    <w:p>
      <w:pPr>
        <w:pStyle w:val="Style1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详见本年度审计报告附注三（二十四）之说明。</w:t>
      </w:r>
    </w:p>
    <w:p>
      <w:pPr>
        <w:pStyle w:val="Style38"/>
        <w:keepNext/>
        <w:keepLines/>
        <w:widowControl w:val="0"/>
        <w:shd w:val="clear" w:color="auto" w:fill="auto"/>
        <w:tabs>
          <w:tab w:pos="483" w:val="left"/>
        </w:tabs>
        <w:bidi w:val="0"/>
        <w:spacing w:before="0" w:after="0" w:line="427"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30"/>
      <w:bookmarkEnd w:id="1031"/>
      <w:bookmarkEnd w:id="1033"/>
    </w:p>
    <w:p>
      <w:pPr>
        <w:pStyle w:val="Style1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不适用</w:t>
      </w:r>
    </w:p>
    <w:p>
      <w:pPr>
        <w:pStyle w:val="Style38"/>
        <w:keepNext/>
        <w:keepLines/>
        <w:widowControl w:val="0"/>
        <w:shd w:val="clear" w:color="auto" w:fill="auto"/>
        <w:tabs>
          <w:tab w:pos="483" w:val="left"/>
        </w:tabs>
        <w:bidi w:val="0"/>
        <w:spacing w:before="0" w:after="140" w:line="427"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34"/>
      <w:bookmarkEnd w:id="1035"/>
      <w:bookmarkEnd w:id="1037"/>
    </w:p>
    <w:p>
      <w:pPr>
        <w:pStyle w:val="Style12"/>
        <w:keepNext w:val="0"/>
        <w:keepLines w:val="0"/>
        <w:widowControl w:val="0"/>
        <w:numPr>
          <w:ilvl w:val="0"/>
          <w:numId w:val="53"/>
        </w:numPr>
        <w:shd w:val="clear" w:color="auto" w:fill="auto"/>
        <w:tabs>
          <w:tab w:pos="755" w:val="left"/>
        </w:tabs>
        <w:bidi w:val="0"/>
        <w:spacing w:before="0" w:after="0" w:line="427" w:lineRule="auto"/>
        <w:ind w:left="0" w:right="0" w:firstLine="440"/>
        <w:jc w:val="both"/>
      </w:pPr>
      <w:bookmarkStart w:id="1038" w:name="bookmark1038"/>
      <w:bookmarkEnd w:id="1038"/>
      <w:r>
        <w:rPr>
          <w:color w:val="000000"/>
          <w:spacing w:val="0"/>
          <w:w w:val="100"/>
          <w:position w:val="0"/>
        </w:rPr>
        <w:t>股份支付的种类</w:t>
      </w:r>
    </w:p>
    <w:p>
      <w:pPr>
        <w:pStyle w:val="Style12"/>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包括以权益结算的股份支付和以现金结算的股份支付。</w:t>
      </w:r>
    </w:p>
    <w:p>
      <w:pPr>
        <w:pStyle w:val="Style12"/>
        <w:keepNext w:val="0"/>
        <w:keepLines w:val="0"/>
        <w:widowControl w:val="0"/>
        <w:numPr>
          <w:ilvl w:val="0"/>
          <w:numId w:val="53"/>
        </w:numPr>
        <w:shd w:val="clear" w:color="auto" w:fill="auto"/>
        <w:tabs>
          <w:tab w:pos="774" w:val="left"/>
        </w:tabs>
        <w:bidi w:val="0"/>
        <w:spacing w:before="0" w:after="0" w:line="427" w:lineRule="auto"/>
        <w:ind w:left="0" w:right="0" w:firstLine="440"/>
        <w:jc w:val="both"/>
      </w:pPr>
      <w:bookmarkStart w:id="1039" w:name="bookmark1039"/>
      <w:bookmarkEnd w:id="1039"/>
      <w:r>
        <w:rPr>
          <w:color w:val="000000"/>
          <w:spacing w:val="0"/>
          <w:w w:val="100"/>
          <w:position w:val="0"/>
        </w:rPr>
        <w:t>实施、修改、终止股份支付计划的相关会计处理</w:t>
      </w:r>
    </w:p>
    <w:p>
      <w:pPr>
        <w:pStyle w:val="Style12"/>
        <w:keepNext w:val="0"/>
        <w:keepLines w:val="0"/>
        <w:widowControl w:val="0"/>
        <w:shd w:val="clear" w:color="auto" w:fill="auto"/>
        <w:bidi w:val="0"/>
        <w:spacing w:before="0" w:after="0" w:line="427" w:lineRule="auto"/>
        <w:ind w:left="0" w:right="0" w:firstLine="440"/>
        <w:jc w:val="both"/>
      </w:pPr>
      <w:bookmarkStart w:id="1040" w:name="bookmark1040"/>
      <w:r>
        <w:rPr>
          <w:rFonts w:ascii="Times New Roman" w:eastAsia="Times New Roman" w:hAnsi="Times New Roman" w:cs="Times New Roman"/>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以权益结算的股份支付</w:t>
      </w:r>
    </w:p>
    <w:p>
      <w:pPr>
        <w:pStyle w:val="Style12"/>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 xml:space="preserve">授予后立即可行权的换取职工服务的以权益结算的股份支付，在授予日按照权益工具的公允价值计 入相关成本或费用，相应调整资本公积。完成等待期内的服务或达到规定业绩条件才可行权的换取职工 服务的以权益结算的股份支付，在等待期内的每个资产负债表日，以对可行权权益工具数量的最佳估计 </w:t>
      </w:r>
      <w:r>
        <w:rPr>
          <w:color w:val="000000"/>
          <w:spacing w:val="0"/>
          <w:w w:val="100"/>
          <w:position w:val="0"/>
        </w:rPr>
        <w:t>为基础，按权益工具授予日的公允价值，将当期取得的服务计入相关成本或费用，相应调整资本公积。 换取其他方服务的权益结算的股份支付，如果其他方服务的公允价值能够可靠计量的，按照其他方服务 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12"/>
        <w:keepNext w:val="0"/>
        <w:keepLines w:val="0"/>
        <w:widowControl w:val="0"/>
        <w:shd w:val="clear" w:color="auto" w:fill="auto"/>
        <w:tabs>
          <w:tab w:pos="849" w:val="left"/>
        </w:tabs>
        <w:bidi w:val="0"/>
        <w:spacing w:before="0" w:after="0" w:line="427" w:lineRule="auto"/>
        <w:ind w:left="0" w:right="0" w:firstLine="440"/>
        <w:jc w:val="both"/>
      </w:pPr>
      <w:bookmarkStart w:id="1041" w:name="bookmark1041"/>
      <w:r>
        <w:rPr>
          <w:rFonts w:ascii="Times New Roman" w:eastAsia="Times New Roman" w:hAnsi="Times New Roman" w:cs="Times New Roman"/>
          <w:color w:val="000000"/>
          <w:spacing w:val="0"/>
          <w:w w:val="100"/>
          <w:position w:val="0"/>
        </w:rPr>
        <w:t>（</w:t>
      </w:r>
      <w:bookmarkEnd w:id="1041"/>
      <w:r>
        <w:rPr>
          <w:rFonts w:ascii="Times New Roman" w:eastAsia="Times New Roman" w:hAnsi="Times New Roman" w:cs="Times New Roman"/>
          <w:color w:val="000000"/>
          <w:spacing w:val="0"/>
          <w:w w:val="100"/>
          <w:position w:val="0"/>
        </w:rPr>
        <w:t>2）</w:t>
        <w:tab/>
      </w:r>
      <w:r>
        <w:rPr>
          <w:color w:val="000000"/>
          <w:spacing w:val="0"/>
          <w:w w:val="100"/>
          <w:position w:val="0"/>
        </w:rPr>
        <w:t>以现金结算的股份支付</w:t>
      </w:r>
    </w:p>
    <w:p>
      <w:pPr>
        <w:pStyle w:val="Style12"/>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授予后立即可行权的换取职工服务的以现金结算的股份支付，在授予日按公司承担负债的公允价值 计入相关成本或费用，相应增加负债。完成等待期内的服务或达到规定业绩条件才可行权的换取职工服 务的以现金结算的股份支付，在等待期内的每个资产负债表日，以对可行权情况的最佳估计为基础，按 公司承担负债的公允价值，将当期取得的服务计入相关成本或费用和相应的负债。</w:t>
      </w:r>
    </w:p>
    <w:p>
      <w:pPr>
        <w:pStyle w:val="Style12"/>
        <w:keepNext w:val="0"/>
        <w:keepLines w:val="0"/>
        <w:widowControl w:val="0"/>
        <w:shd w:val="clear" w:color="auto" w:fill="auto"/>
        <w:tabs>
          <w:tab w:pos="854" w:val="left"/>
        </w:tabs>
        <w:bidi w:val="0"/>
        <w:spacing w:before="0" w:after="0" w:line="427" w:lineRule="auto"/>
        <w:ind w:left="0" w:right="0" w:firstLine="440"/>
        <w:jc w:val="both"/>
      </w:pPr>
      <w:bookmarkStart w:id="1042" w:name="bookmark1042"/>
      <w:r>
        <w:rPr>
          <w:rFonts w:ascii="Times New Roman" w:eastAsia="Times New Roman" w:hAnsi="Times New Roman" w:cs="Times New Roman"/>
          <w:color w:val="000000"/>
          <w:spacing w:val="0"/>
          <w:w w:val="100"/>
          <w:position w:val="0"/>
        </w:rPr>
        <w:t>（</w:t>
      </w:r>
      <w:bookmarkEnd w:id="1042"/>
      <w:r>
        <w:rPr>
          <w:rFonts w:ascii="Times New Roman" w:eastAsia="Times New Roman" w:hAnsi="Times New Roman" w:cs="Times New Roman"/>
          <w:color w:val="000000"/>
          <w:spacing w:val="0"/>
          <w:w w:val="100"/>
          <w:position w:val="0"/>
        </w:rPr>
        <w:t>3）</w:t>
        <w:tab/>
      </w:r>
      <w:r>
        <w:rPr>
          <w:color w:val="000000"/>
          <w:spacing w:val="0"/>
          <w:w w:val="100"/>
          <w:position w:val="0"/>
        </w:rPr>
        <w:t>修改、终止股份支付计划</w:t>
      </w:r>
    </w:p>
    <w:p>
      <w:pPr>
        <w:pStyle w:val="Style1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如果修改增加了所授予的权益工具的公允价值，公司按照权益工具公允价值的增加相应地确认取得 服务的增加；如果修改增加了所授予的权益工具的数量，公司将增加的权益工具的公允价值相应地确认 为取得服务的增加；如果公司按照有利于职工的方式修改可行权条件，公司在处理可行权条件时，考虑 修改后的可行权条件。</w:t>
      </w:r>
    </w:p>
    <w:p>
      <w:pPr>
        <w:pStyle w:val="Style1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如果修改减少了授予的权益工具的公允价值，公司继续以权益工具在授予日的公允价值为基础，确 认取得服务的金额，而不考虑权益工具公允价值的减少；如果修改减少了授予的权益工具的数量，公司 将减少部分作为已授予的权益工具的取消来进行处理；如果以不利于职工的方式修改了可行权条件，在 处理可行权条件时，不考虑修改后的可行权条件。</w:t>
      </w:r>
    </w:p>
    <w:p>
      <w:pPr>
        <w:pStyle w:val="Style12"/>
        <w:keepNext w:val="0"/>
        <w:keepLines w:val="0"/>
        <w:widowControl w:val="0"/>
        <w:shd w:val="clear" w:color="auto" w:fill="auto"/>
        <w:bidi w:val="0"/>
        <w:spacing w:before="0" w:after="420" w:line="409" w:lineRule="exact"/>
        <w:ind w:left="0" w:right="0" w:firstLine="440"/>
        <w:jc w:val="both"/>
      </w:pPr>
      <w:r>
        <w:rPr>
          <w:color w:val="000000"/>
          <w:spacing w:val="0"/>
          <w:w w:val="100"/>
          <w:position w:val="0"/>
        </w:rPr>
        <w:t>如果公司在等待期内取消了所授予的权益工具或结算了所授予的权益工具（因未满足可行权条件而 被取消的除外），则将取消或结算作为加速可行权处理，立即确认原本在剩余等待期内确认的金额。</w:t>
      </w:r>
    </w:p>
    <w:p>
      <w:pPr>
        <w:pStyle w:val="Style38"/>
        <w:keepNext/>
        <w:keepLines/>
        <w:widowControl w:val="0"/>
        <w:shd w:val="clear" w:color="auto" w:fill="auto"/>
        <w:tabs>
          <w:tab w:pos="467" w:val="left"/>
        </w:tabs>
        <w:bidi w:val="0"/>
        <w:spacing w:before="0" w:after="0" w:line="427"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3</w:t>
      </w:r>
      <w:bookmarkEnd w:id="1045"/>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43"/>
      <w:bookmarkEnd w:id="1044"/>
      <w:bookmarkEnd w:id="1046"/>
    </w:p>
    <w:p>
      <w:pPr>
        <w:pStyle w:val="Style12"/>
        <w:keepNext w:val="0"/>
        <w:keepLines w:val="0"/>
        <w:widowControl w:val="0"/>
        <w:shd w:val="clear" w:color="auto" w:fill="auto"/>
        <w:bidi w:val="0"/>
        <w:spacing w:before="0" w:after="420" w:line="409" w:lineRule="exact"/>
        <w:ind w:left="0" w:right="0" w:firstLine="440"/>
        <w:jc w:val="both"/>
      </w:pPr>
      <w:r>
        <w:rPr>
          <w:color w:val="000000"/>
          <w:spacing w:val="0"/>
          <w:w w:val="100"/>
          <w:position w:val="0"/>
        </w:rPr>
        <w:t>不适用</w:t>
      </w:r>
    </w:p>
    <w:p>
      <w:pPr>
        <w:pStyle w:val="Style38"/>
        <w:keepNext/>
        <w:keepLines/>
        <w:widowControl w:val="0"/>
        <w:shd w:val="clear" w:color="auto" w:fill="auto"/>
        <w:tabs>
          <w:tab w:pos="467" w:val="left"/>
        </w:tabs>
        <w:bidi w:val="0"/>
        <w:spacing w:before="0" w:after="0" w:line="427"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47"/>
      <w:bookmarkEnd w:id="1048"/>
      <w:bookmarkEnd w:id="1050"/>
    </w:p>
    <w:p>
      <w:pPr>
        <w:pStyle w:val="Style12"/>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 术服务业''的披露要求</w:t>
      </w:r>
    </w:p>
    <w:p>
      <w:pPr>
        <w:pStyle w:val="Style12"/>
        <w:keepNext w:val="0"/>
        <w:keepLines w:val="0"/>
        <w:widowControl w:val="0"/>
        <w:numPr>
          <w:ilvl w:val="0"/>
          <w:numId w:val="55"/>
        </w:numPr>
        <w:shd w:val="clear" w:color="auto" w:fill="auto"/>
        <w:bidi w:val="0"/>
        <w:spacing w:before="0" w:after="0" w:line="427" w:lineRule="auto"/>
        <w:ind w:left="0" w:right="0" w:firstLine="440"/>
        <w:jc w:val="both"/>
      </w:pPr>
      <w:bookmarkStart w:id="1051" w:name="bookmark1051"/>
      <w:bookmarkEnd w:id="1051"/>
      <w:r>
        <w:rPr>
          <w:color w:val="000000"/>
          <w:spacing w:val="0"/>
          <w:w w:val="100"/>
          <w:position w:val="0"/>
        </w:rPr>
        <w:t>收入确认原则</w:t>
      </w:r>
    </w:p>
    <w:p>
      <w:pPr>
        <w:pStyle w:val="Style1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于合同开始日，公司对合同进行评估，识别合同所包含的各单项履约义务，并确定各单项履约义务 是在某一时段内履行，还是在某一时点履行。</w:t>
      </w:r>
    </w:p>
    <w:p>
      <w:pPr>
        <w:pStyle w:val="Style12"/>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满足下列条件之一时，属于在某一时段内履行履约义务，否则，属于在某一时点履行履约义务：</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客户在公司履约的同时即取得并消耗公司履约所带来的经济利益；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客户能够控制公司履约过程中在建 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公司履约过程中所产出的商品具有不可替代用途，且公司在整个合同期间内有权就累计至今已 完成的履约部分收取款项。</w:t>
      </w:r>
    </w:p>
    <w:p>
      <w:pPr>
        <w:pStyle w:val="Style12"/>
        <w:keepNext w:val="0"/>
        <w:keepLines w:val="0"/>
        <w:widowControl w:val="0"/>
        <w:shd w:val="clear" w:color="auto" w:fill="auto"/>
        <w:bidi w:val="0"/>
        <w:spacing w:before="0" w:after="140" w:line="411" w:lineRule="exact"/>
        <w:ind w:left="0" w:right="0" w:firstLine="440"/>
        <w:jc w:val="left"/>
      </w:pPr>
      <w:r>
        <w:rPr>
          <w:color w:val="000000"/>
          <w:spacing w:val="0"/>
          <w:w w:val="100"/>
          <w:position w:val="0"/>
        </w:rPr>
        <w:t>对于在某一时段内履行的履约义务，公司在该段时间内按照履约进度确认收入。履约进度不能合理 确定时，已经发生的成本预计能够得到补偿的，按照已经发生的成本金额确认收入，直到履约进度能够 合理确定为止。对于在某一时点履行的履约义务，在客户取得相关商品或服务控制权时点确认收入。在 判断客户是否已取得商品控制权时，公司考虑下列迹象：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公司就该商品享有现时收款权利，即客户就 该商品负有现时付款义务；</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公司已将该商品的法定所有权转移给客户，即客户已拥有该商品的法定所 有权；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公司已将该商品实物转移给客户，即客户已实物占有该商品；</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公司已将该商品所有权上的 主要风险和报酬转移给客户，即客户已取得该商品所有权上的主要风险和报酬；</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 xml:space="preserve">客户已接受该商品； </w:t>
      </w:r>
      <w:r>
        <w:rPr>
          <w:rFonts w:ascii="Times New Roman" w:eastAsia="Times New Roman" w:hAnsi="Times New Roman" w:cs="Times New Roman"/>
          <w:color w:val="000000"/>
          <w:spacing w:val="0"/>
          <w:w w:val="100"/>
          <w:position w:val="0"/>
        </w:rPr>
        <w:t>(6)</w:t>
      </w:r>
      <w:r>
        <w:rPr>
          <w:color w:val="000000"/>
          <w:spacing w:val="0"/>
          <w:w w:val="100"/>
          <w:position w:val="0"/>
        </w:rPr>
        <w:t>其他表明客户已取得商品控制权的迹象。</w:t>
      </w:r>
    </w:p>
    <w:p>
      <w:pPr>
        <w:pStyle w:val="Style12"/>
        <w:keepNext w:val="0"/>
        <w:keepLines w:val="0"/>
        <w:widowControl w:val="0"/>
        <w:numPr>
          <w:ilvl w:val="0"/>
          <w:numId w:val="55"/>
        </w:numPr>
        <w:shd w:val="clear" w:color="auto" w:fill="auto"/>
        <w:tabs>
          <w:tab w:pos="768" w:val="left"/>
        </w:tabs>
        <w:bidi w:val="0"/>
        <w:spacing w:before="0" w:after="0" w:line="430" w:lineRule="auto"/>
        <w:ind w:left="0" w:right="0" w:firstLine="440"/>
        <w:jc w:val="left"/>
      </w:pPr>
      <w:bookmarkStart w:id="1052" w:name="bookmark1052"/>
      <w:bookmarkEnd w:id="1052"/>
      <w:r>
        <w:rPr>
          <w:color w:val="000000"/>
          <w:spacing w:val="0"/>
          <w:w w:val="100"/>
          <w:position w:val="0"/>
        </w:rPr>
        <w:t>收入计量原则</w:t>
      </w:r>
    </w:p>
    <w:p>
      <w:pPr>
        <w:pStyle w:val="Style12"/>
        <w:keepNext w:val="0"/>
        <w:keepLines w:val="0"/>
        <w:widowControl w:val="0"/>
        <w:numPr>
          <w:ilvl w:val="0"/>
          <w:numId w:val="57"/>
        </w:numPr>
        <w:shd w:val="clear" w:color="auto" w:fill="auto"/>
        <w:tabs>
          <w:tab w:pos="841" w:val="left"/>
        </w:tabs>
        <w:bidi w:val="0"/>
        <w:spacing w:before="0" w:after="0" w:line="411" w:lineRule="exact"/>
        <w:ind w:left="0" w:right="0" w:firstLine="440"/>
        <w:jc w:val="left"/>
      </w:pPr>
      <w:bookmarkStart w:id="1053" w:name="bookmark1053"/>
      <w:bookmarkEnd w:id="1053"/>
      <w:r>
        <w:rPr>
          <w:color w:val="000000"/>
          <w:spacing w:val="0"/>
          <w:w w:val="100"/>
          <w:position w:val="0"/>
        </w:rPr>
        <w:t>公司按照分摊至各单项履约义务的交易价格计量收入。交易价格是公司因向客户转让商品或服务 而预期有权收取的对价金额，不包括代第三方收取的款项以及预期将退还给客户的款项。</w:t>
      </w:r>
    </w:p>
    <w:p>
      <w:pPr>
        <w:pStyle w:val="Style12"/>
        <w:keepNext w:val="0"/>
        <w:keepLines w:val="0"/>
        <w:widowControl w:val="0"/>
        <w:numPr>
          <w:ilvl w:val="0"/>
          <w:numId w:val="57"/>
        </w:numPr>
        <w:shd w:val="clear" w:color="auto" w:fill="auto"/>
        <w:tabs>
          <w:tab w:pos="837" w:val="left"/>
        </w:tabs>
        <w:bidi w:val="0"/>
        <w:spacing w:before="0" w:after="0" w:line="411" w:lineRule="exact"/>
        <w:ind w:left="0" w:right="0" w:firstLine="440"/>
        <w:jc w:val="left"/>
      </w:pPr>
      <w:bookmarkStart w:id="1054" w:name="bookmark1054"/>
      <w:bookmarkEnd w:id="1054"/>
      <w:r>
        <w:rPr>
          <w:color w:val="000000"/>
          <w:spacing w:val="0"/>
          <w:w w:val="100"/>
          <w:position w:val="0"/>
        </w:rPr>
        <w:t>合同中存在可变对价的，公司按照期望值或最可能发生金额确定可变对价的最佳估计数，但包含 可变对价的交易价格，不超过在相关不确定性消除时累计已确认收入极可能不会发生重大转回的金额。</w:t>
      </w:r>
    </w:p>
    <w:p>
      <w:pPr>
        <w:pStyle w:val="Style12"/>
        <w:keepNext w:val="0"/>
        <w:keepLines w:val="0"/>
        <w:widowControl w:val="0"/>
        <w:numPr>
          <w:ilvl w:val="0"/>
          <w:numId w:val="57"/>
        </w:numPr>
        <w:shd w:val="clear" w:color="auto" w:fill="auto"/>
        <w:tabs>
          <w:tab w:pos="841" w:val="left"/>
        </w:tabs>
        <w:bidi w:val="0"/>
        <w:spacing w:before="0" w:after="0" w:line="411" w:lineRule="exact"/>
        <w:ind w:left="0" w:right="0" w:firstLine="440"/>
        <w:jc w:val="left"/>
      </w:pPr>
      <w:bookmarkStart w:id="1055" w:name="bookmark1055"/>
      <w:bookmarkEnd w:id="1055"/>
      <w:r>
        <w:rPr>
          <w:color w:val="000000"/>
          <w:spacing w:val="0"/>
          <w:w w:val="100"/>
          <w:position w:val="0"/>
        </w:rPr>
        <w:t>合同中存在重大融资成分的，公司按照假定客户在取得商品或服务控制权时即以现金支付的应付 金额确定交易价格。该交易价格与合同对价之间的差额，在合同期间内采用实际利率法摊销。合同开始 日，公司预计客户取得商品或服务控制权与客户支付价款间隔不超过一年的，不考虑合同中存在的重大 融资成分。</w:t>
      </w:r>
    </w:p>
    <w:p>
      <w:pPr>
        <w:pStyle w:val="Style12"/>
        <w:keepNext w:val="0"/>
        <w:keepLines w:val="0"/>
        <w:widowControl w:val="0"/>
        <w:numPr>
          <w:ilvl w:val="0"/>
          <w:numId w:val="57"/>
        </w:numPr>
        <w:shd w:val="clear" w:color="auto" w:fill="auto"/>
        <w:tabs>
          <w:tab w:pos="841" w:val="left"/>
        </w:tabs>
        <w:bidi w:val="0"/>
        <w:spacing w:before="0" w:after="140" w:line="411" w:lineRule="exact"/>
        <w:ind w:left="0" w:right="0" w:firstLine="440"/>
        <w:jc w:val="left"/>
      </w:pPr>
      <w:bookmarkStart w:id="1056" w:name="bookmark1056"/>
      <w:bookmarkEnd w:id="1056"/>
      <w:r>
        <w:rPr>
          <w:color w:val="000000"/>
          <w:spacing w:val="0"/>
          <w:w w:val="100"/>
          <w:position w:val="0"/>
        </w:rPr>
        <w:t>合同中包含两项或多项履约义务的，公司于合同开始日，按照各单项履约义务所承诺商品的单独 售价的相对比例，将交易价格分摊至各单项履约义务。</w:t>
      </w:r>
    </w:p>
    <w:p>
      <w:pPr>
        <w:pStyle w:val="Style12"/>
        <w:keepNext w:val="0"/>
        <w:keepLines w:val="0"/>
        <w:widowControl w:val="0"/>
        <w:numPr>
          <w:ilvl w:val="0"/>
          <w:numId w:val="55"/>
        </w:numPr>
        <w:shd w:val="clear" w:color="auto" w:fill="auto"/>
        <w:tabs>
          <w:tab w:pos="768" w:val="left"/>
        </w:tabs>
        <w:bidi w:val="0"/>
        <w:spacing w:before="0" w:after="0" w:line="430" w:lineRule="auto"/>
        <w:ind w:left="0" w:right="0" w:firstLine="440"/>
        <w:jc w:val="left"/>
      </w:pPr>
      <w:bookmarkStart w:id="1057" w:name="bookmark1057"/>
      <w:bookmarkEnd w:id="1057"/>
      <w:r>
        <w:rPr>
          <w:color w:val="000000"/>
          <w:spacing w:val="0"/>
          <w:w w:val="100"/>
          <w:position w:val="0"/>
        </w:rPr>
        <w:t>收入确认的具体方法</w:t>
      </w:r>
    </w:p>
    <w:p>
      <w:pPr>
        <w:pStyle w:val="Style12"/>
        <w:keepNext w:val="0"/>
        <w:keepLines w:val="0"/>
        <w:widowControl w:val="0"/>
        <w:numPr>
          <w:ilvl w:val="0"/>
          <w:numId w:val="59"/>
        </w:numPr>
        <w:shd w:val="clear" w:color="auto" w:fill="auto"/>
        <w:tabs>
          <w:tab w:pos="864" w:val="left"/>
        </w:tabs>
        <w:bidi w:val="0"/>
        <w:spacing w:before="0" w:after="0" w:line="430" w:lineRule="auto"/>
        <w:ind w:left="0" w:right="0" w:firstLine="440"/>
        <w:jc w:val="left"/>
      </w:pPr>
      <w:bookmarkStart w:id="1058" w:name="bookmark1058"/>
      <w:bookmarkEnd w:id="1058"/>
      <w:r>
        <w:rPr>
          <w:color w:val="000000"/>
          <w:spacing w:val="0"/>
          <w:w w:val="100"/>
          <w:position w:val="0"/>
        </w:rPr>
        <w:t>按某一时段确认的收入</w:t>
      </w:r>
    </w:p>
    <w:p>
      <w:pPr>
        <w:pStyle w:val="Style12"/>
        <w:keepNext w:val="0"/>
        <w:keepLines w:val="0"/>
        <w:widowControl w:val="0"/>
        <w:shd w:val="clear" w:color="auto" w:fill="auto"/>
        <w:bidi w:val="0"/>
        <w:spacing w:before="0" w:after="140" w:line="411" w:lineRule="exact"/>
        <w:ind w:left="0" w:right="0" w:firstLine="440"/>
        <w:jc w:val="left"/>
      </w:pPr>
      <w:r>
        <w:rPr>
          <w:color w:val="000000"/>
          <w:spacing w:val="0"/>
          <w:w w:val="100"/>
          <w:position w:val="0"/>
        </w:rPr>
        <w:t>对于合同约定按人月、人天或小时工作量收费的软件技术服务，公司在相关服务提供后，根据实际 投入的人月、人天或小时乘以双方约定的单价确认收入。</w:t>
      </w:r>
    </w:p>
    <w:p>
      <w:pPr>
        <w:pStyle w:val="Style12"/>
        <w:keepNext w:val="0"/>
        <w:keepLines w:val="0"/>
        <w:widowControl w:val="0"/>
        <w:numPr>
          <w:ilvl w:val="0"/>
          <w:numId w:val="59"/>
        </w:numPr>
        <w:shd w:val="clear" w:color="auto" w:fill="auto"/>
        <w:tabs>
          <w:tab w:pos="864" w:val="left"/>
        </w:tabs>
        <w:bidi w:val="0"/>
        <w:spacing w:before="0" w:after="0" w:line="430" w:lineRule="auto"/>
        <w:ind w:left="0" w:right="0" w:firstLine="440"/>
        <w:jc w:val="left"/>
      </w:pPr>
      <w:bookmarkStart w:id="1059" w:name="bookmark1059"/>
      <w:bookmarkEnd w:id="1059"/>
      <w:r>
        <w:rPr>
          <w:color w:val="000000"/>
          <w:spacing w:val="0"/>
          <w:w w:val="100"/>
          <w:position w:val="0"/>
        </w:rPr>
        <w:t>按时点确认的收入</w:t>
      </w:r>
    </w:p>
    <w:p>
      <w:pPr>
        <w:pStyle w:val="Style12"/>
        <w:keepNext w:val="0"/>
        <w:keepLines w:val="0"/>
        <w:widowControl w:val="0"/>
        <w:shd w:val="clear" w:color="auto" w:fill="auto"/>
        <w:bidi w:val="0"/>
        <w:spacing w:before="0" w:after="440" w:line="411" w:lineRule="exact"/>
        <w:ind w:left="0" w:right="0" w:firstLine="440"/>
        <w:jc w:val="left"/>
      </w:pPr>
      <w:r>
        <w:rPr>
          <w:color w:val="000000"/>
          <w:spacing w:val="0"/>
          <w:w w:val="100"/>
          <w:position w:val="0"/>
        </w:rPr>
        <w:t>对于以成果交付的软件技术服务，公司在向客户交付成果后，经客户验收时确认收入。</w:t>
      </w:r>
    </w:p>
    <w:p>
      <w:pPr>
        <w:pStyle w:val="Style38"/>
        <w:keepNext/>
        <w:keepLines/>
        <w:widowControl w:val="0"/>
        <w:shd w:val="clear" w:color="auto" w:fill="auto"/>
        <w:bidi w:val="0"/>
        <w:spacing w:before="0" w:after="0" w:line="43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4</w:t>
      </w:r>
      <w:bookmarkEnd w:id="1062"/>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60"/>
      <w:bookmarkEnd w:id="1061"/>
      <w:bookmarkEnd w:id="1063"/>
    </w:p>
    <w:p>
      <w:pPr>
        <w:pStyle w:val="Style12"/>
        <w:keepNext w:val="0"/>
        <w:keepLines w:val="0"/>
        <w:widowControl w:val="0"/>
        <w:numPr>
          <w:ilvl w:val="0"/>
          <w:numId w:val="61"/>
        </w:numPr>
        <w:shd w:val="clear" w:color="auto" w:fill="auto"/>
        <w:tabs>
          <w:tab w:pos="749" w:val="left"/>
        </w:tabs>
        <w:bidi w:val="0"/>
        <w:spacing w:before="0" w:after="140" w:line="410" w:lineRule="exact"/>
        <w:ind w:left="0" w:right="0" w:firstLine="440"/>
        <w:jc w:val="left"/>
      </w:pPr>
      <w:bookmarkStart w:id="1064" w:name="bookmark1064"/>
      <w:bookmarkEnd w:id="1064"/>
      <w:r>
        <w:rPr>
          <w:color w:val="000000"/>
          <w:spacing w:val="0"/>
          <w:w w:val="100"/>
          <w:position w:val="0"/>
        </w:rPr>
        <w:t>政府补助在同时满足下列条件时予以确认：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公司能够满足政府补助所附的条件；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公司能够 收到政府补助。政府补助为货币性资产的，按照收到或应收的金额计量。政府补助为非货币性资产的， 按照公允价值计量；公允价值不能可靠取得的，按照名义金额计量。</w:t>
      </w:r>
    </w:p>
    <w:p>
      <w:pPr>
        <w:pStyle w:val="Style12"/>
        <w:keepNext w:val="0"/>
        <w:keepLines w:val="0"/>
        <w:widowControl w:val="0"/>
        <w:numPr>
          <w:ilvl w:val="0"/>
          <w:numId w:val="61"/>
        </w:numPr>
        <w:shd w:val="clear" w:color="auto" w:fill="auto"/>
        <w:tabs>
          <w:tab w:pos="768" w:val="left"/>
        </w:tabs>
        <w:bidi w:val="0"/>
        <w:spacing w:before="0" w:after="0" w:line="430" w:lineRule="auto"/>
        <w:ind w:left="0" w:right="0" w:firstLine="440"/>
        <w:jc w:val="left"/>
      </w:pPr>
      <w:bookmarkStart w:id="1065" w:name="bookmark1065"/>
      <w:bookmarkEnd w:id="1065"/>
      <w:r>
        <w:rPr>
          <w:color w:val="000000"/>
          <w:spacing w:val="0"/>
          <w:w w:val="100"/>
          <w:position w:val="0"/>
        </w:rPr>
        <w:t>与资产相关的政府补助判断依据及会计处理方法</w:t>
      </w:r>
    </w:p>
    <w:p>
      <w:pPr>
        <w:pStyle w:val="Style12"/>
        <w:keepNext w:val="0"/>
        <w:keepLines w:val="0"/>
        <w:widowControl w:val="0"/>
        <w:shd w:val="clear" w:color="auto" w:fill="auto"/>
        <w:bidi w:val="0"/>
        <w:spacing w:before="0" w:after="140" w:line="410" w:lineRule="exact"/>
        <w:ind w:left="0" w:right="0" w:firstLine="440"/>
        <w:jc w:val="left"/>
      </w:pPr>
      <w:r>
        <w:rPr>
          <w:color w:val="000000"/>
          <w:spacing w:val="0"/>
          <w:w w:val="100"/>
          <w:position w:val="0"/>
        </w:rPr>
        <w:t xml:space="preserve">政府文件规定用于购建或以其他方式形成长期资产的政府补助划分为与资产相关的政府补助。政府 文件不明确的，以取得该补助必须具备的基本条件为基础进行判断，以购建或其他方式形成长期资产为 基本条件的作为与资产相关的政府补助。与资产相关的政府补助，冲减相关资产的账面价值或确认为递 </w:t>
      </w:r>
      <w:r>
        <w:rPr>
          <w:color w:val="000000"/>
          <w:spacing w:val="0"/>
          <w:w w:val="100"/>
          <w:position w:val="0"/>
        </w:rPr>
        <w:t>延收益。与资产相关的政府补助确认为递延收益的，在相关资产使用寿命内按照合理、系统的方法分期 计入损益。按照名义金额计量的政府补助，直接计入当期损益。相关资产在使用寿命结束前被出售、转 让、报废或发生毁损的，将尚未分配的相关递延收益余额转入资产处置当期的损益。</w:t>
      </w:r>
    </w:p>
    <w:p>
      <w:pPr>
        <w:pStyle w:val="Style12"/>
        <w:keepNext w:val="0"/>
        <w:keepLines w:val="0"/>
        <w:widowControl w:val="0"/>
        <w:numPr>
          <w:ilvl w:val="0"/>
          <w:numId w:val="61"/>
        </w:numPr>
        <w:shd w:val="clear" w:color="auto" w:fill="auto"/>
        <w:tabs>
          <w:tab w:pos="774" w:val="left"/>
        </w:tabs>
        <w:bidi w:val="0"/>
        <w:spacing w:before="0" w:after="0" w:line="425" w:lineRule="auto"/>
        <w:ind w:left="0" w:right="0" w:firstLine="440"/>
        <w:jc w:val="left"/>
      </w:pPr>
      <w:bookmarkStart w:id="1066" w:name="bookmark1066"/>
      <w:bookmarkEnd w:id="1066"/>
      <w:r>
        <w:rPr>
          <w:color w:val="000000"/>
          <w:spacing w:val="0"/>
          <w:w w:val="100"/>
          <w:position w:val="0"/>
        </w:rPr>
        <w:t>与收益相关的政府补助判断依据及会计处理方法</w:t>
      </w:r>
    </w:p>
    <w:p>
      <w:pPr>
        <w:pStyle w:val="Style1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除与资产相关的政府补助之外的政府补助划分为与收益相关的政府补助。对于同时包含与资产相关 部分和与收益相关部分的政府补助，难以区分与资产相关或与收益相关的，整体归类为与收益相关的政 府补助。与收益相关的政府补助，用于补偿以后期间的相关成本费用或损失的，确认为递延收益，在确 认相关成本费用或损失的期间，计入当期损益或冲减相关成本；用于补偿已发生的相关成本费用或损失 的，直接计入当期损益或冲减相关成本。</w:t>
      </w:r>
    </w:p>
    <w:p>
      <w:pPr>
        <w:pStyle w:val="Style12"/>
        <w:keepNext w:val="0"/>
        <w:keepLines w:val="0"/>
        <w:widowControl w:val="0"/>
        <w:numPr>
          <w:ilvl w:val="0"/>
          <w:numId w:val="61"/>
        </w:numPr>
        <w:shd w:val="clear" w:color="auto" w:fill="auto"/>
        <w:tabs>
          <w:tab w:pos="747" w:val="left"/>
        </w:tabs>
        <w:bidi w:val="0"/>
        <w:spacing w:before="0" w:after="140" w:line="407" w:lineRule="exact"/>
        <w:ind w:left="0" w:right="0" w:firstLine="440"/>
        <w:jc w:val="both"/>
      </w:pPr>
      <w:bookmarkStart w:id="1067" w:name="bookmark1067"/>
      <w:bookmarkEnd w:id="1067"/>
      <w:r>
        <w:rPr>
          <w:color w:val="000000"/>
          <w:spacing w:val="0"/>
          <w:w w:val="100"/>
          <w:position w:val="0"/>
        </w:rPr>
        <w:t>与公司日常经营活动相关的政府补助，按照经济业务实质，计入其他收益或冲减相关成本费用。 与公司日常活动无关的政府补助，计入营业外收支。</w:t>
      </w:r>
    </w:p>
    <w:p>
      <w:pPr>
        <w:pStyle w:val="Style12"/>
        <w:keepNext w:val="0"/>
        <w:keepLines w:val="0"/>
        <w:widowControl w:val="0"/>
        <w:numPr>
          <w:ilvl w:val="0"/>
          <w:numId w:val="61"/>
        </w:numPr>
        <w:shd w:val="clear" w:color="auto" w:fill="auto"/>
        <w:tabs>
          <w:tab w:pos="774" w:val="left"/>
        </w:tabs>
        <w:bidi w:val="0"/>
        <w:spacing w:before="0" w:after="0" w:line="425" w:lineRule="auto"/>
        <w:ind w:left="0" w:right="0" w:firstLine="440"/>
        <w:jc w:val="both"/>
      </w:pPr>
      <w:bookmarkStart w:id="1068" w:name="bookmark1068"/>
      <w:bookmarkEnd w:id="1068"/>
      <w:r>
        <w:rPr>
          <w:color w:val="000000"/>
          <w:spacing w:val="0"/>
          <w:w w:val="100"/>
          <w:position w:val="0"/>
        </w:rPr>
        <w:t>政策性优惠贷款贴息的会计处理方法</w:t>
      </w:r>
    </w:p>
    <w:p>
      <w:pPr>
        <w:pStyle w:val="Style12"/>
        <w:keepNext w:val="0"/>
        <w:keepLines w:val="0"/>
        <w:widowControl w:val="0"/>
        <w:shd w:val="clear" w:color="auto" w:fill="auto"/>
        <w:tabs>
          <w:tab w:pos="834" w:val="left"/>
        </w:tabs>
        <w:bidi w:val="0"/>
        <w:spacing w:before="0" w:after="140" w:line="407" w:lineRule="exact"/>
        <w:ind w:left="0" w:right="0" w:firstLine="440"/>
        <w:jc w:val="both"/>
      </w:pPr>
      <w:bookmarkStart w:id="1069" w:name="bookmark1069"/>
      <w:r>
        <w:rPr>
          <w:rFonts w:ascii="Times New Roman" w:eastAsia="Times New Roman" w:hAnsi="Times New Roman" w:cs="Times New Roman"/>
          <w:color w:val="000000"/>
          <w:spacing w:val="0"/>
          <w:w w:val="100"/>
          <w:position w:val="0"/>
        </w:rPr>
        <w:t>（</w:t>
      </w:r>
      <w:bookmarkEnd w:id="1069"/>
      <w:r>
        <w:rPr>
          <w:rFonts w:ascii="Times New Roman" w:eastAsia="Times New Roman" w:hAnsi="Times New Roman" w:cs="Times New Roman"/>
          <w:color w:val="000000"/>
          <w:spacing w:val="0"/>
          <w:w w:val="100"/>
          <w:position w:val="0"/>
        </w:rPr>
        <w:t>1）</w:t>
        <w:tab/>
      </w:r>
      <w:r>
        <w:rPr>
          <w:color w:val="000000"/>
          <w:spacing w:val="0"/>
          <w:w w:val="100"/>
          <w:position w:val="0"/>
        </w:rPr>
        <w:t>财政将贴息资金拨付给贷款银行，由贷款银行以政策性优惠利率向公司提供贷款的，以实际收到 的借款金额作为借款的入账价值，按照借款本金和该政策性优惠利率计算相关借款费用。</w:t>
      </w:r>
    </w:p>
    <w:p>
      <w:pPr>
        <w:pStyle w:val="Style12"/>
        <w:keepNext w:val="0"/>
        <w:keepLines w:val="0"/>
        <w:widowControl w:val="0"/>
        <w:shd w:val="clear" w:color="auto" w:fill="auto"/>
        <w:tabs>
          <w:tab w:pos="870" w:val="left"/>
        </w:tabs>
        <w:bidi w:val="0"/>
        <w:spacing w:before="0" w:after="240" w:line="425" w:lineRule="auto"/>
        <w:ind w:left="0" w:right="0" w:firstLine="440"/>
        <w:jc w:val="both"/>
      </w:pPr>
      <w:bookmarkStart w:id="1070" w:name="bookmark1070"/>
      <w:r>
        <w:rPr>
          <w:rFonts w:ascii="Times New Roman" w:eastAsia="Times New Roman" w:hAnsi="Times New Roman" w:cs="Times New Roman"/>
          <w:color w:val="000000"/>
          <w:spacing w:val="0"/>
          <w:w w:val="100"/>
          <w:position w:val="0"/>
        </w:rPr>
        <w:t>（</w:t>
      </w:r>
      <w:bookmarkEnd w:id="1070"/>
      <w:r>
        <w:rPr>
          <w:rFonts w:ascii="Times New Roman" w:eastAsia="Times New Roman" w:hAnsi="Times New Roman" w:cs="Times New Roman"/>
          <w:color w:val="000000"/>
          <w:spacing w:val="0"/>
          <w:w w:val="100"/>
          <w:position w:val="0"/>
        </w:rPr>
        <w:t>2）</w:t>
        <w:tab/>
      </w:r>
      <w:r>
        <w:rPr>
          <w:color w:val="000000"/>
          <w:spacing w:val="0"/>
          <w:w w:val="100"/>
          <w:position w:val="0"/>
        </w:rPr>
        <w:t>财政将贴息资金直接拨付给公司的，将对应的贴息冲减相关借款费用。</w:t>
      </w:r>
    </w:p>
    <w:p>
      <w:pPr>
        <w:pStyle w:val="Style38"/>
        <w:keepNext/>
        <w:keepLines/>
        <w:widowControl w:val="0"/>
        <w:shd w:val="clear" w:color="auto" w:fill="auto"/>
        <w:tabs>
          <w:tab w:pos="483" w:val="left"/>
        </w:tabs>
        <w:bidi w:val="0"/>
        <w:spacing w:before="0" w:after="0" w:line="425"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4</w:t>
      </w:r>
      <w:bookmarkEnd w:id="1073"/>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71"/>
      <w:bookmarkEnd w:id="1072"/>
      <w:bookmarkEnd w:id="1074"/>
    </w:p>
    <w:p>
      <w:pPr>
        <w:pStyle w:val="Style12"/>
        <w:keepNext w:val="0"/>
        <w:keepLines w:val="0"/>
        <w:widowControl w:val="0"/>
        <w:numPr>
          <w:ilvl w:val="0"/>
          <w:numId w:val="63"/>
        </w:numPr>
        <w:shd w:val="clear" w:color="auto" w:fill="auto"/>
        <w:tabs>
          <w:tab w:pos="742" w:val="left"/>
        </w:tabs>
        <w:bidi w:val="0"/>
        <w:spacing w:before="0" w:after="0" w:line="411" w:lineRule="exact"/>
        <w:ind w:left="0" w:right="0" w:firstLine="440"/>
        <w:jc w:val="left"/>
      </w:pPr>
      <w:bookmarkStart w:id="1075" w:name="bookmark1075"/>
      <w:bookmarkEnd w:id="1075"/>
      <w:r>
        <w:rPr>
          <w:color w:val="000000"/>
          <w:spacing w:val="0"/>
          <w:w w:val="100"/>
          <w:position w:val="0"/>
        </w:rPr>
        <w:t>根据资产、负债的账面价值与其计税基础之间的差额（未作为资产和负债确认的项目按照税法规 定可以确定其计税基础的，该计税基础与其账面数之间的差额），按照预期收回该资产或清偿该负债期 间的适用税率计算确认递延所得税资产或递延所得税负债。</w:t>
      </w:r>
    </w:p>
    <w:p>
      <w:pPr>
        <w:pStyle w:val="Style12"/>
        <w:keepNext w:val="0"/>
        <w:keepLines w:val="0"/>
        <w:widowControl w:val="0"/>
        <w:numPr>
          <w:ilvl w:val="0"/>
          <w:numId w:val="63"/>
        </w:numPr>
        <w:shd w:val="clear" w:color="auto" w:fill="auto"/>
        <w:tabs>
          <w:tab w:pos="747" w:val="left"/>
        </w:tabs>
        <w:bidi w:val="0"/>
        <w:spacing w:before="0" w:after="0" w:line="411" w:lineRule="exact"/>
        <w:ind w:left="0" w:right="0" w:firstLine="440"/>
        <w:jc w:val="left"/>
      </w:pPr>
      <w:bookmarkStart w:id="1076" w:name="bookmark1076"/>
      <w:bookmarkEnd w:id="1076"/>
      <w:r>
        <w:rPr>
          <w:color w:val="000000"/>
          <w:spacing w:val="0"/>
          <w:w w:val="100"/>
          <w:position w:val="0"/>
        </w:rPr>
        <w:t>确认递延所得税资产以很可能取得用来抵扣可抵扣暂时性差异的应纳税所得额为限。资产负债表 日，有确凿证据表明未来期间很可能获得足够的应纳税所得额用来抵扣可抵扣暂时性差异的，确认以前 会计期间未确认的递延所得税资产。</w:t>
      </w:r>
    </w:p>
    <w:p>
      <w:pPr>
        <w:pStyle w:val="Style12"/>
        <w:keepNext w:val="0"/>
        <w:keepLines w:val="0"/>
        <w:widowControl w:val="0"/>
        <w:numPr>
          <w:ilvl w:val="0"/>
          <w:numId w:val="63"/>
        </w:numPr>
        <w:shd w:val="clear" w:color="auto" w:fill="auto"/>
        <w:tabs>
          <w:tab w:pos="747" w:val="left"/>
        </w:tabs>
        <w:bidi w:val="0"/>
        <w:spacing w:before="0" w:after="0" w:line="411" w:lineRule="exact"/>
        <w:ind w:left="0" w:right="0" w:firstLine="440"/>
        <w:jc w:val="left"/>
      </w:pPr>
      <w:bookmarkStart w:id="1077" w:name="bookmark1077"/>
      <w:bookmarkEnd w:id="1077"/>
      <w:r>
        <w:rPr>
          <w:color w:val="000000"/>
          <w:spacing w:val="0"/>
          <w:w w:val="100"/>
          <w:position w:val="0"/>
        </w:rPr>
        <w:t>资产负债表日，对递延所得税资产的账面价值进行复核，如果未来期间很可能无法获得足够的应 纳税所得额用以抵扣递延所得税资产的利益，则减记递延所得税资产的账面价值。在很可能获得足够的 应纳税所得额时，转回减记的金额。</w:t>
      </w:r>
    </w:p>
    <w:p>
      <w:pPr>
        <w:pStyle w:val="Style12"/>
        <w:keepNext w:val="0"/>
        <w:keepLines w:val="0"/>
        <w:widowControl w:val="0"/>
        <w:numPr>
          <w:ilvl w:val="0"/>
          <w:numId w:val="63"/>
        </w:numPr>
        <w:shd w:val="clear" w:color="auto" w:fill="auto"/>
        <w:tabs>
          <w:tab w:pos="747" w:val="left"/>
        </w:tabs>
        <w:bidi w:val="0"/>
        <w:spacing w:before="0" w:after="440" w:line="411" w:lineRule="exact"/>
        <w:ind w:left="0" w:right="0" w:firstLine="440"/>
        <w:jc w:val="left"/>
      </w:pPr>
      <w:bookmarkStart w:id="1078" w:name="bookmark1078"/>
      <w:bookmarkEnd w:id="1078"/>
      <w:r>
        <w:rPr>
          <w:color w:val="000000"/>
          <w:spacing w:val="0"/>
          <w:w w:val="100"/>
          <w:position w:val="0"/>
        </w:rPr>
        <w:t>公司当期所得税和递延所得税作为所得税费用或收益计入当期损益，但不包括下列情况产生的所 得税：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8"/>
        <w:keepNext/>
        <w:keepLines/>
        <w:widowControl w:val="0"/>
        <w:shd w:val="clear" w:color="auto" w:fill="auto"/>
        <w:tabs>
          <w:tab w:pos="483" w:val="left"/>
        </w:tabs>
        <w:bidi w:val="0"/>
        <w:spacing w:before="0" w:after="0" w:line="425"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4</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79"/>
      <w:bookmarkEnd w:id="1080"/>
      <w:bookmarkEnd w:id="1082"/>
    </w:p>
    <w:p>
      <w:pPr>
        <w:pStyle w:val="Style46"/>
        <w:keepNext/>
        <w:keepLines/>
        <w:widowControl w:val="0"/>
        <w:shd w:val="clear" w:color="auto" w:fill="auto"/>
        <w:bidi w:val="0"/>
        <w:spacing w:before="0" w:after="140" w:line="408" w:lineRule="exact"/>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83"/>
      <w:bookmarkEnd w:id="1084"/>
      <w:bookmarkEnd w:id="1086"/>
    </w:p>
    <w:p>
      <w:pPr>
        <w:pStyle w:val="Style12"/>
        <w:keepNext w:val="0"/>
        <w:keepLines w:val="0"/>
        <w:widowControl w:val="0"/>
        <w:numPr>
          <w:ilvl w:val="0"/>
          <w:numId w:val="65"/>
        </w:numPr>
        <w:shd w:val="clear" w:color="auto" w:fill="auto"/>
        <w:bidi w:val="0"/>
        <w:spacing w:before="0" w:after="0" w:line="427" w:lineRule="auto"/>
        <w:ind w:left="0" w:right="0" w:firstLine="440"/>
        <w:jc w:val="left"/>
      </w:pPr>
      <w:bookmarkStart w:id="1087" w:name="bookmark1087"/>
      <w:bookmarkEnd w:id="1087"/>
      <w:r>
        <w:rPr>
          <w:color w:val="000000"/>
          <w:spacing w:val="0"/>
          <w:w w:val="100"/>
          <w:position w:val="0"/>
        </w:rPr>
        <w:t>公司作为承租人</w:t>
      </w:r>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在租赁期开始日，公司将租赁期不超过</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个月，且不包含购买选择权的租赁认定为短期租赁；将单项 租赁资产为全新资产时价值较低的租赁认定为低价值资产租赁。公司转租或预期转租租赁资产的，原租赁 </w:t>
      </w:r>
      <w:r>
        <w:rPr>
          <w:color w:val="000000"/>
          <w:spacing w:val="0"/>
          <w:w w:val="100"/>
          <w:position w:val="0"/>
        </w:rPr>
        <w:t>不认定为低价值资产租赁。</w:t>
      </w:r>
    </w:p>
    <w:p>
      <w:pPr>
        <w:pStyle w:val="Style1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对于所有短期租赁和低价值资产租赁，公司在租赁期内各个期间按照直线法将租赁付款额计入相关资 产成本或当期损益。</w:t>
      </w:r>
    </w:p>
    <w:p>
      <w:pPr>
        <w:pStyle w:val="Style12"/>
        <w:keepNext w:val="0"/>
        <w:keepLines w:val="0"/>
        <w:widowControl w:val="0"/>
        <w:shd w:val="clear" w:color="auto" w:fill="auto"/>
        <w:bidi w:val="0"/>
        <w:spacing w:before="0" w:after="140" w:line="413" w:lineRule="exact"/>
        <w:ind w:left="0" w:right="0" w:firstLine="440"/>
        <w:jc w:val="both"/>
      </w:pPr>
      <w:r>
        <w:rPr>
          <w:color w:val="000000"/>
          <w:spacing w:val="0"/>
          <w:w w:val="100"/>
          <w:position w:val="0"/>
        </w:rPr>
        <w:t>除上述采用简化处理的短期租赁和低价值资产租赁外，在租赁期开始日，公司对租赁确认使用权资产 和租赁负债。</w:t>
      </w:r>
    </w:p>
    <w:p>
      <w:pPr>
        <w:pStyle w:val="Style12"/>
        <w:keepNext w:val="0"/>
        <w:keepLines w:val="0"/>
        <w:widowControl w:val="0"/>
        <w:shd w:val="clear" w:color="auto" w:fill="auto"/>
        <w:tabs>
          <w:tab w:pos="866" w:val="left"/>
        </w:tabs>
        <w:bidi w:val="0"/>
        <w:spacing w:before="0" w:after="0" w:line="432" w:lineRule="auto"/>
        <w:ind w:left="0" w:right="0" w:firstLine="440"/>
        <w:jc w:val="both"/>
      </w:pPr>
      <w:bookmarkStart w:id="1088" w:name="bookmark1088"/>
      <w:r>
        <w:rPr>
          <w:rFonts w:ascii="Times New Roman" w:eastAsia="Times New Roman" w:hAnsi="Times New Roman" w:cs="Times New Roman"/>
          <w:color w:val="000000"/>
          <w:spacing w:val="0"/>
          <w:w w:val="100"/>
          <w:position w:val="0"/>
        </w:rPr>
        <w:t>（</w:t>
      </w:r>
      <w:bookmarkEnd w:id="1088"/>
      <w:r>
        <w:rPr>
          <w:rFonts w:ascii="Times New Roman" w:eastAsia="Times New Roman" w:hAnsi="Times New Roman" w:cs="Times New Roman"/>
          <w:color w:val="000000"/>
          <w:spacing w:val="0"/>
          <w:w w:val="100"/>
          <w:position w:val="0"/>
        </w:rPr>
        <w:t>1）</w:t>
        <w:tab/>
      </w:r>
      <w:r>
        <w:rPr>
          <w:color w:val="000000"/>
          <w:spacing w:val="0"/>
          <w:w w:val="100"/>
          <w:position w:val="0"/>
        </w:rPr>
        <w:t>使用权资产</w:t>
      </w:r>
    </w:p>
    <w:p>
      <w:pPr>
        <w:pStyle w:val="Style1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使用权资产按照成本进行初始计量，该成本包括：</w:t>
      </w:r>
      <w:r>
        <w:rPr>
          <w:rFonts w:ascii="Times New Roman" w:eastAsia="Times New Roman" w:hAnsi="Times New Roman" w:cs="Times New Roman"/>
          <w:color w:val="000000"/>
          <w:spacing w:val="0"/>
          <w:w w:val="100"/>
          <w:position w:val="0"/>
        </w:rPr>
        <w:t>1）</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rPr>
        <w:t>2）</w:t>
      </w:r>
      <w:r>
        <w:rPr>
          <w:color w:val="000000"/>
          <w:spacing w:val="0"/>
          <w:w w:val="100"/>
          <w:position w:val="0"/>
        </w:rPr>
        <w:t>在租赁期开始日或 之前支付的租赁付款额，存在租赁激励的，扣除已享受的租赁激励相关金额；</w:t>
      </w:r>
      <w:r>
        <w:rPr>
          <w:rFonts w:ascii="Times New Roman" w:eastAsia="Times New Roman" w:hAnsi="Times New Roman" w:cs="Times New Roman"/>
          <w:color w:val="000000"/>
          <w:spacing w:val="0"/>
          <w:w w:val="100"/>
          <w:position w:val="0"/>
        </w:rPr>
        <w:t>3）</w:t>
      </w:r>
      <w:r>
        <w:rPr>
          <w:color w:val="000000"/>
          <w:spacing w:val="0"/>
          <w:w w:val="100"/>
          <w:position w:val="0"/>
        </w:rPr>
        <w:t>承租人发生的初始直接费 用；</w:t>
      </w:r>
      <w:r>
        <w:rPr>
          <w:rFonts w:ascii="Times New Roman" w:eastAsia="Times New Roman" w:hAnsi="Times New Roman" w:cs="Times New Roman"/>
          <w:color w:val="000000"/>
          <w:spacing w:val="0"/>
          <w:w w:val="100"/>
          <w:position w:val="0"/>
        </w:rPr>
        <w:t>4）</w:t>
      </w:r>
      <w:r>
        <w:rPr>
          <w:color w:val="000000"/>
          <w:spacing w:val="0"/>
          <w:w w:val="100"/>
          <w:position w:val="0"/>
        </w:rPr>
        <w:t>承租人为拆卸及移除租赁资产、复原租赁资产所在场地或将租赁资产恢复至租赁条款约定状态预计 将发生的成本。</w:t>
      </w:r>
    </w:p>
    <w:p>
      <w:pPr>
        <w:pStyle w:val="Style12"/>
        <w:keepNext w:val="0"/>
        <w:keepLines w:val="0"/>
        <w:widowControl w:val="0"/>
        <w:shd w:val="clear" w:color="auto" w:fill="auto"/>
        <w:bidi w:val="0"/>
        <w:spacing w:before="0" w:after="140" w:line="413" w:lineRule="exact"/>
        <w:ind w:left="0" w:right="0" w:firstLine="440"/>
        <w:jc w:val="both"/>
      </w:pPr>
      <w:r>
        <w:rPr>
          <w:color w:val="000000"/>
          <w:spacing w:val="0"/>
          <w:w w:val="100"/>
          <w:position w:val="0"/>
        </w:rPr>
        <w:t>公司按照直线法对使用权资产计提折旧。能够合理确定租赁期届满时取得租赁资产所有权的，公司在 租赁资产剩余使用寿命内计提折旧。无法合理确定租赁期届满时能够取得租赁资产所有权的，公司在租赁 期与租赁资产剩余使用寿命两者孰短的期间内计提折旧。</w:t>
      </w:r>
    </w:p>
    <w:p>
      <w:pPr>
        <w:pStyle w:val="Style12"/>
        <w:keepNext w:val="0"/>
        <w:keepLines w:val="0"/>
        <w:widowControl w:val="0"/>
        <w:shd w:val="clear" w:color="auto" w:fill="auto"/>
        <w:tabs>
          <w:tab w:pos="866" w:val="left"/>
        </w:tabs>
        <w:bidi w:val="0"/>
        <w:spacing w:before="0" w:after="0" w:line="427" w:lineRule="auto"/>
        <w:ind w:left="0" w:right="0" w:firstLine="440"/>
        <w:jc w:val="both"/>
      </w:pPr>
      <w:bookmarkStart w:id="1089" w:name="bookmark1089"/>
      <w:r>
        <w:rPr>
          <w:rFonts w:ascii="Times New Roman" w:eastAsia="Times New Roman" w:hAnsi="Times New Roman" w:cs="Times New Roman"/>
          <w:color w:val="000000"/>
          <w:spacing w:val="0"/>
          <w:w w:val="100"/>
          <w:position w:val="0"/>
        </w:rPr>
        <w:t>（</w:t>
      </w:r>
      <w:bookmarkEnd w:id="1089"/>
      <w:r>
        <w:rPr>
          <w:rFonts w:ascii="Times New Roman" w:eastAsia="Times New Roman" w:hAnsi="Times New Roman" w:cs="Times New Roman"/>
          <w:color w:val="000000"/>
          <w:spacing w:val="0"/>
          <w:w w:val="100"/>
          <w:position w:val="0"/>
        </w:rPr>
        <w:t>2）</w:t>
        <w:tab/>
      </w:r>
      <w:r>
        <w:rPr>
          <w:color w:val="000000"/>
          <w:spacing w:val="0"/>
          <w:w w:val="100"/>
          <w:position w:val="0"/>
        </w:rPr>
        <w:t>租赁负债</w:t>
      </w:r>
    </w:p>
    <w:p>
      <w:pPr>
        <w:pStyle w:val="Style1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在租赁开始日，公司将尚未支付的租赁付款额的现值确认为租赁负债。计算租赁付款额现值时采用 租赁内含利率作为折现率，无法确定租赁内含利率的，采用公司增量借款利率作为折现率。租赁付款额 与其现值之间的差额作为未确认融资费用，在租赁期各个期间内按照确认租赁付款额现值的折现率确认 利息费用，并计入当期损益。未纳入租赁负债计量的可变租赁付款额于实际发生时计入当期损益。</w:t>
      </w:r>
    </w:p>
    <w:p>
      <w:pPr>
        <w:pStyle w:val="Style12"/>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租赁期开始日后，当实质固定付款额发生变动、担保余值预计的应付金额发生变化、用于确定租赁 付款额的指数或比率发生变动、购买选择权、续租选择权或终止选择权的评估结果或实际行权情况发生 变化时，公司按照变动后的租赁付款额的现值重新计量租赁负债，并相应调整使用权资产的账面价值， 如使用权资产账面价值已调减至零，但租赁负债仍需进一步调减的，将剩余金额计入当期损益。</w:t>
      </w:r>
    </w:p>
    <w:p>
      <w:pPr>
        <w:pStyle w:val="Style12"/>
        <w:keepNext w:val="0"/>
        <w:keepLines w:val="0"/>
        <w:widowControl w:val="0"/>
        <w:numPr>
          <w:ilvl w:val="0"/>
          <w:numId w:val="65"/>
        </w:numPr>
        <w:shd w:val="clear" w:color="auto" w:fill="auto"/>
        <w:bidi w:val="0"/>
        <w:spacing w:before="0" w:after="0" w:line="427" w:lineRule="auto"/>
        <w:ind w:left="0" w:right="0" w:firstLine="440"/>
        <w:jc w:val="both"/>
      </w:pPr>
      <w:bookmarkStart w:id="1090" w:name="bookmark1090"/>
      <w:bookmarkEnd w:id="1090"/>
      <w:r>
        <w:rPr>
          <w:color w:val="000000"/>
          <w:spacing w:val="0"/>
          <w:w w:val="100"/>
          <w:position w:val="0"/>
        </w:rPr>
        <w:t>公司作为出租人</w:t>
      </w:r>
    </w:p>
    <w:p>
      <w:pPr>
        <w:pStyle w:val="Style12"/>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在租赁开始日，公司将实质上转移了与租赁资产所有权有关的几乎全部风险和报酬的租赁划分为融资 租赁，除此之外的均为经营租赁。</w:t>
      </w:r>
    </w:p>
    <w:p>
      <w:pPr>
        <w:pStyle w:val="Style12"/>
        <w:keepNext w:val="0"/>
        <w:keepLines w:val="0"/>
        <w:widowControl w:val="0"/>
        <w:shd w:val="clear" w:color="auto" w:fill="auto"/>
        <w:bidi w:val="0"/>
        <w:spacing w:before="0" w:after="0" w:line="427" w:lineRule="auto"/>
        <w:ind w:left="0" w:right="0" w:firstLine="440"/>
        <w:jc w:val="both"/>
      </w:pPr>
      <w:bookmarkStart w:id="1091" w:name="bookmark1091"/>
      <w:r>
        <w:rPr>
          <w:rFonts w:ascii="Times New Roman" w:eastAsia="Times New Roman" w:hAnsi="Times New Roman" w:cs="Times New Roman"/>
          <w:color w:val="000000"/>
          <w:spacing w:val="0"/>
          <w:w w:val="100"/>
          <w:position w:val="0"/>
        </w:rPr>
        <w:t>（</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经营租赁</w:t>
      </w:r>
    </w:p>
    <w:p>
      <w:pPr>
        <w:pStyle w:val="Style12"/>
        <w:keepNext w:val="0"/>
        <w:keepLines w:val="0"/>
        <w:widowControl w:val="0"/>
        <w:shd w:val="clear" w:color="auto" w:fill="auto"/>
        <w:bidi w:val="0"/>
        <w:spacing w:before="0" w:after="300" w:line="409" w:lineRule="exact"/>
        <w:ind w:left="0" w:right="0" w:firstLine="780"/>
        <w:jc w:val="left"/>
      </w:pPr>
      <w:r>
        <w:rPr>
          <w:color w:val="000000"/>
          <w:spacing w:val="0"/>
          <w:w w:val="100"/>
          <w:position w:val="0"/>
        </w:rPr>
        <w:t>公司在租赁期内各个期间按照直线法将租赁收款额确认为租金收入，发生的初始直接费用予以资 本化并按照与租金收入确认相同的基础进行分摊，分期计入当期损益。公司取得的与经营租赁有关的未 计入租赁收款额的可变租赁付款额在实际发生时计入当期损益。</w:t>
      </w:r>
    </w:p>
    <w:p>
      <w:pPr>
        <w:pStyle w:val="Style46"/>
        <w:keepNext/>
        <w:keepLines/>
        <w:widowControl w:val="0"/>
        <w:shd w:val="clear" w:color="auto" w:fill="auto"/>
        <w:bidi w:val="0"/>
        <w:spacing w:before="0" w:after="300" w:line="411" w:lineRule="exact"/>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92"/>
      <w:bookmarkEnd w:id="1093"/>
      <w:bookmarkEnd w:id="1095"/>
    </w:p>
    <w:p>
      <w:pPr>
        <w:pStyle w:val="Style12"/>
        <w:keepNext w:val="0"/>
        <w:keepLines w:val="0"/>
        <w:widowControl w:val="0"/>
        <w:numPr>
          <w:ilvl w:val="0"/>
          <w:numId w:val="67"/>
        </w:numPr>
        <w:shd w:val="clear" w:color="auto" w:fill="auto"/>
        <w:tabs>
          <w:tab w:pos="755" w:val="left"/>
        </w:tabs>
        <w:bidi w:val="0"/>
        <w:spacing w:before="0" w:after="0" w:line="432" w:lineRule="auto"/>
        <w:ind w:left="0" w:right="0" w:firstLine="440"/>
        <w:jc w:val="both"/>
      </w:pPr>
      <w:bookmarkStart w:id="1096" w:name="bookmark1096"/>
      <w:bookmarkEnd w:id="1096"/>
      <w:r>
        <w:rPr>
          <w:color w:val="000000"/>
          <w:spacing w:val="0"/>
          <w:w w:val="100"/>
          <w:position w:val="0"/>
        </w:rPr>
        <w:t>公司作为出租人</w:t>
      </w:r>
    </w:p>
    <w:p>
      <w:pPr>
        <w:pStyle w:val="Style12"/>
        <w:keepNext w:val="0"/>
        <w:keepLines w:val="0"/>
        <w:widowControl w:val="0"/>
        <w:shd w:val="clear" w:color="auto" w:fill="auto"/>
        <w:bidi w:val="0"/>
        <w:spacing w:before="0" w:after="160" w:line="413" w:lineRule="exact"/>
        <w:ind w:left="0" w:right="0" w:firstLine="440"/>
        <w:jc w:val="both"/>
      </w:pPr>
      <w:r>
        <w:rPr>
          <w:color w:val="000000"/>
          <w:spacing w:val="0"/>
          <w:w w:val="100"/>
          <w:position w:val="0"/>
        </w:rPr>
        <w:t xml:space="preserve">在租赁期开始日，公司按照租赁投资净额（未担保余值和租赁期开始日尚未收到的租赁收款额按照租 赁内含利率折现的现值之和）确认应收融资租赁款，并终止确认融资租赁资产。在租赁期的各个期间，公 </w:t>
      </w:r>
      <w:r>
        <w:rPr>
          <w:color w:val="000000"/>
          <w:spacing w:val="0"/>
          <w:w w:val="100"/>
          <w:position w:val="0"/>
        </w:rPr>
        <w:t>司按照租赁内含利率计算并确认利息收入。</w:t>
      </w:r>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公司取得的未纳入租赁投资净额计量的可变租赁付款额在实际发生时计入当期损益。</w:t>
      </w:r>
    </w:p>
    <w:p>
      <w:pPr>
        <w:pStyle w:val="Style38"/>
        <w:keepNext/>
        <w:keepLines/>
        <w:widowControl w:val="0"/>
        <w:shd w:val="clear" w:color="auto" w:fill="auto"/>
        <w:tabs>
          <w:tab w:pos="483" w:val="left"/>
        </w:tabs>
        <w:bidi w:val="0"/>
        <w:spacing w:before="0" w:after="34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4</w:t>
      </w:r>
      <w:bookmarkEnd w:id="1099"/>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97"/>
      <w:bookmarkEnd w:id="1098"/>
      <w:bookmarkEnd w:id="1100"/>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0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4</w:t>
      </w:r>
      <w:bookmarkEnd w:id="1103"/>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01"/>
      <w:bookmarkEnd w:id="1102"/>
      <w:bookmarkEnd w:id="1104"/>
    </w:p>
    <w:p>
      <w:pPr>
        <w:pStyle w:val="Style46"/>
        <w:keepNext/>
        <w:keepLines/>
        <w:widowControl w:val="0"/>
        <w:shd w:val="clear" w:color="auto" w:fill="auto"/>
        <w:bidi w:val="0"/>
        <w:spacing w:before="0" w:after="30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05"/>
      <w:bookmarkEnd w:id="1106"/>
      <w:bookmarkEnd w:id="1108"/>
    </w:p>
    <w:p>
      <w:pPr>
        <w:pStyle w:val="Style36"/>
        <w:keepNext w:val="0"/>
        <w:keepLines w:val="0"/>
        <w:widowControl w:val="0"/>
        <w:shd w:val="clear" w:color="auto" w:fill="auto"/>
        <w:bidi w:val="0"/>
        <w:spacing w:before="0" w:after="0" w:line="240" w:lineRule="auto"/>
        <w:ind w:left="37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4934"/>
        <w:gridCol w:w="3403"/>
        <w:gridCol w:w="1248"/>
      </w:tblGrid>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备注</w:t>
            </w:r>
          </w:p>
        </w:tc>
      </w:tr>
      <w:tr>
        <w:trPr>
          <w:trHeight w:val="80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日发布《企业会计准则第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号 —租赁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sz w:val="18"/>
                <w:szCs w:val="18"/>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新租赁 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日起执行新租赁准则。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本次变更经公司第三届董事会第五次会议 审议通过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【注】</w:t>
            </w:r>
          </w:p>
        </w:tc>
      </w:tr>
    </w:tbl>
    <w:p>
      <w:pPr>
        <w:pStyle w:val="Style36"/>
        <w:keepNext w:val="0"/>
        <w:keepLines w:val="0"/>
        <w:widowControl w:val="0"/>
        <w:shd w:val="clear" w:color="auto" w:fill="auto"/>
        <w:bidi w:val="0"/>
        <w:spacing w:before="0" w:after="140" w:line="240" w:lineRule="auto"/>
        <w:ind w:left="384"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36"/>
        <w:keepNext w:val="0"/>
        <w:keepLines w:val="0"/>
        <w:widowControl w:val="0"/>
        <w:shd w:val="clear" w:color="auto" w:fill="auto"/>
        <w:bidi w:val="0"/>
        <w:spacing w:before="0" w:after="0" w:line="240" w:lineRule="auto"/>
        <w:ind w:left="384"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日（以下称首次执行日）起执行经修订的《企业会计准则第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号——租赁》</w:t>
      </w:r>
    </w:p>
    <w:p>
      <w:pPr>
        <w:widowControl w:val="0"/>
        <w:spacing w:after="119" w:line="1" w:lineRule="exact"/>
      </w:pP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（以下简称新租赁准则）。</w:t>
      </w:r>
    </w:p>
    <w:p>
      <w:pPr>
        <w:pStyle w:val="Style12"/>
        <w:keepNext w:val="0"/>
        <w:keepLines w:val="0"/>
        <w:widowControl w:val="0"/>
        <w:shd w:val="clear" w:color="auto" w:fill="auto"/>
        <w:bidi w:val="0"/>
        <w:spacing w:before="0" w:after="0" w:line="446" w:lineRule="exact"/>
        <w:ind w:left="0" w:right="0" w:firstLine="440"/>
        <w:jc w:val="left"/>
      </w:pPr>
      <w:r>
        <w:rPr>
          <w:color w:val="000000"/>
          <w:spacing w:val="0"/>
          <w:w w:val="100"/>
          <w:position w:val="0"/>
        </w:rPr>
        <w:t>对本公司作为承租人的租赁合同，公司根据首次执行日执行新租赁准则与原准则的累计影响数调整 本报告期期初留存收益及财务报表其他相关项目金额，对可比期间信息不予调整。具体处理如下：</w:t>
      </w:r>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对于首次执行日前的经营租赁，公司在首次执行日根据剩余租赁付款额按首次执行日公司增量借款 利率折现的现值计量租赁负债，按照与租赁负债相等的金额，并根据预付租金进行必要调整计量使用权 资产。</w:t>
      </w:r>
    </w:p>
    <w:p>
      <w:pPr>
        <w:pStyle w:val="Style12"/>
        <w:keepNext w:val="0"/>
        <w:keepLines w:val="0"/>
        <w:widowControl w:val="0"/>
        <w:shd w:val="clear" w:color="auto" w:fill="auto"/>
        <w:bidi w:val="0"/>
        <w:spacing w:before="0" w:after="120" w:line="408" w:lineRule="exact"/>
        <w:ind w:left="0" w:right="0" w:firstLine="440"/>
        <w:jc w:val="left"/>
      </w:pPr>
      <w:r>
        <w:rPr>
          <w:color w:val="000000"/>
          <w:spacing w:val="0"/>
          <w:w w:val="100"/>
          <w:position w:val="0"/>
        </w:rPr>
        <w:t>在首次执行日，公司按照本财务报表附注三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十六</w:t>
      </w:r>
      <w:r>
        <w:rPr>
          <w:rFonts w:ascii="Times New Roman" w:eastAsia="Times New Roman" w:hAnsi="Times New Roman" w:cs="Times New Roman"/>
          <w:color w:val="000000"/>
          <w:spacing w:val="0"/>
          <w:w w:val="100"/>
          <w:position w:val="0"/>
        </w:rPr>
        <w:t>）</w:t>
      </w:r>
      <w:r>
        <w:rPr>
          <w:color w:val="000000"/>
          <w:spacing w:val="0"/>
          <w:w w:val="100"/>
          <w:position w:val="0"/>
        </w:rPr>
        <w:t>的规定，对使用权资产进行减值测试并进行相应会 计处理。</w:t>
      </w:r>
    </w:p>
    <w:p>
      <w:pPr>
        <w:pStyle w:val="Style12"/>
        <w:keepNext w:val="0"/>
        <w:keepLines w:val="0"/>
        <w:widowControl w:val="0"/>
        <w:shd w:val="clear" w:color="auto" w:fill="auto"/>
        <w:bidi w:val="0"/>
        <w:spacing w:before="0" w:after="0" w:line="427" w:lineRule="auto"/>
        <w:ind w:left="0" w:right="0" w:firstLine="440"/>
        <w:jc w:val="left"/>
      </w:pPr>
      <w:bookmarkStart w:id="1109" w:name="bookmark1109"/>
      <w:r>
        <w:rPr>
          <w:rFonts w:ascii="Times New Roman" w:eastAsia="Times New Roman" w:hAnsi="Times New Roman" w:cs="Times New Roman"/>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执行新租赁准则对公司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日财务报表的主要影响如下：</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4"/>
        <w:gridCol w:w="2242"/>
        <w:gridCol w:w="1973"/>
        <w:gridCol w:w="2414"/>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资产负债表</w:t>
            </w:r>
          </w:p>
        </w:tc>
      </w:tr>
      <w:tr>
        <w:trPr>
          <w:trHeight w:val="61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新租赁准则 调整影响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1,386,267.67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-1,386,267.67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66,833,051.31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66,833,051.31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26,943,146.28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26,943,146.28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41,943,429.22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41,943,429.22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3,439,791.86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-3,439,791.86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408"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年度财务报表中披露的重大经营租赁中尚未支付的最低租赁付款额为</w:t>
      </w:r>
      <w:r>
        <w:rPr>
          <w:rFonts w:ascii="Times New Roman" w:eastAsia="Times New Roman" w:hAnsi="Times New Roman" w:cs="Times New Roman"/>
          <w:color w:val="000000"/>
          <w:spacing w:val="0"/>
          <w:w w:val="100"/>
          <w:position w:val="0"/>
          <w:sz w:val="20"/>
          <w:szCs w:val="20"/>
        </w:rPr>
        <w:t>76,330,409.95</w:t>
      </w:r>
    </w:p>
    <w:p>
      <w:pPr>
        <w:pStyle w:val="Style12"/>
        <w:keepNext w:val="0"/>
        <w:keepLines w:val="0"/>
        <w:widowControl w:val="0"/>
        <w:shd w:val="clear" w:color="auto" w:fill="auto"/>
        <w:bidi w:val="0"/>
        <w:spacing w:before="0" w:after="0" w:line="408" w:lineRule="exact"/>
        <w:ind w:left="0" w:right="0" w:firstLine="0"/>
        <w:jc w:val="left"/>
      </w:pPr>
      <w:r>
        <w:rPr>
          <w:color w:val="000000"/>
          <w:spacing w:val="0"/>
          <w:w w:val="100"/>
          <w:position w:val="0"/>
        </w:rPr>
        <w:t>元，将其按首次执行日增量借款利率折现的现值为</w:t>
      </w:r>
      <w:r>
        <w:rPr>
          <w:rFonts w:ascii="Times New Roman" w:eastAsia="Times New Roman" w:hAnsi="Times New Roman" w:cs="Times New Roman"/>
          <w:color w:val="000000"/>
          <w:spacing w:val="0"/>
          <w:w w:val="100"/>
          <w:position w:val="0"/>
        </w:rPr>
        <w:t>70,980,812.93</w:t>
      </w:r>
      <w:r>
        <w:rPr>
          <w:color w:val="000000"/>
          <w:spacing w:val="0"/>
          <w:w w:val="100"/>
          <w:position w:val="0"/>
        </w:rPr>
        <w:t>元，折现后的金额与首次执行日计入资产 负债表的与原经营租赁相关的租赁负债的差额为</w:t>
      </w:r>
      <w:r>
        <w:rPr>
          <w:rFonts w:ascii="Times New Roman" w:eastAsia="Times New Roman" w:hAnsi="Times New Roman" w:cs="Times New Roman"/>
          <w:color w:val="000000"/>
          <w:spacing w:val="0"/>
          <w:w w:val="100"/>
          <w:position w:val="0"/>
        </w:rPr>
        <w:t>2,094,237.43</w:t>
      </w:r>
      <w:r>
        <w:rPr>
          <w:color w:val="000000"/>
          <w:spacing w:val="0"/>
          <w:w w:val="100"/>
          <w:position w:val="0"/>
        </w:rPr>
        <w:t>元，差异系对于首次执行日后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个月内完成 </w:t>
      </w:r>
      <w:r>
        <w:rPr>
          <w:color w:val="000000"/>
          <w:spacing w:val="0"/>
          <w:w w:val="100"/>
          <w:position w:val="0"/>
        </w:rPr>
        <w:t>的租赁合同，公司采用简化方法，不确认使用权资产和租赁负债。</w:t>
      </w:r>
    </w:p>
    <w:p>
      <w:pPr>
        <w:pStyle w:val="Style12"/>
        <w:keepNext w:val="0"/>
        <w:keepLines w:val="0"/>
        <w:widowControl w:val="0"/>
        <w:shd w:val="clear" w:color="auto" w:fill="auto"/>
        <w:bidi w:val="0"/>
        <w:spacing w:before="0" w:after="160" w:line="422" w:lineRule="exact"/>
        <w:ind w:left="0" w:right="0" w:firstLine="420"/>
        <w:jc w:val="left"/>
      </w:pPr>
      <w:r>
        <w:rPr>
          <w:color w:val="000000"/>
          <w:spacing w:val="0"/>
          <w:w w:val="100"/>
          <w:position w:val="0"/>
        </w:rPr>
        <w:t>首次执行日计入资产负债表的租赁负债所采用的公司增量借款利率的加权平均值为</w:t>
      </w:r>
      <w:r>
        <w:rPr>
          <w:rFonts w:ascii="Times New Roman" w:eastAsia="Times New Roman" w:hAnsi="Times New Roman" w:cs="Times New Roman"/>
          <w:color w:val="000000"/>
          <w:spacing w:val="0"/>
          <w:w w:val="100"/>
          <w:position w:val="0"/>
        </w:rPr>
        <w:t>4.65%</w:t>
      </w:r>
      <w:r>
        <w:rPr>
          <w:color w:val="000000"/>
          <w:spacing w:val="0"/>
          <w:w w:val="100"/>
          <w:position w:val="0"/>
        </w:rPr>
        <w:t>。</w:t>
      </w:r>
    </w:p>
    <w:p>
      <w:pPr>
        <w:pStyle w:val="Style12"/>
        <w:keepNext w:val="0"/>
        <w:keepLines w:val="0"/>
        <w:widowControl w:val="0"/>
        <w:shd w:val="clear" w:color="auto" w:fill="auto"/>
        <w:bidi w:val="0"/>
        <w:spacing w:before="0" w:after="0" w:line="442" w:lineRule="auto"/>
        <w:ind w:left="0" w:right="0" w:firstLine="420"/>
        <w:jc w:val="left"/>
      </w:pPr>
      <w:bookmarkStart w:id="1110" w:name="bookmark1110"/>
      <w:r>
        <w:rPr>
          <w:rFonts w:ascii="Times New Roman" w:eastAsia="Times New Roman" w:hAnsi="Times New Roman" w:cs="Times New Roman"/>
          <w:color w:val="000000"/>
          <w:spacing w:val="0"/>
          <w:w w:val="100"/>
          <w:position w:val="0"/>
        </w:rPr>
        <w:t>（</w:t>
      </w:r>
      <w:bookmarkEnd w:id="1110"/>
      <w:r>
        <w:rPr>
          <w:rFonts w:ascii="Times New Roman" w:eastAsia="Times New Roman" w:hAnsi="Times New Roman" w:cs="Times New Roman"/>
          <w:color w:val="000000"/>
          <w:spacing w:val="0"/>
          <w:w w:val="100"/>
          <w:position w:val="0"/>
        </w:rPr>
        <w:t>3）</w:t>
      </w:r>
      <w:r>
        <w:rPr>
          <w:color w:val="000000"/>
          <w:spacing w:val="0"/>
          <w:w w:val="100"/>
          <w:position w:val="0"/>
        </w:rPr>
        <w:t>对首次执行日前的经营租赁采用的简化处理</w:t>
      </w:r>
    </w:p>
    <w:p>
      <w:pPr>
        <w:pStyle w:val="Style12"/>
        <w:keepNext w:val="0"/>
        <w:keepLines w:val="0"/>
        <w:widowControl w:val="0"/>
        <w:shd w:val="clear" w:color="auto" w:fill="auto"/>
        <w:bidi w:val="0"/>
        <w:spacing w:before="0" w:after="0" w:line="422" w:lineRule="exact"/>
        <w:ind w:left="0" w:right="0" w:firstLine="420"/>
        <w:jc w:val="left"/>
      </w:pPr>
      <w:r>
        <w:rPr>
          <w:color w:val="000000"/>
          <w:spacing w:val="0"/>
          <w:w w:val="100"/>
          <w:position w:val="0"/>
        </w:rPr>
        <w:t>对于首次执行日后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个月内完成的租赁合同，公司采用简化方法，不确认使用权资产和租赁负债。</w:t>
      </w:r>
    </w:p>
    <w:p>
      <w:pPr>
        <w:pStyle w:val="Style12"/>
        <w:keepNext w:val="0"/>
        <w:keepLines w:val="0"/>
        <w:widowControl w:val="0"/>
        <w:numPr>
          <w:ilvl w:val="0"/>
          <w:numId w:val="67"/>
        </w:numPr>
        <w:shd w:val="clear" w:color="auto" w:fill="auto"/>
        <w:tabs>
          <w:tab w:pos="747" w:val="left"/>
        </w:tabs>
        <w:bidi w:val="0"/>
        <w:spacing w:before="0" w:after="0" w:line="422" w:lineRule="exact"/>
        <w:ind w:left="0" w:right="0" w:firstLine="420"/>
        <w:jc w:val="left"/>
      </w:pPr>
      <w:bookmarkStart w:id="1111" w:name="bookmark1111"/>
      <w:bookmarkEnd w:id="1111"/>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2021</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号》，该项会计政 策变更对公司财务报表无影响。</w:t>
      </w:r>
    </w:p>
    <w:p>
      <w:pPr>
        <w:pStyle w:val="Style12"/>
        <w:keepNext w:val="0"/>
        <w:keepLines w:val="0"/>
        <w:widowControl w:val="0"/>
        <w:numPr>
          <w:ilvl w:val="0"/>
          <w:numId w:val="67"/>
        </w:numPr>
        <w:shd w:val="clear" w:color="auto" w:fill="auto"/>
        <w:tabs>
          <w:tab w:pos="747" w:val="left"/>
        </w:tabs>
        <w:bidi w:val="0"/>
        <w:spacing w:before="0" w:after="280" w:line="422" w:lineRule="exact"/>
        <w:ind w:left="0" w:right="0" w:firstLine="420"/>
        <w:jc w:val="left"/>
      </w:pPr>
      <w:bookmarkStart w:id="1112" w:name="bookmark1112"/>
      <w:bookmarkEnd w:id="1112"/>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日起执行财政部颁布的《企业会计准则解释第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 列报''规定，该项会计政策变更对公司财务报表无影响。</w:t>
      </w:r>
    </w:p>
    <w:p>
      <w:pPr>
        <w:pStyle w:val="Style46"/>
        <w:keepNext/>
        <w:keepLines/>
        <w:widowControl w:val="0"/>
        <w:shd w:val="clear" w:color="auto" w:fill="auto"/>
        <w:tabs>
          <w:tab w:pos="499" w:val="left"/>
        </w:tabs>
        <w:bidi w:val="0"/>
        <w:spacing w:before="0" w:after="280" w:line="422" w:lineRule="exact"/>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13"/>
      <w:bookmarkEnd w:id="1114"/>
      <w:bookmarkEnd w:id="1116"/>
    </w:p>
    <w:p>
      <w:pPr>
        <w:pStyle w:val="Style12"/>
        <w:keepNext w:val="0"/>
        <w:keepLines w:val="0"/>
        <w:widowControl w:val="0"/>
        <w:shd w:val="clear" w:color="auto" w:fill="auto"/>
        <w:bidi w:val="0"/>
        <w:spacing w:before="0" w:after="60" w:line="442"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6"/>
        <w:keepNext/>
        <w:keepLines/>
        <w:widowControl w:val="0"/>
        <w:shd w:val="clear" w:color="auto" w:fill="auto"/>
        <w:tabs>
          <w:tab w:pos="499" w:val="left"/>
        </w:tabs>
        <w:bidi w:val="0"/>
        <w:spacing w:before="0" w:after="160" w:line="422" w:lineRule="exact"/>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17"/>
      <w:bookmarkEnd w:id="1118"/>
      <w:bookmarkEnd w:id="1120"/>
    </w:p>
    <w:p>
      <w:pPr>
        <w:pStyle w:val="Style12"/>
        <w:keepNext w:val="0"/>
        <w:keepLines w:val="0"/>
        <w:widowControl w:val="0"/>
        <w:shd w:val="clear" w:color="auto" w:fill="auto"/>
        <w:bidi w:val="0"/>
        <w:spacing w:before="0" w:after="0" w:line="422" w:lineRule="exact"/>
        <w:ind w:left="0" w:right="0" w:firstLine="420"/>
        <w:jc w:val="left"/>
      </w:pPr>
      <w:r>
        <w:rPr>
          <w:i/>
          <w:iCs/>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2"/>
        <w:keepNext w:val="0"/>
        <w:keepLines w:val="0"/>
        <w:widowControl w:val="0"/>
        <w:shd w:val="clear" w:color="auto" w:fill="auto"/>
        <w:bidi w:val="0"/>
        <w:spacing w:before="0" w:after="160" w:line="422" w:lineRule="exact"/>
        <w:ind w:left="0" w:right="0" w:firstLine="420"/>
        <w:jc w:val="left"/>
      </w:pPr>
      <w:r>
        <w:rPr>
          <w:color w:val="000000"/>
          <w:spacing w:val="0"/>
          <w:w w:val="100"/>
          <w:position w:val="0"/>
        </w:rPr>
        <w:t>是否需要调整年初资产负债表科目</w:t>
      </w:r>
    </w:p>
    <w:p>
      <w:pPr>
        <w:pStyle w:val="Style12"/>
        <w:keepNext w:val="0"/>
        <w:keepLines w:val="0"/>
        <w:widowControl w:val="0"/>
        <w:shd w:val="clear" w:color="auto" w:fill="auto"/>
        <w:bidi w:val="0"/>
        <w:spacing w:before="0" w:after="0" w:line="442" w:lineRule="auto"/>
        <w:ind w:left="0" w:right="0" w:firstLine="42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2"/>
        <w:keepNext w:val="0"/>
        <w:keepLines w:val="0"/>
        <w:widowControl w:val="0"/>
        <w:shd w:val="clear" w:color="auto" w:fill="auto"/>
        <w:bidi w:val="0"/>
        <w:spacing w:before="0" w:after="160" w:line="422" w:lineRule="exact"/>
        <w:ind w:left="0" w:right="0" w:firstLine="420"/>
        <w:jc w:val="left"/>
      </w:pPr>
      <w:r>
        <w:rPr>
          <w:color w:val="000000"/>
          <w:spacing w:val="0"/>
          <w:w w:val="100"/>
          <w:position w:val="0"/>
        </w:rPr>
        <w:t>合并资产负债表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58"/>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870,578,935.00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870,578,935.00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11,694,513.99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11,694,513.99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557,399,784.56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557,399,784.56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876,400.00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9,231,224.34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7,844,956.67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-1,386,267.67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12,002,483.47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12,002,483.47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4,687,406.74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4,687,406.74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58"/>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50" w:lineRule="exact"/>
              <w:ind w:left="0" w:right="0" w:firstLine="38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1,548,310.46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1,548,310.46</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1,468,019,058.56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1,466,632,790.89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-1,386,267.67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22,544,612.38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22,544,612.38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66,833,051.31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66,833,051.31</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922,221.69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922,221.69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19,333,793.19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19,333,793.19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7,098,612.39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7,098,612.39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1,028,537.40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1,028,537.40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50,927,777.05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117,760,828.36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66,833,051.31</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1,518,946,835.61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1,584,393,619.25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65,446,783.64</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64,600,718.06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64,600,718.06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26,770,495.33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23,330,703.47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-3,439,791.86</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1,655,821.15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1,655,821.15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248,682,380.74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248,682,380.74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40,261,271.62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40,261,271.62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58"/>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10,694,309.62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10,694,309.62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50"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7,210,554.50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34,153,700.78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26,943,146.28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102,074.92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102,074.92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399,977,625.94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423,480,980.36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23,503,354.42</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41,943,429.22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41,943,429.22</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41,943,429.22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41,943,429.22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399,977,625.94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465,424,409.58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65,446,783.64</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129,470,098.00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129,470,098.00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667,190,474.53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667,190,474.53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-133,342.77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-133,342.77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32,955,907.63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32,955,907.63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289,486,072.28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289,486,072.28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1,118,969,209.67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1,118,969,209.67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1,118,969,209.67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1,118,969,209.67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1,518,946,835.61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1,584,393,619.25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65,446,783.64</w:t>
            </w:r>
          </w:p>
        </w:tc>
      </w:tr>
    </w:tbl>
    <w:p>
      <w:pPr>
        <w:pStyle w:val="Style1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母公司资产负债表</w:t>
      </w:r>
      <w:r>
        <w:br w:type="page"/>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58"/>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867,972,977.30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867,972,977.30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11,694,513.99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11,694,513.99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556,615,400.79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556,615,400.79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876,400.00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9,197,561.22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7,811,293.55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-1,386,267.67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11,995,061.60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11,995,061.60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4,687,406.74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4,687,406.74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380"/>
              <w:jc w:val="left"/>
              <w:rPr>
                <w:sz w:val="18"/>
                <w:szCs w:val="18"/>
              </w:rPr>
            </w:pPr>
            <w:r>
              <w:rPr>
                <w:color w:val="000000"/>
                <w:spacing w:val="0"/>
                <w:w w:val="100"/>
                <w:position w:val="0"/>
                <w:sz w:val="18"/>
                <w:szCs w:val="18"/>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1,548,310.46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1,548,310.46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1,464,587,632.10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1,463,201,364.43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-1,386,267.67</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22,533,109.62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22,533,109.62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66,833,051.31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66,833,051.31</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922,221.69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922,221.69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19,333,793.19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19,333,793.19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7,098,612.39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7,098,612.39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1,028,537.40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1,028,537.40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55,166,274.29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121,999,325.60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66,833,051.31</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1,519,753,906.39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1,585,200,690.03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65,446,783.64</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64,600,718.06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64,600,718.06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58"/>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26,033,640.27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22,593,848.41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-3,439,791.86</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1,655,821.15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1,655,821.15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248,223,290.16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248,223,290.16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40,261,271.62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40,261,271.62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10,694,309.62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10,694,309.62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7,210,554.50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34,153,700.78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26,943,146.28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102,074.92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102,074.92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398,781,680.30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422,285,034.72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23,503,354.42</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41,943,429.22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41,943,429.22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41,943,429.22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41,943,429.22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398,781,680.30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464,228,463.94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65,446,783.64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129,470,098.00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129,470,098.00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667,190,474.53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667,190,474.53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32,955,907.63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32,955,907.63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291,355,745.93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291,355,745.93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1,120,972,226.09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1,120,972,226.09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1,519,753,906.39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1,585,200,690.03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65,446,783.64</w:t>
            </w:r>
          </w:p>
        </w:tc>
      </w:tr>
    </w:tbl>
    <w:p>
      <w:pPr>
        <w:pStyle w:val="Style12"/>
        <w:keepNext w:val="0"/>
        <w:keepLines w:val="0"/>
        <w:widowControl w:val="0"/>
        <w:shd w:val="clear" w:color="auto" w:fill="auto"/>
        <w:bidi w:val="0"/>
        <w:spacing w:before="0" w:after="0" w:line="414" w:lineRule="exact"/>
        <w:ind w:left="0" w:right="0" w:firstLine="440"/>
        <w:jc w:val="left"/>
      </w:pPr>
      <w:r>
        <w:rPr>
          <w:color w:val="000000"/>
          <w:spacing w:val="0"/>
          <w:w w:val="100"/>
          <w:position w:val="0"/>
        </w:rPr>
        <w:t>调整情况说明</w:t>
      </w:r>
    </w:p>
    <w:p>
      <w:pPr>
        <w:pStyle w:val="Style12"/>
        <w:keepNext w:val="0"/>
        <w:keepLines w:val="0"/>
        <w:widowControl w:val="0"/>
        <w:shd w:val="clear" w:color="auto" w:fill="auto"/>
        <w:bidi w:val="0"/>
        <w:spacing w:before="0" w:after="280" w:line="414"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日起执行新租赁准则，根据首次执行新租赁准则的累积影响数，调整首次执行 当年年初财务报表相关项目金额，不调整可比期间信息。对于首次执行日前的经营租赁，本公司根据剩 余租赁付款额按首次执行日的增量借款利率折现的现值计量租赁负债，使用权资产按照与租赁负债相等 的金额进行必要调整。</w:t>
      </w:r>
    </w:p>
    <w:p>
      <w:pPr>
        <w:pStyle w:val="Style46"/>
        <w:keepNext/>
        <w:keepLines/>
        <w:widowControl w:val="0"/>
        <w:shd w:val="clear" w:color="auto" w:fill="auto"/>
        <w:bidi w:val="0"/>
        <w:spacing w:before="0" w:after="280" w:line="414" w:lineRule="exact"/>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21"/>
      <w:bookmarkEnd w:id="1122"/>
      <w:bookmarkEnd w:id="1124"/>
    </w:p>
    <w:p>
      <w:pPr>
        <w:pStyle w:val="Style12"/>
        <w:keepNext w:val="0"/>
        <w:keepLines w:val="0"/>
        <w:widowControl w:val="0"/>
        <w:shd w:val="clear" w:color="auto" w:fill="auto"/>
        <w:bidi w:val="0"/>
        <w:spacing w:before="0" w:after="280" w:line="432"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0" w:line="432"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4</w:t>
      </w:r>
      <w:bookmarkEnd w:id="1127"/>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25"/>
      <w:bookmarkEnd w:id="1126"/>
      <w:bookmarkEnd w:id="1128"/>
    </w:p>
    <w:p>
      <w:pPr>
        <w:pStyle w:val="Style12"/>
        <w:keepNext w:val="0"/>
        <w:keepLines w:val="0"/>
        <w:widowControl w:val="0"/>
        <w:shd w:val="clear" w:color="auto" w:fill="auto"/>
        <w:bidi w:val="0"/>
        <w:spacing w:before="0" w:after="460" w:line="414" w:lineRule="exact"/>
        <w:ind w:left="0" w:right="0" w:firstLine="440"/>
        <w:jc w:val="left"/>
      </w:pP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sz w:val="24"/>
          <w:szCs w:val="24"/>
        </w:rPr>
        <w:t>六</w:t>
      </w:r>
      <w:bookmarkEnd w:id="1131"/>
      <w:r>
        <w:rPr>
          <w:color w:val="000000"/>
          <w:spacing w:val="0"/>
          <w:w w:val="100"/>
          <w:position w:val="0"/>
          <w:sz w:val="24"/>
          <w:szCs w:val="24"/>
        </w:rPr>
        <w:t>、税项</w:t>
      </w:r>
      <w:bookmarkEnd w:id="1129"/>
      <w:bookmarkEnd w:id="1130"/>
      <w:bookmarkEnd w:id="1132"/>
    </w:p>
    <w:p>
      <w:pPr>
        <w:pStyle w:val="Style38"/>
        <w:keepNext/>
        <w:keepLines/>
        <w:widowControl w:val="0"/>
        <w:shd w:val="clear" w:color="auto" w:fill="auto"/>
        <w:bidi w:val="0"/>
        <w:spacing w:before="0" w:after="280" w:line="240" w:lineRule="auto"/>
        <w:ind w:left="0" w:right="0" w:firstLine="0"/>
        <w:jc w:val="left"/>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33"/>
      <w:bookmarkEnd w:id="1134"/>
      <w:bookmarkEnd w:id="1135"/>
    </w:p>
    <w:tbl>
      <w:tblPr>
        <w:tblOverlap w:val="never"/>
        <w:jc w:val="center"/>
        <w:tblLayout w:type="fixed"/>
      </w:tblPr>
      <w:tblGrid>
        <w:gridCol w:w="3197"/>
        <w:gridCol w:w="3197"/>
        <w:gridCol w:w="319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以按税法规定计算的销售货物和应税劳 务收入为基础计算销项税额，扣除当期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应纳税所得额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团结附加费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应纳所得税税额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293"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法本信息</w:t>
            </w:r>
            <w:r>
              <w:rPr>
                <w:rFonts w:ascii="Times New Roman" w:eastAsia="Times New Roman" w:hAnsi="Times New Roman" w:cs="Times New Roman"/>
                <w:color w:val="000000"/>
                <w:spacing w:val="0"/>
                <w:w w:val="100"/>
                <w:position w:val="0"/>
              </w:rPr>
              <w:t>（</w:t>
            </w:r>
            <w:r>
              <w:rPr>
                <w:color w:val="000000"/>
                <w:spacing w:val="0"/>
                <w:w w:val="100"/>
                <w:position w:val="0"/>
              </w:rPr>
              <w:t>德国</w:t>
            </w:r>
            <w:r>
              <w:rPr>
                <w:rFonts w:ascii="Times New Roman" w:eastAsia="Times New Roman" w:hAnsi="Times New Roman" w:cs="Times New Roman"/>
                <w:color w:val="000000"/>
                <w:spacing w:val="0"/>
                <w:w w:val="100"/>
                <w:position w:val="0"/>
              </w:rPr>
              <w:t>）</w:t>
            </w:r>
            <w:r>
              <w:rPr>
                <w:color w:val="000000"/>
                <w:spacing w:val="0"/>
                <w:w w:val="100"/>
                <w:position w:val="0"/>
              </w:rPr>
              <w:t>公司系法本信息</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公司在德国杜塞尔多夫注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册的子公司，按照当地税收法律</w:t>
            </w:r>
          </w:p>
        </w:tc>
      </w:tr>
    </w:tbl>
    <w:p>
      <w:pPr>
        <w:pStyle w:val="Style12"/>
        <w:keepNext w:val="0"/>
        <w:keepLines w:val="0"/>
        <w:widowControl w:val="0"/>
        <w:shd w:val="clear" w:color="auto" w:fill="auto"/>
        <w:bidi w:val="0"/>
        <w:spacing w:before="0" w:after="140" w:line="422" w:lineRule="exact"/>
        <w:ind w:left="0" w:right="0" w:firstLine="0"/>
        <w:jc w:val="left"/>
      </w:pPr>
      <w:r>
        <w:rPr>
          <w:color w:val="000000"/>
          <w:spacing w:val="0"/>
          <w:w w:val="100"/>
          <w:position w:val="0"/>
        </w:rPr>
        <w:t>法规，法本信息</w:t>
      </w:r>
      <w:r>
        <w:rPr>
          <w:rFonts w:ascii="Times New Roman" w:eastAsia="Times New Roman" w:hAnsi="Times New Roman" w:cs="Times New Roman"/>
          <w:color w:val="000000"/>
          <w:spacing w:val="0"/>
          <w:w w:val="100"/>
          <w:position w:val="0"/>
        </w:rPr>
        <w:t>（</w:t>
      </w:r>
      <w:r>
        <w:rPr>
          <w:color w:val="000000"/>
          <w:spacing w:val="0"/>
          <w:w w:val="100"/>
          <w:position w:val="0"/>
        </w:rPr>
        <w:t>德国</w:t>
      </w:r>
      <w:r>
        <w:rPr>
          <w:rFonts w:ascii="Times New Roman" w:eastAsia="Times New Roman" w:hAnsi="Times New Roman" w:cs="Times New Roman"/>
          <w:color w:val="000000"/>
          <w:spacing w:val="0"/>
          <w:w w:val="100"/>
          <w:position w:val="0"/>
        </w:rPr>
        <w:t>）</w:t>
      </w:r>
      <w:r>
        <w:rPr>
          <w:color w:val="000000"/>
          <w:spacing w:val="0"/>
          <w:w w:val="100"/>
          <w:position w:val="0"/>
        </w:rPr>
        <w:t>公司按照营业收益的</w:t>
      </w:r>
      <w:r>
        <w:rPr>
          <w:rFonts w:ascii="Times New Roman" w:eastAsia="Times New Roman" w:hAnsi="Times New Roman" w:cs="Times New Roman"/>
          <w:color w:val="000000"/>
          <w:spacing w:val="0"/>
          <w:w w:val="100"/>
          <w:position w:val="0"/>
        </w:rPr>
        <w:t>15.75%</w:t>
      </w:r>
      <w:r>
        <w:rPr>
          <w:color w:val="000000"/>
          <w:spacing w:val="0"/>
          <w:w w:val="100"/>
          <w:position w:val="0"/>
        </w:rPr>
        <w:t>缴纳营业税，按照应纳所得税税额的</w:t>
      </w:r>
      <w:r>
        <w:rPr>
          <w:rFonts w:ascii="Times New Roman" w:eastAsia="Times New Roman" w:hAnsi="Times New Roman" w:cs="Times New Roman"/>
          <w:color w:val="000000"/>
          <w:spacing w:val="0"/>
          <w:w w:val="100"/>
          <w:position w:val="0"/>
        </w:rPr>
        <w:t>5.5%</w:t>
      </w:r>
      <w:r>
        <w:rPr>
          <w:color w:val="000000"/>
          <w:spacing w:val="0"/>
          <w:w w:val="100"/>
          <w:position w:val="0"/>
        </w:rPr>
        <w:t>缴纳团结附加 费。</w:t>
      </w:r>
    </w:p>
    <w:p>
      <w:pPr>
        <w:pStyle w:val="Style36"/>
        <w:keepNext w:val="0"/>
        <w:keepLines w:val="0"/>
        <w:widowControl w:val="0"/>
        <w:shd w:val="clear" w:color="auto" w:fill="auto"/>
        <w:bidi w:val="0"/>
        <w:spacing w:before="0" w:after="0" w:line="240" w:lineRule="auto"/>
        <w:ind w:left="379" w:right="0" w:firstLine="0"/>
        <w:jc w:val="left"/>
        <w:rPr>
          <w:sz w:val="20"/>
          <w:szCs w:val="20"/>
        </w:rPr>
      </w:pPr>
      <w:r>
        <w:rPr>
          <w:color w:val="000000"/>
          <w:spacing w:val="0"/>
          <w:w w:val="100"/>
          <w:position w:val="0"/>
          <w:sz w:val="20"/>
          <w:szCs w:val="20"/>
        </w:rPr>
        <w:t>存在不同企业所得税税率纳税主体的，披露情况说明</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德国</w:t>
            </w: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法本通信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上海法本信息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38"/>
        <w:keepNext/>
        <w:keepLines/>
        <w:widowControl w:val="0"/>
        <w:shd w:val="clear" w:color="auto" w:fill="auto"/>
        <w:tabs>
          <w:tab w:pos="378" w:val="left"/>
        </w:tabs>
        <w:bidi w:val="0"/>
        <w:spacing w:before="0" w:after="300" w:line="410" w:lineRule="exact"/>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color w:val="000000"/>
          <w:spacing w:val="0"/>
          <w:w w:val="100"/>
          <w:position w:val="0"/>
        </w:rPr>
        <w:t>、</w:t>
        <w:tab/>
        <w:t>税收优惠</w:t>
      </w:r>
      <w:bookmarkEnd w:id="1136"/>
      <w:bookmarkEnd w:id="1137"/>
      <w:bookmarkEnd w:id="1139"/>
    </w:p>
    <w:p>
      <w:pPr>
        <w:pStyle w:val="Style12"/>
        <w:keepNext w:val="0"/>
        <w:keepLines w:val="0"/>
        <w:widowControl w:val="0"/>
        <w:numPr>
          <w:ilvl w:val="0"/>
          <w:numId w:val="69"/>
        </w:numPr>
        <w:shd w:val="clear" w:color="auto" w:fill="auto"/>
        <w:tabs>
          <w:tab w:pos="755" w:val="left"/>
        </w:tabs>
        <w:bidi w:val="0"/>
        <w:spacing w:before="0" w:after="0" w:line="430" w:lineRule="auto"/>
        <w:ind w:left="0" w:right="0" w:firstLine="440"/>
        <w:jc w:val="both"/>
      </w:pPr>
      <w:bookmarkStart w:id="1140" w:name="bookmark1140"/>
      <w:bookmarkEnd w:id="1140"/>
      <w:r>
        <w:rPr>
          <w:color w:val="000000"/>
          <w:spacing w:val="0"/>
          <w:w w:val="100"/>
          <w:position w:val="0"/>
        </w:rPr>
        <w:t>增值税</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深圳市国家税务局于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日向本公司下发了深圳市国家税务局增值税、消费税税收优惠备案 通知书</w:t>
      </w:r>
      <w:r>
        <w:rPr>
          <w:rFonts w:ascii="Times New Roman" w:eastAsia="Times New Roman" w:hAnsi="Times New Roman" w:cs="Times New Roman"/>
          <w:color w:val="000000"/>
          <w:spacing w:val="0"/>
          <w:w w:val="100"/>
          <w:position w:val="0"/>
        </w:rPr>
        <w:t>（</w:t>
      </w:r>
      <w:r>
        <w:rPr>
          <w:color w:val="000000"/>
          <w:spacing w:val="0"/>
          <w:w w:val="100"/>
          <w:position w:val="0"/>
        </w:rPr>
        <w:t>深国税南减免备</w:t>
      </w:r>
      <w:r>
        <w:rPr>
          <w:rFonts w:ascii="Times New Roman" w:eastAsia="Times New Roman" w:hAnsi="Times New Roman" w:cs="Times New Roman"/>
          <w:color w:val="000000"/>
          <w:spacing w:val="0"/>
          <w:w w:val="100"/>
          <w:position w:val="0"/>
        </w:rPr>
        <w:t>[2016]0147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，对本公司自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日起获得深圳市技术市场管理办公室认定 的技术合同收入免征增值税。</w:t>
      </w:r>
    </w:p>
    <w:p>
      <w:pPr>
        <w:pStyle w:val="Style12"/>
        <w:keepNext w:val="0"/>
        <w:keepLines w:val="0"/>
        <w:widowControl w:val="0"/>
        <w:numPr>
          <w:ilvl w:val="0"/>
          <w:numId w:val="69"/>
        </w:numPr>
        <w:shd w:val="clear" w:color="auto" w:fill="auto"/>
        <w:tabs>
          <w:tab w:pos="774" w:val="left"/>
        </w:tabs>
        <w:bidi w:val="0"/>
        <w:spacing w:before="0" w:after="0" w:line="410" w:lineRule="exact"/>
        <w:ind w:left="0" w:right="0" w:firstLine="440"/>
        <w:jc w:val="both"/>
      </w:pPr>
      <w:bookmarkStart w:id="1141" w:name="bookmark1141"/>
      <w:bookmarkEnd w:id="1141"/>
      <w:r>
        <w:rPr>
          <w:color w:val="000000"/>
          <w:spacing w:val="0"/>
          <w:w w:val="100"/>
          <w:position w:val="0"/>
        </w:rPr>
        <w:t>企业所得税</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深圳市科技创新委员会、深圳市财政局、国家税务总局深圳市税务局于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日向本公司下 发了高新技术企业证书</w:t>
      </w:r>
      <w:r>
        <w:rPr>
          <w:rFonts w:ascii="Times New Roman" w:eastAsia="Times New Roman" w:hAnsi="Times New Roman" w:cs="Times New Roman"/>
          <w:color w:val="000000"/>
          <w:spacing w:val="0"/>
          <w:w w:val="100"/>
          <w:position w:val="0"/>
        </w:rPr>
        <w:t>（</w:t>
      </w:r>
      <w:r>
        <w:rPr>
          <w:color w:val="000000"/>
          <w:spacing w:val="0"/>
          <w:w w:val="100"/>
          <w:position w:val="0"/>
        </w:rPr>
        <w:t>证书编号：</w:t>
      </w:r>
      <w:r>
        <w:rPr>
          <w:rFonts w:ascii="Times New Roman" w:eastAsia="Times New Roman" w:hAnsi="Times New Roman" w:cs="Times New Roman"/>
          <w:color w:val="000000"/>
          <w:spacing w:val="0"/>
          <w:w w:val="100"/>
          <w:position w:val="0"/>
        </w:rPr>
        <w:t>GR202044202551）</w:t>
      </w:r>
      <w:r>
        <w:rPr>
          <w:color w:val="000000"/>
          <w:spacing w:val="0"/>
          <w:w w:val="100"/>
          <w:position w:val="0"/>
        </w:rPr>
        <w:t>，本公司被认定为高新技术企业，有效期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日，根据《中华人民共和国企业所得税法》规定，高新技术企业减按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税率计算缴 纳企业所得税，公司</w:t>
      </w:r>
      <w:r>
        <w:rPr>
          <w:rFonts w:ascii="Times New Roman" w:eastAsia="Times New Roman" w:hAnsi="Times New Roman" w:cs="Times New Roman"/>
          <w:color w:val="000000"/>
          <w:spacing w:val="0"/>
          <w:w w:val="100"/>
          <w:position w:val="0"/>
        </w:rPr>
        <w:t>2021</w:t>
      </w:r>
      <w:r>
        <w:rPr>
          <w:color w:val="000000"/>
          <w:spacing w:val="0"/>
          <w:w w:val="100"/>
          <w:position w:val="0"/>
        </w:rPr>
        <w:t>年度执行的企业所得税税率为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根据《财政部税务总局关于实施小微企业普惠性税收减免政策的通知》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及《财 政部税务总局关于实施小微企业和个体工商户所得税优惠政策的公告》（财政部税务总局</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 xml:space="preserve">12 </w:t>
      </w:r>
      <w:r>
        <w:rPr>
          <w:color w:val="000000"/>
          <w:spacing w:val="0"/>
          <w:w w:val="100"/>
          <w:position w:val="0"/>
        </w:rPr>
        <w:t>号）的规定，法本通信符合享受小微企业所得税减免政策的条件，对年应纳税所得额不超过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 部分，减按</w:t>
      </w:r>
      <w:r>
        <w:rPr>
          <w:rFonts w:ascii="Times New Roman" w:eastAsia="Times New Roman" w:hAnsi="Times New Roman" w:cs="Times New Roman"/>
          <w:color w:val="000000"/>
          <w:spacing w:val="0"/>
          <w:w w:val="100"/>
          <w:position w:val="0"/>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 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12"/>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 术服务业''的披露要求</w:t>
      </w:r>
    </w:p>
    <w:p>
      <w:pPr>
        <w:pStyle w:val="Style38"/>
        <w:keepNext/>
        <w:keepLines/>
        <w:widowControl w:val="0"/>
        <w:shd w:val="clear" w:color="auto" w:fill="auto"/>
        <w:tabs>
          <w:tab w:pos="378" w:val="left"/>
        </w:tabs>
        <w:bidi w:val="0"/>
        <w:spacing w:before="0" w:after="160" w:line="410" w:lineRule="exact"/>
        <w:ind w:left="0" w:right="0" w:firstLine="0"/>
        <w:jc w:val="both"/>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color w:val="000000"/>
          <w:spacing w:val="0"/>
          <w:w w:val="100"/>
          <w:position w:val="0"/>
        </w:rPr>
        <w:t>、</w:t>
        <w:tab/>
        <w:t>其他</w:t>
      </w:r>
      <w:bookmarkEnd w:id="1142"/>
      <w:bookmarkEnd w:id="1143"/>
      <w:bookmarkEnd w:id="1145"/>
    </w:p>
    <w:p>
      <w:pPr>
        <w:pStyle w:val="Style12"/>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不适用</w:t>
      </w:r>
    </w:p>
    <w:p>
      <w:pPr>
        <w:pStyle w:val="Style31"/>
        <w:keepNext/>
        <w:keepLines/>
        <w:widowControl w:val="0"/>
        <w:shd w:val="clear" w:color="auto" w:fill="auto"/>
        <w:bidi w:val="0"/>
        <w:spacing w:before="0" w:after="160" w:line="240" w:lineRule="auto"/>
        <w:ind w:left="0" w:right="0" w:firstLine="0"/>
        <w:jc w:val="both"/>
      </w:pPr>
      <w:bookmarkStart w:id="1146" w:name="bookmark1146"/>
      <w:bookmarkStart w:id="1147" w:name="bookmark1147"/>
      <w:bookmarkStart w:id="1148" w:name="bookmark1148"/>
      <w:bookmarkStart w:id="1149" w:name="bookmark1149"/>
      <w:r>
        <w:rPr>
          <w:color w:val="000000"/>
          <w:spacing w:val="0"/>
          <w:w w:val="100"/>
          <w:position w:val="0"/>
          <w:sz w:val="24"/>
          <w:szCs w:val="24"/>
        </w:rPr>
        <w:t>七</w:t>
      </w:r>
      <w:bookmarkEnd w:id="1148"/>
      <w:r>
        <w:rPr>
          <w:color w:val="000000"/>
          <w:spacing w:val="0"/>
          <w:w w:val="100"/>
          <w:position w:val="0"/>
          <w:sz w:val="24"/>
          <w:szCs w:val="24"/>
        </w:rPr>
        <w:t>、合并财务报表项目注释</w:t>
      </w:r>
      <w:bookmarkEnd w:id="1146"/>
      <w:bookmarkEnd w:id="1147"/>
      <w:bookmarkEnd w:id="1149"/>
    </w:p>
    <w:p>
      <w:pPr>
        <w:pStyle w:val="Style38"/>
        <w:keepNext/>
        <w:keepLines/>
        <w:widowControl w:val="0"/>
        <w:shd w:val="clear" w:color="auto" w:fill="auto"/>
        <w:bidi w:val="0"/>
        <w:spacing w:before="0" w:after="300" w:line="410" w:lineRule="exact"/>
        <w:ind w:left="0" w:right="0" w:firstLine="0"/>
        <w:jc w:val="both"/>
      </w:pPr>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50"/>
      <w:bookmarkEnd w:id="1151"/>
      <w:bookmarkEnd w:id="115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493,703,658.59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868,011,475.00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5,175,934.50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2,567,460.00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498,880,693.09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870,578,935.00</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其中：存放在境外的款项总额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2,947,856.45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2,605,957.70</w:t>
            </w:r>
          </w:p>
        </w:tc>
      </w:tr>
    </w:tbl>
    <w:p>
      <w:pPr>
        <w:pStyle w:val="Style36"/>
        <w:keepNext w:val="0"/>
        <w:keepLines w:val="0"/>
        <w:widowControl w:val="0"/>
        <w:shd w:val="clear" w:color="auto" w:fill="auto"/>
        <w:bidi w:val="0"/>
        <w:spacing w:before="0" w:after="0" w:line="240" w:lineRule="auto"/>
        <w:ind w:left="374" w:right="0" w:firstLine="0"/>
        <w:jc w:val="left"/>
        <w:rPr>
          <w:sz w:val="20"/>
          <w:szCs w:val="20"/>
        </w:rPr>
      </w:pPr>
      <w:r>
        <w:rPr>
          <w:color w:val="000000"/>
          <w:spacing w:val="0"/>
          <w:w w:val="100"/>
          <w:position w:val="0"/>
          <w:sz w:val="20"/>
          <w:szCs w:val="20"/>
        </w:rPr>
        <w:t>其他说明</w:t>
      </w:r>
    </w:p>
    <w:p>
      <w:pPr>
        <w:widowControl w:val="0"/>
        <w:spacing w:after="159" w:line="1" w:lineRule="exact"/>
      </w:pPr>
    </w:p>
    <w:p>
      <w:pPr>
        <w:pStyle w:val="Style1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其他货币资金期末余额系保函保证金，使用受限。</w:t>
      </w:r>
      <w:r>
        <w:br w:type="page"/>
      </w:r>
    </w:p>
    <w:p>
      <w:pPr>
        <w:pStyle w:val="Style38"/>
        <w:keepNext/>
        <w:keepLines/>
        <w:widowControl w:val="0"/>
        <w:shd w:val="clear" w:color="auto" w:fill="auto"/>
        <w:bidi w:val="0"/>
        <w:spacing w:before="0" w:after="30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2</w:t>
      </w:r>
      <w:bookmarkEnd w:id="1155"/>
      <w:r>
        <w:rPr>
          <w:color w:val="000000"/>
          <w:spacing w:val="0"/>
          <w:w w:val="100"/>
          <w:position w:val="0"/>
        </w:rPr>
        <w:t>、交易性金融资产</w:t>
      </w:r>
      <w:bookmarkEnd w:id="1153"/>
      <w:bookmarkEnd w:id="1154"/>
      <w:bookmarkEnd w:id="115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结构性存款和理财产品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after="34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3</w:t>
      </w:r>
      <w:bookmarkEnd w:id="1159"/>
      <w:r>
        <w:rPr>
          <w:color w:val="000000"/>
          <w:spacing w:val="0"/>
          <w:w w:val="100"/>
          <w:position w:val="0"/>
        </w:rPr>
        <w:t>、衍生金融资产</w:t>
      </w:r>
      <w:bookmarkEnd w:id="1157"/>
      <w:bookmarkEnd w:id="1158"/>
      <w:bookmarkEnd w:id="1160"/>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0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4</w:t>
      </w:r>
      <w:bookmarkEnd w:id="1163"/>
      <w:r>
        <w:rPr>
          <w:color w:val="000000"/>
          <w:spacing w:val="0"/>
          <w:w w:val="100"/>
          <w:position w:val="0"/>
        </w:rPr>
        <w:t>、应收票据</w:t>
      </w:r>
      <w:bookmarkEnd w:id="1161"/>
      <w:bookmarkEnd w:id="1162"/>
      <w:bookmarkEnd w:id="1164"/>
    </w:p>
    <w:p>
      <w:pPr>
        <w:pStyle w:val="Style46"/>
        <w:keepNext/>
        <w:keepLines/>
        <w:widowControl w:val="0"/>
        <w:shd w:val="clear" w:color="auto" w:fill="auto"/>
        <w:bidi w:val="0"/>
        <w:spacing w:before="0" w:after="30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65"/>
      <w:bookmarkEnd w:id="1166"/>
      <w:bookmarkEnd w:id="116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1,145,238.00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11,694,513.99</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1,145,238.00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11,694,513.99</w:t>
            </w:r>
          </w:p>
        </w:tc>
      </w:tr>
    </w:tbl>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75"/>
        <w:gridCol w:w="850"/>
        <w:gridCol w:w="710"/>
        <w:gridCol w:w="850"/>
        <w:gridCol w:w="566"/>
        <w:gridCol w:w="850"/>
        <w:gridCol w:w="994"/>
        <w:gridCol w:w="710"/>
        <w:gridCol w:w="850"/>
        <w:gridCol w:w="566"/>
        <w:gridCol w:w="960"/>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55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计提 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计提 比例</w:t>
            </w:r>
          </w:p>
        </w:tc>
        <w:tc>
          <w:tcPr>
            <w:vMerge/>
            <w:tcBorders>
              <w:left w:val="single" w:sz="4"/>
              <w:right w:val="single" w:sz="4"/>
            </w:tcBorders>
            <w:shd w:val="clear" w:color="auto" w:fill="D4D4D4"/>
            <w:vAlign w:val="center"/>
          </w:tcPr>
          <w:p>
            <w:pP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按单项计提坏账准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2,290,476.00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1,145,238.00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1,145,238.00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2,290,476.00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1,145,238.00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1,145,238.00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按组合计提坏账准 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12,310,014.73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615,500.74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11,694,513.99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12,310,014.73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615,500.74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11,694,513.99</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2,290,476.00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1,145,238.00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1,145,238.00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12,310,014.73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615,500.74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11,694,513.99</w:t>
            </w:r>
          </w:p>
        </w:tc>
      </w:tr>
    </w:tbl>
    <w:p>
      <w:pPr>
        <w:pStyle w:val="Style12"/>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按单项计提坏账准备:</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027"/>
        <w:gridCol w:w="1282"/>
        <w:gridCol w:w="1133"/>
        <w:gridCol w:w="4224"/>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恒大智慧科技有限公司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恒大集团爆发债务危机，预计可收回</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款项</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星络智能科技有限公司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830,476.00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415,238.00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恒大集团爆发债务危机，预计可收回</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款项</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2,290,476.00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1,145,238.00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按组合计提坏账准备：不适用</w:t>
      </w:r>
    </w:p>
    <w:p>
      <w:pPr>
        <w:pStyle w:val="Style12"/>
        <w:keepNext w:val="0"/>
        <w:keepLines w:val="0"/>
        <w:widowControl w:val="0"/>
        <w:shd w:val="clear" w:color="auto" w:fill="auto"/>
        <w:bidi w:val="0"/>
        <w:spacing w:before="0" w:after="140" w:line="408" w:lineRule="exact"/>
        <w:ind w:left="0" w:right="0" w:firstLine="480"/>
        <w:jc w:val="left"/>
      </w:pPr>
      <w:r>
        <w:rPr>
          <w:color w:val="000000"/>
          <w:spacing w:val="0"/>
          <w:w w:val="100"/>
          <w:position w:val="0"/>
        </w:rPr>
        <w:t>如是按照预期信用损失一般模型计提应收票据坏账准备，请参照其他应收款的披露方式披露坏账准 备的相关信息：</w:t>
      </w:r>
    </w:p>
    <w:p>
      <w:pPr>
        <w:pStyle w:val="Style12"/>
        <w:keepNext w:val="0"/>
        <w:keepLines w:val="0"/>
        <w:widowControl w:val="0"/>
        <w:shd w:val="clear" w:color="auto" w:fill="auto"/>
        <w:bidi w:val="0"/>
        <w:spacing w:before="0" w:after="80" w:line="427"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6"/>
        <w:keepNext/>
        <w:keepLines/>
        <w:widowControl w:val="0"/>
        <w:shd w:val="clear" w:color="auto" w:fill="auto"/>
        <w:bidi w:val="0"/>
        <w:spacing w:before="0" w:after="180" w:line="408" w:lineRule="exact"/>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9"/>
      <w:bookmarkEnd w:id="1170"/>
      <w:bookmarkEnd w:id="1172"/>
    </w:p>
    <w:p>
      <w:pPr>
        <w:pStyle w:val="Style12"/>
        <w:keepNext w:val="0"/>
        <w:keepLines w:val="0"/>
        <w:widowControl w:val="0"/>
        <w:shd w:val="clear" w:color="auto" w:fill="auto"/>
        <w:bidi w:val="0"/>
        <w:spacing w:before="0" w:after="180" w:line="408" w:lineRule="exact"/>
        <w:ind w:left="0" w:right="0" w:firstLine="48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0"/>
        <w:gridCol w:w="1142"/>
        <w:gridCol w:w="1157"/>
        <w:gridCol w:w="1368"/>
        <w:gridCol w:w="1368"/>
        <w:gridCol w:w="1363"/>
        <w:gridCol w:w="1378"/>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1,145,238.00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1,145,238.00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615,500.74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45,630.76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661,131.50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615,500.74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1,190,868.76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661,131.50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1,145,238.00</w:t>
            </w:r>
          </w:p>
        </w:tc>
      </w:tr>
    </w:tbl>
    <w:p>
      <w:pPr>
        <w:pStyle w:val="Style12"/>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其中本期坏账准备收回或转回金额重要的:</w:t>
      </w:r>
    </w:p>
    <w:p>
      <w:pPr>
        <w:pStyle w:val="Style12"/>
        <w:keepNext w:val="0"/>
        <w:keepLines w:val="0"/>
        <w:widowControl w:val="0"/>
        <w:shd w:val="clear" w:color="auto" w:fill="auto"/>
        <w:bidi w:val="0"/>
        <w:spacing w:before="0" w:after="44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46"/>
        <w:keepNext/>
        <w:keepLines/>
        <w:widowControl w:val="0"/>
        <w:shd w:val="clear" w:color="auto" w:fill="auto"/>
        <w:tabs>
          <w:tab w:pos="493" w:val="left"/>
        </w:tabs>
        <w:bidi w:val="0"/>
        <w:spacing w:before="0" w:after="30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173"/>
      <w:bookmarkEnd w:id="1174"/>
      <w:bookmarkEnd w:id="1176"/>
    </w:p>
    <w:p>
      <w:pPr>
        <w:pStyle w:val="Style12"/>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0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177"/>
      <w:bookmarkEnd w:id="1178"/>
      <w:bookmarkEnd w:id="1180"/>
    </w:p>
    <w:p>
      <w:pPr>
        <w:pStyle w:val="Style12"/>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0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181"/>
      <w:bookmarkEnd w:id="1182"/>
      <w:bookmarkEnd w:id="118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期末转应收账款金额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13,222,629.93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13,222,629.93</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85"/>
      <w:bookmarkEnd w:id="1186"/>
      <w:bookmarkEnd w:id="1188"/>
    </w:p>
    <w:p>
      <w:pPr>
        <w:pStyle w:val="Style12"/>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不适用</w:t>
      </w:r>
    </w:p>
    <w:p>
      <w:pPr>
        <w:pStyle w:val="Style38"/>
        <w:keepNext/>
        <w:keepLines/>
        <w:widowControl w:val="0"/>
        <w:shd w:val="clear" w:color="auto" w:fill="auto"/>
        <w:bidi w:val="0"/>
        <w:spacing w:before="0" w:after="30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5</w:t>
      </w:r>
      <w:bookmarkEnd w:id="1191"/>
      <w:r>
        <w:rPr>
          <w:color w:val="000000"/>
          <w:spacing w:val="0"/>
          <w:w w:val="100"/>
          <w:position w:val="0"/>
        </w:rPr>
        <w:t>、应收账款</w:t>
      </w:r>
      <w:bookmarkEnd w:id="1189"/>
      <w:bookmarkEnd w:id="1190"/>
      <w:bookmarkEnd w:id="1192"/>
    </w:p>
    <w:p>
      <w:pPr>
        <w:pStyle w:val="Style46"/>
        <w:keepNext/>
        <w:keepLines/>
        <w:widowControl w:val="0"/>
        <w:shd w:val="clear" w:color="auto" w:fill="auto"/>
        <w:bidi w:val="0"/>
        <w:spacing w:before="0" w:after="30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93"/>
      <w:bookmarkEnd w:id="1194"/>
      <w:bookmarkEnd w:id="119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138"/>
        <w:gridCol w:w="706"/>
        <w:gridCol w:w="979"/>
        <w:gridCol w:w="581"/>
        <w:gridCol w:w="974"/>
        <w:gridCol w:w="1008"/>
        <w:gridCol w:w="562"/>
        <w:gridCol w:w="998"/>
        <w:gridCol w:w="571"/>
        <w:gridCol w:w="1142"/>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vMerge/>
            <w:tcBorders>
              <w:left w:val="single" w:sz="4"/>
              <w:bottom w:val="single" w:sz="4"/>
              <w:right w:val="single" w:sz="4"/>
            </w:tcBorders>
            <w:shd w:val="clear" w:color="auto" w:fill="D4D4D4"/>
            <w:vAlign w:val="center"/>
          </w:tcPr>
          <w:p>
            <w:pPr/>
          </w:p>
        </w:tc>
      </w:tr>
    </w:tbl>
    <w:p>
      <w:pPr>
        <w:widowControl w:val="0"/>
        <w:spacing w:line="1" w:lineRule="exact"/>
      </w:pPr>
      <w:r>
        <w:br w:type="page"/>
      </w:r>
    </w:p>
    <w:tbl>
      <w:tblPr>
        <w:tblOverlap w:val="never"/>
        <w:jc w:val="center"/>
        <w:tblLayout w:type="fixed"/>
      </w:tblPr>
      <w:tblGrid>
        <w:gridCol w:w="1104"/>
        <w:gridCol w:w="1138"/>
        <w:gridCol w:w="706"/>
        <w:gridCol w:w="979"/>
        <w:gridCol w:w="581"/>
        <w:gridCol w:w="974"/>
        <w:gridCol w:w="1008"/>
        <w:gridCol w:w="562"/>
        <w:gridCol w:w="998"/>
        <w:gridCol w:w="571"/>
        <w:gridCol w:w="114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left w:val="single" w:sz="4"/>
              <w:right w:val="single" w:sz="4"/>
            </w:tcBorders>
            <w:shd w:val="clear" w:color="auto" w:fill="D4D4D4"/>
            <w:vAlign w:val="top"/>
          </w:tcPr>
          <w:p>
            <w:pPr>
              <w:widowControl w:val="0"/>
              <w:rPr>
                <w:sz w:val="10"/>
                <w:szCs w:val="10"/>
              </w:rPr>
            </w:pPr>
          </w:p>
        </w:tc>
      </w:tr>
      <w:tr>
        <w:trPr>
          <w:trHeight w:val="78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按单项计提 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51,116,223.87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31,262,203.20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19,854,020.67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15,973,599.02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14,648,399.02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1,325,200.00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9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按组合计提 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947,281,628.25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50,446,519.93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896,835,108.3</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588,176,050.75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32,101,466.19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556,074,584.56</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998,397,852.12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81,708,723.13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916,689,128.9</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604,149,649.77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46,749,865.21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557,399,784.56</w:t>
            </w:r>
          </w:p>
        </w:tc>
      </w:tr>
    </w:tbl>
    <w:p>
      <w:pPr>
        <w:pStyle w:val="Style12"/>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按单项计提坏账准备:</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47"/>
        <w:gridCol w:w="1123"/>
        <w:gridCol w:w="1123"/>
        <w:gridCol w:w="1906"/>
        <w:gridCol w:w="2544"/>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18,337,930.00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9,168,965.00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8,220,796.03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4,110,398.02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1,867,222.50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1,078,652.50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539,326.25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531,570.63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265,785.31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21,080,052.21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16,244,117.37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30.00%;50.00%;100.00%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51,116,223.87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31,262,203.20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2"/>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按组合计提坏账准备:</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936,431,141.32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46,821,557.06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9,189,934.93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2,297,483.73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666,145.72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994,406.28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947,281,628.25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50,446,519.93</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确定该组合依据的说明</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引按账龄组合。</w:t>
            </w:r>
          </w:p>
        </w:tc>
      </w:tr>
    </w:tbl>
    <w:p>
      <w:pPr>
        <w:pStyle w:val="Style12"/>
        <w:keepNext w:val="0"/>
        <w:keepLines w:val="0"/>
        <w:widowControl w:val="0"/>
        <w:shd w:val="clear" w:color="auto" w:fill="auto"/>
        <w:bidi w:val="0"/>
        <w:spacing w:before="0" w:after="0" w:line="413" w:lineRule="exact"/>
        <w:ind w:left="0" w:right="0" w:firstLine="480"/>
        <w:jc w:val="left"/>
      </w:pPr>
      <w:r>
        <w:rPr>
          <w:color w:val="000000"/>
          <w:spacing w:val="0"/>
          <w:w w:val="100"/>
          <w:position w:val="0"/>
        </w:rPr>
        <w:t>按组合计提坏账准备：不适用</w:t>
      </w:r>
    </w:p>
    <w:p>
      <w:pPr>
        <w:pStyle w:val="Style12"/>
        <w:keepNext w:val="0"/>
        <w:keepLines w:val="0"/>
        <w:widowControl w:val="0"/>
        <w:shd w:val="clear" w:color="auto" w:fill="auto"/>
        <w:bidi w:val="0"/>
        <w:spacing w:before="0" w:after="0" w:line="413" w:lineRule="exact"/>
        <w:ind w:left="0" w:right="0" w:firstLine="480"/>
        <w:jc w:val="left"/>
      </w:pPr>
      <w:r>
        <w:rPr>
          <w:color w:val="000000"/>
          <w:spacing w:val="0"/>
          <w:w w:val="100"/>
          <w:position w:val="0"/>
        </w:rPr>
        <w:t>确定该组合依据的说明：</w:t>
      </w:r>
    </w:p>
    <w:p>
      <w:pPr>
        <w:pStyle w:val="Style12"/>
        <w:keepNext w:val="0"/>
        <w:keepLines w:val="0"/>
        <w:widowControl w:val="0"/>
        <w:shd w:val="clear" w:color="auto" w:fill="auto"/>
        <w:bidi w:val="0"/>
        <w:spacing w:before="0" w:after="140" w:line="413" w:lineRule="exact"/>
        <w:ind w:left="0" w:right="0" w:firstLine="480"/>
        <w:jc w:val="left"/>
      </w:pPr>
      <w:r>
        <w:rPr>
          <w:color w:val="000000"/>
          <w:spacing w:val="0"/>
          <w:w w:val="100"/>
          <w:position w:val="0"/>
        </w:rPr>
        <w:t>如是按照预期信用损失一般模型计提应收账款坏账准备，请参照其他应收款的披露方式披露坏账准 备的相关信息：</w:t>
      </w:r>
    </w:p>
    <w:p>
      <w:pPr>
        <w:pStyle w:val="Style12"/>
        <w:keepNext w:val="0"/>
        <w:keepLines w:val="0"/>
        <w:widowControl w:val="0"/>
        <w:shd w:val="clear" w:color="auto" w:fill="auto"/>
        <w:bidi w:val="0"/>
        <w:spacing w:before="0" w:after="0" w:line="432"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180" w:line="413" w:lineRule="exact"/>
        <w:ind w:left="0" w:right="0" w:firstLine="480"/>
        <w:jc w:val="left"/>
      </w:pPr>
      <w:r>
        <w:rPr>
          <w:color w:val="000000"/>
          <w:spacing w:val="0"/>
          <w:w w:val="100"/>
          <w:position w:val="0"/>
        </w:rPr>
        <w:t>按账龄披露</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960,920,124.23</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23,040,773.60</w:t>
            </w:r>
          </w:p>
        </w:tc>
      </w:tr>
    </w:tbl>
    <w:p>
      <w:pPr>
        <w:widowControl w:val="0"/>
        <w:spacing w:line="1" w:lineRule="exact"/>
      </w:pPr>
      <w:r>
        <w:br w:type="page"/>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2,644,724.38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11,792,229.91</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8,468,624.51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161,786.17</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3,161,819.23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998,397,852.12</w:t>
            </w:r>
          </w:p>
        </w:tc>
      </w:tr>
    </w:tbl>
    <w:p>
      <w:pPr>
        <w:pStyle w:val="Style12"/>
        <w:keepNext w:val="0"/>
        <w:keepLines w:val="0"/>
        <w:widowControl w:val="0"/>
        <w:shd w:val="clear" w:color="auto" w:fill="auto"/>
        <w:bidi w:val="0"/>
        <w:spacing w:before="0" w:after="420" w:line="422" w:lineRule="exact"/>
        <w:ind w:left="0" w:right="0" w:firstLine="42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 术服务业''的披露要求</w:t>
      </w:r>
    </w:p>
    <w:p>
      <w:pPr>
        <w:pStyle w:val="Style46"/>
        <w:keepNext/>
        <w:keepLines/>
        <w:widowControl w:val="0"/>
        <w:shd w:val="clear" w:color="auto" w:fill="auto"/>
        <w:bidi w:val="0"/>
        <w:spacing w:before="0" w:after="34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7"/>
      <w:bookmarkEnd w:id="1198"/>
      <w:bookmarkEnd w:id="1200"/>
    </w:p>
    <w:p>
      <w:pPr>
        <w:pStyle w:val="Style12"/>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4"/>
        <w:gridCol w:w="1133"/>
        <w:gridCol w:w="1282"/>
        <w:gridCol w:w="1248"/>
        <w:gridCol w:w="1368"/>
        <w:gridCol w:w="1363"/>
        <w:gridCol w:w="1378"/>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14,648,399.02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17,692,040.18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1,739,367.50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661,131.50［</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31,262,203.20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32,101,466.19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18,345,053.74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50,446,519.93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46,749,865.21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36,037,093.92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1,739,367.50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661,131.50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81,708,723.13</w:t>
            </w:r>
          </w:p>
        </w:tc>
      </w:tr>
    </w:tbl>
    <w:p>
      <w:pPr>
        <w:pStyle w:val="Style12"/>
        <w:keepNext w:val="0"/>
        <w:keepLines w:val="0"/>
        <w:widowControl w:val="0"/>
        <w:shd w:val="clear" w:color="auto" w:fill="auto"/>
        <w:bidi w:val="0"/>
        <w:spacing w:before="0" w:after="18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公司将恒大智慧科技有限公司、星络智能科技有限公司和南京苏宁软件技术有限公司未履约的</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商业承兑汇票转应收账款。</w:t>
      </w:r>
    </w:p>
    <w:p>
      <w:pPr>
        <w:pStyle w:val="Style12"/>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其中本期坏账准备收回或转回金额重要的:</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特力惠信息科技股份有限公司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1,313,312.00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应收账款已收回</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1,313,312.00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46"/>
        <w:keepNext/>
        <w:keepLines/>
        <w:widowControl w:val="0"/>
        <w:shd w:val="clear" w:color="auto" w:fill="auto"/>
        <w:bidi w:val="0"/>
        <w:spacing w:before="0" w:after="34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01"/>
      <w:bookmarkEnd w:id="1202"/>
      <w:bookmarkEnd w:id="1204"/>
    </w:p>
    <w:p>
      <w:pPr>
        <w:pStyle w:val="Style12"/>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不适用</w:t>
      </w:r>
    </w:p>
    <w:p>
      <w:pPr>
        <w:pStyle w:val="Style46"/>
        <w:keepNext/>
        <w:keepLines/>
        <w:widowControl w:val="0"/>
        <w:shd w:val="clear" w:color="auto" w:fill="auto"/>
        <w:bidi w:val="0"/>
        <w:spacing w:before="0" w:after="30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5"/>
      <w:bookmarkEnd w:id="1206"/>
      <w:bookmarkEnd w:id="120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848"/>
        <w:gridCol w:w="2827"/>
        <w:gridCol w:w="2237"/>
      </w:tblGrid>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占应收账款期末余额合计数的比例</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坏账准备期末余额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70,954,099.93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3,548,042.93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69,149,542.34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3,457,477.12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66,803,548.27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3,340,177.42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48,144,578.13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2,407,228.91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42,061,685.06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2,103,084.25</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297,113,453.73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p>
      <w:pPr>
        <w:pStyle w:val="Style46"/>
        <w:keepNext/>
        <w:keepLines/>
        <w:widowControl w:val="0"/>
        <w:shd w:val="clear" w:color="auto" w:fill="auto"/>
        <w:bidi w:val="0"/>
        <w:spacing w:before="0" w:after="32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209"/>
      <w:bookmarkEnd w:id="1210"/>
      <w:bookmarkEnd w:id="121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342"/>
        <w:gridCol w:w="2400"/>
        <w:gridCol w:w="2203"/>
      </w:tblGrid>
      <w:tr>
        <w:trPr>
          <w:trHeight w:val="3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终止确认金额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与终止确认相关的利得或损失</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金融资产转移方式</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52,318,082.17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2,488,349.26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无追索权应收账款保理</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735,529.82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无追索权应收账款保理</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658,150.71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无追索权应收账款保理</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无追索权应收账款保理</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53,782,781.14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2,558,296.73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46"/>
        <w:keepNext/>
        <w:keepLines/>
        <w:widowControl w:val="0"/>
        <w:shd w:val="clear" w:color="auto" w:fill="auto"/>
        <w:bidi w:val="0"/>
        <w:spacing w:before="0" w:after="32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213"/>
      <w:bookmarkEnd w:id="1214"/>
      <w:bookmarkEnd w:id="1216"/>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6</w:t>
      </w:r>
      <w:bookmarkEnd w:id="1219"/>
      <w:r>
        <w:rPr>
          <w:color w:val="000000"/>
          <w:spacing w:val="0"/>
          <w:w w:val="100"/>
          <w:position w:val="0"/>
        </w:rPr>
        <w:t>、应收款项融资</w:t>
      </w:r>
      <w:bookmarkEnd w:id="1217"/>
      <w:bookmarkEnd w:id="1218"/>
      <w:bookmarkEnd w:id="122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3,679,714.08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876,400.00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3,679,714.08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876,400.00</w:t>
            </w:r>
          </w:p>
        </w:tc>
      </w:tr>
    </w:tbl>
    <w:p>
      <w:pPr>
        <w:pStyle w:val="Style1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应收款项融资本期增减变动及公允价值变动情况</w:t>
      </w:r>
    </w:p>
    <w:p>
      <w:pPr>
        <w:pStyle w:val="Style12"/>
        <w:keepNext w:val="0"/>
        <w:keepLines w:val="0"/>
        <w:widowControl w:val="0"/>
        <w:shd w:val="clear" w:color="auto" w:fill="auto"/>
        <w:bidi w:val="0"/>
        <w:spacing w:before="0" w:after="1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 xml:space="preserve">如是按照预期信用损失一般模型计提应收款项融资减值准备，请参照其他应收款的披露方式披露减 </w:t>
      </w:r>
      <w:r>
        <w:rPr>
          <w:color w:val="000000"/>
          <w:spacing w:val="0"/>
          <w:w w:val="100"/>
          <w:position w:val="0"/>
        </w:rPr>
        <w:t>值准备的相关信息：</w:t>
      </w:r>
    </w:p>
    <w:p>
      <w:pPr>
        <w:pStyle w:val="Style12"/>
        <w:keepNext w:val="0"/>
        <w:keepLines w:val="0"/>
        <w:widowControl w:val="0"/>
        <w:shd w:val="clear" w:color="auto" w:fill="auto"/>
        <w:bidi w:val="0"/>
        <w:spacing w:before="0" w:after="1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其他说明：</w:t>
      </w:r>
    </w:p>
    <w:p>
      <w:pPr>
        <w:pStyle w:val="Style38"/>
        <w:keepNext/>
        <w:keepLines/>
        <w:widowControl w:val="0"/>
        <w:shd w:val="clear" w:color="auto" w:fill="auto"/>
        <w:bidi w:val="0"/>
        <w:spacing w:before="0" w:after="32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7</w:t>
      </w:r>
      <w:bookmarkEnd w:id="1223"/>
      <w:r>
        <w:rPr>
          <w:color w:val="000000"/>
          <w:spacing w:val="0"/>
          <w:w w:val="100"/>
          <w:position w:val="0"/>
        </w:rPr>
        <w:t>、预付款项</w:t>
      </w:r>
      <w:bookmarkEnd w:id="1221"/>
      <w:bookmarkEnd w:id="1222"/>
      <w:bookmarkEnd w:id="1224"/>
    </w:p>
    <w:p>
      <w:pPr>
        <w:pStyle w:val="Style46"/>
        <w:keepNext/>
        <w:keepLines/>
        <w:widowControl w:val="0"/>
        <w:shd w:val="clear" w:color="auto" w:fill="auto"/>
        <w:bidi w:val="0"/>
        <w:spacing w:before="0" w:after="320" w:line="240" w:lineRule="auto"/>
        <w:ind w:left="0" w:right="0" w:firstLine="0"/>
        <w:jc w:val="left"/>
      </w:pPr>
      <w:bookmarkStart w:id="1225" w:name="bookmark1225"/>
      <w:bookmarkStart w:id="1226" w:name="bookmark1226"/>
      <w:bookmarkStart w:id="1227" w:name="bookmark12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25"/>
      <w:bookmarkEnd w:id="1226"/>
      <w:bookmarkEnd w:id="122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06"/>
        <w:gridCol w:w="1925"/>
        <w:gridCol w:w="1925"/>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15,490,778.74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7,844,956.67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15,490,778.74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7,844,956.67</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64"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39" w:line="1" w:lineRule="exact"/>
      </w:pPr>
    </w:p>
    <w:p>
      <w:pPr>
        <w:pStyle w:val="Style46"/>
        <w:keepNext/>
        <w:keepLines/>
        <w:widowControl w:val="0"/>
        <w:shd w:val="clear" w:color="auto" w:fill="auto"/>
        <w:bidi w:val="0"/>
        <w:spacing w:before="0" w:after="32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28"/>
      <w:bookmarkEnd w:id="1229"/>
      <w:bookmarkEnd w:id="123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49"/>
        <w:gridCol w:w="2554"/>
      </w:tblGrid>
      <w:tr>
        <w:trPr>
          <w:trHeight w:val="3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占预付款项余额的比例</w:t>
            </w:r>
          </w:p>
        </w:tc>
      </w:tr>
    </w:tbl>
    <w:p>
      <w:pPr>
        <w:widowControl w:val="0"/>
        <w:spacing w:line="1" w:lineRule="exact"/>
      </w:pPr>
      <w:r>
        <w:br w:type="page"/>
      </w:r>
    </w:p>
    <w:tbl>
      <w:tblPr>
        <w:tblOverlap w:val="never"/>
        <w:jc w:val="center"/>
        <w:tblLayout w:type="fixed"/>
      </w:tblPr>
      <w:tblGrid>
        <w:gridCol w:w="4541"/>
        <w:gridCol w:w="2549"/>
        <w:gridCol w:w="255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10,113,848.67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65.29%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676,326.36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4.379%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673,500.82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471,698.11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297,644.72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12,233,018.68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78.98%</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8</w:t>
      </w:r>
      <w:bookmarkEnd w:id="1234"/>
      <w:r>
        <w:rPr>
          <w:color w:val="000000"/>
          <w:spacing w:val="0"/>
          <w:w w:val="100"/>
          <w:position w:val="0"/>
        </w:rPr>
        <w:t>、其他应收款</w:t>
      </w:r>
      <w:bookmarkEnd w:id="1232"/>
      <w:bookmarkEnd w:id="1233"/>
      <w:bookmarkEnd w:id="123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13,821,121.70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12,002,483.47</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13,821,121.70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12,002,483.47</w:t>
            </w:r>
          </w:p>
        </w:tc>
      </w:tr>
    </w:tbl>
    <w:p>
      <w:pPr>
        <w:widowControl w:val="0"/>
        <w:spacing w:after="299" w:line="1" w:lineRule="exact"/>
      </w:pPr>
    </w:p>
    <w:p>
      <w:pPr>
        <w:pStyle w:val="Style46"/>
        <w:keepNext/>
        <w:keepLines/>
        <w:widowControl w:val="0"/>
        <w:shd w:val="clear" w:color="auto" w:fill="auto"/>
        <w:bidi w:val="0"/>
        <w:spacing w:before="0" w:after="360" w:line="240" w:lineRule="auto"/>
        <w:ind w:left="0" w:right="0" w:firstLine="0"/>
        <w:jc w:val="both"/>
      </w:pPr>
      <w:bookmarkStart w:id="1236" w:name="bookmark1236"/>
      <w:bookmarkStart w:id="1237" w:name="bookmark1237"/>
      <w:bookmarkStart w:id="1238" w:name="bookmark12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36"/>
      <w:bookmarkEnd w:id="1237"/>
      <w:bookmarkEnd w:id="1238"/>
    </w:p>
    <w:p>
      <w:pPr>
        <w:pStyle w:val="Style12"/>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6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39"/>
      <w:bookmarkEnd w:id="1240"/>
      <w:bookmarkEnd w:id="1242"/>
    </w:p>
    <w:p>
      <w:pPr>
        <w:pStyle w:val="Style12"/>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00" w:line="240" w:lineRule="auto"/>
        <w:ind w:left="0" w:right="0" w:firstLine="0"/>
        <w:jc w:val="both"/>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243"/>
      <w:bookmarkEnd w:id="1244"/>
      <w:bookmarkEnd w:id="1246"/>
    </w:p>
    <w:p>
      <w:pPr>
        <w:pStyle w:val="Style72"/>
        <w:keepNext/>
        <w:keepLines/>
        <w:widowControl w:val="0"/>
        <w:shd w:val="clear" w:color="auto" w:fill="auto"/>
        <w:bidi w:val="0"/>
        <w:spacing w:before="0" w:line="240" w:lineRule="auto"/>
        <w:ind w:left="0" w:right="0" w:firstLine="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color w:val="000000"/>
          <w:spacing w:val="0"/>
          <w:w w:val="100"/>
          <w:position w:val="0"/>
        </w:rPr>
        <w:t>）其他应收款按款项性质分类情况</w:t>
      </w:r>
      <w:bookmarkEnd w:id="1247"/>
      <w:bookmarkEnd w:id="1248"/>
      <w:bookmarkEnd w:id="125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19,354,223.90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14,845,819.85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应收暂付款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53,052.28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53,052.28</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借款及备用金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1,181,531.00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418,938.06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20,588,807.18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15,317,810.19</w:t>
            </w:r>
          </w:p>
        </w:tc>
      </w:tr>
    </w:tbl>
    <w:p>
      <w:pPr>
        <w:widowControl w:val="0"/>
        <w:spacing w:after="299" w:line="1" w:lineRule="exact"/>
      </w:pPr>
    </w:p>
    <w:p>
      <w:pPr>
        <w:pStyle w:val="Style72"/>
        <w:keepNext/>
        <w:keepLines/>
        <w:widowControl w:val="0"/>
        <w:shd w:val="clear" w:color="auto" w:fill="auto"/>
        <w:bidi w:val="0"/>
        <w:spacing w:before="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color w:val="000000"/>
          <w:spacing w:val="0"/>
          <w:w w:val="100"/>
          <w:position w:val="0"/>
        </w:rPr>
        <w:t>）坏账准备计提情况</w:t>
      </w:r>
      <w:bookmarkEnd w:id="1251"/>
      <w:bookmarkEnd w:id="1252"/>
      <w:bookmarkEnd w:id="125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46"/>
        <w:gridCol w:w="2098"/>
        <w:gridCol w:w="2102"/>
        <w:gridCol w:w="1810"/>
      </w:tblGrid>
      <w:tr>
        <w:trPr>
          <w:trHeight w:val="32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56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 xml:space="preserve">整个存续期预期信用损失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416,331.07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669,829.87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2,229,165.78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3,315,326.72</w:t>
            </w: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5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925"/>
        <w:gridCol w:w="1646"/>
        <w:gridCol w:w="2098"/>
        <w:gridCol w:w="2102"/>
        <w:gridCol w:w="1810"/>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转入第二阶段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-164,313.54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164,313.54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-606,707.62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606,707.62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281,824.75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594,131.93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2,576,402.08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3,452,358.76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533,842.28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821,567.72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5,412,275.48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6,767,685.48</w:t>
            </w:r>
          </w:p>
        </w:tc>
      </w:tr>
    </w:tbl>
    <w:p>
      <w:pPr>
        <w:pStyle w:val="Style12"/>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损失准备本期变动金额重大的账面余额变动情况</w:t>
      </w:r>
    </w:p>
    <w:p>
      <w:pPr>
        <w:pStyle w:val="Style12"/>
        <w:keepNext w:val="0"/>
        <w:keepLines w:val="0"/>
        <w:widowControl w:val="0"/>
        <w:shd w:val="clear" w:color="auto" w:fill="auto"/>
        <w:bidi w:val="0"/>
        <w:spacing w:before="0" w:after="14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按账龄披露</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10,676,845.59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3,286,270.87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2,426,830.48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4,198,860.24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4,102,279.00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74,581.24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20,588,807.18</w:t>
            </w:r>
          </w:p>
        </w:tc>
      </w:tr>
    </w:tbl>
    <w:p>
      <w:pPr>
        <w:widowControl w:val="0"/>
        <w:spacing w:after="299" w:line="1" w:lineRule="exact"/>
      </w:pPr>
    </w:p>
    <w:p>
      <w:pPr>
        <w:pStyle w:val="Style72"/>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color w:val="000000"/>
          <w:spacing w:val="0"/>
          <w:w w:val="100"/>
          <w:position w:val="0"/>
        </w:rPr>
        <w:t>）本期计提、收回或转回的坏账准备情况</w:t>
      </w:r>
      <w:bookmarkEnd w:id="1255"/>
      <w:bookmarkEnd w:id="1256"/>
      <w:bookmarkEnd w:id="1258"/>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72"/>
        <w:keepNext/>
        <w:keepLines/>
        <w:widowControl w:val="0"/>
        <w:shd w:val="clear" w:color="auto" w:fill="auto"/>
        <w:tabs>
          <w:tab w:pos="397" w:val="left"/>
        </w:tabs>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4</w:t>
      </w:r>
      <w:bookmarkEnd w:id="1261"/>
      <w:r>
        <w:rPr>
          <w:color w:val="000000"/>
          <w:spacing w:val="0"/>
          <w:w w:val="100"/>
          <w:position w:val="0"/>
        </w:rPr>
        <w:t>）</w:t>
        <w:tab/>
        <w:t>本期实际核销的其他应收款情况</w:t>
      </w:r>
      <w:bookmarkEnd w:id="1259"/>
      <w:bookmarkEnd w:id="1260"/>
      <w:bookmarkEnd w:id="1262"/>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72"/>
        <w:keepNext/>
        <w:keepLines/>
        <w:widowControl w:val="0"/>
        <w:shd w:val="clear" w:color="auto" w:fill="auto"/>
        <w:tabs>
          <w:tab w:pos="397" w:val="left"/>
        </w:tabs>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5</w:t>
      </w:r>
      <w:bookmarkEnd w:id="1265"/>
      <w:r>
        <w:rPr>
          <w:color w:val="000000"/>
          <w:spacing w:val="0"/>
          <w:w w:val="100"/>
          <w:position w:val="0"/>
        </w:rPr>
        <w:t>）</w:t>
        <w:tab/>
        <w:t>按欠款方归集的期末余额前五名的其他应收款情况</w:t>
      </w:r>
      <w:bookmarkEnd w:id="1263"/>
      <w:bookmarkEnd w:id="1264"/>
      <w:bookmarkEnd w:id="126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229"/>
        <w:gridCol w:w="1229"/>
        <w:gridCol w:w="1224"/>
        <w:gridCol w:w="1565"/>
        <w:gridCol w:w="1666"/>
      </w:tblGrid>
      <w:tr>
        <w:trPr>
          <w:trHeight w:val="56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1,964.10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1,919,000.00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1,919,000.00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1,319,552.10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65,977.61</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313,737.39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78,434.35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732,974.55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366,487.28</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7,124,546.04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4,631,863.34</w:t>
            </w:r>
          </w:p>
        </w:tc>
      </w:tr>
    </w:tbl>
    <w:p>
      <w:pPr>
        <w:widowControl w:val="0"/>
        <w:spacing w:after="299" w:line="1" w:lineRule="exact"/>
      </w:pPr>
    </w:p>
    <w:p>
      <w:pPr>
        <w:pStyle w:val="Style72"/>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6</w:t>
      </w:r>
      <w:bookmarkEnd w:id="1269"/>
      <w:r>
        <w:rPr>
          <w:color w:val="000000"/>
          <w:spacing w:val="0"/>
          <w:w w:val="100"/>
          <w:position w:val="0"/>
        </w:rPr>
        <w:t>）涉及政府补助的应收款项</w:t>
      </w:r>
      <w:bookmarkEnd w:id="1267"/>
      <w:bookmarkEnd w:id="1268"/>
      <w:bookmarkEnd w:id="1270"/>
    </w:p>
    <w:p>
      <w:pPr>
        <w:pStyle w:val="Style12"/>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不适用</w:t>
      </w:r>
    </w:p>
    <w:p>
      <w:pPr>
        <w:pStyle w:val="Style72"/>
        <w:keepNext/>
        <w:keepLines/>
        <w:widowControl w:val="0"/>
        <w:shd w:val="clear" w:color="auto" w:fill="auto"/>
        <w:tabs>
          <w:tab w:pos="392" w:val="left"/>
        </w:tabs>
        <w:bidi w:val="0"/>
        <w:spacing w:before="0" w:after="32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7</w:t>
      </w:r>
      <w:bookmarkEnd w:id="1273"/>
      <w:r>
        <w:rPr>
          <w:color w:val="000000"/>
          <w:spacing w:val="0"/>
          <w:w w:val="100"/>
          <w:position w:val="0"/>
        </w:rPr>
        <w:t>）</w:t>
        <w:tab/>
        <w:t>因金融资产转移而终止确认的其他应收款</w:t>
      </w:r>
      <w:bookmarkEnd w:id="1271"/>
      <w:bookmarkEnd w:id="1272"/>
      <w:bookmarkEnd w:id="1274"/>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72"/>
        <w:keepNext/>
        <w:keepLines/>
        <w:widowControl w:val="0"/>
        <w:shd w:val="clear" w:color="auto" w:fill="auto"/>
        <w:tabs>
          <w:tab w:pos="397" w:val="left"/>
        </w:tabs>
        <w:bidi w:val="0"/>
        <w:spacing w:before="0" w:after="32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8</w:t>
      </w:r>
      <w:bookmarkEnd w:id="1277"/>
      <w:r>
        <w:rPr>
          <w:color w:val="000000"/>
          <w:spacing w:val="0"/>
          <w:w w:val="100"/>
          <w:position w:val="0"/>
        </w:rPr>
        <w:t>）</w:t>
        <w:tab/>
        <w:t>转移其他应收款且继续涉入形成的资产、负债金额</w:t>
      </w:r>
      <w:bookmarkEnd w:id="1275"/>
      <w:bookmarkEnd w:id="1276"/>
      <w:bookmarkEnd w:id="1278"/>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9</w:t>
      </w:r>
      <w:bookmarkEnd w:id="1281"/>
      <w:r>
        <w:rPr>
          <w:color w:val="000000"/>
          <w:spacing w:val="0"/>
          <w:w w:val="100"/>
          <w:position w:val="0"/>
        </w:rPr>
        <w:t>、存货;</w:t>
      </w:r>
      <w:bookmarkEnd w:id="1279"/>
      <w:bookmarkEnd w:id="1280"/>
      <w:bookmarkEnd w:id="1282"/>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公司是否需要遵守房地产行业的披露要求：否</w:t>
      </w:r>
    </w:p>
    <w:p>
      <w:pPr>
        <w:pStyle w:val="Style46"/>
        <w:keepNext/>
        <w:keepLines/>
        <w:widowControl w:val="0"/>
        <w:shd w:val="clear" w:color="auto" w:fill="auto"/>
        <w:bidi w:val="0"/>
        <w:spacing w:before="0" w:after="320" w:line="240" w:lineRule="auto"/>
        <w:ind w:left="0" w:right="0" w:firstLine="0"/>
        <w:jc w:val="left"/>
      </w:pPr>
      <w:bookmarkStart w:id="1283" w:name="bookmark1283"/>
      <w:bookmarkStart w:id="1284" w:name="bookmark1284"/>
      <w:bookmarkStart w:id="1285" w:name="bookmark12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83"/>
      <w:bookmarkEnd w:id="1284"/>
      <w:bookmarkEnd w:id="128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3"/>
        <w:gridCol w:w="1378"/>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8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存货跌价准备或</w:t>
            </w:r>
          </w:p>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合同履约成本减 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存货跌价准备或</w:t>
            </w:r>
          </w:p>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合同履约成本减 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合同履约成本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9,894,801.01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9,894,801.01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4,687,406.74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4,687,406.74</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9,894,801.01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9,894,801.01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4,687,406.74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4,687,406.74</w:t>
            </w: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86"/>
      <w:bookmarkEnd w:id="1287"/>
      <w:bookmarkEnd w:id="1289"/>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2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90"/>
      <w:bookmarkEnd w:id="1291"/>
      <w:bookmarkEnd w:id="1293"/>
    </w:p>
    <w:p>
      <w:pPr>
        <w:pStyle w:val="Style12"/>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2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94"/>
      <w:bookmarkEnd w:id="1295"/>
      <w:bookmarkEnd w:id="1297"/>
    </w:p>
    <w:p>
      <w:pPr>
        <w:pStyle w:val="Style12"/>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98"/>
      <w:bookmarkEnd w:id="1299"/>
      <w:bookmarkEnd w:id="130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25"/>
        <w:gridCol w:w="1200"/>
        <w:gridCol w:w="1190"/>
        <w:gridCol w:w="1200"/>
        <w:gridCol w:w="1330"/>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应收质保金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4,625.00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87,875.00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合同资产的账面价值在本期内发生的重大变动金额和原因：不适用</w:t>
      </w:r>
    </w:p>
    <w:p>
      <w:pPr>
        <w:pStyle w:val="Style12"/>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 xml:space="preserve">如是按照预期信用损失一般模型计提合同资产坏账准备，请参照其他应收款的披露方式披露坏账准 </w:t>
      </w:r>
      <w:r>
        <w:rPr>
          <w:color w:val="000000"/>
          <w:spacing w:val="0"/>
          <w:w w:val="100"/>
          <w:position w:val="0"/>
        </w:rPr>
        <w:t>备的相关信息:</w:t>
      </w:r>
    </w:p>
    <w:p>
      <w:pPr>
        <w:pStyle w:val="Style12"/>
        <w:keepNext w:val="0"/>
        <w:keepLines w:val="0"/>
        <w:widowControl w:val="0"/>
        <w:shd w:val="clear" w:color="auto" w:fill="auto"/>
        <w:bidi w:val="0"/>
        <w:spacing w:before="0" w:after="18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本期合同资产计提减值准备情况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本期转回</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核销</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按账龄组合计提减值准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1</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02"/>
      <w:bookmarkEnd w:id="1303"/>
      <w:bookmarkEnd w:id="1305"/>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38"/>
        <w:keepNext/>
        <w:keepLines/>
        <w:widowControl w:val="0"/>
        <w:shd w:val="clear" w:color="auto" w:fill="auto"/>
        <w:tabs>
          <w:tab w:pos="474" w:val="left"/>
        </w:tabs>
        <w:bidi w:val="0"/>
        <w:spacing w:before="0" w:after="30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06"/>
      <w:bookmarkEnd w:id="1307"/>
      <w:bookmarkEnd w:id="1309"/>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74" w:val="left"/>
        </w:tabs>
        <w:bidi w:val="0"/>
        <w:spacing w:before="0" w:after="30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310"/>
      <w:bookmarkEnd w:id="1311"/>
      <w:bookmarkEnd w:id="131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保本固定型收益理财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1,548,310.46</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预缴车船税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1,622,639.59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51,623,299.59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1,548,310.46</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14"/>
      <w:bookmarkEnd w:id="1315"/>
      <w:bookmarkEnd w:id="1317"/>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74" w:val="left"/>
        </w:tabs>
        <w:bidi w:val="0"/>
        <w:spacing w:before="0" w:after="30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18"/>
      <w:bookmarkEnd w:id="1319"/>
      <w:bookmarkEnd w:id="1321"/>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74" w:val="left"/>
        </w:tabs>
        <w:bidi w:val="0"/>
        <w:spacing w:before="0" w:after="30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22"/>
      <w:bookmarkEnd w:id="1323"/>
      <w:bookmarkEnd w:id="1325"/>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74" w:val="left"/>
        </w:tabs>
        <w:bidi w:val="0"/>
        <w:spacing w:before="0" w:after="30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326"/>
      <w:bookmarkEnd w:id="1327"/>
      <w:bookmarkEnd w:id="1329"/>
    </w:p>
    <w:p>
      <w:pPr>
        <w:pStyle w:val="Style1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74" w:val="left"/>
        </w:tabs>
        <w:bidi w:val="0"/>
        <w:spacing w:before="0" w:after="34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330"/>
      <w:bookmarkEnd w:id="1331"/>
      <w:bookmarkEnd w:id="1333"/>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74" w:val="left"/>
        </w:tabs>
        <w:bidi w:val="0"/>
        <w:spacing w:before="0" w:after="34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334"/>
      <w:bookmarkEnd w:id="1335"/>
      <w:bookmarkEnd w:id="1337"/>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4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338"/>
      <w:bookmarkEnd w:id="1339"/>
      <w:bookmarkEnd w:id="1341"/>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0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342"/>
      <w:bookmarkEnd w:id="1343"/>
      <w:bookmarkEnd w:id="134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32,988,141.28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22,544,612.38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32,988,141.28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22,544,612.38</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46"/>
      <w:bookmarkEnd w:id="1347"/>
      <w:bookmarkEnd w:id="134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电子设备</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运输工具</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其他设备</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37,567,031.06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218,400.00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331,801.55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38,117,232.61</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24,162,817.30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124,108.62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24,286,925.92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24,162,817.30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124,108.62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24,286,925.92</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5" w:lineRule="exact"/>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）在建工程转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2,143,491.75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2,143,491.75</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2,143,491.75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2,143,491.75</w:t>
            </w: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59,586,356.61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218,400.00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455,910.17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60,260,666.78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15,225,294.32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207,480.00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139,845.91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15,572,620.23</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12,729,821.30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60,285.97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12,790,107.27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12,729,821.30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60,285.97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12,790,107.27</w:t>
            </w: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1,090,202.00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1,090,202.00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1,090,202.00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1,090,202.00</w:t>
            </w:r>
          </w:p>
        </w:tc>
      </w:tr>
      <w:tr>
        <w:trPr>
          <w:trHeight w:val="30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920"/>
        <w:gridCol w:w="1915"/>
        <w:gridCol w:w="1910"/>
        <w:gridCol w:w="1915"/>
        <w:gridCol w:w="1925"/>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26,864,913.62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200,131.88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27,272,525.50</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32,721,442.99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255,778.29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32,988,141.28</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22,341,736.74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191,955.64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22,544,612.38</w:t>
            </w:r>
          </w:p>
        </w:tc>
      </w:tr>
    </w:tbl>
    <w:p>
      <w:pPr>
        <w:widowControl w:val="0"/>
        <w:spacing w:after="279" w:line="1" w:lineRule="exact"/>
      </w:pPr>
    </w:p>
    <w:p>
      <w:pPr>
        <w:pStyle w:val="Style46"/>
        <w:keepNext/>
        <w:keepLines/>
        <w:widowControl w:val="0"/>
        <w:shd w:val="clear" w:color="auto" w:fill="auto"/>
        <w:tabs>
          <w:tab w:pos="493" w:val="left"/>
        </w:tabs>
        <w:bidi w:val="0"/>
        <w:spacing w:before="0" w:after="32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349"/>
      <w:bookmarkEnd w:id="1350"/>
      <w:bookmarkEnd w:id="1352"/>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46"/>
        <w:keepNext/>
        <w:keepLines/>
        <w:widowControl w:val="0"/>
        <w:shd w:val="clear" w:color="auto" w:fill="auto"/>
        <w:tabs>
          <w:tab w:pos="493" w:val="left"/>
        </w:tabs>
        <w:bidi w:val="0"/>
        <w:spacing w:before="0" w:after="32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353"/>
      <w:bookmarkEnd w:id="1354"/>
      <w:bookmarkEnd w:id="1356"/>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46"/>
        <w:keepNext/>
        <w:keepLines/>
        <w:widowControl w:val="0"/>
        <w:shd w:val="clear" w:color="auto" w:fill="auto"/>
        <w:tabs>
          <w:tab w:pos="493" w:val="left"/>
        </w:tabs>
        <w:bidi w:val="0"/>
        <w:spacing w:before="0" w:after="32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357"/>
      <w:bookmarkEnd w:id="1358"/>
      <w:bookmarkEnd w:id="1360"/>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46"/>
        <w:keepNext/>
        <w:keepLines/>
        <w:widowControl w:val="0"/>
        <w:shd w:val="clear" w:color="auto" w:fill="auto"/>
        <w:tabs>
          <w:tab w:pos="493" w:val="left"/>
        </w:tabs>
        <w:bidi w:val="0"/>
        <w:spacing w:before="0" w:after="32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5</w:t>
      </w:r>
      <w:r>
        <w:rPr>
          <w:color w:val="000000"/>
          <w:spacing w:val="0"/>
          <w:w w:val="100"/>
          <w:position w:val="0"/>
        </w:rPr>
        <w:t>）</w:t>
        <w:tab/>
        <w:t>固定资产清理</w:t>
      </w:r>
      <w:bookmarkEnd w:id="1361"/>
      <w:bookmarkEnd w:id="1362"/>
      <w:bookmarkEnd w:id="1364"/>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38"/>
        <w:keepNext/>
        <w:keepLines/>
        <w:widowControl w:val="0"/>
        <w:shd w:val="clear" w:color="auto" w:fill="auto"/>
        <w:tabs>
          <w:tab w:pos="483" w:val="left"/>
        </w:tabs>
        <w:bidi w:val="0"/>
        <w:spacing w:before="0" w:after="32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365"/>
      <w:bookmarkEnd w:id="1366"/>
      <w:bookmarkEnd w:id="1368"/>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38"/>
        <w:keepNext/>
        <w:keepLines/>
        <w:widowControl w:val="0"/>
        <w:shd w:val="clear" w:color="auto" w:fill="auto"/>
        <w:tabs>
          <w:tab w:pos="483" w:val="left"/>
        </w:tabs>
        <w:bidi w:val="0"/>
        <w:spacing w:before="0" w:after="32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69"/>
      <w:bookmarkEnd w:id="1370"/>
      <w:bookmarkEnd w:id="1372"/>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38"/>
        <w:keepNext/>
        <w:keepLines/>
        <w:widowControl w:val="0"/>
        <w:shd w:val="clear" w:color="auto" w:fill="auto"/>
        <w:tabs>
          <w:tab w:pos="483" w:val="left"/>
        </w:tabs>
        <w:bidi w:val="0"/>
        <w:spacing w:before="0" w:after="32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73"/>
      <w:bookmarkEnd w:id="1374"/>
      <w:bookmarkEnd w:id="1376"/>
    </w:p>
    <w:p>
      <w:pPr>
        <w:pStyle w:val="Style12"/>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不适用</w:t>
      </w:r>
      <w:r>
        <w:br w:type="page"/>
      </w:r>
    </w:p>
    <w:p>
      <w:pPr>
        <w:pStyle w:val="Style38"/>
        <w:keepNext/>
        <w:keepLines/>
        <w:widowControl w:val="0"/>
        <w:shd w:val="clear" w:color="auto" w:fill="auto"/>
        <w:bidi w:val="0"/>
        <w:spacing w:before="0" w:after="30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w:t>
      </w:r>
      <w:bookmarkEnd w:id="1379"/>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377"/>
      <w:bookmarkEnd w:id="1378"/>
      <w:bookmarkEnd w:id="138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66,833,051.31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66,833,051.31</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43,195,927.62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43,195,927.62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租入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43,195,927.62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43,195,927.62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21,926,957.69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21,926,957.69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21,926,957.69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21,926,957.69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88,102,021.24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88,102,021.24</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33,426,253.33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33,426,253.33</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33,426,253.33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33,426,253.33</w:t>
            </w:r>
          </w:p>
        </w:tc>
      </w:tr>
      <w:tr>
        <w:trPr>
          <w:trHeight w:val="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3,322,768.41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3,322,768.41</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3,322,768.41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3,322,768.41</w:t>
            </w: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30,103,484.92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30,103,484.92</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57,998,536.32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57,998,536.32</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66,833,051.31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66,833,051.31</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bookmarkEnd w:id="1383"/>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81"/>
      <w:bookmarkEnd w:id="1382"/>
      <w:bookmarkEnd w:id="1384"/>
    </w:p>
    <w:p>
      <w:pPr>
        <w:pStyle w:val="Style46"/>
        <w:keepNext/>
        <w:keepLines/>
        <w:widowControl w:val="0"/>
        <w:shd w:val="clear" w:color="auto" w:fill="auto"/>
        <w:bidi w:val="0"/>
        <w:spacing w:before="0" w:after="300" w:line="240" w:lineRule="auto"/>
        <w:ind w:left="0" w:right="0" w:firstLine="0"/>
        <w:jc w:val="left"/>
      </w:pPr>
      <w:bookmarkStart w:id="1385" w:name="bookmark1385"/>
      <w:bookmarkStart w:id="1386" w:name="bookmark1386"/>
      <w:bookmarkStart w:id="1387" w:name="bookmark13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85"/>
      <w:bookmarkEnd w:id="1386"/>
      <w:bookmarkEnd w:id="138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办公软件</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1,690,243.92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1,690,243.92</w:t>
            </w:r>
          </w:p>
        </w:tc>
      </w:tr>
      <w:tr>
        <w:trPr>
          <w:trHeight w:val="55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5"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1,145,226.23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1,145,226.23</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1,145,226.23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1,145,226.23</w:t>
            </w:r>
          </w:p>
        </w:tc>
      </w:tr>
    </w:tbl>
    <w:p>
      <w:pPr>
        <w:widowControl w:val="0"/>
        <w:spacing w:line="1" w:lineRule="exact"/>
      </w:pPr>
      <w:r>
        <w:br w:type="page"/>
      </w:r>
    </w:p>
    <w:tbl>
      <w:tblPr>
        <w:tblOverlap w:val="never"/>
        <w:jc w:val="center"/>
        <w:tblLayout w:type="fixed"/>
      </w:tblPr>
      <w:tblGrid>
        <w:gridCol w:w="1598"/>
        <w:gridCol w:w="1594"/>
        <w:gridCol w:w="1598"/>
        <w:gridCol w:w="1589"/>
        <w:gridCol w:w="1598"/>
        <w:gridCol w:w="1603"/>
      </w:tblGrid>
      <w:tr>
        <w:trPr>
          <w:trHeight w:val="56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2,835,470.15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2,835,470.15</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768,022.23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768,022.23</w:t>
            </w: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5"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552,668.31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552,668.31</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552,668.31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552,668.31</w:t>
            </w:r>
          </w:p>
        </w:tc>
      </w:tr>
      <w:tr>
        <w:trPr>
          <w:trHeight w:val="30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1,320,690.54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1,320,690.54</w:t>
            </w: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50"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1,514,779.61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1,514,779.61</w:t>
            </w: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50"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922,221.69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922,221.69</w:t>
            </w:r>
          </w:p>
        </w:tc>
      </w:tr>
    </w:tbl>
    <w:p>
      <w:pPr>
        <w:pStyle w:val="Style1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本期末通过公司内部研发形成的无形资产占无形资产余额的比例。</w:t>
      </w:r>
    </w:p>
    <w:p>
      <w:pPr>
        <w:pStyle w:val="Style46"/>
        <w:keepNext/>
        <w:keepLines/>
        <w:widowControl w:val="0"/>
        <w:shd w:val="clear" w:color="auto" w:fill="auto"/>
        <w:bidi w:val="0"/>
        <w:spacing w:before="0" w:after="34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88"/>
      <w:bookmarkEnd w:id="1389"/>
      <w:bookmarkEnd w:id="1391"/>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92"/>
      <w:bookmarkEnd w:id="1393"/>
      <w:bookmarkEnd w:id="1395"/>
    </w:p>
    <w:p>
      <w:pPr>
        <w:pStyle w:val="Style1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不适用</w:t>
      </w:r>
      <w:r>
        <w:br w:type="page"/>
      </w:r>
    </w:p>
    <w:p>
      <w:pPr>
        <w:pStyle w:val="Style38"/>
        <w:keepNext/>
        <w:keepLines/>
        <w:widowControl w:val="0"/>
        <w:shd w:val="clear" w:color="auto" w:fill="auto"/>
        <w:tabs>
          <w:tab w:pos="483" w:val="left"/>
        </w:tabs>
        <w:bidi w:val="0"/>
        <w:spacing w:before="0" w:after="34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396"/>
      <w:bookmarkEnd w:id="1397"/>
      <w:bookmarkEnd w:id="1399"/>
    </w:p>
    <w:p>
      <w:pPr>
        <w:pStyle w:val="Style1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0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bookmarkEnd w:id="1402"/>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400"/>
      <w:bookmarkEnd w:id="1401"/>
      <w:bookmarkEnd w:id="140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19,164,861.09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22,303,502.47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12,134,995.83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3,439,897.20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25,893,470.53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企业邮箱服务费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168,932.10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99,029.22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19,333,793.19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22,303,502.47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12,204,898.71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3,439,897.20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25,992,499.75</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04"/>
      <w:bookmarkEnd w:id="1405"/>
      <w:bookmarkEnd w:id="1407"/>
    </w:p>
    <w:p>
      <w:pPr>
        <w:pStyle w:val="Style46"/>
        <w:keepNext/>
        <w:keepLines/>
        <w:widowControl w:val="0"/>
        <w:shd w:val="clear" w:color="auto" w:fill="auto"/>
        <w:bidi w:val="0"/>
        <w:spacing w:before="0" w:after="300" w:line="240" w:lineRule="auto"/>
        <w:ind w:left="0" w:right="0" w:firstLine="0"/>
        <w:jc w:val="left"/>
      </w:pPr>
      <w:bookmarkStart w:id="1408" w:name="bookmark1408"/>
      <w:bookmarkStart w:id="1409" w:name="bookmark1409"/>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08"/>
      <w:bookmarkEnd w:id="1409"/>
      <w:bookmarkEnd w:id="141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递延所得税资产</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82,732,122.34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12,462,945.60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47,324,082.59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7,098,612.39</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13,812,192.91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3,453,048.23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7,811,503.78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1,171,725.57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104,355,819.03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17,087,719.40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47,324,082.59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7,098,612.39</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11"/>
      <w:bookmarkEnd w:id="1412"/>
      <w:bookmarkEnd w:id="1414"/>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46"/>
        <w:keepNext/>
        <w:keepLines/>
        <w:widowControl w:val="0"/>
        <w:shd w:val="clear" w:color="auto" w:fill="auto"/>
        <w:bidi w:val="0"/>
        <w:spacing w:before="0" w:after="30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15"/>
      <w:bookmarkEnd w:id="1416"/>
      <w:bookmarkEnd w:id="141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递延所得税资产和负债 期末互抵金额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抵销后递延所得税资产 或负债期末余额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递延所得税资产和负债 期初互抵金额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抵销后递延所得税资产 或负债期初余额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17,087,719.40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7,098,612.39</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19"/>
      <w:bookmarkEnd w:id="1420"/>
      <w:bookmarkEnd w:id="142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6,894,149.27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3,356,610.08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3,501,356.27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1,827,999.67</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10,395,505.54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5,184,609.75</w:t>
            </w:r>
          </w:p>
        </w:tc>
      </w:tr>
    </w:tbl>
    <w:p>
      <w:pPr>
        <w:pStyle w:val="Style46"/>
        <w:keepNext/>
        <w:keepLines/>
        <w:widowControl w:val="0"/>
        <w:shd w:val="clear" w:color="auto" w:fill="auto"/>
        <w:bidi w:val="0"/>
        <w:spacing w:before="0" w:after="30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23"/>
      <w:bookmarkEnd w:id="1424"/>
      <w:bookmarkEnd w:id="142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无到期日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3,501,356.27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1,827,999.67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3,501,356.27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1,827,999.67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27"/>
      <w:bookmarkEnd w:id="1428"/>
      <w:bookmarkEnd w:id="143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预付资产款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2,234,897.02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2,234,897.02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1,028,537.40</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2,234,897.02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2,234,897.02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1,028,537.40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1,028,537.40</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31"/>
      <w:bookmarkEnd w:id="1432"/>
      <w:bookmarkEnd w:id="1434"/>
    </w:p>
    <w:p>
      <w:pPr>
        <w:pStyle w:val="Style46"/>
        <w:keepNext/>
        <w:keepLines/>
        <w:widowControl w:val="0"/>
        <w:shd w:val="clear" w:color="auto" w:fill="auto"/>
        <w:bidi w:val="0"/>
        <w:spacing w:before="0" w:after="300" w:line="240" w:lineRule="auto"/>
        <w:ind w:left="0" w:right="0" w:firstLine="0"/>
        <w:jc w:val="left"/>
      </w:pPr>
      <w:bookmarkStart w:id="1435" w:name="bookmark1435"/>
      <w:bookmarkStart w:id="1436" w:name="bookmark1436"/>
      <w:bookmarkStart w:id="1437" w:name="bookmark14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35"/>
      <w:bookmarkEnd w:id="1436"/>
      <w:bookmarkEnd w:id="143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52,032,463.89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15,523,318.06</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质押及保证借款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9,014,150.00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质押、抵押及保证借款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40,063,250.00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应收账款保理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13,781,357.23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65,813,821.12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64,600,718.06</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438" w:name="bookmark1438"/>
      <w:bookmarkStart w:id="1439" w:name="bookmark1439"/>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38"/>
      <w:bookmarkEnd w:id="1439"/>
      <w:bookmarkEnd w:id="1440"/>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0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41"/>
      <w:bookmarkEnd w:id="1442"/>
      <w:bookmarkEnd w:id="1444"/>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0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45"/>
      <w:bookmarkEnd w:id="1446"/>
      <w:bookmarkEnd w:id="1448"/>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0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49"/>
      <w:bookmarkEnd w:id="1450"/>
      <w:bookmarkEnd w:id="1452"/>
    </w:p>
    <w:p>
      <w:pPr>
        <w:pStyle w:val="Style1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不适用</w:t>
      </w:r>
      <w:r>
        <w:br w:type="page"/>
      </w:r>
    </w:p>
    <w:p>
      <w:pPr>
        <w:pStyle w:val="Style38"/>
        <w:keepNext/>
        <w:keepLines/>
        <w:widowControl w:val="0"/>
        <w:shd w:val="clear" w:color="auto" w:fill="auto"/>
        <w:bidi w:val="0"/>
        <w:spacing w:before="0" w:after="30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53"/>
      <w:bookmarkEnd w:id="1454"/>
      <w:bookmarkEnd w:id="1456"/>
    </w:p>
    <w:p>
      <w:pPr>
        <w:pStyle w:val="Style46"/>
        <w:keepNext/>
        <w:keepLines/>
        <w:widowControl w:val="0"/>
        <w:shd w:val="clear" w:color="auto" w:fill="auto"/>
        <w:bidi w:val="0"/>
        <w:spacing w:before="0" w:after="30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57"/>
      <w:bookmarkEnd w:id="1458"/>
      <w:bookmarkEnd w:id="145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7,358,329.63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14,439,900.61</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资产采购款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4,617,183.18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7,135,401.90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3,517,729.29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1,755,400.96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15,493,242.10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23,330,703.47</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60"/>
      <w:bookmarkEnd w:id="1461"/>
      <w:bookmarkEnd w:id="1462"/>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0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463"/>
      <w:bookmarkEnd w:id="1464"/>
      <w:bookmarkEnd w:id="1466"/>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0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467"/>
      <w:bookmarkEnd w:id="1468"/>
      <w:bookmarkEnd w:id="147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预收服务款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8,218,749.64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1,655,821.15</w:t>
            </w:r>
          </w:p>
        </w:tc>
      </w:tr>
      <w:tr>
        <w:trPr>
          <w:trHeight w:val="326"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8,218,749.64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1,655,821.15</w:t>
            </w:r>
          </w:p>
        </w:tc>
      </w:tr>
    </w:tbl>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报告期内账面价值发生重大变动的金额和原因：不适用</w:t>
      </w:r>
    </w:p>
    <w:p>
      <w:pPr>
        <w:pStyle w:val="Style38"/>
        <w:keepNext/>
        <w:keepLines/>
        <w:widowControl w:val="0"/>
        <w:shd w:val="clear" w:color="auto" w:fill="auto"/>
        <w:bidi w:val="0"/>
        <w:spacing w:before="0" w:after="30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71"/>
      <w:bookmarkEnd w:id="1472"/>
      <w:bookmarkEnd w:id="1474"/>
    </w:p>
    <w:p>
      <w:pPr>
        <w:pStyle w:val="Style46"/>
        <w:keepNext/>
        <w:keepLines/>
        <w:widowControl w:val="0"/>
        <w:shd w:val="clear" w:color="auto" w:fill="auto"/>
        <w:bidi w:val="0"/>
        <w:spacing w:before="0" w:after="300" w:line="240" w:lineRule="auto"/>
        <w:ind w:left="0" w:right="0" w:firstLine="0"/>
        <w:jc w:val="left"/>
      </w:pPr>
      <w:bookmarkStart w:id="1475" w:name="bookmark1475"/>
      <w:bookmarkStart w:id="1476" w:name="bookmark1476"/>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75"/>
      <w:bookmarkEnd w:id="1476"/>
      <w:bookmarkEnd w:id="147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247,505,327.92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2,602,399,796.32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2,530,182,059.95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319,723,064.29</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978,081.14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111,447,149.39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103,933,159.82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8,492,070.71</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198,971.68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5,388,971.20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5,347,178.87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240,764.01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248,682,380.74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2,719,235,916.91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2,639,462,398.64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328,455,899.01</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478" w:name="bookmark1478"/>
      <w:bookmarkStart w:id="1479" w:name="bookmark1479"/>
      <w:bookmarkStart w:id="1480" w:name="bookmark14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78"/>
      <w:bookmarkEnd w:id="1479"/>
      <w:bookmarkEnd w:id="148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 和补贴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242,349,321.08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2,484,204,856.26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2,415,268,964.15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311,285,213.19</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19,927,714.66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19,927,714.66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4,055,450.25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66,921,929.03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64,321,427.56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6,655,951.72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3,952,783.69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63,492,974.64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61,029,114.04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6,416,644.29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24,507.28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1,704,517.41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1,557,685.10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171,339.59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78,159.28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1,724,436.98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1,734,628.42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67,967.84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1,071,105.68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30,651,416.14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29,998,759.49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1,723,762.33</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5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29,450.91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665,194.09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58,137.05</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247,505,327.92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2,602,399,796.32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2,530,182,059.95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319,723,064.29</w:t>
            </w:r>
          </w:p>
        </w:tc>
      </w:tr>
    </w:tbl>
    <w:p>
      <w:pPr>
        <w:widowControl w:val="0"/>
        <w:spacing w:after="299" w:line="1" w:lineRule="exact"/>
      </w:pPr>
    </w:p>
    <w:p>
      <w:pPr>
        <w:pStyle w:val="Style46"/>
        <w:keepNext/>
        <w:keepLines/>
        <w:widowControl w:val="0"/>
        <w:numPr>
          <w:ilvl w:val="0"/>
          <w:numId w:val="71"/>
        </w:numPr>
        <w:shd w:val="clear" w:color="auto" w:fill="auto"/>
        <w:bidi w:val="0"/>
        <w:spacing w:before="0" w:after="300" w:line="240" w:lineRule="auto"/>
        <w:ind w:left="0" w:right="0" w:firstLine="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设定提存计划列示</w:t>
      </w:r>
      <w:bookmarkEnd w:id="1481"/>
      <w:bookmarkEnd w:id="1482"/>
      <w:bookmarkEnd w:id="148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941,693.69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107,687,693.39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100,419,610.39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8,209,776.69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36,387.45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3,759,456.00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3,513,549.43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282,294.02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978,081.14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111,447,149.39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103,933,159.82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8,492,070.71</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85"/>
      <w:bookmarkEnd w:id="1486"/>
      <w:bookmarkEnd w:id="148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34,091,002.61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29,572,612.43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4,152,902.78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20,333,123.64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7,010,202.85</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2,366,600.98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2,032,074.94</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1,017,869.90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870,889.26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678,579.94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580,592.84</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196,761.30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194,899.30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62,836,841.15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40,261,271.62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89"/>
      <w:bookmarkEnd w:id="1490"/>
      <w:bookmarkEnd w:id="149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15,200,421.49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10,694,309.62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15,200,421.49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10,694,309.62</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93"/>
      <w:bookmarkEnd w:id="1494"/>
      <w:bookmarkEnd w:id="1495"/>
    </w:p>
    <w:p>
      <w:pPr>
        <w:pStyle w:val="Style1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40" w:line="240" w:lineRule="auto"/>
        <w:ind w:left="0" w:right="0" w:firstLine="0"/>
        <w:jc w:val="both"/>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496"/>
      <w:bookmarkEnd w:id="1497"/>
      <w:bookmarkEnd w:id="1499"/>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0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500"/>
      <w:bookmarkEnd w:id="1501"/>
      <w:bookmarkEnd w:id="1503"/>
    </w:p>
    <w:p>
      <w:pPr>
        <w:pStyle w:val="Style72"/>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04"/>
      <w:bookmarkEnd w:id="1505"/>
      <w:bookmarkEnd w:id="150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应付暂收款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1,429,238.14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1,361,036.18</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应付未付款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6,186,310.52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5,381,235.01</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代扣代缴社保、公积金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7,155,403.74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3,822,038.43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429,469.09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15,200,421.49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10,694,309.62</w:t>
            </w:r>
          </w:p>
        </w:tc>
      </w:tr>
    </w:tbl>
    <w:p>
      <w:pPr>
        <w:widowControl w:val="0"/>
        <w:spacing w:after="299" w:line="1" w:lineRule="exact"/>
      </w:pPr>
    </w:p>
    <w:p>
      <w:pPr>
        <w:pStyle w:val="Style72"/>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bookmarkEnd w:id="150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07"/>
      <w:bookmarkEnd w:id="1508"/>
      <w:bookmarkEnd w:id="1510"/>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0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4</w:t>
      </w:r>
      <w:bookmarkEnd w:id="1513"/>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11"/>
      <w:bookmarkEnd w:id="1512"/>
      <w:bookmarkEnd w:id="1514"/>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0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15"/>
      <w:bookmarkEnd w:id="1516"/>
      <w:bookmarkEnd w:id="151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7,210,554.50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30,526,336.05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26,943,146.28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30,526,336.05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34,153,700.78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4</w:t>
      </w:r>
      <w:bookmarkEnd w:id="152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19"/>
      <w:bookmarkEnd w:id="1520"/>
      <w:bookmarkEnd w:id="152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预收服务款增值税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475,563.85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102,074.92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475,563.85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102,074.92</w:t>
            </w:r>
          </w:p>
        </w:tc>
      </w:tr>
    </w:tbl>
    <w:p>
      <w:pPr>
        <w:pStyle w:val="Style12"/>
        <w:keepNext w:val="0"/>
        <w:keepLines w:val="0"/>
        <w:widowControl w:val="0"/>
        <w:shd w:val="clear" w:color="auto" w:fill="auto"/>
        <w:bidi w:val="0"/>
        <w:spacing w:before="0" w:after="300" w:line="240" w:lineRule="auto"/>
        <w:ind w:left="0" w:right="0" w:firstLine="0"/>
        <w:jc w:val="left"/>
      </w:pPr>
      <w:r>
        <w:rPr>
          <w:color w:val="000000"/>
          <w:spacing w:val="0"/>
          <w:w w:val="100"/>
          <w:position w:val="0"/>
        </w:rPr>
        <w:t>短期应付债券的增减变动：不适用</w:t>
      </w:r>
      <w:r>
        <w:br w:type="page"/>
      </w:r>
    </w:p>
    <w:p>
      <w:pPr>
        <w:pStyle w:val="Style38"/>
        <w:keepNext/>
        <w:keepLines/>
        <w:widowControl w:val="0"/>
        <w:shd w:val="clear" w:color="auto" w:fill="auto"/>
        <w:bidi w:val="0"/>
        <w:spacing w:before="0" w:after="32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23"/>
      <w:bookmarkEnd w:id="1524"/>
      <w:bookmarkEnd w:id="1526"/>
    </w:p>
    <w:p>
      <w:pPr>
        <w:pStyle w:val="Style46"/>
        <w:keepNext/>
        <w:keepLines/>
        <w:widowControl w:val="0"/>
        <w:shd w:val="clear" w:color="auto" w:fill="auto"/>
        <w:bidi w:val="0"/>
        <w:spacing w:before="0" w:after="320" w:line="240" w:lineRule="auto"/>
        <w:ind w:left="0" w:right="0" w:firstLine="0"/>
        <w:jc w:val="left"/>
      </w:pPr>
      <w:bookmarkStart w:id="1527" w:name="bookmark1527"/>
      <w:bookmarkStart w:id="1528" w:name="bookmark1528"/>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27"/>
      <w:bookmarkEnd w:id="1528"/>
      <w:bookmarkEnd w:id="1529"/>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4</w:t>
      </w:r>
      <w:bookmarkEnd w:id="1532"/>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30"/>
      <w:bookmarkEnd w:id="1531"/>
      <w:bookmarkEnd w:id="1533"/>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34"/>
      <w:bookmarkEnd w:id="1535"/>
      <w:bookmarkEnd w:id="1537"/>
    </w:p>
    <w:p>
      <w:pPr>
        <w:widowControl w:val="0"/>
        <w:spacing w:line="1" w:lineRule="exact"/>
      </w:pPr>
      <w:r>
        <mc:AlternateContent>
          <mc:Choice Requires="wps">
            <w:drawing>
              <wp:anchor distT="114300" distB="0" distL="0" distR="0" simplePos="0" relativeHeight="125829396" behindDoc="0" locked="0" layoutInCell="1" allowOverlap="1">
                <wp:simplePos x="0" y="0"/>
                <wp:positionH relativeFrom="page">
                  <wp:posOffset>704215</wp:posOffset>
                </wp:positionH>
                <wp:positionV relativeFrom="paragraph">
                  <wp:posOffset>114300</wp:posOffset>
                </wp:positionV>
                <wp:extent cx="265430" cy="194945"/>
                <wp:wrapTopAndBottom/>
                <wp:docPr id="53" name="Shape 53"/>
                <a:graphic xmlns:a="http://schemas.openxmlformats.org/drawingml/2006/main">
                  <a:graphicData uri="http://schemas.microsoft.com/office/word/2010/wordprocessingShape">
                    <wps:wsp>
                      <wps:cNvSpPr txBox="1"/>
                      <wps:spPr>
                        <a:xfrm>
                          <a:ext cx="265430" cy="19494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pPr>
                            <w:bookmarkStart w:id="774" w:name="bookmark774"/>
                            <w:r>
                              <w:rPr>
                                <w:rFonts w:ascii="Times New Roman" w:eastAsia="Times New Roman" w:hAnsi="Times New Roman" w:cs="Times New Roman"/>
                                <w:b/>
                                <w:bCs/>
                                <w:color w:val="000000"/>
                                <w:spacing w:val="0"/>
                                <w:w w:val="100"/>
                                <w:position w:val="0"/>
                              </w:rPr>
                              <w:t>48</w:t>
                            </w:r>
                            <w:r>
                              <w:rPr>
                                <w:b/>
                                <w:bCs/>
                                <w:color w:val="000000"/>
                                <w:spacing w:val="0"/>
                                <w:w w:val="100"/>
                                <w:position w:val="0"/>
                              </w:rPr>
                              <w:t>、</w:t>
                            </w:r>
                            <w:bookmarkEnd w:id="774"/>
                          </w:p>
                        </w:txbxContent>
                      </wps:txbx>
                      <wps:bodyPr wrap="none" lIns="0" tIns="0" rIns="0" bIns="0">
                        <a:noAutoFit/>
                      </wps:bodyPr>
                    </wps:wsp>
                  </a:graphicData>
                </a:graphic>
              </wp:anchor>
            </w:drawing>
          </mc:Choice>
          <mc:Fallback>
            <w:pict>
              <v:shape id="_x0000_s1079" type="#_x0000_t202" style="position:absolute;margin-left:55.450000000000003pt;margin-top:9.pt;width:20.900000000000002pt;height:15.35pt;z-index:-125829357;mso-wrap-distance-left:0;mso-wrap-distance-top:9.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both"/>
                      </w:pPr>
                      <w:bookmarkStart w:id="774" w:name="bookmark774"/>
                      <w:r>
                        <w:rPr>
                          <w:rFonts w:ascii="Times New Roman" w:eastAsia="Times New Roman" w:hAnsi="Times New Roman" w:cs="Times New Roman"/>
                          <w:b/>
                          <w:bCs/>
                          <w:color w:val="000000"/>
                          <w:spacing w:val="0"/>
                          <w:w w:val="100"/>
                          <w:position w:val="0"/>
                        </w:rPr>
                        <w:t>48</w:t>
                      </w:r>
                      <w:r>
                        <w:rPr>
                          <w:b/>
                          <w:bCs/>
                          <w:color w:val="000000"/>
                          <w:spacing w:val="0"/>
                          <w:w w:val="100"/>
                          <w:position w:val="0"/>
                        </w:rPr>
                        <w:t>、</w:t>
                      </w:r>
                      <w:bookmarkEnd w:id="774"/>
                    </w:p>
                  </w:txbxContent>
                </v:textbox>
                <w10:wrap type="topAndBottom" anchorx="page"/>
              </v:shape>
            </w:pict>
          </mc:Fallback>
        </mc:AlternateContent>
      </w:r>
      <w:r>
        <mc:AlternateContent>
          <mc:Choice Requires="wps">
            <w:drawing>
              <wp:anchor distT="126365" distB="8890" distL="0" distR="0" simplePos="0" relativeHeight="125829398" behindDoc="0" locked="0" layoutInCell="1" allowOverlap="1">
                <wp:simplePos x="0" y="0"/>
                <wp:positionH relativeFrom="page">
                  <wp:posOffset>972185</wp:posOffset>
                </wp:positionH>
                <wp:positionV relativeFrom="paragraph">
                  <wp:posOffset>126365</wp:posOffset>
                </wp:positionV>
                <wp:extent cx="697865" cy="173990"/>
                <wp:wrapTopAndBottom/>
                <wp:docPr id="55" name="Shape 55"/>
                <a:graphic xmlns:a="http://schemas.openxmlformats.org/drawingml/2006/main">
                  <a:graphicData uri="http://schemas.microsoft.com/office/word/2010/wordprocessingShape">
                    <wps:wsp>
                      <wps:cNvSpPr txBox="1"/>
                      <wps:spPr>
                        <a:xfrm>
                          <a:ext cx="697865" cy="1739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长期应付款</w:t>
                            </w:r>
                          </w:p>
                        </w:txbxContent>
                      </wps:txbx>
                      <wps:bodyPr wrap="none" lIns="0" tIns="0" rIns="0" bIns="0">
                        <a:noAutoFit/>
                      </wps:bodyPr>
                    </wps:wsp>
                  </a:graphicData>
                </a:graphic>
              </wp:anchor>
            </w:drawing>
          </mc:Choice>
          <mc:Fallback>
            <w:pict>
              <v:shape id="_x0000_s1081" type="#_x0000_t202" style="position:absolute;margin-left:76.549999999999997pt;margin-top:9.9500000000000011pt;width:54.950000000000003pt;height:13.700000000000001pt;z-index:-125829355;mso-wrap-distance-left:0;mso-wrap-distance-top:9.9500000000000011pt;mso-wrap-distance-right:0;mso-wrap-distance-bottom:0.70000000000000007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长期应付款</w:t>
                      </w:r>
                    </w:p>
                  </w:txbxContent>
                </v:textbox>
                <w10:wrap type="topAndBottom" anchorx="page"/>
              </v:shape>
            </w:pict>
          </mc:Fallback>
        </mc:AlternateConten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尚未支付的租赁付款额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32,773,123.76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44,699,574.77</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减：未确认融资费用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-1,645,267.51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-2,756,145.55</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31,127,856.25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41,943,429.22</w:t>
            </w:r>
          </w:p>
        </w:tc>
      </w:tr>
    </w:tbl>
    <w:p>
      <w:pPr>
        <w:sectPr>
          <w:footnotePr>
            <w:pos w:val="pageBottom"/>
            <w:numFmt w:val="decimal"/>
            <w:numRestart w:val="continuous"/>
          </w:footnotePr>
          <w:pgSz w:w="11900" w:h="16840"/>
          <w:pgMar w:top="1273" w:right="1004" w:bottom="1446" w:left="1003" w:header="0" w:footer="3" w:gutter="0"/>
          <w:cols w:space="720"/>
          <w:noEndnote/>
          <w:rtlGutter w:val="0"/>
          <w:docGrid w:linePitch="360"/>
        </w:sectPr>
      </w:pPr>
    </w:p>
    <w:p>
      <w:pPr>
        <w:widowControl w:val="0"/>
        <w:spacing w:line="230" w:lineRule="exact"/>
        <w:rPr>
          <w:sz w:val="18"/>
          <w:szCs w:val="18"/>
        </w:rPr>
      </w:pPr>
    </w:p>
    <w:p>
      <w:pPr>
        <w:widowControl w:val="0"/>
        <w:spacing w:line="1" w:lineRule="exact"/>
        <w:sectPr>
          <w:footnotePr>
            <w:pos w:val="pageBottom"/>
            <w:numFmt w:val="decimal"/>
            <w:numRestart w:val="continuous"/>
          </w:footnotePr>
          <w:type w:val="continuous"/>
          <w:pgSz w:w="11900" w:h="16840"/>
          <w:pgMar w:top="1431" w:right="0" w:bottom="1570" w:left="0" w:header="0" w:footer="3" w:gutter="0"/>
          <w:cols w:space="720"/>
          <w:noEndnote/>
          <w:rtlGutter w:val="0"/>
          <w:docGrid w:linePitch="360"/>
        </w:sectPr>
      </w:pPr>
    </w:p>
    <w:p>
      <w:pPr>
        <w:pStyle w:val="Style1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p>
      <w:pPr>
        <w:widowControl w:val="0"/>
        <w:spacing w:line="1" w:lineRule="exact"/>
        <w:sectPr>
          <w:footnotePr>
            <w:pos w:val="pageBottom"/>
            <w:numFmt w:val="decimal"/>
            <w:numRestart w:val="continuous"/>
          </w:footnotePr>
          <w:type w:val="continuous"/>
          <w:pgSz w:w="11900" w:h="16840"/>
          <w:pgMar w:top="1431" w:right="1114" w:bottom="1570" w:left="1104" w:header="0" w:footer="3" w:gutter="0"/>
          <w:cols w:space="720"/>
          <w:noEndnote/>
          <w:rtlGutter w:val="0"/>
          <w:docGrid w:linePitch="360"/>
        </w:sectPr>
      </w:pPr>
      <w:r>
        <mc:AlternateContent>
          <mc:Choice Requires="wps">
            <w:drawing>
              <wp:anchor distT="203200" distB="0" distL="0" distR="0" simplePos="0" relativeHeight="125829400" behindDoc="0" locked="0" layoutInCell="1" allowOverlap="1">
                <wp:simplePos x="0" y="0"/>
                <wp:positionH relativeFrom="page">
                  <wp:posOffset>704215</wp:posOffset>
                </wp:positionH>
                <wp:positionV relativeFrom="paragraph">
                  <wp:posOffset>203200</wp:posOffset>
                </wp:positionV>
                <wp:extent cx="265430" cy="198120"/>
                <wp:wrapTopAndBottom/>
                <wp:docPr id="57" name="Shape 57"/>
                <a:graphic xmlns:a="http://schemas.openxmlformats.org/drawingml/2006/main">
                  <a:graphicData uri="http://schemas.microsoft.com/office/word/2010/wordprocessingShape">
                    <wps:wsp>
                      <wps:cNvSpPr txBox="1"/>
                      <wps:spPr>
                        <a:xfrm>
                          <a:ext cx="265430" cy="1981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pPr>
                            <w:bookmarkStart w:id="1538" w:name="bookmark1538"/>
                            <w:r>
                              <w:rPr>
                                <w:rFonts w:ascii="Times New Roman" w:eastAsia="Times New Roman" w:hAnsi="Times New Roman" w:cs="Times New Roman"/>
                                <w:b/>
                                <w:bCs/>
                                <w:color w:val="000000"/>
                                <w:spacing w:val="0"/>
                                <w:w w:val="100"/>
                                <w:position w:val="0"/>
                              </w:rPr>
                              <w:t>49</w:t>
                            </w:r>
                            <w:r>
                              <w:rPr>
                                <w:b/>
                                <w:bCs/>
                                <w:color w:val="000000"/>
                                <w:spacing w:val="0"/>
                                <w:w w:val="100"/>
                                <w:position w:val="0"/>
                              </w:rPr>
                              <w:t>、</w:t>
                            </w:r>
                            <w:bookmarkEnd w:id="1538"/>
                          </w:p>
                        </w:txbxContent>
                      </wps:txbx>
                      <wps:bodyPr wrap="none" lIns="0" tIns="0" rIns="0" bIns="0">
                        <a:noAutoFit/>
                      </wps:bodyPr>
                    </wps:wsp>
                  </a:graphicData>
                </a:graphic>
              </wp:anchor>
            </w:drawing>
          </mc:Choice>
          <mc:Fallback>
            <w:pict>
              <v:shape id="_x0000_s1083" type="#_x0000_t202" style="position:absolute;margin-left:55.450000000000003pt;margin-top:16.pt;width:20.900000000000002pt;height:15.6pt;z-index:-125829353;mso-wrap-distance-left:0;mso-wrap-distance-top:16.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both"/>
                      </w:pPr>
                      <w:bookmarkStart w:id="1538" w:name="bookmark1538"/>
                      <w:r>
                        <w:rPr>
                          <w:rFonts w:ascii="Times New Roman" w:eastAsia="Times New Roman" w:hAnsi="Times New Roman" w:cs="Times New Roman"/>
                          <w:b/>
                          <w:bCs/>
                          <w:color w:val="000000"/>
                          <w:spacing w:val="0"/>
                          <w:w w:val="100"/>
                          <w:position w:val="0"/>
                        </w:rPr>
                        <w:t>49</w:t>
                      </w:r>
                      <w:r>
                        <w:rPr>
                          <w:b/>
                          <w:bCs/>
                          <w:color w:val="000000"/>
                          <w:spacing w:val="0"/>
                          <w:w w:val="100"/>
                          <w:position w:val="0"/>
                        </w:rPr>
                        <w:t>、</w:t>
                      </w:r>
                      <w:bookmarkEnd w:id="1538"/>
                    </w:p>
                  </w:txbxContent>
                </v:textbox>
                <w10:wrap type="topAndBottom" anchorx="page"/>
              </v:shape>
            </w:pict>
          </mc:Fallback>
        </mc:AlternateContent>
      </w:r>
      <w:r>
        <mc:AlternateContent>
          <mc:Choice Requires="wps">
            <w:drawing>
              <wp:anchor distT="215265" distB="18415" distL="0" distR="0" simplePos="0" relativeHeight="125829402" behindDoc="0" locked="0" layoutInCell="1" allowOverlap="1">
                <wp:simplePos x="0" y="0"/>
                <wp:positionH relativeFrom="page">
                  <wp:posOffset>972185</wp:posOffset>
                </wp:positionH>
                <wp:positionV relativeFrom="paragraph">
                  <wp:posOffset>215265</wp:posOffset>
                </wp:positionV>
                <wp:extent cx="1100455" cy="167640"/>
                <wp:wrapTopAndBottom/>
                <wp:docPr id="59" name="Shape 59"/>
                <a:graphic xmlns:a="http://schemas.openxmlformats.org/drawingml/2006/main">
                  <a:graphicData uri="http://schemas.microsoft.com/office/word/2010/wordprocessingShape">
                    <wps:wsp>
                      <wps:cNvSpPr txBox="1"/>
                      <wps:spPr>
                        <a:xfrm>
                          <a:ext cx="1100455"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长期应付职工薪酬</w:t>
                            </w:r>
                          </w:p>
                        </w:txbxContent>
                      </wps:txbx>
                      <wps:bodyPr wrap="none" lIns="0" tIns="0" rIns="0" bIns="0">
                        <a:noAutoFit/>
                      </wps:bodyPr>
                    </wps:wsp>
                  </a:graphicData>
                </a:graphic>
              </wp:anchor>
            </w:drawing>
          </mc:Choice>
          <mc:Fallback>
            <w:pict>
              <v:shape id="_x0000_s1085" type="#_x0000_t202" style="position:absolute;margin-left:76.549999999999997pt;margin-top:16.949999999999999pt;width:86.650000000000006pt;height:13.200000000000001pt;z-index:-125829351;mso-wrap-distance-left:0;mso-wrap-distance-top:16.949999999999999pt;mso-wrap-distance-right:0;mso-wrap-distance-bottom:1.4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长期应付职工薪酬</w:t>
                      </w:r>
                    </w:p>
                  </w:txbxContent>
                </v:textbox>
                <w10:wrap type="topAndBottom" anchorx="page"/>
              </v:shape>
            </w:pict>
          </mc:Fallback>
        </mc:AlternateContent>
      </w:r>
    </w:p>
    <w:p>
      <w:pPr>
        <w:widowControl w:val="0"/>
        <w:spacing w:line="203" w:lineRule="exact"/>
        <w:rPr>
          <w:sz w:val="16"/>
          <w:szCs w:val="16"/>
        </w:rPr>
      </w:pPr>
    </w:p>
    <w:p>
      <w:pPr>
        <w:widowControl w:val="0"/>
        <w:spacing w:line="1" w:lineRule="exact"/>
        <w:sectPr>
          <w:footnotePr>
            <w:pos w:val="pageBottom"/>
            <w:numFmt w:val="decimal"/>
            <w:numRestart w:val="continuous"/>
          </w:footnotePr>
          <w:type w:val="continuous"/>
          <w:pgSz w:w="11900" w:h="16840"/>
          <w:pgMar w:top="1431" w:right="0" w:bottom="1570" w:left="0" w:header="0" w:footer="3" w:gutter="0"/>
          <w:cols w:space="720"/>
          <w:noEndnote/>
          <w:rtlGutter w:val="0"/>
          <w:docGrid w:linePitch="360"/>
        </w:sectPr>
      </w:pPr>
    </w:p>
    <w:p>
      <w:pPr>
        <w:pStyle w:val="Style1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p>
      <w:pPr>
        <w:widowControl w:val="0"/>
        <w:spacing w:line="1" w:lineRule="exact"/>
        <w:sectPr>
          <w:footnotePr>
            <w:pos w:val="pageBottom"/>
            <w:numFmt w:val="decimal"/>
            <w:numRestart w:val="continuous"/>
          </w:footnotePr>
          <w:type w:val="continuous"/>
          <w:pgSz w:w="11900" w:h="16840"/>
          <w:pgMar w:top="1431" w:right="1114" w:bottom="1570" w:left="1104" w:header="0" w:footer="3" w:gutter="0"/>
          <w:cols w:space="720"/>
          <w:noEndnote/>
          <w:rtlGutter w:val="0"/>
          <w:docGrid w:linePitch="360"/>
        </w:sectPr>
      </w:pPr>
      <w:r>
        <mc:AlternateContent>
          <mc:Choice Requires="wps">
            <w:drawing>
              <wp:anchor distT="203200" distB="0" distL="0" distR="0" simplePos="0" relativeHeight="125829404" behindDoc="0" locked="0" layoutInCell="1" allowOverlap="1">
                <wp:simplePos x="0" y="0"/>
                <wp:positionH relativeFrom="page">
                  <wp:posOffset>704215</wp:posOffset>
                </wp:positionH>
                <wp:positionV relativeFrom="paragraph">
                  <wp:posOffset>203200</wp:posOffset>
                </wp:positionV>
                <wp:extent cx="265430" cy="198120"/>
                <wp:wrapTopAndBottom/>
                <wp:docPr id="61" name="Shape 61"/>
                <a:graphic xmlns:a="http://schemas.openxmlformats.org/drawingml/2006/main">
                  <a:graphicData uri="http://schemas.microsoft.com/office/word/2010/wordprocessingShape">
                    <wps:wsp>
                      <wps:cNvSpPr txBox="1"/>
                      <wps:spPr>
                        <a:xfrm>
                          <a:ext cx="265430" cy="1981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pPr>
                            <w:bookmarkStart w:id="1539" w:name="bookmark1539"/>
                            <w:r>
                              <w:rPr>
                                <w:rFonts w:ascii="Times New Roman" w:eastAsia="Times New Roman" w:hAnsi="Times New Roman" w:cs="Times New Roman"/>
                                <w:b/>
                                <w:bCs/>
                                <w:color w:val="000000"/>
                                <w:spacing w:val="0"/>
                                <w:w w:val="100"/>
                                <w:position w:val="0"/>
                              </w:rPr>
                              <w:t>50</w:t>
                            </w:r>
                            <w:r>
                              <w:rPr>
                                <w:b/>
                                <w:bCs/>
                                <w:color w:val="000000"/>
                                <w:spacing w:val="0"/>
                                <w:w w:val="100"/>
                                <w:position w:val="0"/>
                              </w:rPr>
                              <w:t>、</w:t>
                            </w:r>
                            <w:bookmarkEnd w:id="1539"/>
                          </w:p>
                        </w:txbxContent>
                      </wps:txbx>
                      <wps:bodyPr wrap="none" lIns="0" tIns="0" rIns="0" bIns="0">
                        <a:noAutoFit/>
                      </wps:bodyPr>
                    </wps:wsp>
                  </a:graphicData>
                </a:graphic>
              </wp:anchor>
            </w:drawing>
          </mc:Choice>
          <mc:Fallback>
            <w:pict>
              <v:shape id="_x0000_s1087" type="#_x0000_t202" style="position:absolute;margin-left:55.450000000000003pt;margin-top:16.pt;width:20.900000000000002pt;height:15.6pt;z-index:-125829349;mso-wrap-distance-left:0;mso-wrap-distance-top:16.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both"/>
                      </w:pPr>
                      <w:bookmarkStart w:id="1539" w:name="bookmark1539"/>
                      <w:r>
                        <w:rPr>
                          <w:rFonts w:ascii="Times New Roman" w:eastAsia="Times New Roman" w:hAnsi="Times New Roman" w:cs="Times New Roman"/>
                          <w:b/>
                          <w:bCs/>
                          <w:color w:val="000000"/>
                          <w:spacing w:val="0"/>
                          <w:w w:val="100"/>
                          <w:position w:val="0"/>
                        </w:rPr>
                        <w:t>50</w:t>
                      </w:r>
                      <w:r>
                        <w:rPr>
                          <w:b/>
                          <w:bCs/>
                          <w:color w:val="000000"/>
                          <w:spacing w:val="0"/>
                          <w:w w:val="100"/>
                          <w:position w:val="0"/>
                        </w:rPr>
                        <w:t>、</w:t>
                      </w:r>
                      <w:bookmarkEnd w:id="1539"/>
                    </w:p>
                  </w:txbxContent>
                </v:textbox>
                <w10:wrap type="topAndBottom" anchorx="page"/>
              </v:shape>
            </w:pict>
          </mc:Fallback>
        </mc:AlternateContent>
      </w:r>
      <w:r>
        <mc:AlternateContent>
          <mc:Choice Requires="wps">
            <w:drawing>
              <wp:anchor distT="215265" distB="12065" distL="0" distR="0" simplePos="0" relativeHeight="125829406" behindDoc="0" locked="0" layoutInCell="1" allowOverlap="1">
                <wp:simplePos x="0" y="0"/>
                <wp:positionH relativeFrom="page">
                  <wp:posOffset>972185</wp:posOffset>
                </wp:positionH>
                <wp:positionV relativeFrom="paragraph">
                  <wp:posOffset>215265</wp:posOffset>
                </wp:positionV>
                <wp:extent cx="563880" cy="173990"/>
                <wp:wrapTopAndBottom/>
                <wp:docPr id="63" name="Shape 63"/>
                <a:graphic xmlns:a="http://schemas.openxmlformats.org/drawingml/2006/main">
                  <a:graphicData uri="http://schemas.microsoft.com/office/word/2010/wordprocessingShape">
                    <wps:wsp>
                      <wps:cNvSpPr txBox="1"/>
                      <wps:spPr>
                        <a:xfrm>
                          <a:ext cx="563880" cy="1739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预计负债</w:t>
                            </w:r>
                          </w:p>
                        </w:txbxContent>
                      </wps:txbx>
                      <wps:bodyPr wrap="none" lIns="0" tIns="0" rIns="0" bIns="0">
                        <a:noAutoFit/>
                      </wps:bodyPr>
                    </wps:wsp>
                  </a:graphicData>
                </a:graphic>
              </wp:anchor>
            </w:drawing>
          </mc:Choice>
          <mc:Fallback>
            <w:pict>
              <v:shape id="_x0000_s1089" type="#_x0000_t202" style="position:absolute;margin-left:76.549999999999997pt;margin-top:16.949999999999999pt;width:44.399999999999999pt;height:13.700000000000001pt;z-index:-125829347;mso-wrap-distance-left:0;mso-wrap-distance-top:16.949999999999999pt;mso-wrap-distance-right:0;mso-wrap-distance-bottom:0.95000000000000007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预计负债</w:t>
                      </w:r>
                    </w:p>
                  </w:txbxContent>
                </v:textbox>
                <w10:wrap type="topAndBottom" anchorx="page"/>
              </v:shape>
            </w:pict>
          </mc:Fallback>
        </mc:AlternateContent>
      </w:r>
    </w:p>
    <w:p>
      <w:pPr>
        <w:widowControl w:val="0"/>
        <w:spacing w:line="203" w:lineRule="exact"/>
        <w:rPr>
          <w:sz w:val="16"/>
          <w:szCs w:val="16"/>
        </w:rPr>
      </w:pPr>
    </w:p>
    <w:p>
      <w:pPr>
        <w:widowControl w:val="0"/>
        <w:spacing w:line="1" w:lineRule="exact"/>
        <w:sectPr>
          <w:footnotePr>
            <w:pos w:val="pageBottom"/>
            <w:numFmt w:val="decimal"/>
            <w:numRestart w:val="continuous"/>
          </w:footnotePr>
          <w:type w:val="continuous"/>
          <w:pgSz w:w="11900" w:h="16840"/>
          <w:pgMar w:top="1431" w:right="0" w:bottom="1570" w:left="0" w:header="0" w:footer="3" w:gutter="0"/>
          <w:cols w:space="720"/>
          <w:noEndnote/>
          <w:rtlGutter w:val="0"/>
          <w:docGrid w:linePitch="360"/>
        </w:sectPr>
      </w:pPr>
    </w:p>
    <w:p>
      <w:pPr>
        <w:pStyle w:val="Style1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p>
      <w:pPr>
        <w:widowControl w:val="0"/>
        <w:spacing w:line="1" w:lineRule="exact"/>
        <w:sectPr>
          <w:footnotePr>
            <w:pos w:val="pageBottom"/>
            <w:numFmt w:val="decimal"/>
            <w:numRestart w:val="continuous"/>
          </w:footnotePr>
          <w:type w:val="continuous"/>
          <w:pgSz w:w="11900" w:h="16840"/>
          <w:pgMar w:top="1431" w:right="1114" w:bottom="1570" w:left="1104" w:header="0" w:footer="3" w:gutter="0"/>
          <w:cols w:space="720"/>
          <w:noEndnote/>
          <w:rtlGutter w:val="0"/>
          <w:docGrid w:linePitch="360"/>
        </w:sectPr>
      </w:pPr>
      <w:r>
        <mc:AlternateContent>
          <mc:Choice Requires="wps">
            <w:drawing>
              <wp:anchor distT="203200" distB="0" distL="0" distR="0" simplePos="0" relativeHeight="125829408" behindDoc="0" locked="0" layoutInCell="1" allowOverlap="1">
                <wp:simplePos x="0" y="0"/>
                <wp:positionH relativeFrom="page">
                  <wp:posOffset>704215</wp:posOffset>
                </wp:positionH>
                <wp:positionV relativeFrom="paragraph">
                  <wp:posOffset>203200</wp:posOffset>
                </wp:positionV>
                <wp:extent cx="265430" cy="198120"/>
                <wp:wrapTopAndBottom/>
                <wp:docPr id="65" name="Shape 65"/>
                <a:graphic xmlns:a="http://schemas.openxmlformats.org/drawingml/2006/main">
                  <a:graphicData uri="http://schemas.microsoft.com/office/word/2010/wordprocessingShape">
                    <wps:wsp>
                      <wps:cNvSpPr txBox="1"/>
                      <wps:spPr>
                        <a:xfrm>
                          <a:ext cx="265430" cy="1981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pPr>
                            <w:bookmarkStart w:id="1540" w:name="bookmark1540"/>
                            <w:r>
                              <w:rPr>
                                <w:rFonts w:ascii="Times New Roman" w:eastAsia="Times New Roman" w:hAnsi="Times New Roman" w:cs="Times New Roman"/>
                                <w:b/>
                                <w:bCs/>
                                <w:color w:val="000000"/>
                                <w:spacing w:val="0"/>
                                <w:w w:val="100"/>
                                <w:position w:val="0"/>
                              </w:rPr>
                              <w:t>51</w:t>
                            </w:r>
                            <w:r>
                              <w:rPr>
                                <w:b/>
                                <w:bCs/>
                                <w:color w:val="000000"/>
                                <w:spacing w:val="0"/>
                                <w:w w:val="100"/>
                                <w:position w:val="0"/>
                              </w:rPr>
                              <w:t>、</w:t>
                            </w:r>
                            <w:bookmarkEnd w:id="1540"/>
                          </w:p>
                        </w:txbxContent>
                      </wps:txbx>
                      <wps:bodyPr wrap="none" lIns="0" tIns="0" rIns="0" bIns="0">
                        <a:noAutoFit/>
                      </wps:bodyPr>
                    </wps:wsp>
                  </a:graphicData>
                </a:graphic>
              </wp:anchor>
            </w:drawing>
          </mc:Choice>
          <mc:Fallback>
            <w:pict>
              <v:shape id="_x0000_s1091" type="#_x0000_t202" style="position:absolute;margin-left:55.450000000000003pt;margin-top:16.pt;width:20.900000000000002pt;height:15.6pt;z-index:-125829345;mso-wrap-distance-left:0;mso-wrap-distance-top:16.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both"/>
                      </w:pPr>
                      <w:bookmarkStart w:id="1540" w:name="bookmark1540"/>
                      <w:r>
                        <w:rPr>
                          <w:rFonts w:ascii="Times New Roman" w:eastAsia="Times New Roman" w:hAnsi="Times New Roman" w:cs="Times New Roman"/>
                          <w:b/>
                          <w:bCs/>
                          <w:color w:val="000000"/>
                          <w:spacing w:val="0"/>
                          <w:w w:val="100"/>
                          <w:position w:val="0"/>
                        </w:rPr>
                        <w:t>51</w:t>
                      </w:r>
                      <w:r>
                        <w:rPr>
                          <w:b/>
                          <w:bCs/>
                          <w:color w:val="000000"/>
                          <w:spacing w:val="0"/>
                          <w:w w:val="100"/>
                          <w:position w:val="0"/>
                        </w:rPr>
                        <w:t>、</w:t>
                      </w:r>
                      <w:bookmarkEnd w:id="1540"/>
                    </w:p>
                  </w:txbxContent>
                </v:textbox>
                <w10:wrap type="topAndBottom" anchorx="page"/>
              </v:shape>
            </w:pict>
          </mc:Fallback>
        </mc:AlternateContent>
      </w:r>
      <w:r>
        <mc:AlternateContent>
          <mc:Choice Requires="wps">
            <w:drawing>
              <wp:anchor distT="215265" distB="15240" distL="0" distR="0" simplePos="0" relativeHeight="125829410" behindDoc="0" locked="0" layoutInCell="1" allowOverlap="1">
                <wp:simplePos x="0" y="0"/>
                <wp:positionH relativeFrom="page">
                  <wp:posOffset>972185</wp:posOffset>
                </wp:positionH>
                <wp:positionV relativeFrom="paragraph">
                  <wp:posOffset>215265</wp:posOffset>
                </wp:positionV>
                <wp:extent cx="563880" cy="170815"/>
                <wp:wrapTopAndBottom/>
                <wp:docPr id="67" name="Shape 67"/>
                <a:graphic xmlns:a="http://schemas.openxmlformats.org/drawingml/2006/main">
                  <a:graphicData uri="http://schemas.microsoft.com/office/word/2010/wordprocessingShape">
                    <wps:wsp>
                      <wps:cNvSpPr txBox="1"/>
                      <wps:spPr>
                        <a:xfrm>
                          <a:ext cx="563880" cy="17081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递延收益</w:t>
                            </w:r>
                          </w:p>
                        </w:txbxContent>
                      </wps:txbx>
                      <wps:bodyPr wrap="none" lIns="0" tIns="0" rIns="0" bIns="0">
                        <a:noAutoFit/>
                      </wps:bodyPr>
                    </wps:wsp>
                  </a:graphicData>
                </a:graphic>
              </wp:anchor>
            </w:drawing>
          </mc:Choice>
          <mc:Fallback>
            <w:pict>
              <v:shape id="_x0000_s1093" type="#_x0000_t202" style="position:absolute;margin-left:76.549999999999997pt;margin-top:16.949999999999999pt;width:44.399999999999999pt;height:13.450000000000001pt;z-index:-125829343;mso-wrap-distance-left:0;mso-wrap-distance-top:16.949999999999999pt;mso-wrap-distance-right:0;mso-wrap-distance-bottom:1.2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递延收益</w:t>
                      </w:r>
                    </w:p>
                  </w:txbxContent>
                </v:textbox>
                <w10:wrap type="topAndBottom" anchorx="page"/>
              </v:shape>
            </w:pict>
          </mc:Fallback>
        </mc:AlternateContent>
      </w:r>
    </w:p>
    <w:p>
      <w:pPr>
        <w:widowControl w:val="0"/>
        <w:spacing w:line="203" w:lineRule="exact"/>
        <w:rPr>
          <w:sz w:val="16"/>
          <w:szCs w:val="16"/>
        </w:rPr>
      </w:pPr>
    </w:p>
    <w:p>
      <w:pPr>
        <w:widowControl w:val="0"/>
        <w:spacing w:line="1" w:lineRule="exact"/>
        <w:sectPr>
          <w:footnotePr>
            <w:pos w:val="pageBottom"/>
            <w:numFmt w:val="decimal"/>
            <w:numRestart w:val="continuous"/>
          </w:footnotePr>
          <w:type w:val="continuous"/>
          <w:pgSz w:w="11900" w:h="16840"/>
          <w:pgMar w:top="1431" w:right="0" w:bottom="1570" w:left="0" w:header="0" w:footer="3" w:gutter="0"/>
          <w:cols w:space="720"/>
          <w:noEndnote/>
          <w:rtlGutter w:val="0"/>
          <w:docGrid w:linePitch="360"/>
        </w:sectPr>
      </w:pPr>
    </w:p>
    <w:p>
      <w:pPr>
        <w:pStyle w:val="Style1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p>
      <w:pPr>
        <w:widowControl w:val="0"/>
        <w:spacing w:line="1" w:lineRule="exact"/>
        <w:sectPr>
          <w:footnotePr>
            <w:pos w:val="pageBottom"/>
            <w:numFmt w:val="decimal"/>
            <w:numRestart w:val="continuous"/>
          </w:footnotePr>
          <w:type w:val="continuous"/>
          <w:pgSz w:w="11900" w:h="16840"/>
          <w:pgMar w:top="1431" w:right="1114" w:bottom="1570" w:left="1104" w:header="0" w:footer="3" w:gutter="0"/>
          <w:cols w:space="720"/>
          <w:noEndnote/>
          <w:rtlGutter w:val="0"/>
          <w:docGrid w:linePitch="360"/>
        </w:sectPr>
      </w:pPr>
      <w:r>
        <mc:AlternateContent>
          <mc:Choice Requires="wps">
            <w:drawing>
              <wp:anchor distT="203200" distB="0" distL="0" distR="0" simplePos="0" relativeHeight="125829412" behindDoc="0" locked="0" layoutInCell="1" allowOverlap="1">
                <wp:simplePos x="0" y="0"/>
                <wp:positionH relativeFrom="page">
                  <wp:posOffset>704215</wp:posOffset>
                </wp:positionH>
                <wp:positionV relativeFrom="paragraph">
                  <wp:posOffset>203200</wp:posOffset>
                </wp:positionV>
                <wp:extent cx="265430" cy="198120"/>
                <wp:wrapTopAndBottom/>
                <wp:docPr id="69" name="Shape 69"/>
                <a:graphic xmlns:a="http://schemas.openxmlformats.org/drawingml/2006/main">
                  <a:graphicData uri="http://schemas.microsoft.com/office/word/2010/wordprocessingShape">
                    <wps:wsp>
                      <wps:cNvSpPr txBox="1"/>
                      <wps:spPr>
                        <a:xfrm>
                          <a:ext cx="265430" cy="1981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pPr>
                            <w:bookmarkStart w:id="1541" w:name="bookmark1541"/>
                            <w:r>
                              <w:rPr>
                                <w:rFonts w:ascii="Times New Roman" w:eastAsia="Times New Roman" w:hAnsi="Times New Roman" w:cs="Times New Roman"/>
                                <w:b/>
                                <w:bCs/>
                                <w:color w:val="000000"/>
                                <w:spacing w:val="0"/>
                                <w:w w:val="100"/>
                                <w:position w:val="0"/>
                              </w:rPr>
                              <w:t>52</w:t>
                            </w:r>
                            <w:r>
                              <w:rPr>
                                <w:b/>
                                <w:bCs/>
                                <w:color w:val="000000"/>
                                <w:spacing w:val="0"/>
                                <w:w w:val="100"/>
                                <w:position w:val="0"/>
                              </w:rPr>
                              <w:t>、</w:t>
                            </w:r>
                            <w:bookmarkEnd w:id="1541"/>
                          </w:p>
                        </w:txbxContent>
                      </wps:txbx>
                      <wps:bodyPr wrap="none" lIns="0" tIns="0" rIns="0" bIns="0">
                        <a:noAutoFit/>
                      </wps:bodyPr>
                    </wps:wsp>
                  </a:graphicData>
                </a:graphic>
              </wp:anchor>
            </w:drawing>
          </mc:Choice>
          <mc:Fallback>
            <w:pict>
              <v:shape id="_x0000_s1095" type="#_x0000_t202" style="position:absolute;margin-left:55.450000000000003pt;margin-top:16.pt;width:20.900000000000002pt;height:15.6pt;z-index:-125829341;mso-wrap-distance-left:0;mso-wrap-distance-top:16.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both"/>
                      </w:pPr>
                      <w:bookmarkStart w:id="1541" w:name="bookmark1541"/>
                      <w:r>
                        <w:rPr>
                          <w:rFonts w:ascii="Times New Roman" w:eastAsia="Times New Roman" w:hAnsi="Times New Roman" w:cs="Times New Roman"/>
                          <w:b/>
                          <w:bCs/>
                          <w:color w:val="000000"/>
                          <w:spacing w:val="0"/>
                          <w:w w:val="100"/>
                          <w:position w:val="0"/>
                        </w:rPr>
                        <w:t>52</w:t>
                      </w:r>
                      <w:r>
                        <w:rPr>
                          <w:b/>
                          <w:bCs/>
                          <w:color w:val="000000"/>
                          <w:spacing w:val="0"/>
                          <w:w w:val="100"/>
                          <w:position w:val="0"/>
                        </w:rPr>
                        <w:t>、</w:t>
                      </w:r>
                      <w:bookmarkEnd w:id="1541"/>
                    </w:p>
                  </w:txbxContent>
                </v:textbox>
                <w10:wrap type="topAndBottom" anchorx="page"/>
              </v:shape>
            </w:pict>
          </mc:Fallback>
        </mc:AlternateContent>
      </w:r>
      <w:r>
        <mc:AlternateContent>
          <mc:Choice Requires="wps">
            <w:drawing>
              <wp:anchor distT="215265" distB="15240" distL="0" distR="0" simplePos="0" relativeHeight="125829414" behindDoc="0" locked="0" layoutInCell="1" allowOverlap="1">
                <wp:simplePos x="0" y="0"/>
                <wp:positionH relativeFrom="page">
                  <wp:posOffset>972185</wp:posOffset>
                </wp:positionH>
                <wp:positionV relativeFrom="paragraph">
                  <wp:posOffset>215265</wp:posOffset>
                </wp:positionV>
                <wp:extent cx="966470" cy="170815"/>
                <wp:wrapTopAndBottom/>
                <wp:docPr id="71" name="Shape 71"/>
                <a:graphic xmlns:a="http://schemas.openxmlformats.org/drawingml/2006/main">
                  <a:graphicData uri="http://schemas.microsoft.com/office/word/2010/wordprocessingShape">
                    <wps:wsp>
                      <wps:cNvSpPr txBox="1"/>
                      <wps:spPr>
                        <a:xfrm>
                          <a:ext cx="966470" cy="17081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其他非流动负债</w:t>
                            </w:r>
                          </w:p>
                        </w:txbxContent>
                      </wps:txbx>
                      <wps:bodyPr wrap="none" lIns="0" tIns="0" rIns="0" bIns="0">
                        <a:noAutoFit/>
                      </wps:bodyPr>
                    </wps:wsp>
                  </a:graphicData>
                </a:graphic>
              </wp:anchor>
            </w:drawing>
          </mc:Choice>
          <mc:Fallback>
            <w:pict>
              <v:shape id="_x0000_s1097" type="#_x0000_t202" style="position:absolute;margin-left:76.549999999999997pt;margin-top:16.949999999999999pt;width:76.100000000000009pt;height:13.450000000000001pt;z-index:-125829339;mso-wrap-distance-left:0;mso-wrap-distance-top:16.949999999999999pt;mso-wrap-distance-right:0;mso-wrap-distance-bottom:1.2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其他非流动负债</w:t>
                      </w:r>
                    </w:p>
                  </w:txbxContent>
                </v:textbox>
                <w10:wrap type="topAndBottom" anchorx="page"/>
              </v:shape>
            </w:pict>
          </mc:Fallback>
        </mc:AlternateContent>
      </w:r>
    </w:p>
    <w:p>
      <w:pPr>
        <w:widowControl w:val="0"/>
        <w:spacing w:line="203" w:lineRule="exact"/>
        <w:rPr>
          <w:sz w:val="16"/>
          <w:szCs w:val="16"/>
        </w:rPr>
      </w:pPr>
    </w:p>
    <w:p>
      <w:pPr>
        <w:widowControl w:val="0"/>
        <w:spacing w:line="1" w:lineRule="exact"/>
        <w:sectPr>
          <w:footnotePr>
            <w:pos w:val="pageBottom"/>
            <w:numFmt w:val="decimal"/>
            <w:numRestart w:val="continuous"/>
          </w:footnotePr>
          <w:type w:val="continuous"/>
          <w:pgSz w:w="11900" w:h="16840"/>
          <w:pgMar w:top="1431" w:right="0" w:bottom="1570" w:left="0" w:header="0" w:footer="3" w:gutter="0"/>
          <w:cols w:space="720"/>
          <w:noEndnote/>
          <w:rtlGutter w:val="0"/>
          <w:docGrid w:linePitch="360"/>
        </w:sectPr>
      </w:pPr>
    </w:p>
    <w:p>
      <w:pPr>
        <w:pStyle w:val="Style1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p>
      <w:pPr>
        <w:widowControl w:val="0"/>
        <w:spacing w:line="1" w:lineRule="exact"/>
        <w:sectPr>
          <w:footnotePr>
            <w:pos w:val="pageBottom"/>
            <w:numFmt w:val="decimal"/>
            <w:numRestart w:val="continuous"/>
          </w:footnotePr>
          <w:type w:val="continuous"/>
          <w:pgSz w:w="11900" w:h="16840"/>
          <w:pgMar w:top="1431" w:right="1114" w:bottom="1570" w:left="1104" w:header="0" w:footer="3" w:gutter="0"/>
          <w:cols w:space="720"/>
          <w:noEndnote/>
          <w:rtlGutter w:val="0"/>
          <w:docGrid w:linePitch="360"/>
        </w:sectPr>
      </w:pPr>
      <w:r>
        <mc:AlternateContent>
          <mc:Choice Requires="wps">
            <w:drawing>
              <wp:anchor distT="203200" distB="0" distL="0" distR="0" simplePos="0" relativeHeight="125829416" behindDoc="0" locked="0" layoutInCell="1" allowOverlap="1">
                <wp:simplePos x="0" y="0"/>
                <wp:positionH relativeFrom="page">
                  <wp:posOffset>704215</wp:posOffset>
                </wp:positionH>
                <wp:positionV relativeFrom="paragraph">
                  <wp:posOffset>203200</wp:posOffset>
                </wp:positionV>
                <wp:extent cx="265430" cy="198120"/>
                <wp:wrapTopAndBottom/>
                <wp:docPr id="73" name="Shape 73"/>
                <a:graphic xmlns:a="http://schemas.openxmlformats.org/drawingml/2006/main">
                  <a:graphicData uri="http://schemas.microsoft.com/office/word/2010/wordprocessingShape">
                    <wps:wsp>
                      <wps:cNvSpPr txBox="1"/>
                      <wps:spPr>
                        <a:xfrm>
                          <a:ext cx="265430" cy="1981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both"/>
                            </w:pPr>
                            <w:bookmarkStart w:id="1542" w:name="bookmark1542"/>
                            <w:r>
                              <w:rPr>
                                <w:rFonts w:ascii="Times New Roman" w:eastAsia="Times New Roman" w:hAnsi="Times New Roman" w:cs="Times New Roman"/>
                                <w:b/>
                                <w:bCs/>
                                <w:color w:val="000000"/>
                                <w:spacing w:val="0"/>
                                <w:w w:val="100"/>
                                <w:position w:val="0"/>
                              </w:rPr>
                              <w:t>53</w:t>
                            </w:r>
                            <w:r>
                              <w:rPr>
                                <w:b/>
                                <w:bCs/>
                                <w:color w:val="000000"/>
                                <w:spacing w:val="0"/>
                                <w:w w:val="100"/>
                                <w:position w:val="0"/>
                              </w:rPr>
                              <w:t>、</w:t>
                            </w:r>
                            <w:bookmarkEnd w:id="1542"/>
                          </w:p>
                        </w:txbxContent>
                      </wps:txbx>
                      <wps:bodyPr wrap="none" lIns="0" tIns="0" rIns="0" bIns="0">
                        <a:noAutoFit/>
                      </wps:bodyPr>
                    </wps:wsp>
                  </a:graphicData>
                </a:graphic>
              </wp:anchor>
            </w:drawing>
          </mc:Choice>
          <mc:Fallback>
            <w:pict>
              <v:shape id="_x0000_s1099" type="#_x0000_t202" style="position:absolute;margin-left:55.450000000000003pt;margin-top:16.pt;width:20.900000000000002pt;height:15.6pt;z-index:-125829337;mso-wrap-distance-left:0;mso-wrap-distance-top:16.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both"/>
                      </w:pPr>
                      <w:bookmarkStart w:id="1542" w:name="bookmark1542"/>
                      <w:r>
                        <w:rPr>
                          <w:rFonts w:ascii="Times New Roman" w:eastAsia="Times New Roman" w:hAnsi="Times New Roman" w:cs="Times New Roman"/>
                          <w:b/>
                          <w:bCs/>
                          <w:color w:val="000000"/>
                          <w:spacing w:val="0"/>
                          <w:w w:val="100"/>
                          <w:position w:val="0"/>
                        </w:rPr>
                        <w:t>53</w:t>
                      </w:r>
                      <w:r>
                        <w:rPr>
                          <w:b/>
                          <w:bCs/>
                          <w:color w:val="000000"/>
                          <w:spacing w:val="0"/>
                          <w:w w:val="100"/>
                          <w:position w:val="0"/>
                        </w:rPr>
                        <w:t>、</w:t>
                      </w:r>
                      <w:bookmarkEnd w:id="1542"/>
                    </w:p>
                  </w:txbxContent>
                </v:textbox>
                <w10:wrap type="topAndBottom" anchorx="page"/>
              </v:shape>
            </w:pict>
          </mc:Fallback>
        </mc:AlternateContent>
      </w:r>
      <w:r>
        <mc:AlternateContent>
          <mc:Choice Requires="wps">
            <w:drawing>
              <wp:anchor distT="215265" distB="12065" distL="0" distR="0" simplePos="0" relativeHeight="125829418" behindDoc="0" locked="0" layoutInCell="1" allowOverlap="1">
                <wp:simplePos x="0" y="0"/>
                <wp:positionH relativeFrom="page">
                  <wp:posOffset>972185</wp:posOffset>
                </wp:positionH>
                <wp:positionV relativeFrom="paragraph">
                  <wp:posOffset>215265</wp:posOffset>
                </wp:positionV>
                <wp:extent cx="295910" cy="173990"/>
                <wp:wrapTopAndBottom/>
                <wp:docPr id="75" name="Shape 75"/>
                <a:graphic xmlns:a="http://schemas.openxmlformats.org/drawingml/2006/main">
                  <a:graphicData uri="http://schemas.microsoft.com/office/word/2010/wordprocessingShape">
                    <wps:wsp>
                      <wps:cNvSpPr txBox="1"/>
                      <wps:spPr>
                        <a:xfrm>
                          <a:ext cx="295910" cy="1739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股本</w:t>
                            </w:r>
                          </w:p>
                        </w:txbxContent>
                      </wps:txbx>
                      <wps:bodyPr wrap="none" lIns="0" tIns="0" rIns="0" bIns="0">
                        <a:noAutoFit/>
                      </wps:bodyPr>
                    </wps:wsp>
                  </a:graphicData>
                </a:graphic>
              </wp:anchor>
            </w:drawing>
          </mc:Choice>
          <mc:Fallback>
            <w:pict>
              <v:shape id="_x0000_s1101" type="#_x0000_t202" style="position:absolute;margin-left:76.549999999999997pt;margin-top:16.949999999999999pt;width:23.300000000000001pt;height:13.700000000000001pt;z-index:-125829335;mso-wrap-distance-left:0;mso-wrap-distance-top:16.949999999999999pt;mso-wrap-distance-right:0;mso-wrap-distance-bottom:0.95000000000000007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股本</w:t>
                      </w:r>
                    </w:p>
                  </w:txbxContent>
                </v:textbox>
                <w10:wrap type="topAndBottom" anchorx="page"/>
              </v:shape>
            </w:pict>
          </mc:Fallback>
        </mc:AlternateContent>
      </w:r>
    </w:p>
    <w:p>
      <w:pPr>
        <w:widowControl w:val="0"/>
        <w:spacing w:line="192" w:lineRule="exact"/>
        <w:rPr>
          <w:sz w:val="15"/>
          <w:szCs w:val="15"/>
        </w:rPr>
      </w:pPr>
    </w:p>
    <w:p>
      <w:pPr>
        <w:widowControl w:val="0"/>
        <w:spacing w:line="1" w:lineRule="exact"/>
        <w:sectPr>
          <w:footnotePr>
            <w:pos w:val="pageBottom"/>
            <w:numFmt w:val="decimal"/>
            <w:numRestart w:val="continuous"/>
          </w:footnotePr>
          <w:type w:val="continuous"/>
          <w:pgSz w:w="11900" w:h="16840"/>
          <w:pgMar w:top="1278" w:right="0" w:bottom="1408" w:left="0" w:header="0" w:footer="3" w:gutter="0"/>
          <w:cols w:space="720"/>
          <w:noEndnote/>
          <w:rtlGutter w:val="0"/>
          <w:docGrid w:linePitch="360"/>
        </w:sectPr>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331"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公积金转股</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小计</w:t>
            </w:r>
          </w:p>
        </w:tc>
        <w:tc>
          <w:tcPr>
            <w:vMerge/>
            <w:tcBorders>
              <w:left w:val="single" w:sz="4"/>
              <w:right w:val="single" w:sz="4"/>
            </w:tcBorders>
            <w:shd w:val="clear" w:color="auto" w:fill="D4D4D4"/>
            <w:vAlign w:val="center"/>
          </w:tcPr>
          <w:p>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129,470,098.00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220,099,166.00</w:t>
            </w:r>
          </w:p>
        </w:tc>
      </w:tr>
    </w:tbl>
    <w:p>
      <w:pPr>
        <w:pStyle w:val="Style12"/>
        <w:keepNext w:val="0"/>
        <w:keepLines w:val="0"/>
        <w:widowControl w:val="0"/>
        <w:shd w:val="clear" w:color="auto" w:fill="auto"/>
        <w:bidi w:val="0"/>
        <w:spacing w:before="0" w:after="0" w:line="410" w:lineRule="exact"/>
        <w:ind w:left="0" w:right="0" w:firstLine="0"/>
        <w:jc w:val="both"/>
      </w:pPr>
      <w:r>
        <w:rPr>
          <w:color w:val="000000"/>
          <w:spacing w:val="0"/>
          <w:w w:val="100"/>
          <w:position w:val="0"/>
        </w:rPr>
        <w:t>其他说明：</w:t>
      </w:r>
    </w:p>
    <w:p>
      <w:pPr>
        <w:pStyle w:val="Style12"/>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年度股东大会决议，以截至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rPr>
        <w:t>129,470,098</w:t>
      </w:r>
      <w:r>
        <w:rPr>
          <w:color w:val="000000"/>
          <w:spacing w:val="0"/>
          <w:w w:val="100"/>
          <w:position w:val="0"/>
        </w:rPr>
        <w:t>股为基数，以资本公积金向股权登记日登记在册的全体股东每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rPr>
        <w:t>90,629,068</w:t>
      </w:r>
      <w:r>
        <w:rPr>
          <w:color w:val="000000"/>
          <w:spacing w:val="0"/>
          <w:w w:val="100"/>
          <w:position w:val="0"/>
        </w:rPr>
        <w:t>股，本次资本公积金转增股本后，公司总股本增加至</w:t>
      </w:r>
      <w:r>
        <w:rPr>
          <w:rFonts w:ascii="Times New Roman" w:eastAsia="Times New Roman" w:hAnsi="Times New Roman" w:cs="Times New Roman"/>
          <w:color w:val="000000"/>
          <w:spacing w:val="0"/>
          <w:w w:val="100"/>
          <w:position w:val="0"/>
        </w:rPr>
        <w:t>220,099,166</w:t>
      </w:r>
      <w:r>
        <w:rPr>
          <w:color w:val="000000"/>
          <w:spacing w:val="0"/>
          <w:w w:val="100"/>
          <w:position w:val="0"/>
        </w:rPr>
        <w:t>股。</w:t>
      </w:r>
    </w:p>
    <w:p>
      <w:pPr>
        <w:pStyle w:val="Style12"/>
        <w:keepNext w:val="0"/>
        <w:keepLines w:val="0"/>
        <w:widowControl w:val="0"/>
        <w:shd w:val="clear" w:color="auto" w:fill="auto"/>
        <w:bidi w:val="0"/>
        <w:spacing w:before="0" w:after="0" w:line="430" w:lineRule="auto"/>
        <w:ind w:left="0" w:right="0" w:firstLine="440"/>
        <w:jc w:val="both"/>
      </w:pPr>
      <w:bookmarkStart w:id="1543" w:name="bookmark1543"/>
      <w:r>
        <w:rPr>
          <w:rFonts w:ascii="Times New Roman" w:eastAsia="Times New Roman" w:hAnsi="Times New Roman" w:cs="Times New Roman"/>
          <w:color w:val="000000"/>
          <w:spacing w:val="0"/>
          <w:w w:val="100"/>
          <w:position w:val="0"/>
        </w:rPr>
        <w:t>5</w:t>
      </w:r>
      <w:bookmarkEnd w:id="154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p>
    <w:p>
      <w:pPr>
        <w:pStyle w:val="Style12"/>
        <w:keepNext w:val="0"/>
        <w:keepLines w:val="0"/>
        <w:widowControl w:val="0"/>
        <w:shd w:val="clear" w:color="auto" w:fill="auto"/>
        <w:bidi w:val="0"/>
        <w:spacing w:before="0" w:after="420" w:line="410" w:lineRule="exact"/>
        <w:ind w:left="0" w:right="0" w:firstLine="440"/>
        <w:jc w:val="both"/>
      </w:pPr>
      <w:r>
        <w:rPr>
          <w:color w:val="000000"/>
          <w:spacing w:val="0"/>
          <w:w w:val="100"/>
          <w:position w:val="0"/>
        </w:rPr>
        <w:t>不适用</w:t>
      </w:r>
    </w:p>
    <w:p>
      <w:pPr>
        <w:pStyle w:val="Style38"/>
        <w:keepNext/>
        <w:keepLines/>
        <w:widowControl w:val="0"/>
        <w:shd w:val="clear" w:color="auto" w:fill="auto"/>
        <w:bidi w:val="0"/>
        <w:spacing w:before="0" w:after="140" w:line="43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44"/>
      <w:bookmarkEnd w:id="1545"/>
      <w:bookmarkEnd w:id="154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657,821,934.53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567,192,866.53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9,368,540.00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9,814,776.10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19,183,316.10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667,190,474.53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9,814,776.10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90,629,068.00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586,376,182.63</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其他说明，包括本期增减变动情况、变动原因说明:</w:t>
      </w:r>
    </w:p>
    <w:p>
      <w:pPr>
        <w:pStyle w:val="Style12"/>
        <w:keepNext w:val="0"/>
        <w:keepLines w:val="0"/>
        <w:widowControl w:val="0"/>
        <w:shd w:val="clear" w:color="auto" w:fill="auto"/>
        <w:bidi w:val="0"/>
        <w:spacing w:before="0" w:after="0" w:line="40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日，公司召开第三届董事会第二次会议，审议通过了《关于公司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 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及其摘要的议案》，计划授予</w:t>
      </w:r>
      <w:r>
        <w:rPr>
          <w:rFonts w:ascii="Times New Roman" w:eastAsia="Times New Roman" w:hAnsi="Times New Roman" w:cs="Times New Roman"/>
          <w:color w:val="000000"/>
          <w:spacing w:val="0"/>
          <w:w w:val="100"/>
          <w:position w:val="0"/>
        </w:rPr>
        <w:t>601.30</w:t>
      </w:r>
      <w:r>
        <w:rPr>
          <w:color w:val="000000"/>
          <w:spacing w:val="0"/>
          <w:w w:val="100"/>
          <w:position w:val="0"/>
        </w:rPr>
        <w:t>万股的限制性股票，激励对象</w:t>
      </w:r>
      <w:r>
        <w:rPr>
          <w:rFonts w:ascii="Times New Roman" w:eastAsia="Times New Roman" w:hAnsi="Times New Roman" w:cs="Times New Roman"/>
          <w:color w:val="000000"/>
          <w:spacing w:val="0"/>
          <w:w w:val="100"/>
          <w:position w:val="0"/>
        </w:rPr>
        <w:t>123</w:t>
      </w:r>
      <w:r>
        <w:rPr>
          <w:color w:val="000000"/>
          <w:spacing w:val="0"/>
          <w:w w:val="100"/>
          <w:position w:val="0"/>
        </w:rPr>
        <w:t>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日，公司召开第三届董事会第三次会议，审议并通过《关于调整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年限制性股票激励计划相关事项的议 案》《关于向</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年限制性股票激励计划激励对象授予限制性股票的议案》，调整计划授予限制性股票 </w:t>
      </w:r>
      <w:r>
        <w:rPr>
          <w:rFonts w:ascii="Times New Roman" w:eastAsia="Times New Roman" w:hAnsi="Times New Roman" w:cs="Times New Roman"/>
          <w:color w:val="000000"/>
          <w:spacing w:val="0"/>
          <w:w w:val="100"/>
          <w:position w:val="0"/>
        </w:rPr>
        <w:t>572.10</w:t>
      </w:r>
      <w:r>
        <w:rPr>
          <w:color w:val="000000"/>
          <w:spacing w:val="0"/>
          <w:w w:val="100"/>
          <w:position w:val="0"/>
        </w:rPr>
        <w:t>万股，激励对象为</w:t>
      </w:r>
      <w:r>
        <w:rPr>
          <w:rFonts w:ascii="Times New Roman" w:eastAsia="Times New Roman" w:hAnsi="Times New Roman" w:cs="Times New Roman"/>
          <w:color w:val="000000"/>
          <w:spacing w:val="0"/>
          <w:w w:val="100"/>
          <w:position w:val="0"/>
        </w:rPr>
        <w:t>119</w:t>
      </w:r>
      <w:r>
        <w:rPr>
          <w:color w:val="000000"/>
          <w:spacing w:val="0"/>
          <w:w w:val="100"/>
          <w:position w:val="0"/>
        </w:rPr>
        <w:t>人，并经</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w:t>
      </w:r>
    </w:p>
    <w:p>
      <w:pPr>
        <w:pStyle w:val="Style1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日授予限制性股票的授予价格分别为</w:t>
      </w:r>
      <w:r>
        <w:rPr>
          <w:rFonts w:ascii="Times New Roman" w:eastAsia="Times New Roman" w:hAnsi="Times New Roman" w:cs="Times New Roman"/>
          <w:color w:val="000000"/>
          <w:spacing w:val="0"/>
          <w:w w:val="100"/>
          <w:position w:val="0"/>
        </w:rPr>
        <w:t>27.82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股和</w:t>
      </w:r>
      <w:r>
        <w:rPr>
          <w:rFonts w:ascii="Times New Roman" w:eastAsia="Times New Roman" w:hAnsi="Times New Roman" w:cs="Times New Roman"/>
          <w:color w:val="000000"/>
          <w:spacing w:val="0"/>
          <w:w w:val="100"/>
          <w:position w:val="0"/>
        </w:rPr>
        <w:t>55.07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股，授予的限制性股 票自授予登记完成之日起，分三批次按照</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个月完成授予，授予比例分别为</w:t>
      </w:r>
      <w:r>
        <w:rPr>
          <w:rFonts w:ascii="Times New Roman" w:eastAsia="Times New Roman" w:hAnsi="Times New Roman" w:cs="Times New Roman"/>
          <w:color w:val="000000"/>
          <w:spacing w:val="0"/>
          <w:w w:val="100"/>
          <w:position w:val="0"/>
        </w:rPr>
        <w:t>40%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。激励计划的考核年度为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年，以各年度相对于</w:t>
      </w:r>
      <w:r>
        <w:rPr>
          <w:rFonts w:ascii="Times New Roman" w:eastAsia="Times New Roman" w:hAnsi="Times New Roman" w:cs="Times New Roman"/>
          <w:color w:val="000000"/>
          <w:spacing w:val="0"/>
          <w:w w:val="100"/>
          <w:position w:val="0"/>
        </w:rPr>
        <w:t>2019</w:t>
      </w:r>
      <w:r>
        <w:rPr>
          <w:color w:val="000000"/>
          <w:spacing w:val="0"/>
          <w:w w:val="100"/>
          <w:position w:val="0"/>
        </w:rPr>
        <w:t>年的净利润增长率作为公司层 面的业绩考核指标，核算公司层面的授予比例，若公司层面业绩达标，再根据激励对象个人绩效考核结果， 核算激励对象个人的授予比例。</w:t>
      </w:r>
    </w:p>
    <w:p>
      <w:pPr>
        <w:pStyle w:val="Style1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在等待期内的每个资产负债表日</w:t>
      </w:r>
      <w:r>
        <w:rPr>
          <w:color w:val="000000"/>
          <w:spacing w:val="0"/>
          <w:w w:val="100"/>
          <w:position w:val="0"/>
        </w:rPr>
        <w:t>，</w:t>
      </w:r>
      <w:r>
        <w:rPr>
          <w:color w:val="000000"/>
          <w:spacing w:val="0"/>
          <w:w w:val="100"/>
          <w:position w:val="0"/>
        </w:rPr>
        <w:t>以对可行权权益工具数量的最佳估计数为基础</w:t>
      </w:r>
      <w:r>
        <w:rPr>
          <w:color w:val="000000"/>
          <w:spacing w:val="0"/>
          <w:w w:val="100"/>
          <w:position w:val="0"/>
        </w:rPr>
        <w:t>，</w:t>
      </w:r>
      <w:r>
        <w:rPr>
          <w:color w:val="000000"/>
          <w:spacing w:val="0"/>
          <w:w w:val="100"/>
          <w:position w:val="0"/>
        </w:rPr>
        <w:t>按照权益工具在授 予日的公允价值</w:t>
      </w:r>
      <w:r>
        <w:rPr>
          <w:color w:val="000000"/>
          <w:spacing w:val="0"/>
          <w:w w:val="100"/>
          <w:position w:val="0"/>
        </w:rPr>
        <w:t>，</w:t>
      </w:r>
      <w:r>
        <w:rPr>
          <w:color w:val="000000"/>
          <w:spacing w:val="0"/>
          <w:w w:val="100"/>
          <w:position w:val="0"/>
        </w:rPr>
        <w:t>确认股份支付费用</w:t>
      </w:r>
      <w:r>
        <w:rPr>
          <w:rFonts w:ascii="Times New Roman" w:eastAsia="Times New Roman" w:hAnsi="Times New Roman" w:cs="Times New Roman"/>
          <w:color w:val="000000"/>
          <w:spacing w:val="0"/>
          <w:w w:val="100"/>
          <w:position w:val="0"/>
        </w:rPr>
        <w:t>21,747,024.87</w:t>
      </w:r>
      <w:r>
        <w:rPr>
          <w:color w:val="000000"/>
          <w:spacing w:val="0"/>
          <w:w w:val="100"/>
          <w:position w:val="0"/>
        </w:rPr>
        <w:t>元，其中本期分摊确认管理费用和资本公积</w:t>
      </w:r>
      <w:r>
        <w:rPr>
          <w:rFonts w:ascii="Times New Roman" w:eastAsia="Times New Roman" w:hAnsi="Times New Roman" w:cs="Times New Roman"/>
          <w:color w:val="000000"/>
          <w:spacing w:val="0"/>
          <w:w w:val="100"/>
          <w:position w:val="0"/>
        </w:rPr>
        <w:t xml:space="preserve">9,740,686.08 </w:t>
      </w:r>
      <w:r>
        <w:rPr>
          <w:color w:val="000000"/>
          <w:spacing w:val="0"/>
          <w:w w:val="100"/>
          <w:position w:val="0"/>
        </w:rPr>
        <w:t>元。</w:t>
      </w:r>
    </w:p>
    <w:p>
      <w:pPr>
        <w:pStyle w:val="Style12"/>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根据证监会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日发布的《监管规则适用指引一会计类第</w:t>
      </w:r>
      <w:r>
        <w:rPr>
          <w:rFonts w:ascii="Times New Roman" w:eastAsia="Times New Roman" w:hAnsi="Times New Roman" w:cs="Times New Roman"/>
          <w:color w:val="000000"/>
          <w:spacing w:val="0"/>
          <w:w w:val="100"/>
          <w:position w:val="0"/>
        </w:rPr>
        <w:t>1</w:t>
      </w:r>
      <w:r>
        <w:rPr>
          <w:color w:val="000000"/>
          <w:spacing w:val="0"/>
          <w:w w:val="100"/>
          <w:position w:val="0"/>
        </w:rPr>
        <w:t>号》之</w:t>
      </w:r>
      <w:r>
        <w:rPr>
          <w:rFonts w:ascii="Times New Roman" w:eastAsia="Times New Roman" w:hAnsi="Times New Roman" w:cs="Times New Roman"/>
          <w:color w:val="000000"/>
          <w:spacing w:val="0"/>
          <w:w w:val="100"/>
          <w:position w:val="0"/>
        </w:rPr>
        <w:t>“1-14</w:t>
      </w:r>
      <w:r>
        <w:rPr>
          <w:color w:val="000000"/>
          <w:spacing w:val="0"/>
          <w:w w:val="100"/>
          <w:position w:val="0"/>
        </w:rPr>
        <w:t>与股权激 励计划相关的递延所得税</w:t>
      </w:r>
      <w:r>
        <w:rPr>
          <w:rFonts w:ascii="Times New Roman" w:eastAsia="Times New Roman" w:hAnsi="Times New Roman" w:cs="Times New Roman"/>
          <w:color w:val="000000"/>
          <w:spacing w:val="0"/>
          <w:w w:val="100"/>
          <w:position w:val="0"/>
        </w:rPr>
        <w:t>”</w:t>
      </w:r>
      <w:r>
        <w:rPr>
          <w:color w:val="000000"/>
          <w:spacing w:val="0"/>
          <w:w w:val="100"/>
          <w:position w:val="0"/>
        </w:rPr>
        <w:t>规定，本期预计未来期间可抵扣的金额超过等待期内确认的成本费用，超出部分 确认资本公积</w:t>
      </w:r>
      <w:r>
        <w:rPr>
          <w:rFonts w:ascii="Times New Roman" w:eastAsia="Times New Roman" w:hAnsi="Times New Roman" w:cs="Times New Roman"/>
          <w:color w:val="000000"/>
          <w:spacing w:val="0"/>
          <w:w w:val="100"/>
          <w:position w:val="0"/>
        </w:rPr>
        <w:t>74,090.02</w:t>
      </w:r>
      <w:r>
        <w:rPr>
          <w:color w:val="000000"/>
          <w:spacing w:val="0"/>
          <w:w w:val="100"/>
          <w:position w:val="0"/>
        </w:rPr>
        <w:t>元。</w:t>
      </w:r>
    </w:p>
    <w:p>
      <w:pPr>
        <w:pStyle w:val="Style38"/>
        <w:keepNext/>
        <w:keepLines/>
        <w:widowControl w:val="0"/>
        <w:shd w:val="clear" w:color="auto" w:fill="auto"/>
        <w:bidi w:val="0"/>
        <w:spacing w:before="0" w:after="140" w:line="408" w:lineRule="exact"/>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48"/>
      <w:bookmarkEnd w:id="1549"/>
      <w:bookmarkEnd w:id="1551"/>
    </w:p>
    <w:p>
      <w:pPr>
        <w:pStyle w:val="Style12"/>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不适用</w:t>
      </w:r>
      <w:r>
        <w:br w:type="page"/>
      </w:r>
    </w:p>
    <w:p>
      <w:pPr>
        <w:pStyle w:val="Style38"/>
        <w:keepNext/>
        <w:keepLines/>
        <w:widowControl w:val="0"/>
        <w:shd w:val="clear" w:color="auto" w:fill="auto"/>
        <w:bidi w:val="0"/>
        <w:spacing w:before="0" w:after="30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52"/>
      <w:bookmarkEnd w:id="1553"/>
      <w:bookmarkEnd w:id="155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25"/>
        <w:gridCol w:w="1013"/>
        <w:gridCol w:w="974"/>
        <w:gridCol w:w="850"/>
        <w:gridCol w:w="850"/>
        <w:gridCol w:w="566"/>
        <w:gridCol w:w="994"/>
        <w:gridCol w:w="850"/>
        <w:gridCol w:w="960"/>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125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本期所得税 前发生额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减：前期 计入其他 综合收益 当期转入 损益</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减：前期 计入其他 综合收益 当期转入 留存收益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税费</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税后归属于 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税后归属</w:t>
            </w:r>
          </w:p>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于少数股 东</w:t>
            </w:r>
          </w:p>
        </w:tc>
        <w:tc>
          <w:tcPr>
            <w:vMerge/>
            <w:tcBorders>
              <w:left w:val="single" w:sz="4"/>
              <w:right w:val="single" w:sz="4"/>
            </w:tcBorders>
            <w:shd w:val="clear" w:color="auto" w:fill="D4D4D4"/>
            <w:vAlign w:val="center"/>
          </w:tcPr>
          <w:p>
            <w:pP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-243,022.37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外币财务报表折算差额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-133,342.77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-243,022.37</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-133,342.77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-109,679.60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-109,679.60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-243,022.37</w:t>
            </w:r>
          </w:p>
        </w:tc>
      </w:tr>
    </w:tbl>
    <w:p>
      <w:pPr>
        <w:widowControl w:val="0"/>
        <w:spacing w:after="299" w:line="1" w:lineRule="exact"/>
      </w:pPr>
    </w:p>
    <w:p>
      <w:pPr>
        <w:pStyle w:val="Style38"/>
        <w:keepNext/>
        <w:keepLines/>
        <w:widowControl w:val="0"/>
        <w:shd w:val="clear" w:color="auto" w:fill="auto"/>
        <w:tabs>
          <w:tab w:pos="483" w:val="left"/>
        </w:tabs>
        <w:bidi w:val="0"/>
        <w:spacing w:before="0" w:after="30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56"/>
      <w:bookmarkEnd w:id="1557"/>
      <w:bookmarkEnd w:id="1559"/>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0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560"/>
      <w:bookmarkEnd w:id="1561"/>
      <w:bookmarkEnd w:id="156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32,955,907.63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14,723,762.40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47,679,670.03</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32,955,907.63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14,723,762.40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47,679,670.03</w:t>
            </w:r>
          </w:p>
        </w:tc>
      </w:tr>
    </w:tbl>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本期盈余公积增加</w:t>
      </w:r>
      <w:r>
        <w:rPr>
          <w:rFonts w:ascii="Times New Roman" w:eastAsia="Times New Roman" w:hAnsi="Times New Roman" w:cs="Times New Roman"/>
          <w:color w:val="000000"/>
          <w:spacing w:val="0"/>
          <w:w w:val="100"/>
          <w:position w:val="0"/>
        </w:rPr>
        <w:t>14,723,762.40</w:t>
      </w:r>
      <w:r>
        <w:rPr>
          <w:color w:val="000000"/>
          <w:spacing w:val="0"/>
          <w:w w:val="100"/>
          <w:position w:val="0"/>
        </w:rPr>
        <w:t>元，系按</w:t>
      </w:r>
      <w:r>
        <w:rPr>
          <w:rFonts w:ascii="Times New Roman" w:eastAsia="Times New Roman" w:hAnsi="Times New Roman" w:cs="Times New Roman"/>
          <w:color w:val="000000"/>
          <w:spacing w:val="0"/>
          <w:w w:val="100"/>
          <w:position w:val="0"/>
        </w:rPr>
        <w:t>2021</w:t>
      </w:r>
      <w:r>
        <w:rPr>
          <w:color w:val="000000"/>
          <w:spacing w:val="0"/>
          <w:w w:val="100"/>
          <w:position w:val="0"/>
        </w:rPr>
        <w:t>年母公司实现净利润的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w:t>
      </w:r>
    </w:p>
    <w:p>
      <w:pPr>
        <w:pStyle w:val="Style38"/>
        <w:keepNext/>
        <w:keepLines/>
        <w:widowControl w:val="0"/>
        <w:shd w:val="clear" w:color="auto" w:fill="auto"/>
        <w:bidi w:val="0"/>
        <w:spacing w:before="0" w:after="30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6</w:t>
      </w:r>
      <w:bookmarkEnd w:id="156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64"/>
      <w:bookmarkEnd w:id="1565"/>
      <w:bookmarkEnd w:id="156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289,486,072.28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180,236,164.63</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289,486,072.28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180,236,164.63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135,253,196.55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121,540,205.37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14,723,762.40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12,290,297.72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12,947,009.80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397,068,496.63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289,486,072.28</w:t>
            </w:r>
          </w:p>
        </w:tc>
      </w:tr>
    </w:tbl>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2"/>
        <w:keepNext w:val="0"/>
        <w:keepLines w:val="0"/>
        <w:widowControl w:val="0"/>
        <w:shd w:val="clear" w:color="auto" w:fill="auto"/>
        <w:tabs>
          <w:tab w:pos="344" w:val="left"/>
        </w:tabs>
        <w:bidi w:val="0"/>
        <w:spacing w:before="0" w:after="140" w:line="240" w:lineRule="auto"/>
        <w:ind w:left="0" w:right="0" w:firstLine="0"/>
        <w:jc w:val="left"/>
      </w:pPr>
      <w:bookmarkStart w:id="1568" w:name="bookmark1568"/>
      <w:r>
        <w:rPr>
          <w:rFonts w:ascii="Times New Roman" w:eastAsia="Times New Roman" w:hAnsi="Times New Roman" w:cs="Times New Roman"/>
          <w:color w:val="000000"/>
          <w:spacing w:val="0"/>
          <w:w w:val="100"/>
          <w:position w:val="0"/>
        </w:rPr>
        <w:t>1</w:t>
      </w:r>
      <w:bookmarkEnd w:id="156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2"/>
        <w:keepNext w:val="0"/>
        <w:keepLines w:val="0"/>
        <w:widowControl w:val="0"/>
        <w:shd w:val="clear" w:color="auto" w:fill="auto"/>
        <w:tabs>
          <w:tab w:pos="363" w:val="left"/>
        </w:tabs>
        <w:bidi w:val="0"/>
        <w:spacing w:before="0" w:after="140" w:line="240" w:lineRule="auto"/>
        <w:ind w:left="0" w:right="0" w:firstLine="0"/>
        <w:jc w:val="left"/>
      </w:pPr>
      <w:bookmarkStart w:id="1569" w:name="bookmark1569"/>
      <w:r>
        <w:rPr>
          <w:rFonts w:ascii="Times New Roman" w:eastAsia="Times New Roman" w:hAnsi="Times New Roman" w:cs="Times New Roman"/>
          <w:color w:val="000000"/>
          <w:spacing w:val="0"/>
          <w:w w:val="100"/>
          <w:position w:val="0"/>
        </w:rPr>
        <w:t>2</w:t>
      </w:r>
      <w:bookmarkEnd w:id="156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2"/>
        <w:keepNext w:val="0"/>
        <w:keepLines w:val="0"/>
        <w:widowControl w:val="0"/>
        <w:shd w:val="clear" w:color="auto" w:fill="auto"/>
        <w:tabs>
          <w:tab w:pos="363" w:val="left"/>
        </w:tabs>
        <w:bidi w:val="0"/>
        <w:spacing w:before="0" w:after="140" w:line="240" w:lineRule="auto"/>
        <w:ind w:left="0" w:right="0" w:firstLine="0"/>
        <w:jc w:val="left"/>
      </w:pPr>
      <w:bookmarkStart w:id="1570" w:name="bookmark1570"/>
      <w:r>
        <w:rPr>
          <w:rFonts w:ascii="Times New Roman" w:eastAsia="Times New Roman" w:hAnsi="Times New Roman" w:cs="Times New Roman"/>
          <w:color w:val="000000"/>
          <w:spacing w:val="0"/>
          <w:w w:val="100"/>
          <w:position w:val="0"/>
        </w:rPr>
        <w:t>3</w:t>
      </w:r>
      <w:bookmarkEnd w:id="157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2"/>
        <w:keepNext w:val="0"/>
        <w:keepLines w:val="0"/>
        <w:widowControl w:val="0"/>
        <w:shd w:val="clear" w:color="auto" w:fill="auto"/>
        <w:tabs>
          <w:tab w:pos="363" w:val="left"/>
        </w:tabs>
        <w:bidi w:val="0"/>
        <w:spacing w:before="0" w:after="140" w:line="240" w:lineRule="auto"/>
        <w:ind w:left="0" w:right="0" w:firstLine="0"/>
        <w:jc w:val="left"/>
      </w:pPr>
      <w:bookmarkStart w:id="1571" w:name="bookmark1571"/>
      <w:r>
        <w:rPr>
          <w:rFonts w:ascii="Times New Roman" w:eastAsia="Times New Roman" w:hAnsi="Times New Roman" w:cs="Times New Roman"/>
          <w:color w:val="000000"/>
          <w:spacing w:val="0"/>
          <w:w w:val="100"/>
          <w:position w:val="0"/>
        </w:rPr>
        <w:t>4</w:t>
      </w:r>
      <w:bookmarkEnd w:id="157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2"/>
        <w:keepNext w:val="0"/>
        <w:keepLines w:val="0"/>
        <w:widowControl w:val="0"/>
        <w:shd w:val="clear" w:color="auto" w:fill="auto"/>
        <w:tabs>
          <w:tab w:pos="363" w:val="left"/>
        </w:tabs>
        <w:bidi w:val="0"/>
        <w:spacing w:before="0" w:after="220" w:line="240" w:lineRule="auto"/>
        <w:ind w:left="0" w:right="0" w:firstLine="0"/>
        <w:jc w:val="left"/>
      </w:pPr>
      <w:bookmarkStart w:id="1572" w:name="bookmark1572"/>
      <w:r>
        <w:rPr>
          <w:rFonts w:ascii="Times New Roman" w:eastAsia="Times New Roman" w:hAnsi="Times New Roman" w:cs="Times New Roman"/>
          <w:color w:val="000000"/>
          <w:spacing w:val="0"/>
          <w:w w:val="100"/>
          <w:position w:val="0"/>
        </w:rPr>
        <w:t>5</w:t>
      </w:r>
      <w:bookmarkEnd w:id="157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38"/>
        <w:keepNext/>
        <w:keepLines/>
        <w:widowControl w:val="0"/>
        <w:shd w:val="clear" w:color="auto" w:fill="auto"/>
        <w:bidi w:val="0"/>
        <w:spacing w:before="0" w:after="30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6</w:t>
      </w:r>
      <w:bookmarkEnd w:id="157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73"/>
      <w:bookmarkEnd w:id="1574"/>
      <w:bookmarkEnd w:id="157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3,082,283,287.76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2,272,761,917.77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1,946,963,786.99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1,393,589,735.94</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5,944,216.14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352,510.91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773,732.74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415,046.85</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3,088,227,503.90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2,273,114,428.68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1,947,737,519.73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1,394,004,782.79</w:t>
            </w:r>
          </w:p>
        </w:tc>
      </w:tr>
    </w:tbl>
    <w:p>
      <w:pPr>
        <w:widowControl w:val="0"/>
        <w:spacing w:after="299" w:line="1" w:lineRule="exact"/>
      </w:pP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经审计扣除非经常损益前后净利润孰低是否为负值</w:t>
      </w:r>
    </w:p>
    <w:p>
      <w:pPr>
        <w:pStyle w:val="Style1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收入相关信息：</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合同分类</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公司</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3,088,227,503.90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3,088,227,503.90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分析与设计服务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230,851,503.93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230,871,900.16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开发与编程服务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1,636,401,570.63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1,636,960,612.19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测试与集成服务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606,514,087.88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606,587,252.98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实施与运维服务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556,157,400.80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334,542,340.54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58,302,940.66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279,265,398.03</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3,088,227,503.90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3,088,227,503.90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1,406,239,416.63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1,406,305,790.59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955,377,517.33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955,311,143.38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558,326,252.81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558,326,252.81</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38,659,119.80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38,659,119.80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46,507,593.13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46,507,593.13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83,117,604.20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83,117,604.19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3,088,227,503.90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3,088,227,503.90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1,241,913,685.84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1,241,913,685.84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925,251,417.21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925,251,417.21</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347,021,128.41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347,021,128.41</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146,190,741.30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146,190,741.30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118,723,669.89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118,723,669.89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91,984,270.82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91,984,270.82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航空、物流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58,566,648.63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58,566,648.63</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45,613,827.32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45,613,827.32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112,962,114.48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112,962,114.48</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0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3,088,227,503.90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3,088,227,503.90</w:t>
            </w:r>
          </w:p>
        </w:tc>
      </w:tr>
      <w:tr>
        <w:trPr>
          <w:trHeight w:val="331"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在本期确认的包括在合同负债期初账面价值中的收入为</w:t>
      </w:r>
      <w:r>
        <w:rPr>
          <w:rFonts w:ascii="Times New Roman" w:eastAsia="Times New Roman" w:hAnsi="Times New Roman" w:cs="Times New Roman"/>
          <w:color w:val="000000"/>
          <w:spacing w:val="0"/>
          <w:w w:val="100"/>
          <w:position w:val="0"/>
        </w:rPr>
        <w:t>1,379,818.75</w:t>
      </w:r>
      <w:r>
        <w:rPr>
          <w:color w:val="000000"/>
          <w:spacing w:val="0"/>
          <w:w w:val="100"/>
          <w:position w:val="0"/>
        </w:rPr>
        <w:t>元。</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p>
    <w:p>
      <w:pPr>
        <w:pStyle w:val="Style1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p>
    <w:p>
      <w:pPr>
        <w:pStyle w:val="Style12"/>
        <w:keepNext w:val="0"/>
        <w:keepLines w:val="0"/>
        <w:widowControl w:val="0"/>
        <w:shd w:val="clear" w:color="auto" w:fill="auto"/>
        <w:bidi w:val="0"/>
        <w:spacing w:before="0" w:after="440" w:line="413" w:lineRule="exact"/>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140" w:line="432" w:lineRule="auto"/>
        <w:ind w:left="0" w:right="0" w:firstLine="0"/>
        <w:jc w:val="both"/>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6</w:t>
      </w:r>
      <w:bookmarkEnd w:id="157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77"/>
      <w:bookmarkEnd w:id="1578"/>
      <w:bookmarkEnd w:id="158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11,436,065.41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6,821,901.69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4,904,899.79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2,923,672.17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976,642.30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622,400.10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3,269,933.21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1,949,114.77</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20,588,200.71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12,317,748.73</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both"/>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81"/>
      <w:bookmarkEnd w:id="1582"/>
      <w:bookmarkEnd w:id="158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65,422,496.21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57,982,298.28</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5,651,798.07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3,382,788.33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9,393,310.55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5,368,001.56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2,146,491.91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1,396,151.67</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1,160,850.64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42,911.48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83,774,947.38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68,172,151.32</w:t>
            </w:r>
          </w:p>
        </w:tc>
      </w:tr>
    </w:tbl>
    <w:p>
      <w:pPr>
        <w:spacing w:lineRule="exact" w:line="1"/>
        <w:rPr>
          <w:sz w:val="2"/>
          <w:szCs w:val="2"/>
        </w:rPr>
      </w:pPr>
      <w:r>
        <w:br w:type="page"/>
      </w:r>
    </w:p>
    <w:p>
      <w:pPr>
        <w:pStyle w:val="Style38"/>
        <w:keepNext/>
        <w:keepLines/>
        <w:widowControl w:val="0"/>
        <w:shd w:val="clear" w:color="auto" w:fill="auto"/>
        <w:bidi w:val="0"/>
        <w:spacing w:before="0" w:after="30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6</w:t>
      </w:r>
      <w:bookmarkEnd w:id="158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85"/>
      <w:bookmarkEnd w:id="1586"/>
      <w:bookmarkEnd w:id="158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上期发生额</w:t>
            </w:r>
          </w:p>
        </w:tc>
      </w:tr>
      <w:tr>
        <w:trPr>
          <w:trHeight w:val="36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员工薪酬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274,153,090.04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162,782,455.61</w:t>
            </w:r>
          </w:p>
        </w:tc>
      </w:tr>
      <w:tr>
        <w:trPr>
          <w:trHeight w:val="36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房租水电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7,711,648.44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19,549,485.15</w:t>
            </w:r>
          </w:p>
        </w:tc>
      </w:tr>
      <w:tr>
        <w:trPr>
          <w:trHeight w:val="36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招聘及培训费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13,300,204.22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7,395,701.79</w:t>
            </w:r>
          </w:p>
        </w:tc>
      </w:tr>
      <w:tr>
        <w:trPr>
          <w:trHeight w:val="36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7,689,198.42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4,593,857.19</w:t>
            </w:r>
          </w:p>
        </w:tc>
      </w:tr>
      <w:tr>
        <w:trPr>
          <w:trHeight w:val="36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鉴证及咨询费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4,643,455.48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7,928,342.19</w:t>
            </w:r>
          </w:p>
        </w:tc>
      </w:tr>
      <w:tr>
        <w:trPr>
          <w:trHeight w:val="36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36,073,628.73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8,144,903.82</w:t>
            </w:r>
          </w:p>
        </w:tc>
      </w:tr>
      <w:tr>
        <w:trPr>
          <w:trHeight w:val="36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差旅及招待费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10,464,074.75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5,941,852.85</w:t>
            </w:r>
          </w:p>
        </w:tc>
      </w:tr>
      <w:tr>
        <w:trPr>
          <w:trHeight w:val="36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9,740,686.08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10,668,985.91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4,619,036.67</w:t>
            </w:r>
          </w:p>
        </w:tc>
      </w:tr>
      <w:tr>
        <w:trPr>
          <w:trHeight w:val="370"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374,444,972.07</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220,955,635.27</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6</w:t>
      </w:r>
      <w:bookmarkEnd w:id="159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89"/>
      <w:bookmarkEnd w:id="1590"/>
      <w:bookmarkEnd w:id="159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175,189,928.57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98,929,346.50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技术支持服务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8,197,859.49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13,149,816.39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2,778,788.37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1,655,721.35</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186,166,576.43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113,734,884.24</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6</w:t>
      </w:r>
      <w:bookmarkEnd w:id="159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93"/>
      <w:bookmarkEnd w:id="1594"/>
      <w:bookmarkEnd w:id="159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-5,393,248.66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-982,670.40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5,227,367.13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3,277,383.42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424,528.30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395,754.73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316,587.61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372,990.75</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575,234.38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3,063,458.50</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6</w:t>
      </w:r>
      <w:bookmarkEnd w:id="159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97"/>
      <w:bookmarkEnd w:id="1598"/>
      <w:bookmarkEnd w:id="160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与收益相关的政府补助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14,553,300.72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9,733,217.51</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进项税加计扣除金额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1,690,245.78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758,395.19</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529,874.85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16,243,546.50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11,021,487.55</w:t>
            </w:r>
          </w:p>
        </w:tc>
      </w:tr>
    </w:tbl>
    <w:p>
      <w:pPr>
        <w:spacing w:lineRule="exact" w:line="1"/>
        <w:rPr>
          <w:sz w:val="2"/>
          <w:szCs w:val="2"/>
        </w:rPr>
      </w:pPr>
      <w:r>
        <w:br w:type="page"/>
      </w:r>
    </w:p>
    <w:p>
      <w:pPr>
        <w:pStyle w:val="Style38"/>
        <w:keepNext/>
        <w:keepLines/>
        <w:widowControl w:val="0"/>
        <w:shd w:val="clear" w:color="auto" w:fill="auto"/>
        <w:bidi w:val="0"/>
        <w:spacing w:before="0" w:after="30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6</w:t>
      </w:r>
      <w:bookmarkEnd w:id="160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01"/>
      <w:bookmarkEnd w:id="1602"/>
      <w:bookmarkEnd w:id="160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交易性金融资产在持有期间的投资收益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8,146,114.60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918,511.12</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无追索权应收账款保理收益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-130,842.33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8,015,272.27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918,511.12</w:t>
            </w:r>
          </w:p>
        </w:tc>
      </w:tr>
    </w:tbl>
    <w:p>
      <w:pPr>
        <w:widowControl w:val="0"/>
        <w:spacing w:after="299" w:line="1" w:lineRule="exact"/>
      </w:pPr>
    </w:p>
    <w:p>
      <w:pPr>
        <w:pStyle w:val="Style38"/>
        <w:keepNext/>
        <w:keepLines/>
        <w:widowControl w:val="0"/>
        <w:shd w:val="clear" w:color="auto" w:fill="auto"/>
        <w:bidi w:val="0"/>
        <w:spacing w:before="0" w:after="34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6</w:t>
      </w:r>
      <w:bookmarkEnd w:id="160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05"/>
      <w:bookmarkEnd w:id="1606"/>
      <w:bookmarkEnd w:id="1608"/>
    </w:p>
    <w:p>
      <w:pPr>
        <w:pStyle w:val="Style12"/>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不适用</w:t>
      </w:r>
    </w:p>
    <w:p>
      <w:pPr>
        <w:pStyle w:val="Style38"/>
        <w:keepNext/>
        <w:keepLines/>
        <w:widowControl w:val="0"/>
        <w:shd w:val="clear" w:color="auto" w:fill="auto"/>
        <w:tabs>
          <w:tab w:pos="478" w:val="left"/>
        </w:tabs>
        <w:bidi w:val="0"/>
        <w:spacing w:before="0" w:after="34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7</w:t>
      </w:r>
      <w:bookmarkEnd w:id="1611"/>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09"/>
      <w:bookmarkEnd w:id="1610"/>
      <w:bookmarkEnd w:id="1612"/>
    </w:p>
    <w:p>
      <w:pPr>
        <w:pStyle w:val="Style12"/>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不适用</w:t>
      </w:r>
    </w:p>
    <w:p>
      <w:pPr>
        <w:pStyle w:val="Style38"/>
        <w:keepNext/>
        <w:keepLines/>
        <w:widowControl w:val="0"/>
        <w:shd w:val="clear" w:color="auto" w:fill="auto"/>
        <w:tabs>
          <w:tab w:pos="478" w:val="left"/>
        </w:tabs>
        <w:bidi w:val="0"/>
        <w:spacing w:before="0" w:after="30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7</w:t>
      </w:r>
      <w:bookmarkEnd w:id="1615"/>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613"/>
      <w:bookmarkEnd w:id="1614"/>
      <w:bookmarkEnd w:id="161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-3,452,358.76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-1,919,969.99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-34,958,857.92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-14,181,235.42</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-529,737.26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-615,500.74</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-38,940,953.94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-16,716,706.15</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7</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17"/>
      <w:bookmarkEnd w:id="1618"/>
      <w:bookmarkEnd w:id="162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7</w:t>
      </w:r>
      <w:bookmarkEnd w:id="162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21"/>
      <w:bookmarkEnd w:id="1622"/>
      <w:bookmarkEnd w:id="162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固定资产处置收益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118,252.40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长期待摊费用处置收益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-412,632.41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使用权资产处置收益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1,815,387.06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1,521,007.05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7</w:t>
      </w:r>
      <w:bookmarkEnd w:id="162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25"/>
      <w:bookmarkEnd w:id="1626"/>
      <w:bookmarkEnd w:id="162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计入当期非经常性损益的金</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违约金收入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43,982.00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37,044.76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43,982.00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1,174.76</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88,773.09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1,329.09</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45,311.09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126,992.61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45,311.09</w:t>
            </w:r>
          </w:p>
        </w:tc>
      </w:tr>
    </w:tbl>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计入当期损益的政府补助：不适用</w:t>
      </w:r>
    </w:p>
    <w:p>
      <w:pPr>
        <w:pStyle w:val="Style38"/>
        <w:keepNext/>
        <w:keepLines/>
        <w:widowControl w:val="0"/>
        <w:shd w:val="clear" w:color="auto" w:fill="auto"/>
        <w:bidi w:val="0"/>
        <w:spacing w:before="0" w:after="30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7</w:t>
      </w:r>
      <w:bookmarkEnd w:id="163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29"/>
      <w:bookmarkEnd w:id="1630"/>
      <w:bookmarkEnd w:id="163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非流动资产报废损失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43,890.43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750,723.49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43,890.43</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其中：固定资产报废损失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43,890.43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93,395.88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43,890.43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无形资产报废损失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657,327.61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滞纳金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6,744.01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463,208.20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333,154.00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463,208.20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633,842.64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1,296,346.92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633,842.64</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7</w:t>
      </w:r>
      <w:bookmarkEnd w:id="163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33"/>
      <w:bookmarkEnd w:id="1634"/>
      <w:bookmarkEnd w:id="1636"/>
    </w:p>
    <w:p>
      <w:pPr>
        <w:pStyle w:val="Style46"/>
        <w:keepNext/>
        <w:keepLines/>
        <w:widowControl w:val="0"/>
        <w:shd w:val="clear" w:color="auto" w:fill="auto"/>
        <w:bidi w:val="0"/>
        <w:spacing w:before="0" w:after="300" w:line="240" w:lineRule="auto"/>
        <w:ind w:left="0" w:right="0" w:firstLine="0"/>
        <w:jc w:val="left"/>
      </w:pPr>
      <w:bookmarkStart w:id="1637" w:name="bookmark1637"/>
      <w:bookmarkStart w:id="1638" w:name="bookmark1638"/>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37"/>
      <w:bookmarkEnd w:id="1638"/>
      <w:bookmarkEnd w:id="163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10,470,680.02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9,961,719.93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-9,915,016.99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-1,959,128.21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555,663.03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8,002,591.72</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40"/>
      <w:bookmarkEnd w:id="1641"/>
      <w:bookmarkEnd w:id="164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135,808,859.58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20,371,328.94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-1,556,810.79</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1,032,372.07</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782,597.68</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研发费用及残疾人工资加计扣除的影响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-20,030,850.66</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税率变动对递延所得税资产余额的影响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-42,974.21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555,663.03</w:t>
            </w:r>
          </w:p>
        </w:tc>
      </w:tr>
    </w:tbl>
    <w:p>
      <w:pPr>
        <w:spacing w:lineRule="exact" w:line="1"/>
        <w:rPr>
          <w:sz w:val="2"/>
          <w:szCs w:val="2"/>
        </w:rPr>
      </w:pPr>
      <w:r>
        <w:br w:type="page"/>
      </w:r>
    </w:p>
    <w:p>
      <w:pPr>
        <w:pStyle w:val="Style38"/>
        <w:keepNext/>
        <w:keepLines/>
        <w:widowControl w:val="0"/>
        <w:shd w:val="clear" w:color="auto" w:fill="auto"/>
        <w:tabs>
          <w:tab w:pos="478" w:val="left"/>
        </w:tabs>
        <w:bidi w:val="0"/>
        <w:spacing w:before="0" w:after="30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7</w:t>
      </w:r>
      <w:bookmarkEnd w:id="164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43"/>
      <w:bookmarkEnd w:id="1644"/>
      <w:bookmarkEnd w:id="1646"/>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）28</w:t>
      </w:r>
      <w:r>
        <w:rPr>
          <w:color w:val="000000"/>
          <w:spacing w:val="0"/>
          <w:w w:val="100"/>
          <w:position w:val="0"/>
        </w:rPr>
        <w:t>之说明。</w:t>
      </w:r>
    </w:p>
    <w:p>
      <w:pPr>
        <w:pStyle w:val="Style38"/>
        <w:keepNext/>
        <w:keepLines/>
        <w:widowControl w:val="0"/>
        <w:shd w:val="clear" w:color="auto" w:fill="auto"/>
        <w:tabs>
          <w:tab w:pos="478" w:val="left"/>
        </w:tabs>
        <w:bidi w:val="0"/>
        <w:spacing w:before="0" w:after="30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7</w:t>
      </w:r>
      <w:bookmarkEnd w:id="164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47"/>
      <w:bookmarkEnd w:id="1648"/>
      <w:bookmarkEnd w:id="1650"/>
    </w:p>
    <w:p>
      <w:pPr>
        <w:pStyle w:val="Style46"/>
        <w:keepNext/>
        <w:keepLines/>
        <w:widowControl w:val="0"/>
        <w:shd w:val="clear" w:color="auto" w:fill="auto"/>
        <w:bidi w:val="0"/>
        <w:spacing w:before="0" w:after="300" w:line="240" w:lineRule="auto"/>
        <w:ind w:left="0" w:right="0" w:firstLine="0"/>
        <w:jc w:val="left"/>
      </w:pPr>
      <w:bookmarkStart w:id="1651" w:name="bookmark1651"/>
      <w:bookmarkStart w:id="1652" w:name="bookmark1652"/>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51"/>
      <w:bookmarkEnd w:id="1652"/>
      <w:bookmarkEnd w:id="165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5,393,248.66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982,670.40</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收到个税手续费返还及生育津贴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529,874.85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14,735,500.72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11,733,217.51</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收到其他营业外收入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45,311.09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61,677.27</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收到其他往来款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873,277.47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4,227,119.42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21,047,337.94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17,534,559.45</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54"/>
      <w:bookmarkEnd w:id="1655"/>
      <w:bookmarkEnd w:id="165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付现销售费用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18,214,080.03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10,182,256.32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付现管理费用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62,698,326.52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56,387,896.51</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付现研发费用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10,345,485.82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14,524,897.36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339,194.63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297,635.11</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589,952.21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544,740.18</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6,817,409.46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9,363,835.18</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其他往来款项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762,592.94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157,621.84</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99,767,041.61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91,458,882.50</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57"/>
      <w:bookmarkEnd w:id="1658"/>
      <w:bookmarkEnd w:id="166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赎回理财产品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1,462,000,000.00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705,100,000.00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1,462,000,000.00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705,100,000.00</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61"/>
      <w:bookmarkEnd w:id="1662"/>
      <w:bookmarkEnd w:id="166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购买理财产品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1,672,000,000.00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625,000,000.00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1,672,000,000.00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625,000,000.00</w:t>
            </w:r>
          </w:p>
        </w:tc>
      </w:tr>
    </w:tbl>
    <w:p>
      <w:pPr>
        <w:spacing w:lineRule="exact" w:line="1"/>
        <w:rPr>
          <w:sz w:val="2"/>
          <w:szCs w:val="2"/>
        </w:rPr>
      </w:pPr>
      <w:r>
        <w:br w:type="page"/>
      </w:r>
    </w:p>
    <w:p>
      <w:pPr>
        <w:pStyle w:val="Style46"/>
        <w:keepNext/>
        <w:keepLines/>
        <w:widowControl w:val="0"/>
        <w:shd w:val="clear" w:color="auto" w:fill="auto"/>
        <w:tabs>
          <w:tab w:pos="493" w:val="left"/>
        </w:tabs>
        <w:bidi w:val="0"/>
        <w:spacing w:before="0" w:after="34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665"/>
      <w:bookmarkEnd w:id="1666"/>
      <w:bookmarkEnd w:id="1668"/>
    </w:p>
    <w:p>
      <w:pPr>
        <w:pStyle w:val="Style12"/>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0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669"/>
      <w:bookmarkEnd w:id="1670"/>
      <w:bookmarkEnd w:id="167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担保费及评审费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424,528.30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416,509.44</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上市费用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20,265,235.05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33,143,907.72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147,962.83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33,568,436.02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20,829,707.32</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7</w:t>
      </w:r>
      <w:bookmarkEnd w:id="167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73"/>
      <w:bookmarkEnd w:id="1674"/>
      <w:bookmarkEnd w:id="1676"/>
    </w:p>
    <w:p>
      <w:pPr>
        <w:pStyle w:val="Style46"/>
        <w:keepNext/>
        <w:keepLines/>
        <w:widowControl w:val="0"/>
        <w:shd w:val="clear" w:color="auto" w:fill="auto"/>
        <w:bidi w:val="0"/>
        <w:spacing w:before="0" w:after="300" w:line="240" w:lineRule="auto"/>
        <w:ind w:left="0" w:right="0" w:firstLine="0"/>
        <w:jc w:val="left"/>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77"/>
      <w:bookmarkEnd w:id="1678"/>
      <w:bookmarkEnd w:id="167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58"/>
        <w:gridCol w:w="2962"/>
        <w:gridCol w:w="2962"/>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135,253,196.55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121,540,205.37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38,945,578.94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16,716,706.15</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固定资产折旧、油气资产折耗、生 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12,790,107.27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7,068,193.75</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33,426,253.33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552,668.31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450,712.06</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12,204,898.71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6,564,231.46</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处置固定资产、无形资产和其他长 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-1,521,007.05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749,548.73</w:t>
            </w:r>
          </w:p>
        </w:tc>
      </w:tr>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74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5,811,488.41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5,786,825.27</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-8,015,272.27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-918,511.12</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-9,915,016.99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-1,957,379.57</w:t>
            </w:r>
          </w:p>
        </w:tc>
      </w:tr>
      <w:tr>
        <w:trPr>
          <w:trHeight w:val="55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740"/>
              <w:jc w:val="left"/>
              <w:rPr>
                <w:sz w:val="18"/>
                <w:szCs w:val="18"/>
              </w:rPr>
            </w:pPr>
            <w:r>
              <w:rPr>
                <w:color w:val="000000"/>
                <w:spacing w:val="0"/>
                <w:w w:val="100"/>
                <w:position w:val="0"/>
                <w:sz w:val="18"/>
                <w:szCs w:val="18"/>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-1,748.64</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-5,207,394.27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-4,687,406.74</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740"/>
              <w:jc w:val="left"/>
              <w:rPr>
                <w:sz w:val="18"/>
                <w:szCs w:val="18"/>
              </w:rPr>
            </w:pPr>
            <w:r>
              <w:rPr>
                <w:color w:val="000000"/>
                <w:spacing w:val="0"/>
                <w:w w:val="100"/>
                <w:position w:val="0"/>
                <w:sz w:val="18"/>
                <w:szCs w:val="18"/>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-401,232,963.13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-205,313,954.96</w:t>
            </w:r>
          </w:p>
        </w:tc>
      </w:tr>
      <w:tr>
        <w:trPr>
          <w:trHeight w:val="557"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5" w:lineRule="exact"/>
              <w:ind w:left="0" w:right="0" w:firstLine="740"/>
              <w:jc w:val="left"/>
              <w:rPr>
                <w:sz w:val="18"/>
                <w:szCs w:val="18"/>
              </w:rPr>
            </w:pPr>
            <w:r>
              <w:rPr>
                <w:color w:val="000000"/>
                <w:spacing w:val="0"/>
                <w:w w:val="100"/>
                <w:position w:val="0"/>
                <w:sz w:val="18"/>
                <w:szCs w:val="18"/>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113,250,894.01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120,693,796.80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9,870,686.08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58"/>
        <w:gridCol w:w="2962"/>
        <w:gridCol w:w="296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-63,741,991.67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66,691,218.56</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493,704,758.59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868,011,475.00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868,011,475.00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143,762,120.02</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-374,306,716.41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724,249,354.98</w:t>
            </w:r>
          </w:p>
        </w:tc>
      </w:tr>
    </w:tbl>
    <w:p>
      <w:pPr>
        <w:widowControl w:val="0"/>
        <w:spacing w:after="279" w:line="1" w:lineRule="exact"/>
      </w:pPr>
    </w:p>
    <w:p>
      <w:pPr>
        <w:pStyle w:val="Style46"/>
        <w:keepNext/>
        <w:keepLines/>
        <w:widowControl w:val="0"/>
        <w:shd w:val="clear" w:color="auto" w:fill="auto"/>
        <w:bidi w:val="0"/>
        <w:spacing w:before="0" w:after="340" w:line="240" w:lineRule="auto"/>
        <w:ind w:left="0" w:right="0" w:firstLine="0"/>
        <w:jc w:val="left"/>
      </w:pPr>
      <w:bookmarkStart w:id="1680" w:name="bookmark1680"/>
      <w:bookmarkStart w:id="1681" w:name="bookmark1681"/>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80"/>
      <w:bookmarkEnd w:id="1681"/>
      <w:bookmarkEnd w:id="168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本期发生的企业合并于本期支付的现金或现金等价物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其中：法本通信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r>
    </w:tbl>
    <w:p>
      <w:pPr>
        <w:widowControl w:val="0"/>
        <w:spacing w:after="279" w:line="1" w:lineRule="exact"/>
      </w:pPr>
    </w:p>
    <w:p>
      <w:pPr>
        <w:pStyle w:val="Style46"/>
        <w:keepNext/>
        <w:keepLines/>
        <w:widowControl w:val="0"/>
        <w:shd w:val="clear" w:color="auto" w:fill="auto"/>
        <w:tabs>
          <w:tab w:pos="493" w:val="left"/>
        </w:tabs>
        <w:bidi w:val="0"/>
        <w:spacing w:before="0" w:after="34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683"/>
      <w:bookmarkEnd w:id="1684"/>
      <w:bookmarkEnd w:id="1686"/>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28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687"/>
      <w:bookmarkEnd w:id="1688"/>
      <w:bookmarkEnd w:id="169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3"/>
        <w:gridCol w:w="319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493,704,758.59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868,011,475.00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493,703,658.59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868,011,475.00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493,704,758.59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868,011,475.00</w:t>
            </w:r>
          </w:p>
        </w:tc>
      </w:tr>
    </w:tbl>
    <w:p>
      <w:pPr>
        <w:widowControl w:val="0"/>
        <w:spacing w:after="279" w:line="1" w:lineRule="exact"/>
      </w:pPr>
    </w:p>
    <w:p>
      <w:pPr>
        <w:pStyle w:val="Style38"/>
        <w:keepNext/>
        <w:keepLines/>
        <w:widowControl w:val="0"/>
        <w:shd w:val="clear" w:color="auto" w:fill="auto"/>
        <w:tabs>
          <w:tab w:pos="483" w:val="left"/>
        </w:tabs>
        <w:bidi w:val="0"/>
        <w:spacing w:before="0" w:after="2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8</w:t>
      </w:r>
      <w:bookmarkEnd w:id="169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91"/>
      <w:bookmarkEnd w:id="1692"/>
      <w:bookmarkEnd w:id="1694"/>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其他，，项目名称及调整金额等事项：不适用</w:t>
      </w:r>
    </w:p>
    <w:p>
      <w:pPr>
        <w:pStyle w:val="Style38"/>
        <w:keepNext/>
        <w:keepLines/>
        <w:widowControl w:val="0"/>
        <w:shd w:val="clear" w:color="auto" w:fill="auto"/>
        <w:tabs>
          <w:tab w:pos="483" w:val="left"/>
        </w:tabs>
        <w:bidi w:val="0"/>
        <w:spacing w:before="0" w:after="34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8</w:t>
      </w:r>
      <w:bookmarkEnd w:id="169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95"/>
      <w:bookmarkEnd w:id="1696"/>
      <w:bookmarkEnd w:id="169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3"/>
        <w:gridCol w:w="3192"/>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bl>
    <w:p>
      <w:pPr>
        <w:spacing w:lineRule="exact" w:line="1"/>
        <w:rPr>
          <w:sz w:val="2"/>
          <w:szCs w:val="2"/>
        </w:rPr>
      </w:pPr>
      <w:r>
        <w:br w:type="page"/>
      </w:r>
    </w:p>
    <w:tbl>
      <w:tblPr>
        <w:tblOverlap w:val="never"/>
        <w:jc w:val="center"/>
        <w:tblLayout w:type="fixed"/>
      </w:tblPr>
      <w:tblGrid>
        <w:gridCol w:w="3336"/>
        <w:gridCol w:w="3053"/>
        <w:gridCol w:w="319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5,175,934.50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保函保证金</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13,781,357.23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附追索权应收账款保理</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18,957,291.73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8"/>
        <w:keepNext/>
        <w:keepLines/>
        <w:widowControl w:val="0"/>
        <w:shd w:val="clear" w:color="auto" w:fill="auto"/>
        <w:bidi w:val="0"/>
        <w:spacing w:before="0" w:after="28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8</w:t>
      </w:r>
      <w:bookmarkEnd w:id="170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99"/>
      <w:bookmarkEnd w:id="1700"/>
      <w:bookmarkEnd w:id="1702"/>
    </w:p>
    <w:p>
      <w:pPr>
        <w:pStyle w:val="Style46"/>
        <w:keepNext/>
        <w:keepLines/>
        <w:widowControl w:val="0"/>
        <w:shd w:val="clear" w:color="auto" w:fill="auto"/>
        <w:bidi w:val="0"/>
        <w:spacing w:before="0" w:after="280" w:line="240" w:lineRule="auto"/>
        <w:ind w:left="0" w:right="0" w:firstLine="0"/>
        <w:jc w:val="left"/>
      </w:pPr>
      <w:bookmarkStart w:id="1703" w:name="bookmark1703"/>
      <w:bookmarkStart w:id="1704" w:name="bookmark1704"/>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03"/>
      <w:bookmarkEnd w:id="1704"/>
      <w:bookmarkEnd w:id="170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期末折算人民币余额</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2,043,647.31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122,182.53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778,999.16</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174,102.50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1,256,967.82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9,393.75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7,680.33</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4,788,238.27</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463,907.55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2,957,735.37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243,616.09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1,758,835.08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71,667.82</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48,838.92</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1,306.44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8,329.47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5,610.96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40,509.45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407,904.28</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其中：欧元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4,146.32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29,935.19</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462,290.96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377,969.09</w:t>
            </w:r>
          </w:p>
        </w:tc>
      </w:tr>
    </w:tbl>
    <w:p>
      <w:pPr>
        <w:widowControl w:val="0"/>
        <w:spacing w:after="279" w:line="1" w:lineRule="exact"/>
      </w:pPr>
    </w:p>
    <w:p>
      <w:pPr>
        <w:pStyle w:val="Style46"/>
        <w:keepNext/>
        <w:keepLines/>
        <w:widowControl w:val="0"/>
        <w:shd w:val="clear" w:color="auto" w:fill="auto"/>
        <w:bidi w:val="0"/>
        <w:spacing w:before="0" w:after="280" w:line="283" w:lineRule="exact"/>
        <w:ind w:left="0" w:right="0" w:firstLine="0"/>
        <w:jc w:val="left"/>
      </w:pPr>
      <w:bookmarkStart w:id="1706" w:name="bookmark1706"/>
      <w:bookmarkStart w:id="1707" w:name="bookmark1707"/>
      <w:bookmarkStart w:id="1708" w:name="bookmark17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06"/>
      <w:bookmarkEnd w:id="1707"/>
      <w:bookmarkEnd w:id="1708"/>
    </w:p>
    <w:p>
      <w:pPr>
        <w:pStyle w:val="Style1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8</w:t>
      </w:r>
      <w:bookmarkEnd w:id="1711"/>
      <w:r>
        <w:rPr>
          <w:rFonts w:ascii="Times New Roman" w:eastAsia="Times New Roman" w:hAnsi="Times New Roman" w:cs="Times New Roman"/>
          <w:color w:val="000000"/>
          <w:spacing w:val="0"/>
          <w:w w:val="100"/>
          <w:position w:val="0"/>
        </w:rPr>
        <w:t>3</w:t>
      </w:r>
      <w:r>
        <w:rPr>
          <w:color w:val="000000"/>
          <w:spacing w:val="0"/>
          <w:w w:val="100"/>
          <w:position w:val="0"/>
        </w:rPr>
        <w:t>、套期</w:t>
      </w:r>
      <w:bookmarkEnd w:id="1709"/>
      <w:bookmarkEnd w:id="1710"/>
      <w:bookmarkEnd w:id="1712"/>
    </w:p>
    <w:p>
      <w:pPr>
        <w:pStyle w:val="Style12"/>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按照套期类别披露套期项目及相关套期工具、被套期风险的定性和定量信息：不适用</w:t>
      </w:r>
      <w:r>
        <w:br w:type="page"/>
      </w:r>
    </w:p>
    <w:p>
      <w:pPr>
        <w:pStyle w:val="Style38"/>
        <w:keepNext/>
        <w:keepLines/>
        <w:widowControl w:val="0"/>
        <w:shd w:val="clear" w:color="auto" w:fill="auto"/>
        <w:bidi w:val="0"/>
        <w:spacing w:before="0" w:after="30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8</w:t>
      </w:r>
      <w:bookmarkEnd w:id="1715"/>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713"/>
      <w:bookmarkEnd w:id="1714"/>
      <w:bookmarkEnd w:id="1716"/>
    </w:p>
    <w:p>
      <w:pPr>
        <w:pStyle w:val="Style46"/>
        <w:keepNext/>
        <w:keepLines/>
        <w:widowControl w:val="0"/>
        <w:shd w:val="clear" w:color="auto" w:fill="auto"/>
        <w:bidi w:val="0"/>
        <w:spacing w:before="0" w:after="300" w:line="240" w:lineRule="auto"/>
        <w:ind w:left="0" w:right="0" w:firstLine="0"/>
        <w:jc w:val="left"/>
      </w:pPr>
      <w:bookmarkStart w:id="1717" w:name="bookmark1717"/>
      <w:bookmarkStart w:id="1718" w:name="bookmark1718"/>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17"/>
      <w:bookmarkEnd w:id="1718"/>
      <w:bookmarkEnd w:id="171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12"/>
        <w:gridCol w:w="1685"/>
        <w:gridCol w:w="1690"/>
        <w:gridCol w:w="1694"/>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列报项目</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计入当期损益的金额</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软件和信息技术服务业、互联网和相关服务业企业稳增 长奖励资助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6,200,000.00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技术转移和成果转化项目资助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年度深圳市企业研究开发资助计划第一批资助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1,340,000.00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1,340,000.00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年度市民营及中小企业创新发展培育扶持计划改制 上市培育项目资助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年高新技术企业培育资助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第一批拟资助企业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南山区自主创新产业发展专项资金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年第一批资助</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年下半年营利性服务业稳增长资助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867,600.00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年中央外经贸发展专项资金（服务贸易事项）资助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644,045.00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644,045.00</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年度中央外经贸发展专项资金（服务贸易事项）资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年度企业稳岗补贴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235,303.42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235,303.42</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南山区自主创新产业发展专项资金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年第五批资助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人才素质提升工程项目资助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南山区自主创新产业发展专项资金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年第二批资助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商业保理支持项目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186,900.00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南山区企业岗前培训补贴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179,400.00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179,400.00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南山区产业发展与创新人才资助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171,389.00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171,389.00</w:t>
            </w:r>
          </w:p>
        </w:tc>
      </w:tr>
      <w:tr>
        <w:trPr>
          <w:trHeight w:val="55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南山区自主创新产业发展专项资金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年第三批资助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商业保理支持项目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年国家高新技术企业认定奖补资金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残疾人用工补贴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企业职工线上职业培训补贴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年深圳市第一批计算机软件著作权登记资助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深圳市知识产权专项资金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年著作权登记资助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上海市残疾人就业服务中心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超比例奖励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7,103.30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上市企业短期流动贷款贴息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182,200.00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财务费用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182,200.00</w:t>
            </w:r>
          </w:p>
        </w:tc>
      </w:tr>
      <w:tr>
        <w:trPr>
          <w:trHeight w:val="33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14,735,500.72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14,735,500.72</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20"/>
      <w:bookmarkEnd w:id="1721"/>
      <w:bookmarkEnd w:id="1722"/>
    </w:p>
    <w:p>
      <w:pPr>
        <w:pStyle w:val="Style12"/>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8</w:t>
      </w:r>
      <w:bookmarkEnd w:id="1725"/>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723"/>
      <w:bookmarkEnd w:id="1724"/>
      <w:bookmarkEnd w:id="1726"/>
    </w:p>
    <w:p>
      <w:pPr>
        <w:pStyle w:val="Style12"/>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sz w:val="24"/>
          <w:szCs w:val="24"/>
        </w:rPr>
        <w:t>八</w:t>
      </w:r>
      <w:bookmarkEnd w:id="1729"/>
      <w:r>
        <w:rPr>
          <w:color w:val="000000"/>
          <w:spacing w:val="0"/>
          <w:w w:val="100"/>
          <w:position w:val="0"/>
          <w:sz w:val="24"/>
          <w:szCs w:val="24"/>
        </w:rPr>
        <w:t>、合并范围的变更</w:t>
      </w:r>
      <w:bookmarkEnd w:id="1727"/>
      <w:bookmarkEnd w:id="1728"/>
      <w:bookmarkEnd w:id="1730"/>
    </w:p>
    <w:p>
      <w:pPr>
        <w:pStyle w:val="Style38"/>
        <w:keepNext/>
        <w:keepLines/>
        <w:widowControl w:val="0"/>
        <w:shd w:val="clear" w:color="auto" w:fill="auto"/>
        <w:tabs>
          <w:tab w:pos="368" w:val="left"/>
        </w:tabs>
        <w:bidi w:val="0"/>
        <w:spacing w:before="0" w:after="36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1</w:t>
      </w:r>
      <w:bookmarkEnd w:id="1733"/>
      <w:r>
        <w:rPr>
          <w:color w:val="000000"/>
          <w:spacing w:val="0"/>
          <w:w w:val="100"/>
          <w:position w:val="0"/>
        </w:rPr>
        <w:t>、</w:t>
        <w:tab/>
        <w:t>非同一控制下企业合并</w:t>
      </w:r>
      <w:bookmarkEnd w:id="1731"/>
      <w:bookmarkEnd w:id="1732"/>
      <w:bookmarkEnd w:id="1734"/>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38"/>
        <w:keepNext/>
        <w:keepLines/>
        <w:widowControl w:val="0"/>
        <w:shd w:val="clear" w:color="auto" w:fill="auto"/>
        <w:tabs>
          <w:tab w:pos="378" w:val="left"/>
        </w:tabs>
        <w:bidi w:val="0"/>
        <w:spacing w:before="0" w:after="36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2</w:t>
      </w:r>
      <w:bookmarkEnd w:id="1737"/>
      <w:r>
        <w:rPr>
          <w:color w:val="000000"/>
          <w:spacing w:val="0"/>
          <w:w w:val="100"/>
          <w:position w:val="0"/>
        </w:rPr>
        <w:t>、</w:t>
        <w:tab/>
        <w:t>同一控制下企业合并</w:t>
      </w:r>
      <w:bookmarkEnd w:id="1735"/>
      <w:bookmarkEnd w:id="1736"/>
      <w:bookmarkEnd w:id="1738"/>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38"/>
        <w:keepNext/>
        <w:keepLines/>
        <w:widowControl w:val="0"/>
        <w:shd w:val="clear" w:color="auto" w:fill="auto"/>
        <w:tabs>
          <w:tab w:pos="378" w:val="left"/>
        </w:tabs>
        <w:bidi w:val="0"/>
        <w:spacing w:before="0" w:after="320" w:line="240" w:lineRule="auto"/>
        <w:ind w:left="0" w:right="0" w:firstLine="0"/>
        <w:jc w:val="both"/>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3</w:t>
      </w:r>
      <w:bookmarkEnd w:id="1741"/>
      <w:r>
        <w:rPr>
          <w:color w:val="000000"/>
          <w:spacing w:val="0"/>
          <w:w w:val="100"/>
          <w:position w:val="0"/>
        </w:rPr>
        <w:t>、</w:t>
        <w:tab/>
        <w:t>反向购买</w:t>
      </w:r>
      <w:bookmarkEnd w:id="1739"/>
      <w:bookmarkEnd w:id="1740"/>
      <w:bookmarkEnd w:id="1742"/>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38"/>
        <w:keepNext/>
        <w:keepLines/>
        <w:widowControl w:val="0"/>
        <w:shd w:val="clear" w:color="auto" w:fill="auto"/>
        <w:tabs>
          <w:tab w:pos="378" w:val="left"/>
        </w:tabs>
        <w:bidi w:val="0"/>
        <w:spacing w:before="0" w:after="32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4</w:t>
      </w:r>
      <w:bookmarkEnd w:id="1745"/>
      <w:r>
        <w:rPr>
          <w:color w:val="000000"/>
          <w:spacing w:val="0"/>
          <w:w w:val="100"/>
          <w:position w:val="0"/>
        </w:rPr>
        <w:t>、</w:t>
        <w:tab/>
        <w:t>处置子公司</w:t>
      </w:r>
      <w:bookmarkEnd w:id="1743"/>
      <w:bookmarkEnd w:id="1744"/>
      <w:bookmarkEnd w:id="1746"/>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5</w:t>
      </w:r>
      <w:bookmarkEnd w:id="1749"/>
      <w:r>
        <w:rPr>
          <w:color w:val="000000"/>
          <w:spacing w:val="0"/>
          <w:w w:val="100"/>
          <w:position w:val="0"/>
        </w:rPr>
        <w:t>、其他原因的合并范围变动</w:t>
      </w:r>
      <w:bookmarkEnd w:id="1747"/>
      <w:bookmarkEnd w:id="1748"/>
      <w:bookmarkEnd w:id="1750"/>
    </w:p>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2218"/>
        <w:gridCol w:w="1920"/>
        <w:gridCol w:w="1757"/>
        <w:gridCol w:w="1819"/>
        <w:gridCol w:w="1930"/>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股权取得方式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股权取得时点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注册资本（元）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出资比例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上海法本信息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法本通信［注］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［注］公司购买深圳市欢欢充科技有限公司</w:t>
      </w:r>
      <w:r>
        <w:rPr>
          <w:rFonts w:ascii="Times New Roman" w:eastAsia="Times New Roman" w:hAnsi="Times New Roman" w:cs="Times New Roman"/>
          <w:color w:val="000000"/>
          <w:spacing w:val="0"/>
          <w:w w:val="100"/>
          <w:position w:val="0"/>
        </w:rPr>
        <w:t>（</w:t>
      </w:r>
      <w:r>
        <w:rPr>
          <w:color w:val="000000"/>
          <w:spacing w:val="0"/>
          <w:w w:val="100"/>
          <w:position w:val="0"/>
        </w:rPr>
        <w:t>公司名称已变更为法本通信</w:t>
      </w:r>
      <w:r>
        <w:rPr>
          <w:rFonts w:ascii="Times New Roman" w:eastAsia="Times New Roman" w:hAnsi="Times New Roman" w:cs="Times New Roman"/>
          <w:color w:val="000000"/>
          <w:spacing w:val="0"/>
          <w:w w:val="100"/>
          <w:position w:val="0"/>
        </w:rPr>
        <w:t>）</w:t>
      </w:r>
      <w:r>
        <w:rPr>
          <w:color w:val="000000"/>
          <w:spacing w:val="0"/>
          <w:w w:val="100"/>
          <w:position w:val="0"/>
        </w:rPr>
        <w:t>时，深圳市欢欢充科技有限 公司尚未开展实质经营业务活动，其账面净资产为</w:t>
      </w:r>
      <w:r>
        <w:rPr>
          <w:rFonts w:ascii="Times New Roman" w:eastAsia="Times New Roman" w:hAnsi="Times New Roman" w:cs="Times New Roman"/>
          <w:color w:val="000000"/>
          <w:spacing w:val="0"/>
          <w:w w:val="100"/>
          <w:position w:val="0"/>
        </w:rPr>
        <w:t>0</w:t>
      </w:r>
      <w:r>
        <w:rPr>
          <w:color w:val="000000"/>
          <w:spacing w:val="0"/>
          <w:w w:val="100"/>
          <w:position w:val="0"/>
        </w:rPr>
        <w:t>元，不具备《企业会计准则解释第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号》所规定的应当 至少同时具有一项投入和一项实质性加工处理过程，因而不构成企业合并会计准则所指的一项</w:t>
      </w:r>
      <w:r>
        <w:rPr>
          <w:rFonts w:ascii="Times New Roman" w:eastAsia="Times New Roman" w:hAnsi="Times New Roman" w:cs="Times New Roman"/>
          <w:color w:val="000000"/>
          <w:spacing w:val="0"/>
          <w:w w:val="100"/>
          <w:position w:val="0"/>
        </w:rPr>
        <w:t>“</w:t>
      </w:r>
      <w:r>
        <w:rPr>
          <w:color w:val="000000"/>
          <w:spacing w:val="0"/>
          <w:w w:val="100"/>
          <w:position w:val="0"/>
        </w:rPr>
        <w:t>业务</w:t>
      </w:r>
      <w:r>
        <w:rPr>
          <w:rFonts w:ascii="Times New Roman" w:eastAsia="Times New Roman" w:hAnsi="Times New Roman" w:cs="Times New Roman"/>
          <w:color w:val="000000"/>
          <w:spacing w:val="0"/>
          <w:w w:val="100"/>
          <w:position w:val="0"/>
        </w:rPr>
        <w:t>”</w:t>
      </w:r>
      <w:r>
        <w:rPr>
          <w:color w:val="000000"/>
          <w:spacing w:val="0"/>
          <w:w w:val="100"/>
          <w:position w:val="0"/>
        </w:rPr>
        <w:t>，因 此公司收购深圳市欢欢充科技有限公司不按照合并准则进行处理，公司将收购的支付的</w:t>
      </w:r>
      <w:r>
        <w:rPr>
          <w:rFonts w:ascii="Times New Roman" w:eastAsia="Times New Roman" w:hAnsi="Times New Roman" w:cs="Times New Roman"/>
          <w:color w:val="000000"/>
          <w:spacing w:val="0"/>
          <w:w w:val="100"/>
          <w:position w:val="0"/>
        </w:rPr>
        <w:t>130,000.00</w:t>
      </w:r>
      <w:r>
        <w:rPr>
          <w:color w:val="000000"/>
          <w:spacing w:val="0"/>
          <w:w w:val="100"/>
          <w:position w:val="0"/>
        </w:rPr>
        <w:t>元计入 管理费用。</w:t>
      </w:r>
    </w:p>
    <w:p>
      <w:pPr>
        <w:pStyle w:val="Style38"/>
        <w:keepNext/>
        <w:keepLines/>
        <w:widowControl w:val="0"/>
        <w:shd w:val="clear" w:color="auto" w:fill="auto"/>
        <w:bidi w:val="0"/>
        <w:spacing w:before="0" w:after="0" w:line="430" w:lineRule="auto"/>
        <w:ind w:left="0" w:right="0" w:firstLine="0"/>
        <w:jc w:val="both"/>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6</w:t>
      </w:r>
      <w:bookmarkEnd w:id="1753"/>
      <w:r>
        <w:rPr>
          <w:color w:val="000000"/>
          <w:spacing w:val="0"/>
          <w:w w:val="100"/>
          <w:position w:val="0"/>
        </w:rPr>
        <w:t>、其他</w:t>
      </w:r>
      <w:bookmarkEnd w:id="1751"/>
      <w:bookmarkEnd w:id="1752"/>
      <w:bookmarkEnd w:id="1754"/>
    </w:p>
    <w:p>
      <w:pPr>
        <w:pStyle w:val="Style12"/>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sz w:val="24"/>
          <w:szCs w:val="24"/>
        </w:rPr>
        <w:t>九</w:t>
      </w:r>
      <w:bookmarkEnd w:id="1757"/>
      <w:r>
        <w:rPr>
          <w:color w:val="000000"/>
          <w:spacing w:val="0"/>
          <w:w w:val="100"/>
          <w:position w:val="0"/>
          <w:sz w:val="24"/>
          <w:szCs w:val="24"/>
        </w:rPr>
        <w:t>、在其他主体中的权益</w:t>
      </w:r>
      <w:bookmarkEnd w:id="1755"/>
      <w:bookmarkEnd w:id="1756"/>
      <w:bookmarkEnd w:id="1758"/>
    </w:p>
    <w:p>
      <w:pPr>
        <w:pStyle w:val="Style38"/>
        <w:keepNext/>
        <w:keepLines/>
        <w:widowControl w:val="0"/>
        <w:shd w:val="clear" w:color="auto" w:fill="auto"/>
        <w:bidi w:val="0"/>
        <w:spacing w:before="0" w:after="0" w:line="430" w:lineRule="auto"/>
        <w:ind w:left="0" w:right="0" w:firstLine="0"/>
        <w:jc w:val="left"/>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59"/>
      <w:bookmarkEnd w:id="1760"/>
      <w:bookmarkEnd w:id="1761"/>
    </w:p>
    <w:p>
      <w:pPr>
        <w:pStyle w:val="Style46"/>
        <w:keepNext/>
        <w:keepLines/>
        <w:widowControl w:val="0"/>
        <w:shd w:val="clear" w:color="auto" w:fill="auto"/>
        <w:bidi w:val="0"/>
        <w:spacing w:before="0" w:after="320" w:line="410" w:lineRule="exact"/>
        <w:ind w:left="0" w:right="0" w:firstLine="0"/>
        <w:jc w:val="left"/>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62"/>
      <w:bookmarkEnd w:id="1763"/>
      <w:bookmarkEnd w:id="1764"/>
    </w:p>
    <w:tbl>
      <w:tblPr>
        <w:tblOverlap w:val="never"/>
        <w:jc w:val="center"/>
        <w:tblLayout w:type="fixed"/>
      </w:tblPr>
      <w:tblGrid>
        <w:gridCol w:w="1958"/>
        <w:gridCol w:w="989"/>
        <w:gridCol w:w="1166"/>
        <w:gridCol w:w="1814"/>
        <w:gridCol w:w="850"/>
        <w:gridCol w:w="850"/>
        <w:gridCol w:w="1958"/>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取得方式</w:t>
            </w:r>
          </w:p>
        </w:tc>
      </w:tr>
      <w:tr>
        <w:trPr>
          <w:trHeight w:val="331"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bottom w:val="single" w:sz="4"/>
              <w:right w:val="single" w:sz="4"/>
            </w:tcBorders>
            <w:shd w:val="clear" w:color="auto" w:fill="D4D4D4"/>
            <w:vAlign w:val="center"/>
          </w:tcPr>
          <w:p>
            <w:pPr/>
          </w:p>
        </w:tc>
      </w:tr>
    </w:tbl>
    <w:tbl>
      <w:tblPr>
        <w:tblOverlap w:val="never"/>
        <w:jc w:val="center"/>
        <w:tblLayout w:type="fixed"/>
      </w:tblPr>
      <w:tblGrid>
        <w:gridCol w:w="1978"/>
        <w:gridCol w:w="998"/>
        <w:gridCol w:w="1152"/>
        <w:gridCol w:w="1814"/>
        <w:gridCol w:w="850"/>
        <w:gridCol w:w="850"/>
        <w:gridCol w:w="1958"/>
      </w:tblGrid>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软件和信息技术服务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软件和信息技术服务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上海法本信息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软件和信息技术服务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德国</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德国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德国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软件和信息技术服务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设立</w:t>
            </w:r>
          </w:p>
        </w:tc>
      </w:tr>
      <w:tr>
        <w:trPr>
          <w:trHeight w:val="26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在子公司的持股比例</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卜同于表决</w:t>
            </w:r>
            <w:r>
              <w:rPr>
                <w:rFonts w:ascii="Times New Roman" w:eastAsia="Times New Roman" w:hAnsi="Times New Roman" w:cs="Times New Roman"/>
                <w:color w:val="000000"/>
                <w:spacing w:val="0"/>
                <w:w w:val="100"/>
                <w:position w:val="0"/>
              </w:rPr>
              <w:t>7</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权比例的说明：不适用</w:t>
            </w:r>
          </w:p>
        </w:tc>
      </w:tr>
    </w:tbl>
    <w:p>
      <w:pPr>
        <w:widowControl w:val="0"/>
        <w:spacing w:after="159" w:line="1" w:lineRule="exact"/>
      </w:pP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持有半数或以下表决权但仍控制被投资单位、以及持有半数以上表决权但不控制被投资单位的依据：不</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对于纳入合并范围的重要的结构化主体，控制的依据：不适用</w:t>
      </w:r>
    </w:p>
    <w:p>
      <w:pPr>
        <w:pStyle w:val="Style12"/>
        <w:keepNext w:val="0"/>
        <w:keepLines w:val="0"/>
        <w:widowControl w:val="0"/>
        <w:shd w:val="clear" w:color="auto" w:fill="auto"/>
        <w:bidi w:val="0"/>
        <w:spacing w:before="0" w:after="520" w:line="240" w:lineRule="auto"/>
        <w:ind w:left="0" w:right="0" w:firstLine="0"/>
        <w:jc w:val="left"/>
      </w:pPr>
      <w:r>
        <w:rPr>
          <w:color w:val="000000"/>
          <w:spacing w:val="0"/>
          <w:w w:val="100"/>
          <w:position w:val="0"/>
        </w:rPr>
        <w:t>确定公司是代理人还是委托人的依据：不适用</w:t>
      </w:r>
    </w:p>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2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1765"/>
      <w:bookmarkEnd w:id="1766"/>
      <w:bookmarkEnd w:id="1768"/>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2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1769"/>
      <w:bookmarkEnd w:id="1770"/>
      <w:bookmarkEnd w:id="1772"/>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2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73"/>
      <w:bookmarkEnd w:id="1774"/>
      <w:bookmarkEnd w:id="1776"/>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2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77"/>
      <w:bookmarkEnd w:id="1778"/>
      <w:bookmarkEnd w:id="1780"/>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378" w:val="left"/>
        </w:tabs>
        <w:bidi w:val="0"/>
        <w:spacing w:before="0" w:after="32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2</w:t>
      </w:r>
      <w:bookmarkEnd w:id="1783"/>
      <w:r>
        <w:rPr>
          <w:color w:val="000000"/>
          <w:spacing w:val="0"/>
          <w:w w:val="100"/>
          <w:position w:val="0"/>
        </w:rPr>
        <w:t>、</w:t>
        <w:tab/>
        <w:t>在子公司的所有者权益份额发生变化且仍控制子公司的交易</w:t>
      </w:r>
      <w:bookmarkEnd w:id="1781"/>
      <w:bookmarkEnd w:id="1782"/>
      <w:bookmarkEnd w:id="1784"/>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378" w:val="left"/>
        </w:tabs>
        <w:bidi w:val="0"/>
        <w:spacing w:before="0" w:after="32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3</w:t>
      </w:r>
      <w:bookmarkEnd w:id="1787"/>
      <w:r>
        <w:rPr>
          <w:color w:val="000000"/>
          <w:spacing w:val="0"/>
          <w:w w:val="100"/>
          <w:position w:val="0"/>
        </w:rPr>
        <w:t>、</w:t>
        <w:tab/>
        <w:t>在合营安排或联营企业中的权益</w:t>
      </w:r>
      <w:bookmarkEnd w:id="1785"/>
      <w:bookmarkEnd w:id="1786"/>
      <w:bookmarkEnd w:id="1788"/>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378" w:val="left"/>
        </w:tabs>
        <w:bidi w:val="0"/>
        <w:spacing w:before="0" w:after="32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4</w:t>
      </w:r>
      <w:bookmarkEnd w:id="1791"/>
      <w:r>
        <w:rPr>
          <w:color w:val="000000"/>
          <w:spacing w:val="0"/>
          <w:w w:val="100"/>
          <w:position w:val="0"/>
        </w:rPr>
        <w:t>、</w:t>
        <w:tab/>
        <w:t>重要的共同经营</w:t>
      </w:r>
      <w:bookmarkEnd w:id="1789"/>
      <w:bookmarkEnd w:id="1790"/>
      <w:bookmarkEnd w:id="1792"/>
    </w:p>
    <w:p>
      <w:pPr>
        <w:pStyle w:val="Style12"/>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378" w:val="left"/>
        </w:tabs>
        <w:bidi w:val="0"/>
        <w:spacing w:before="0" w:after="140" w:line="410" w:lineRule="exact"/>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5</w:t>
      </w:r>
      <w:bookmarkEnd w:id="1795"/>
      <w:r>
        <w:rPr>
          <w:color w:val="000000"/>
          <w:spacing w:val="0"/>
          <w:w w:val="100"/>
          <w:position w:val="0"/>
        </w:rPr>
        <w:t>、</w:t>
        <w:tab/>
        <w:t>在未纳入合并财务报表范围的结构化主体中的权益</w:t>
      </w:r>
      <w:bookmarkEnd w:id="1793"/>
      <w:bookmarkEnd w:id="1794"/>
      <w:bookmarkEnd w:id="1796"/>
    </w:p>
    <w:p>
      <w:pPr>
        <w:pStyle w:val="Style12"/>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不适用</w:t>
      </w:r>
    </w:p>
    <w:p>
      <w:pPr>
        <w:pStyle w:val="Style38"/>
        <w:keepNext/>
        <w:keepLines/>
        <w:widowControl w:val="0"/>
        <w:shd w:val="clear" w:color="auto" w:fill="auto"/>
        <w:tabs>
          <w:tab w:pos="378" w:val="left"/>
        </w:tabs>
        <w:bidi w:val="0"/>
        <w:spacing w:before="0" w:after="140" w:line="410" w:lineRule="exact"/>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6</w:t>
      </w:r>
      <w:bookmarkEnd w:id="1799"/>
      <w:r>
        <w:rPr>
          <w:color w:val="000000"/>
          <w:spacing w:val="0"/>
          <w:w w:val="100"/>
          <w:position w:val="0"/>
        </w:rPr>
        <w:t>、</w:t>
        <w:tab/>
        <w:t>其他</w:t>
      </w:r>
      <w:bookmarkEnd w:id="1797"/>
      <w:bookmarkEnd w:id="1798"/>
      <w:bookmarkEnd w:id="1800"/>
    </w:p>
    <w:p>
      <w:pPr>
        <w:pStyle w:val="Style12"/>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不适用</w:t>
      </w:r>
    </w:p>
    <w:p>
      <w:pPr>
        <w:pStyle w:val="Style31"/>
        <w:keepNext/>
        <w:keepLines/>
        <w:widowControl w:val="0"/>
        <w:shd w:val="clear" w:color="auto" w:fill="auto"/>
        <w:bidi w:val="0"/>
        <w:spacing w:before="0" w:after="140" w:line="240" w:lineRule="auto"/>
        <w:ind w:left="0" w:right="0" w:firstLine="0"/>
        <w:jc w:val="left"/>
      </w:pPr>
      <w:bookmarkStart w:id="1801" w:name="bookmark1801"/>
      <w:bookmarkStart w:id="1802" w:name="bookmark1802"/>
      <w:bookmarkStart w:id="1803" w:name="bookmark1803"/>
      <w:r>
        <w:rPr>
          <w:color w:val="000000"/>
          <w:spacing w:val="0"/>
          <w:w w:val="100"/>
          <w:position w:val="0"/>
          <w:sz w:val="24"/>
          <w:szCs w:val="24"/>
        </w:rPr>
        <w:t>十、与金融工具相关的风险</w:t>
      </w:r>
      <w:bookmarkEnd w:id="1801"/>
      <w:bookmarkEnd w:id="1802"/>
      <w:bookmarkEnd w:id="1803"/>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本公司在日常活动中面临各种与金融工具相关的风险，主要包括信用风险、流动性风险及市场风险。 管理层已审议并批准管理这些风险的政策，概括如下。</w:t>
      </w:r>
    </w:p>
    <w:p>
      <w:pPr>
        <w:pStyle w:val="Style12"/>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信用风险</w:t>
      </w:r>
    </w:p>
    <w:p>
      <w:pPr>
        <w:pStyle w:val="Style12"/>
        <w:keepNext w:val="0"/>
        <w:keepLines w:val="0"/>
        <w:widowControl w:val="0"/>
        <w:shd w:val="clear" w:color="auto" w:fill="auto"/>
        <w:bidi w:val="0"/>
        <w:spacing w:before="0" w:after="140" w:line="410" w:lineRule="exact"/>
        <w:ind w:left="0" w:right="0" w:firstLine="440"/>
        <w:jc w:val="left"/>
      </w:pPr>
      <w:r>
        <w:rPr>
          <w:color w:val="000000"/>
          <w:spacing w:val="0"/>
          <w:w w:val="100"/>
          <w:position w:val="0"/>
        </w:rPr>
        <w:t>信用风险，是指金融工具的一方不能履行义务，造成另一方发生财务损失的风险。</w:t>
      </w:r>
    </w:p>
    <w:p>
      <w:pPr>
        <w:pStyle w:val="Style12"/>
        <w:keepNext w:val="0"/>
        <w:keepLines w:val="0"/>
        <w:widowControl w:val="0"/>
        <w:numPr>
          <w:ilvl w:val="0"/>
          <w:numId w:val="73"/>
        </w:numPr>
        <w:shd w:val="clear" w:color="auto" w:fill="auto"/>
        <w:bidi w:val="0"/>
        <w:spacing w:before="0" w:after="0" w:line="427" w:lineRule="auto"/>
        <w:ind w:left="0" w:right="0" w:firstLine="440"/>
        <w:jc w:val="both"/>
      </w:pPr>
      <w:bookmarkStart w:id="1804" w:name="bookmark1804"/>
      <w:bookmarkEnd w:id="1804"/>
      <w:r>
        <w:rPr>
          <w:color w:val="000000"/>
          <w:spacing w:val="0"/>
          <w:w w:val="100"/>
          <w:position w:val="0"/>
        </w:rPr>
        <w:t>信用风险管理实务</w:t>
      </w:r>
    </w:p>
    <w:p>
      <w:pPr>
        <w:pStyle w:val="Style12"/>
        <w:keepNext w:val="0"/>
        <w:keepLines w:val="0"/>
        <w:widowControl w:val="0"/>
        <w:shd w:val="clear" w:color="auto" w:fill="auto"/>
        <w:tabs>
          <w:tab w:pos="866" w:val="left"/>
        </w:tabs>
        <w:bidi w:val="0"/>
        <w:spacing w:before="0" w:after="0" w:line="427" w:lineRule="auto"/>
        <w:ind w:left="0" w:right="0" w:firstLine="440"/>
        <w:jc w:val="both"/>
      </w:pPr>
      <w:bookmarkStart w:id="1805" w:name="bookmark1805"/>
      <w:r>
        <w:rPr>
          <w:rFonts w:ascii="Times New Roman" w:eastAsia="Times New Roman" w:hAnsi="Times New Roman" w:cs="Times New Roman"/>
          <w:color w:val="000000"/>
          <w:spacing w:val="0"/>
          <w:w w:val="100"/>
          <w:position w:val="0"/>
        </w:rPr>
        <w:t>（</w:t>
      </w:r>
      <w:bookmarkEnd w:id="1805"/>
      <w:r>
        <w:rPr>
          <w:rFonts w:ascii="Times New Roman" w:eastAsia="Times New Roman" w:hAnsi="Times New Roman" w:cs="Times New Roman"/>
          <w:color w:val="000000"/>
          <w:spacing w:val="0"/>
          <w:w w:val="100"/>
          <w:position w:val="0"/>
        </w:rPr>
        <w:t>1）</w:t>
        <w:tab/>
      </w:r>
      <w:r>
        <w:rPr>
          <w:color w:val="000000"/>
          <w:spacing w:val="0"/>
          <w:w w:val="100"/>
          <w:position w:val="0"/>
        </w:rPr>
        <w:t>信用风险的评价方法</w:t>
      </w:r>
    </w:p>
    <w:p>
      <w:pPr>
        <w:pStyle w:val="Style1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公司在每个资产负债表日评估相关金融工具的信用风险自初始确认后是否已显著增加。在确定信用风 险自初始确认后是否显著增加时，公司考虑在无须付出不必要的额外成本或努力即可获得合理且有依据的 信息，包括基于历史数据的定性和定量分析、外部信用风险评级以及前瞻性信息。公司以单项金融工具或 者具有相似信用风险特征的金融工具组合为基础，通过比较金融工具在资产负债表日发生违约的风险与在 初始确认日发生违约的风险，以确定金融工具预计存续期内发生违约风险的变化情况。</w:t>
      </w:r>
    </w:p>
    <w:p>
      <w:pPr>
        <w:pStyle w:val="Style1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当触发以下一个或多个定量、定性标准时，公司认为金融工具的信用风险已发生显著增加：</w:t>
      </w:r>
    </w:p>
    <w:p>
      <w:pPr>
        <w:pStyle w:val="Style12"/>
        <w:keepNext w:val="0"/>
        <w:keepLines w:val="0"/>
        <w:widowControl w:val="0"/>
        <w:shd w:val="clear" w:color="auto" w:fill="auto"/>
        <w:tabs>
          <w:tab w:pos="784" w:val="left"/>
        </w:tabs>
        <w:bidi w:val="0"/>
        <w:spacing w:before="0" w:after="0" w:line="410" w:lineRule="exact"/>
        <w:ind w:left="0" w:right="0" w:firstLine="440"/>
        <w:jc w:val="left"/>
      </w:pPr>
      <w:bookmarkStart w:id="1806" w:name="bookmark1806"/>
      <w:r>
        <w:rPr>
          <w:rFonts w:ascii="Times New Roman" w:eastAsia="Times New Roman" w:hAnsi="Times New Roman" w:cs="Times New Roman"/>
          <w:color w:val="000000"/>
          <w:spacing w:val="0"/>
          <w:w w:val="100"/>
          <w:position w:val="0"/>
        </w:rPr>
        <w:t>1</w:t>
      </w:r>
      <w:bookmarkEnd w:id="1806"/>
      <w:r>
        <w:rPr>
          <w:rFonts w:ascii="Times New Roman" w:eastAsia="Times New Roman" w:hAnsi="Times New Roman" w:cs="Times New Roman"/>
          <w:color w:val="000000"/>
          <w:spacing w:val="0"/>
          <w:w w:val="100"/>
          <w:position w:val="0"/>
        </w:rPr>
        <w:t>）</w:t>
        <w:tab/>
      </w:r>
      <w:r>
        <w:rPr>
          <w:color w:val="000000"/>
          <w:spacing w:val="0"/>
          <w:w w:val="100"/>
          <w:position w:val="0"/>
        </w:rPr>
        <w:t>定量标准主要为资产负债表日剩余存续期违约概率较初始确认时上升超过一定比例；</w:t>
      </w:r>
    </w:p>
    <w:p>
      <w:pPr>
        <w:pStyle w:val="Style12"/>
        <w:keepNext w:val="0"/>
        <w:keepLines w:val="0"/>
        <w:widowControl w:val="0"/>
        <w:shd w:val="clear" w:color="auto" w:fill="auto"/>
        <w:tabs>
          <w:tab w:pos="781" w:val="left"/>
        </w:tabs>
        <w:bidi w:val="0"/>
        <w:spacing w:before="0" w:after="140" w:line="410" w:lineRule="exact"/>
        <w:ind w:left="0" w:right="0" w:firstLine="440"/>
        <w:jc w:val="both"/>
      </w:pPr>
      <w:bookmarkStart w:id="1807" w:name="bookmark1807"/>
      <w:r>
        <w:rPr>
          <w:rFonts w:ascii="Times New Roman" w:eastAsia="Times New Roman" w:hAnsi="Times New Roman" w:cs="Times New Roman"/>
          <w:color w:val="000000"/>
          <w:spacing w:val="0"/>
          <w:w w:val="100"/>
          <w:position w:val="0"/>
        </w:rPr>
        <w:t>2</w:t>
      </w:r>
      <w:bookmarkEnd w:id="1807"/>
      <w:r>
        <w:rPr>
          <w:rFonts w:ascii="Times New Roman" w:eastAsia="Times New Roman" w:hAnsi="Times New Roman" w:cs="Times New Roman"/>
          <w:color w:val="000000"/>
          <w:spacing w:val="0"/>
          <w:w w:val="100"/>
          <w:position w:val="0"/>
        </w:rPr>
        <w:t>）</w:t>
        <w:tab/>
      </w:r>
      <w:r>
        <w:rPr>
          <w:color w:val="000000"/>
          <w:spacing w:val="0"/>
          <w:w w:val="100"/>
          <w:position w:val="0"/>
        </w:rPr>
        <w:t>定性标准主要为债务人经营或财务情况出现重大不利变化、现存的或预期的技术、市场、经济或法 律环境变化并将对债务人对公司的还款能力产生重大不利影响等。</w:t>
      </w:r>
    </w:p>
    <w:p>
      <w:pPr>
        <w:pStyle w:val="Style12"/>
        <w:keepNext w:val="0"/>
        <w:keepLines w:val="0"/>
        <w:widowControl w:val="0"/>
        <w:shd w:val="clear" w:color="auto" w:fill="auto"/>
        <w:tabs>
          <w:tab w:pos="866" w:val="left"/>
        </w:tabs>
        <w:bidi w:val="0"/>
        <w:spacing w:before="0" w:after="0" w:line="427" w:lineRule="auto"/>
        <w:ind w:left="0" w:right="0" w:firstLine="440"/>
        <w:jc w:val="both"/>
      </w:pPr>
      <w:bookmarkStart w:id="1808" w:name="bookmark1808"/>
      <w:r>
        <w:rPr>
          <w:rFonts w:ascii="Times New Roman" w:eastAsia="Times New Roman" w:hAnsi="Times New Roman" w:cs="Times New Roman"/>
          <w:color w:val="000000"/>
          <w:spacing w:val="0"/>
          <w:w w:val="100"/>
          <w:position w:val="0"/>
        </w:rPr>
        <w:t>（</w:t>
      </w:r>
      <w:bookmarkEnd w:id="1808"/>
      <w:r>
        <w:rPr>
          <w:rFonts w:ascii="Times New Roman" w:eastAsia="Times New Roman" w:hAnsi="Times New Roman" w:cs="Times New Roman"/>
          <w:color w:val="000000"/>
          <w:spacing w:val="0"/>
          <w:w w:val="100"/>
          <w:position w:val="0"/>
        </w:rPr>
        <w:t>2）</w:t>
        <w:tab/>
      </w:r>
      <w:r>
        <w:rPr>
          <w:color w:val="000000"/>
          <w:spacing w:val="0"/>
          <w:w w:val="100"/>
          <w:position w:val="0"/>
        </w:rPr>
        <w:t>违约和已发生信用减值资产的定义</w:t>
      </w:r>
    </w:p>
    <w:p>
      <w:pPr>
        <w:pStyle w:val="Style12"/>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当金融工具符合以下一项或多项条件时，公司将该金融资产界定为已发生违约，其标准与已发生信用 减值的定义一致：</w:t>
      </w:r>
    </w:p>
    <w:p>
      <w:pPr>
        <w:pStyle w:val="Style12"/>
        <w:keepNext w:val="0"/>
        <w:keepLines w:val="0"/>
        <w:widowControl w:val="0"/>
        <w:shd w:val="clear" w:color="auto" w:fill="auto"/>
        <w:tabs>
          <w:tab w:pos="784" w:val="left"/>
        </w:tabs>
        <w:bidi w:val="0"/>
        <w:spacing w:before="0" w:after="0" w:line="427" w:lineRule="auto"/>
        <w:ind w:left="0" w:right="0" w:firstLine="440"/>
        <w:jc w:val="both"/>
      </w:pPr>
      <w:bookmarkStart w:id="1809" w:name="bookmark1809"/>
      <w:r>
        <w:rPr>
          <w:rFonts w:ascii="Times New Roman" w:eastAsia="Times New Roman" w:hAnsi="Times New Roman" w:cs="Times New Roman"/>
          <w:color w:val="000000"/>
          <w:spacing w:val="0"/>
          <w:w w:val="100"/>
          <w:position w:val="0"/>
        </w:rPr>
        <w:t>1</w:t>
      </w:r>
      <w:bookmarkEnd w:id="1809"/>
      <w:r>
        <w:rPr>
          <w:rFonts w:ascii="Times New Roman" w:eastAsia="Times New Roman" w:hAnsi="Times New Roman" w:cs="Times New Roman"/>
          <w:color w:val="000000"/>
          <w:spacing w:val="0"/>
          <w:w w:val="100"/>
          <w:position w:val="0"/>
        </w:rPr>
        <w:t>）</w:t>
        <w:tab/>
      </w:r>
      <w:r>
        <w:rPr>
          <w:color w:val="000000"/>
          <w:spacing w:val="0"/>
          <w:w w:val="100"/>
          <w:position w:val="0"/>
        </w:rPr>
        <w:t>债务人发生重大财务困难；</w:t>
      </w:r>
    </w:p>
    <w:p>
      <w:pPr>
        <w:pStyle w:val="Style12"/>
        <w:keepNext w:val="0"/>
        <w:keepLines w:val="0"/>
        <w:widowControl w:val="0"/>
        <w:shd w:val="clear" w:color="auto" w:fill="auto"/>
        <w:tabs>
          <w:tab w:pos="803" w:val="left"/>
        </w:tabs>
        <w:bidi w:val="0"/>
        <w:spacing w:before="0" w:after="0" w:line="427" w:lineRule="auto"/>
        <w:ind w:left="0" w:right="0" w:firstLine="440"/>
        <w:jc w:val="both"/>
      </w:pPr>
      <w:bookmarkStart w:id="1810" w:name="bookmark1810"/>
      <w:r>
        <w:rPr>
          <w:rFonts w:ascii="Times New Roman" w:eastAsia="Times New Roman" w:hAnsi="Times New Roman" w:cs="Times New Roman"/>
          <w:color w:val="000000"/>
          <w:spacing w:val="0"/>
          <w:w w:val="100"/>
          <w:position w:val="0"/>
        </w:rPr>
        <w:t>2</w:t>
      </w:r>
      <w:bookmarkEnd w:id="1810"/>
      <w:r>
        <w:rPr>
          <w:rFonts w:ascii="Times New Roman" w:eastAsia="Times New Roman" w:hAnsi="Times New Roman" w:cs="Times New Roman"/>
          <w:color w:val="000000"/>
          <w:spacing w:val="0"/>
          <w:w w:val="100"/>
          <w:position w:val="0"/>
        </w:rPr>
        <w:t>）</w:t>
        <w:tab/>
      </w:r>
      <w:r>
        <w:rPr>
          <w:color w:val="000000"/>
          <w:spacing w:val="0"/>
          <w:w w:val="100"/>
          <w:position w:val="0"/>
        </w:rPr>
        <w:t>债务人违反合同中对债务人的约束条款；</w:t>
      </w:r>
    </w:p>
    <w:p>
      <w:pPr>
        <w:pStyle w:val="Style12"/>
        <w:keepNext w:val="0"/>
        <w:keepLines w:val="0"/>
        <w:widowControl w:val="0"/>
        <w:shd w:val="clear" w:color="auto" w:fill="auto"/>
        <w:tabs>
          <w:tab w:pos="803" w:val="left"/>
        </w:tabs>
        <w:bidi w:val="0"/>
        <w:spacing w:before="0" w:after="0" w:line="427" w:lineRule="auto"/>
        <w:ind w:left="0" w:right="0" w:firstLine="440"/>
        <w:jc w:val="both"/>
      </w:pPr>
      <w:bookmarkStart w:id="1811" w:name="bookmark1811"/>
      <w:r>
        <w:rPr>
          <w:rFonts w:ascii="Times New Roman" w:eastAsia="Times New Roman" w:hAnsi="Times New Roman" w:cs="Times New Roman"/>
          <w:color w:val="000000"/>
          <w:spacing w:val="0"/>
          <w:w w:val="100"/>
          <w:position w:val="0"/>
        </w:rPr>
        <w:t>3</w:t>
      </w:r>
      <w:bookmarkEnd w:id="1811"/>
      <w:r>
        <w:rPr>
          <w:rFonts w:ascii="Times New Roman" w:eastAsia="Times New Roman" w:hAnsi="Times New Roman" w:cs="Times New Roman"/>
          <w:color w:val="000000"/>
          <w:spacing w:val="0"/>
          <w:w w:val="100"/>
          <w:position w:val="0"/>
        </w:rPr>
        <w:t>）</w:t>
        <w:tab/>
      </w:r>
      <w:r>
        <w:rPr>
          <w:color w:val="000000"/>
          <w:spacing w:val="0"/>
          <w:w w:val="100"/>
          <w:position w:val="0"/>
        </w:rPr>
        <w:t>债务人很可能破产或进行其他财务重组；</w:t>
      </w:r>
    </w:p>
    <w:p>
      <w:pPr>
        <w:pStyle w:val="Style12"/>
        <w:keepNext w:val="0"/>
        <w:keepLines w:val="0"/>
        <w:widowControl w:val="0"/>
        <w:shd w:val="clear" w:color="auto" w:fill="auto"/>
        <w:tabs>
          <w:tab w:pos="363" w:val="left"/>
        </w:tabs>
        <w:bidi w:val="0"/>
        <w:spacing w:before="0" w:after="0" w:line="410" w:lineRule="exact"/>
        <w:ind w:left="0" w:right="0" w:firstLine="440"/>
        <w:jc w:val="both"/>
      </w:pPr>
      <w:bookmarkStart w:id="1812" w:name="bookmark1812"/>
      <w:r>
        <w:rPr>
          <w:rFonts w:ascii="Times New Roman" w:eastAsia="Times New Roman" w:hAnsi="Times New Roman" w:cs="Times New Roman"/>
          <w:color w:val="000000"/>
          <w:spacing w:val="0"/>
          <w:w w:val="100"/>
          <w:position w:val="0"/>
        </w:rPr>
        <w:t>4</w:t>
      </w:r>
      <w:bookmarkEnd w:id="1812"/>
      <w:r>
        <w:rPr>
          <w:rFonts w:ascii="Times New Roman" w:eastAsia="Times New Roman" w:hAnsi="Times New Roman" w:cs="Times New Roman"/>
          <w:color w:val="000000"/>
          <w:spacing w:val="0"/>
          <w:w w:val="100"/>
          <w:position w:val="0"/>
        </w:rPr>
        <w:t>）</w:t>
        <w:tab/>
      </w:r>
      <w:r>
        <w:rPr>
          <w:color w:val="000000"/>
          <w:spacing w:val="0"/>
          <w:w w:val="100"/>
          <w:position w:val="0"/>
        </w:rPr>
        <w:t xml:space="preserve">债权人出于与债务人财务困难有关的经济或合同考虑，给予债务人在任何其他情况下都不会做出的 </w:t>
      </w:r>
      <w:r>
        <w:rPr>
          <w:color w:val="000000"/>
          <w:spacing w:val="0"/>
          <w:w w:val="100"/>
          <w:position w:val="0"/>
        </w:rPr>
        <w:t>让步。</w:t>
      </w:r>
    </w:p>
    <w:p>
      <w:pPr>
        <w:pStyle w:val="Style12"/>
        <w:keepNext w:val="0"/>
        <w:keepLines w:val="0"/>
        <w:widowControl w:val="0"/>
        <w:numPr>
          <w:ilvl w:val="0"/>
          <w:numId w:val="73"/>
        </w:numPr>
        <w:shd w:val="clear" w:color="auto" w:fill="auto"/>
        <w:tabs>
          <w:tab w:pos="774" w:val="left"/>
        </w:tabs>
        <w:bidi w:val="0"/>
        <w:spacing w:before="0" w:after="0" w:line="408" w:lineRule="exact"/>
        <w:ind w:left="0" w:right="0" w:firstLine="440"/>
        <w:jc w:val="left"/>
      </w:pPr>
      <w:bookmarkStart w:id="1813" w:name="bookmark1813"/>
      <w:bookmarkEnd w:id="1813"/>
      <w:r>
        <w:rPr>
          <w:color w:val="000000"/>
          <w:spacing w:val="0"/>
          <w:w w:val="100"/>
          <w:position w:val="0"/>
        </w:rPr>
        <w:t>预期信用损失的计量</w:t>
      </w:r>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预期信用损失计量的关键参数包括违约概率、违约损失率和违约风险敞口。公司考虑历史统计数据（如 交易对手评级、担保方式及抵质押物类别、还款方式等）的定量分析及前瞻性信息，建立违约概率、违约 损失率及违约风险敞口模型。</w:t>
      </w:r>
    </w:p>
    <w:p>
      <w:pPr>
        <w:pStyle w:val="Style12"/>
        <w:keepNext w:val="0"/>
        <w:keepLines w:val="0"/>
        <w:widowControl w:val="0"/>
        <w:numPr>
          <w:ilvl w:val="0"/>
          <w:numId w:val="73"/>
        </w:numPr>
        <w:shd w:val="clear" w:color="auto" w:fill="auto"/>
        <w:tabs>
          <w:tab w:pos="752" w:val="left"/>
        </w:tabs>
        <w:bidi w:val="0"/>
        <w:spacing w:before="0" w:after="0" w:line="408" w:lineRule="exact"/>
        <w:ind w:left="0" w:right="0" w:firstLine="440"/>
        <w:jc w:val="left"/>
      </w:pPr>
      <w:bookmarkStart w:id="1814" w:name="bookmark1814"/>
      <w:bookmarkEnd w:id="1814"/>
      <w:r>
        <w:rPr>
          <w:color w:val="000000"/>
          <w:spacing w:val="0"/>
          <w:w w:val="100"/>
          <w:position w:val="0"/>
        </w:rPr>
        <w:t>金融工具损失准备期初余额与期末余额调节表详见本财务报表附注五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）3</w:t>
      </w:r>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）4</w:t>
      </w:r>
      <w:r>
        <w:rPr>
          <w:color w:val="000000"/>
          <w:spacing w:val="0"/>
          <w:w w:val="100"/>
          <w:position w:val="0"/>
        </w:rPr>
        <w:t>、五</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）5</w:t>
      </w:r>
      <w:r>
        <w:rPr>
          <w:color w:val="000000"/>
          <w:spacing w:val="0"/>
          <w:w w:val="100"/>
          <w:position w:val="0"/>
        </w:rPr>
        <w:t xml:space="preserve">、五 </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）7</w:t>
      </w:r>
      <w:r>
        <w:rPr>
          <w:color w:val="000000"/>
          <w:spacing w:val="0"/>
          <w:w w:val="100"/>
          <w:position w:val="0"/>
        </w:rPr>
        <w:t>及五</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）9</w:t>
      </w:r>
      <w:r>
        <w:rPr>
          <w:color w:val="000000"/>
          <w:spacing w:val="0"/>
          <w:w w:val="100"/>
          <w:position w:val="0"/>
        </w:rPr>
        <w:t>之说明。</w:t>
      </w:r>
    </w:p>
    <w:p>
      <w:pPr>
        <w:pStyle w:val="Style12"/>
        <w:keepNext w:val="0"/>
        <w:keepLines w:val="0"/>
        <w:widowControl w:val="0"/>
        <w:numPr>
          <w:ilvl w:val="0"/>
          <w:numId w:val="73"/>
        </w:numPr>
        <w:shd w:val="clear" w:color="auto" w:fill="auto"/>
        <w:tabs>
          <w:tab w:pos="774" w:val="left"/>
        </w:tabs>
        <w:bidi w:val="0"/>
        <w:spacing w:before="0" w:after="0" w:line="408" w:lineRule="exact"/>
        <w:ind w:left="0" w:right="0" w:firstLine="440"/>
        <w:jc w:val="left"/>
      </w:pPr>
      <w:bookmarkStart w:id="1815" w:name="bookmark1815"/>
      <w:bookmarkEnd w:id="1815"/>
      <w:r>
        <w:rPr>
          <w:color w:val="000000"/>
          <w:spacing w:val="0"/>
          <w:w w:val="100"/>
          <w:position w:val="0"/>
        </w:rPr>
        <w:t>信用风险敞口及信用风险集中度</w:t>
      </w:r>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本公司的信用风险主要来自货币资金和应收款项。为控制上述相关风险，本公司分别采取了以下措施。</w:t>
      </w:r>
    </w:p>
    <w:p>
      <w:pPr>
        <w:pStyle w:val="Style12"/>
        <w:keepNext w:val="0"/>
        <w:keepLines w:val="0"/>
        <w:widowControl w:val="0"/>
        <w:shd w:val="clear" w:color="auto" w:fill="auto"/>
        <w:tabs>
          <w:tab w:pos="866" w:val="left"/>
        </w:tabs>
        <w:bidi w:val="0"/>
        <w:spacing w:before="0" w:after="0" w:line="408" w:lineRule="exact"/>
        <w:ind w:left="0" w:right="0" w:firstLine="440"/>
        <w:jc w:val="left"/>
      </w:pPr>
      <w:bookmarkStart w:id="1816" w:name="bookmark1816"/>
      <w:r>
        <w:rPr>
          <w:rFonts w:ascii="Times New Roman" w:eastAsia="Times New Roman" w:hAnsi="Times New Roman" w:cs="Times New Roman"/>
          <w:color w:val="000000"/>
          <w:spacing w:val="0"/>
          <w:w w:val="100"/>
          <w:position w:val="0"/>
        </w:rPr>
        <w:t>（</w:t>
      </w:r>
      <w:bookmarkEnd w:id="1816"/>
      <w:r>
        <w:rPr>
          <w:rFonts w:ascii="Times New Roman" w:eastAsia="Times New Roman" w:hAnsi="Times New Roman" w:cs="Times New Roman"/>
          <w:color w:val="000000"/>
          <w:spacing w:val="0"/>
          <w:w w:val="100"/>
          <w:position w:val="0"/>
        </w:rPr>
        <w:t>1）</w:t>
        <w:tab/>
      </w:r>
      <w:r>
        <w:rPr>
          <w:color w:val="000000"/>
          <w:spacing w:val="0"/>
          <w:w w:val="100"/>
          <w:position w:val="0"/>
        </w:rPr>
        <w:t>货币资金</w:t>
      </w:r>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本公司将银行存款和其他货币资金存放于信用评级较高的金融机构，故其信用风险较低。</w:t>
      </w:r>
    </w:p>
    <w:p>
      <w:pPr>
        <w:pStyle w:val="Style12"/>
        <w:keepNext w:val="0"/>
        <w:keepLines w:val="0"/>
        <w:widowControl w:val="0"/>
        <w:shd w:val="clear" w:color="auto" w:fill="auto"/>
        <w:tabs>
          <w:tab w:pos="866" w:val="left"/>
        </w:tabs>
        <w:bidi w:val="0"/>
        <w:spacing w:before="0" w:after="0" w:line="408" w:lineRule="exact"/>
        <w:ind w:left="0" w:right="0" w:firstLine="440"/>
        <w:jc w:val="left"/>
      </w:pPr>
      <w:bookmarkStart w:id="1817" w:name="bookmark1817"/>
      <w:r>
        <w:rPr>
          <w:rFonts w:ascii="Times New Roman" w:eastAsia="Times New Roman" w:hAnsi="Times New Roman" w:cs="Times New Roman"/>
          <w:color w:val="000000"/>
          <w:spacing w:val="0"/>
          <w:w w:val="100"/>
          <w:position w:val="0"/>
        </w:rPr>
        <w:t>（</w:t>
      </w:r>
      <w:bookmarkEnd w:id="1817"/>
      <w:r>
        <w:rPr>
          <w:rFonts w:ascii="Times New Roman" w:eastAsia="Times New Roman" w:hAnsi="Times New Roman" w:cs="Times New Roman"/>
          <w:color w:val="000000"/>
          <w:spacing w:val="0"/>
          <w:w w:val="100"/>
          <w:position w:val="0"/>
        </w:rPr>
        <w:t>2）</w:t>
        <w:tab/>
      </w:r>
      <w:r>
        <w:rPr>
          <w:color w:val="000000"/>
          <w:spacing w:val="0"/>
          <w:w w:val="100"/>
          <w:position w:val="0"/>
        </w:rPr>
        <w:t>应收款项</w:t>
      </w:r>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日，本公司应收账款 的</w:t>
      </w:r>
      <w:r>
        <w:rPr>
          <w:rFonts w:ascii="Times New Roman" w:eastAsia="Times New Roman" w:hAnsi="Times New Roman" w:cs="Times New Roman"/>
          <w:color w:val="000000"/>
          <w:spacing w:val="0"/>
          <w:w w:val="100"/>
          <w:position w:val="0"/>
        </w:rPr>
        <w:t>29.83%</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36.23%</w:t>
      </w:r>
      <w:r>
        <w:rPr>
          <w:color w:val="000000"/>
          <w:spacing w:val="0"/>
          <w:w w:val="100"/>
          <w:position w:val="0"/>
        </w:rPr>
        <w:t>）源于余额前五名客户，本公司不存在重大的信用集中风险。</w:t>
      </w:r>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本公司所承受的最大信用风险敞口为资产负债表中每项金融资产的账面价值。</w:t>
      </w:r>
    </w:p>
    <w:p>
      <w:pPr>
        <w:pStyle w:val="Style12"/>
        <w:keepNext w:val="0"/>
        <w:keepLines w:val="0"/>
        <w:widowControl w:val="0"/>
        <w:shd w:val="clear" w:color="auto" w:fill="auto"/>
        <w:bidi w:val="0"/>
        <w:spacing w:before="0" w:after="0" w:line="408"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流动性风险</w:t>
      </w:r>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流动性风险，是指本公司在履行以交付现金或其他金融资产的方式结算的义务时发生资金短缺的风险。 流动性风险可能源于无法尽快以公允价值售出金融资产；或者源于对方无法偿还其合同债务；或者源于提 前到期的债务；或者源于无法产生预期的现金流量。</w:t>
      </w:r>
    </w:p>
    <w:p>
      <w:pPr>
        <w:pStyle w:val="Style1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为控制该项风险，本公司综合运用票据结算、银行借款等多种融资手段，并采取长、短期融资方式适 当结合，优化融资结构的方法，保持融资持续性与灵活性之间的平衡。本公司已从多家商业银行取得银行 授信额度以满足营运资金需求和资本开支。</w:t>
      </w:r>
    </w:p>
    <w:p>
      <w:pPr>
        <w:pStyle w:val="Style12"/>
        <w:keepNext w:val="0"/>
        <w:keepLines w:val="0"/>
        <w:widowControl w:val="0"/>
        <w:shd w:val="clear" w:color="auto" w:fill="auto"/>
        <w:bidi w:val="0"/>
        <w:spacing w:before="0" w:after="180" w:line="408" w:lineRule="exact"/>
        <w:ind w:left="0" w:right="0" w:firstLine="440"/>
        <w:jc w:val="left"/>
      </w:pPr>
      <w:r>
        <w:rPr>
          <w:color w:val="000000"/>
          <w:spacing w:val="0"/>
          <w:w w:val="100"/>
          <w:position w:val="0"/>
        </w:rPr>
        <w:t>金融负债按剩余到期日分类</w:t>
      </w:r>
    </w:p>
    <w:p>
      <w:pPr>
        <w:pStyle w:val="Style36"/>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1704"/>
        <w:gridCol w:w="1704"/>
        <w:gridCol w:w="1838"/>
        <w:gridCol w:w="1704"/>
        <w:gridCol w:w="1411"/>
        <w:gridCol w:w="1282"/>
      </w:tblGrid>
      <w:tr>
        <w:trPr>
          <w:trHeight w:val="350"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项目</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未折现合同金额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r>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65,813,821.12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67,233,690.56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67,233,690.56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15,493,242.10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15,493,242.10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15,493,242.10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15,200,421.49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15,200,421.49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15,200,421.49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99"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30,526,336.05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32,532,579.02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32,532,579.02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31,127,856.25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32,773,123.77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27,567,349.81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5,205,773.96</w:t>
            </w:r>
          </w:p>
        </w:tc>
      </w:tr>
      <w:tr>
        <w:trPr>
          <w:trHeight w:val="3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158,161,677.01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163,233,056.94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130,459,933.17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27,567,349.81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5,205,773.96</w:t>
            </w:r>
          </w:p>
        </w:tc>
      </w:tr>
    </w:tbl>
    <w:p>
      <w:pPr>
        <w:pStyle w:val="Style36"/>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（续上表）</w:t>
      </w:r>
    </w:p>
    <w:tbl>
      <w:tblPr>
        <w:tblOverlap w:val="never"/>
        <w:jc w:val="center"/>
        <w:tblLayout w:type="fixed"/>
      </w:tblPr>
      <w:tblGrid>
        <w:gridCol w:w="1781"/>
        <w:gridCol w:w="1714"/>
        <w:gridCol w:w="1714"/>
        <w:gridCol w:w="1718"/>
        <w:gridCol w:w="1354"/>
        <w:gridCol w:w="1363"/>
      </w:tblGrid>
      <w:tr>
        <w:trPr>
          <w:trHeight w:val="350"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上年年末数</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未折现合同金额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r>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71,811,272.56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73,157,232.18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73,157,232.18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26,770,495.33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26,770,495.33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26,770,495.33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10,694,309.62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10,694,309.62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10,694,309.62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109,276,077.51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110,622,037.13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110,622,037.13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2"/>
        <w:keepNext w:val="0"/>
        <w:keepLines w:val="0"/>
        <w:widowControl w:val="0"/>
        <w:shd w:val="clear" w:color="auto" w:fill="auto"/>
        <w:bidi w:val="0"/>
        <w:spacing w:before="0" w:after="140" w:line="240" w:lineRule="auto"/>
        <w:ind w:left="0" w:right="0" w:firstLine="420"/>
        <w:jc w:val="both"/>
      </w:pPr>
      <w:bookmarkStart w:id="1818" w:name="bookmark1818"/>
      <w:r>
        <w:rPr>
          <w:rFonts w:ascii="Times New Roman" w:eastAsia="Times New Roman" w:hAnsi="Times New Roman" w:cs="Times New Roman"/>
          <w:color w:val="000000"/>
          <w:spacing w:val="0"/>
          <w:w w:val="100"/>
          <w:position w:val="0"/>
        </w:rPr>
        <w:t>（</w:t>
      </w:r>
      <w:bookmarkEnd w:id="1818"/>
      <w:r>
        <w:rPr>
          <w:color w:val="000000"/>
          <w:spacing w:val="0"/>
          <w:w w:val="100"/>
          <w:position w:val="0"/>
        </w:rPr>
        <w:t>三</w:t>
      </w:r>
      <w:r>
        <w:rPr>
          <w:color w:val="000000"/>
          <w:spacing w:val="0"/>
          <w:w w:val="100"/>
          <w:position w:val="0"/>
        </w:rPr>
        <w:t>）</w:t>
      </w:r>
      <w:r>
        <w:rPr>
          <w:color w:val="000000"/>
          <w:spacing w:val="0"/>
          <w:w w:val="100"/>
          <w:position w:val="0"/>
        </w:rPr>
        <w:t>市场风险</w:t>
      </w:r>
    </w:p>
    <w:p>
      <w:pPr>
        <w:pStyle w:val="Style12"/>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 xml:space="preserve">市场风险，是指金融工具的公允价值或未来现金流量因市场价格变动而发生波动的风险。市场风险主 </w:t>
      </w:r>
      <w:r>
        <w:rPr>
          <w:color w:val="000000"/>
          <w:spacing w:val="0"/>
          <w:w w:val="100"/>
          <w:position w:val="0"/>
        </w:rPr>
        <w:t>要包括利率风险和外汇风险。</w:t>
      </w:r>
    </w:p>
    <w:p>
      <w:pPr>
        <w:pStyle w:val="Style12"/>
        <w:keepNext w:val="0"/>
        <w:keepLines w:val="0"/>
        <w:widowControl w:val="0"/>
        <w:numPr>
          <w:ilvl w:val="0"/>
          <w:numId w:val="75"/>
        </w:numPr>
        <w:shd w:val="clear" w:color="auto" w:fill="auto"/>
        <w:tabs>
          <w:tab w:pos="735" w:val="left"/>
        </w:tabs>
        <w:bidi w:val="0"/>
        <w:spacing w:before="0" w:after="0" w:line="425" w:lineRule="auto"/>
        <w:ind w:left="0" w:right="0" w:firstLine="420"/>
        <w:jc w:val="both"/>
      </w:pPr>
      <w:bookmarkStart w:id="1819" w:name="bookmark1819"/>
      <w:bookmarkEnd w:id="1819"/>
      <w:r>
        <w:rPr>
          <w:color w:val="000000"/>
          <w:spacing w:val="0"/>
          <w:w w:val="100"/>
          <w:position w:val="0"/>
        </w:rPr>
        <w:t>利率风险</w:t>
      </w:r>
    </w:p>
    <w:p>
      <w:pPr>
        <w:pStyle w:val="Style12"/>
        <w:keepNext w:val="0"/>
        <w:keepLines w:val="0"/>
        <w:widowControl w:val="0"/>
        <w:shd w:val="clear" w:color="auto" w:fill="auto"/>
        <w:bidi w:val="0"/>
        <w:spacing w:before="0" w:after="140" w:line="407" w:lineRule="exact"/>
        <w:ind w:left="0" w:right="0" w:firstLine="420"/>
        <w:jc w:val="left"/>
      </w:pPr>
      <w:r>
        <w:rPr>
          <w:color w:val="000000"/>
          <w:spacing w:val="0"/>
          <w:w w:val="100"/>
          <w:position w:val="0"/>
        </w:rPr>
        <w:t>利率风险，是指金融工具的公允价值或未来现金流量因市场利率变动而发生波动的风险。固定利率的 带息金融工具使本公司面临公允价值利率风险，浮动利率的带息金融工具使本公司面临现金流量利率风险。 本公司根据市场环境来决定固定利率与浮动利率金融工具的比例，并通过定期审阅与监控维持适当的金融 工具组合。</w:t>
      </w:r>
    </w:p>
    <w:p>
      <w:pPr>
        <w:pStyle w:val="Style12"/>
        <w:keepNext w:val="0"/>
        <w:keepLines w:val="0"/>
        <w:widowControl w:val="0"/>
        <w:numPr>
          <w:ilvl w:val="0"/>
          <w:numId w:val="75"/>
        </w:numPr>
        <w:shd w:val="clear" w:color="auto" w:fill="auto"/>
        <w:tabs>
          <w:tab w:pos="754" w:val="left"/>
        </w:tabs>
        <w:bidi w:val="0"/>
        <w:spacing w:before="0" w:after="0" w:line="425" w:lineRule="auto"/>
        <w:ind w:left="0" w:right="0" w:firstLine="420"/>
        <w:jc w:val="both"/>
      </w:pPr>
      <w:bookmarkStart w:id="1820" w:name="bookmark1820"/>
      <w:bookmarkEnd w:id="1820"/>
      <w:r>
        <w:rPr>
          <w:color w:val="000000"/>
          <w:spacing w:val="0"/>
          <w:w w:val="100"/>
          <w:position w:val="0"/>
        </w:rPr>
        <w:t>外汇风险</w:t>
      </w:r>
    </w:p>
    <w:p>
      <w:pPr>
        <w:pStyle w:val="Style1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外汇风险，是指金融工具的公允价值或未来现金流量因外汇汇率变动而发生波动的风险。本公司于中 国内地经营，且主要活动以人民币计价。因此，本公司所承担的外汇变动市场风险不重大。</w:t>
      </w:r>
    </w:p>
    <w:p>
      <w:pPr>
        <w:pStyle w:val="Style12"/>
        <w:keepNext w:val="0"/>
        <w:keepLines w:val="0"/>
        <w:widowControl w:val="0"/>
        <w:shd w:val="clear" w:color="auto" w:fill="auto"/>
        <w:bidi w:val="0"/>
        <w:spacing w:before="0" w:after="460" w:line="407" w:lineRule="exact"/>
        <w:ind w:left="0" w:right="0" w:firstLine="420"/>
        <w:jc w:val="both"/>
      </w:pPr>
      <w:r>
        <w:rPr>
          <w:color w:val="000000"/>
          <w:spacing w:val="0"/>
          <w:w w:val="100"/>
          <w:position w:val="0"/>
        </w:rPr>
        <w:t>本公司期末外币货币性资产和负债情况详见本财务报表附注五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）2</w:t>
      </w:r>
      <w:r>
        <w:rPr>
          <w:color w:val="000000"/>
          <w:spacing w:val="0"/>
          <w:w w:val="100"/>
          <w:position w:val="0"/>
        </w:rPr>
        <w:t>之说明。</w:t>
      </w:r>
    </w:p>
    <w:p>
      <w:pPr>
        <w:pStyle w:val="Style31"/>
        <w:keepNext/>
        <w:keepLines/>
        <w:widowControl w:val="0"/>
        <w:shd w:val="clear" w:color="auto" w:fill="auto"/>
        <w:bidi w:val="0"/>
        <w:spacing w:before="0" w:after="140" w:line="240" w:lineRule="auto"/>
        <w:ind w:left="0" w:right="0" w:firstLine="0"/>
        <w:jc w:val="both"/>
      </w:pPr>
      <w:bookmarkStart w:id="1821" w:name="bookmark1821"/>
      <w:bookmarkStart w:id="1822" w:name="bookmark1822"/>
      <w:bookmarkStart w:id="1823" w:name="bookmark1823"/>
      <w:r>
        <w:rPr>
          <w:color w:val="000000"/>
          <w:spacing w:val="0"/>
          <w:w w:val="100"/>
          <w:position w:val="0"/>
          <w:sz w:val="24"/>
          <w:szCs w:val="24"/>
        </w:rPr>
        <w:t>十一、公允价值的披露</w:t>
      </w:r>
      <w:bookmarkEnd w:id="1821"/>
      <w:bookmarkEnd w:id="1822"/>
      <w:bookmarkEnd w:id="1823"/>
    </w:p>
    <w:p>
      <w:pPr>
        <w:pStyle w:val="Style38"/>
        <w:keepNext/>
        <w:keepLines/>
        <w:widowControl w:val="0"/>
        <w:shd w:val="clear" w:color="auto" w:fill="auto"/>
        <w:bidi w:val="0"/>
        <w:spacing w:before="0" w:after="280" w:line="407" w:lineRule="exact"/>
        <w:ind w:left="0" w:right="0" w:firstLine="0"/>
        <w:jc w:val="both"/>
      </w:pPr>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24"/>
      <w:bookmarkEnd w:id="1825"/>
      <w:bookmarkEnd w:id="1826"/>
    </w:p>
    <w:p>
      <w:pPr>
        <w:pStyle w:val="Style36"/>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658"/>
        <w:gridCol w:w="1603"/>
        <w:gridCol w:w="1661"/>
        <w:gridCol w:w="1502"/>
        <w:gridCol w:w="1190"/>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55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第一层次公允价值 计量</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第二层次公允价值 计量</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第三层次公允价值 计量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、分类为以公允价值计量且其变动计入当期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结构性存款和理财产品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3,679,714.08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3,679,714.08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213,679,714.08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213,679,714.08</w:t>
            </w:r>
          </w:p>
        </w:tc>
      </w:tr>
      <w:tr>
        <w:trPr>
          <w:trHeight w:val="331" w:hRule="exact"/>
        </w:trPr>
        <w:tc>
          <w:tcPr>
            <w:tcBorders>
              <w:top w:val="single" w:sz="4"/>
              <w:left w:val="single" w:sz="4"/>
              <w:bottom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二、非持续的公允价值计量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8"/>
        <w:keepNext/>
        <w:keepLines/>
        <w:widowControl w:val="0"/>
        <w:shd w:val="clear" w:color="auto" w:fill="auto"/>
        <w:bidi w:val="0"/>
        <w:spacing w:before="0" w:after="360" w:line="240" w:lineRule="auto"/>
        <w:ind w:left="0" w:right="0" w:firstLine="0"/>
        <w:jc w:val="both"/>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2</w:t>
      </w:r>
      <w:bookmarkEnd w:id="1829"/>
      <w:r>
        <w:rPr>
          <w:color w:val="000000"/>
          <w:spacing w:val="0"/>
          <w:w w:val="100"/>
          <w:position w:val="0"/>
        </w:rPr>
        <w:t>、持续和非持续第一层次公允价值计量项目市价的确定依据</w:t>
      </w:r>
      <w:bookmarkEnd w:id="1827"/>
      <w:bookmarkEnd w:id="1828"/>
      <w:bookmarkEnd w:id="1830"/>
    </w:p>
    <w:p>
      <w:pPr>
        <w:pStyle w:val="Style12"/>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不适用</w:t>
      </w:r>
    </w:p>
    <w:p>
      <w:pPr>
        <w:pStyle w:val="Style38"/>
        <w:keepNext/>
        <w:keepLines/>
        <w:widowControl w:val="0"/>
        <w:shd w:val="clear" w:color="auto" w:fill="auto"/>
        <w:tabs>
          <w:tab w:pos="598" w:val="left"/>
        </w:tabs>
        <w:bidi w:val="0"/>
        <w:spacing w:before="0" w:after="320" w:line="240" w:lineRule="auto"/>
        <w:ind w:left="0" w:right="0" w:firstLine="22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3</w:t>
      </w:r>
      <w:bookmarkEnd w:id="1833"/>
      <w:r>
        <w:rPr>
          <w:color w:val="000000"/>
          <w:spacing w:val="0"/>
          <w:w w:val="100"/>
          <w:position w:val="0"/>
        </w:rPr>
        <w:t>、</w:t>
        <w:tab/>
        <w:t>持续和非持续第二层次公允价值计量项目，采用的估值技术和重要参数的定性及定量信息</w:t>
      </w:r>
      <w:bookmarkEnd w:id="1831"/>
      <w:bookmarkEnd w:id="1832"/>
      <w:bookmarkEnd w:id="1834"/>
    </w:p>
    <w:p>
      <w:pPr>
        <w:pStyle w:val="Style12"/>
        <w:keepNext w:val="0"/>
        <w:keepLines w:val="0"/>
        <w:widowControl w:val="0"/>
        <w:shd w:val="clear" w:color="auto" w:fill="auto"/>
        <w:bidi w:val="0"/>
        <w:spacing w:before="0" w:after="440" w:line="240" w:lineRule="auto"/>
        <w:ind w:left="0" w:right="0" w:firstLine="660"/>
        <w:jc w:val="both"/>
      </w:pPr>
      <w:r>
        <w:rPr>
          <w:color w:val="000000"/>
          <w:spacing w:val="0"/>
          <w:w w:val="100"/>
          <w:position w:val="0"/>
        </w:rPr>
        <w:t>不适用</w:t>
      </w:r>
    </w:p>
    <w:p>
      <w:pPr>
        <w:pStyle w:val="Style38"/>
        <w:keepNext/>
        <w:keepLines/>
        <w:widowControl w:val="0"/>
        <w:shd w:val="clear" w:color="auto" w:fill="auto"/>
        <w:tabs>
          <w:tab w:pos="598" w:val="left"/>
        </w:tabs>
        <w:bidi w:val="0"/>
        <w:spacing w:before="0" w:after="320" w:line="240" w:lineRule="auto"/>
        <w:ind w:left="0" w:right="0" w:firstLine="22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4</w:t>
      </w:r>
      <w:bookmarkEnd w:id="1837"/>
      <w:r>
        <w:rPr>
          <w:color w:val="000000"/>
          <w:spacing w:val="0"/>
          <w:w w:val="100"/>
          <w:position w:val="0"/>
        </w:rPr>
        <w:t>、</w:t>
        <w:tab/>
        <w:t>持续和非持续第三层次公允价值计量项目，采用的估值技术和重要参数的定性及定量信息</w:t>
      </w:r>
      <w:bookmarkEnd w:id="1835"/>
      <w:bookmarkEnd w:id="1836"/>
      <w:bookmarkEnd w:id="1838"/>
    </w:p>
    <w:p>
      <w:pPr>
        <w:pStyle w:val="Style12"/>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交易性金融资产和其他流动资产</w:t>
      </w:r>
      <w:r>
        <w:rPr>
          <w:rFonts w:ascii="Times New Roman" w:eastAsia="Times New Roman" w:hAnsi="Times New Roman" w:cs="Times New Roman"/>
          <w:color w:val="000000"/>
          <w:spacing w:val="0"/>
          <w:w w:val="100"/>
          <w:position w:val="0"/>
        </w:rPr>
        <w:t>-</w:t>
      </w:r>
      <w:r>
        <w:rPr>
          <w:color w:val="000000"/>
          <w:spacing w:val="0"/>
          <w:w w:val="100"/>
          <w:position w:val="0"/>
        </w:rPr>
        <w:t>理财产品，采用成本价值确认其公允价值。</w:t>
      </w:r>
    </w:p>
    <w:p>
      <w:pPr>
        <w:pStyle w:val="Style12"/>
        <w:keepNext w:val="0"/>
        <w:keepLines w:val="0"/>
        <w:widowControl w:val="0"/>
        <w:shd w:val="clear" w:color="auto" w:fill="auto"/>
        <w:bidi w:val="0"/>
        <w:spacing w:before="0" w:after="440" w:line="240" w:lineRule="auto"/>
        <w:ind w:left="0" w:right="0" w:firstLine="660"/>
        <w:jc w:val="both"/>
      </w:pPr>
      <w:r>
        <w:rPr>
          <w:color w:val="000000"/>
          <w:spacing w:val="0"/>
          <w:w w:val="100"/>
          <w:position w:val="0"/>
        </w:rPr>
        <w:t>对于持有的应收款项融资，无公开市场报价或同类市场交易价格，采用票面金额确认其公允价值。</w:t>
      </w:r>
    </w:p>
    <w:p>
      <w:pPr>
        <w:pStyle w:val="Style38"/>
        <w:keepNext/>
        <w:keepLines/>
        <w:widowControl w:val="0"/>
        <w:shd w:val="clear" w:color="auto" w:fill="auto"/>
        <w:tabs>
          <w:tab w:pos="598" w:val="left"/>
        </w:tabs>
        <w:bidi w:val="0"/>
        <w:spacing w:before="0" w:after="320" w:line="240" w:lineRule="auto"/>
        <w:ind w:left="0" w:right="0" w:firstLine="22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5</w:t>
      </w:r>
      <w:bookmarkEnd w:id="1841"/>
      <w:r>
        <w:rPr>
          <w:color w:val="000000"/>
          <w:spacing w:val="0"/>
          <w:w w:val="100"/>
          <w:position w:val="0"/>
        </w:rPr>
        <w:t>、</w:t>
        <w:tab/>
        <w:t>持续的第三层次公允价值计量项目，期初与期末账面价值间的调节信息及不可观察参数敏感性分析</w:t>
      </w:r>
      <w:bookmarkEnd w:id="1839"/>
      <w:bookmarkEnd w:id="1840"/>
      <w:bookmarkEnd w:id="1842"/>
    </w:p>
    <w:p>
      <w:pPr>
        <w:pStyle w:val="Style12"/>
        <w:keepNext w:val="0"/>
        <w:keepLines w:val="0"/>
        <w:widowControl w:val="0"/>
        <w:shd w:val="clear" w:color="auto" w:fill="auto"/>
        <w:bidi w:val="0"/>
        <w:spacing w:before="0" w:after="440" w:line="240" w:lineRule="auto"/>
        <w:ind w:left="0" w:right="0" w:firstLine="660"/>
        <w:jc w:val="both"/>
      </w:pPr>
      <w:r>
        <w:rPr>
          <w:color w:val="000000"/>
          <w:spacing w:val="0"/>
          <w:w w:val="100"/>
          <w:position w:val="0"/>
        </w:rPr>
        <w:t>不适用</w:t>
      </w:r>
    </w:p>
    <w:p>
      <w:pPr>
        <w:pStyle w:val="Style38"/>
        <w:keepNext/>
        <w:keepLines/>
        <w:widowControl w:val="0"/>
        <w:shd w:val="clear" w:color="auto" w:fill="auto"/>
        <w:tabs>
          <w:tab w:pos="598" w:val="left"/>
        </w:tabs>
        <w:bidi w:val="0"/>
        <w:spacing w:before="0" w:after="320" w:line="240" w:lineRule="auto"/>
        <w:ind w:left="0" w:right="0" w:firstLine="22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6</w:t>
      </w:r>
      <w:bookmarkEnd w:id="1845"/>
      <w:r>
        <w:rPr>
          <w:color w:val="000000"/>
          <w:spacing w:val="0"/>
          <w:w w:val="100"/>
          <w:position w:val="0"/>
        </w:rPr>
        <w:t>、</w:t>
        <w:tab/>
        <w:t>持续的公允价值计量项目，本期内发生各层级之间转换的，转换的原因及确定转换时点的政策</w:t>
      </w:r>
      <w:bookmarkEnd w:id="1843"/>
      <w:bookmarkEnd w:id="1844"/>
      <w:bookmarkEnd w:id="1846"/>
    </w:p>
    <w:p>
      <w:pPr>
        <w:pStyle w:val="Style12"/>
        <w:keepNext w:val="0"/>
        <w:keepLines w:val="0"/>
        <w:widowControl w:val="0"/>
        <w:shd w:val="clear" w:color="auto" w:fill="auto"/>
        <w:bidi w:val="0"/>
        <w:spacing w:before="0" w:after="440" w:line="240" w:lineRule="auto"/>
        <w:ind w:left="0" w:right="0" w:firstLine="660"/>
        <w:jc w:val="both"/>
      </w:pPr>
      <w:r>
        <w:rPr>
          <w:color w:val="000000"/>
          <w:spacing w:val="0"/>
          <w:w w:val="100"/>
          <w:position w:val="0"/>
        </w:rPr>
        <w:t>不适用</w:t>
      </w:r>
    </w:p>
    <w:p>
      <w:pPr>
        <w:pStyle w:val="Style38"/>
        <w:keepNext/>
        <w:keepLines/>
        <w:widowControl w:val="0"/>
        <w:shd w:val="clear" w:color="auto" w:fill="auto"/>
        <w:tabs>
          <w:tab w:pos="598" w:val="left"/>
        </w:tabs>
        <w:bidi w:val="0"/>
        <w:spacing w:before="0" w:after="320" w:line="240" w:lineRule="auto"/>
        <w:ind w:left="0" w:right="0" w:firstLine="22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7</w:t>
      </w:r>
      <w:bookmarkEnd w:id="1849"/>
      <w:r>
        <w:rPr>
          <w:color w:val="000000"/>
          <w:spacing w:val="0"/>
          <w:w w:val="100"/>
          <w:position w:val="0"/>
        </w:rPr>
        <w:t>、</w:t>
        <w:tab/>
        <w:t>本期内发生的估值技术变更及变更原因</w:t>
      </w:r>
      <w:bookmarkEnd w:id="1847"/>
      <w:bookmarkEnd w:id="1848"/>
      <w:bookmarkEnd w:id="1850"/>
    </w:p>
    <w:p>
      <w:pPr>
        <w:pStyle w:val="Style12"/>
        <w:keepNext w:val="0"/>
        <w:keepLines w:val="0"/>
        <w:widowControl w:val="0"/>
        <w:shd w:val="clear" w:color="auto" w:fill="auto"/>
        <w:bidi w:val="0"/>
        <w:spacing w:before="0" w:after="440" w:line="240" w:lineRule="auto"/>
        <w:ind w:left="0" w:right="0" w:firstLine="660"/>
        <w:jc w:val="both"/>
      </w:pPr>
      <w:r>
        <w:rPr>
          <w:color w:val="000000"/>
          <w:spacing w:val="0"/>
          <w:w w:val="100"/>
          <w:position w:val="0"/>
        </w:rPr>
        <w:t>不适用</w:t>
      </w:r>
    </w:p>
    <w:p>
      <w:pPr>
        <w:pStyle w:val="Style38"/>
        <w:keepNext/>
        <w:keepLines/>
        <w:widowControl w:val="0"/>
        <w:shd w:val="clear" w:color="auto" w:fill="auto"/>
        <w:tabs>
          <w:tab w:pos="598" w:val="left"/>
        </w:tabs>
        <w:bidi w:val="0"/>
        <w:spacing w:before="0" w:after="320" w:line="240" w:lineRule="auto"/>
        <w:ind w:left="0" w:right="0" w:firstLine="22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8</w:t>
      </w:r>
      <w:bookmarkEnd w:id="1853"/>
      <w:r>
        <w:rPr>
          <w:color w:val="000000"/>
          <w:spacing w:val="0"/>
          <w:w w:val="100"/>
          <w:position w:val="0"/>
        </w:rPr>
        <w:t>、</w:t>
        <w:tab/>
        <w:t>不以公允价值计量的金融资产和金融负债的公允价值情况</w:t>
      </w:r>
      <w:bookmarkEnd w:id="1851"/>
      <w:bookmarkEnd w:id="1852"/>
      <w:bookmarkEnd w:id="1854"/>
    </w:p>
    <w:p>
      <w:pPr>
        <w:pStyle w:val="Style12"/>
        <w:keepNext w:val="0"/>
        <w:keepLines w:val="0"/>
        <w:widowControl w:val="0"/>
        <w:shd w:val="clear" w:color="auto" w:fill="auto"/>
        <w:bidi w:val="0"/>
        <w:spacing w:before="0" w:after="440" w:line="240" w:lineRule="auto"/>
        <w:ind w:left="0" w:right="0" w:firstLine="660"/>
        <w:jc w:val="both"/>
      </w:pPr>
      <w:r>
        <w:rPr>
          <w:color w:val="000000"/>
          <w:spacing w:val="0"/>
          <w:w w:val="100"/>
          <w:position w:val="0"/>
        </w:rPr>
        <w:t>不适用</w:t>
      </w:r>
    </w:p>
    <w:p>
      <w:pPr>
        <w:pStyle w:val="Style38"/>
        <w:keepNext/>
        <w:keepLines/>
        <w:widowControl w:val="0"/>
        <w:shd w:val="clear" w:color="auto" w:fill="auto"/>
        <w:tabs>
          <w:tab w:pos="598" w:val="left"/>
        </w:tabs>
        <w:bidi w:val="0"/>
        <w:spacing w:before="0" w:after="320" w:line="240" w:lineRule="auto"/>
        <w:ind w:left="0" w:right="0" w:firstLine="220"/>
        <w:jc w:val="both"/>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9</w:t>
      </w:r>
      <w:bookmarkEnd w:id="1857"/>
      <w:r>
        <w:rPr>
          <w:color w:val="000000"/>
          <w:spacing w:val="0"/>
          <w:w w:val="100"/>
          <w:position w:val="0"/>
        </w:rPr>
        <w:t>、</w:t>
        <w:tab/>
        <w:t>其他</w:t>
      </w:r>
      <w:bookmarkEnd w:id="1855"/>
      <w:bookmarkEnd w:id="1856"/>
      <w:bookmarkEnd w:id="1858"/>
    </w:p>
    <w:p>
      <w:pPr>
        <w:pStyle w:val="Style12"/>
        <w:keepNext w:val="0"/>
        <w:keepLines w:val="0"/>
        <w:widowControl w:val="0"/>
        <w:shd w:val="clear" w:color="auto" w:fill="auto"/>
        <w:bidi w:val="0"/>
        <w:spacing w:before="0" w:after="440" w:line="240" w:lineRule="auto"/>
        <w:ind w:left="0" w:right="0" w:firstLine="660"/>
        <w:jc w:val="both"/>
      </w:pP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220"/>
        <w:jc w:val="left"/>
      </w:pPr>
      <w:bookmarkStart w:id="1859" w:name="bookmark1859"/>
      <w:bookmarkStart w:id="1860" w:name="bookmark1860"/>
      <w:bookmarkStart w:id="1861" w:name="bookmark1861"/>
      <w:r>
        <w:rPr>
          <w:color w:val="000000"/>
          <w:spacing w:val="0"/>
          <w:w w:val="100"/>
          <w:position w:val="0"/>
          <w:sz w:val="24"/>
          <w:szCs w:val="24"/>
        </w:rPr>
        <w:t>十二、关联方及关联交易</w:t>
      </w:r>
      <w:bookmarkEnd w:id="1859"/>
      <w:bookmarkEnd w:id="1860"/>
      <w:bookmarkEnd w:id="1861"/>
    </w:p>
    <w:p>
      <w:pPr>
        <w:pStyle w:val="Style38"/>
        <w:keepNext/>
        <w:keepLines/>
        <w:widowControl w:val="0"/>
        <w:shd w:val="clear" w:color="auto" w:fill="auto"/>
        <w:bidi w:val="0"/>
        <w:spacing w:before="0" w:after="320" w:line="240" w:lineRule="auto"/>
        <w:ind w:left="0" w:right="0" w:firstLine="220"/>
        <w:jc w:val="left"/>
      </w:pPr>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62"/>
      <w:bookmarkEnd w:id="1863"/>
      <w:bookmarkEnd w:id="1864"/>
    </w:p>
    <w:tbl>
      <w:tblPr>
        <w:tblOverlap w:val="never"/>
        <w:jc w:val="center"/>
        <w:tblLayout w:type="fixed"/>
      </w:tblPr>
      <w:tblGrid>
        <w:gridCol w:w="1109"/>
        <w:gridCol w:w="989"/>
        <w:gridCol w:w="1147"/>
        <w:gridCol w:w="1123"/>
        <w:gridCol w:w="2554"/>
        <w:gridCol w:w="2659"/>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母公司名称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业务性质</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母公司对本企业的持股比例</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母公司对本企业的表决权比例</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本企业的母公司情况的说明：本企业最终控制方是严华。</w:t>
      </w:r>
    </w:p>
    <w:p>
      <w:pPr>
        <w:widowControl w:val="0"/>
        <w:spacing w:after="179" w:line="1" w:lineRule="exact"/>
      </w:pPr>
    </w:p>
    <w:p>
      <w:pPr>
        <w:pStyle w:val="Style12"/>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其他说明：</w:t>
      </w:r>
    </w:p>
    <w:p>
      <w:pPr>
        <w:pStyle w:val="Style12"/>
        <w:keepNext w:val="0"/>
        <w:keepLines w:val="0"/>
        <w:widowControl w:val="0"/>
        <w:shd w:val="clear" w:color="auto" w:fill="auto"/>
        <w:bidi w:val="0"/>
        <w:spacing w:before="0" w:after="320" w:line="408" w:lineRule="exact"/>
        <w:ind w:left="220" w:right="0" w:firstLine="440"/>
        <w:jc w:val="left"/>
      </w:pPr>
      <w:r>
        <w:rPr>
          <w:color w:val="000000"/>
          <w:spacing w:val="0"/>
          <w:w w:val="100"/>
          <w:position w:val="0"/>
        </w:rPr>
        <w:t>严华直接持有公司</w:t>
      </w:r>
      <w:r>
        <w:rPr>
          <w:rFonts w:ascii="Times New Roman" w:eastAsia="Times New Roman" w:hAnsi="Times New Roman" w:cs="Times New Roman"/>
          <w:color w:val="000000"/>
          <w:spacing w:val="0"/>
          <w:w w:val="100"/>
          <w:position w:val="0"/>
        </w:rPr>
        <w:t>34.96%</w:t>
      </w:r>
      <w:r>
        <w:rPr>
          <w:color w:val="000000"/>
          <w:spacing w:val="0"/>
          <w:w w:val="100"/>
          <w:position w:val="0"/>
        </w:rPr>
        <w:t>股份，通过员工持股平台深圳市嘉嘉通投资合伙企业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、深圳市木 加林投资合伙企业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和深圳市耕读邦投资合伙企业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间接持有公司</w:t>
      </w:r>
      <w:r>
        <w:rPr>
          <w:rFonts w:ascii="Times New Roman" w:eastAsia="Times New Roman" w:hAnsi="Times New Roman" w:cs="Times New Roman"/>
          <w:color w:val="000000"/>
          <w:spacing w:val="0"/>
          <w:w w:val="100"/>
          <w:position w:val="0"/>
        </w:rPr>
        <w:t>5.75%</w:t>
      </w:r>
      <w:r>
        <w:rPr>
          <w:color w:val="000000"/>
          <w:spacing w:val="0"/>
          <w:w w:val="100"/>
          <w:position w:val="0"/>
        </w:rPr>
        <w:t>股份，合计持 有公司</w:t>
      </w:r>
      <w:r>
        <w:rPr>
          <w:rFonts w:ascii="Times New Roman" w:eastAsia="Times New Roman" w:hAnsi="Times New Roman" w:cs="Times New Roman"/>
          <w:color w:val="000000"/>
          <w:spacing w:val="0"/>
          <w:w w:val="100"/>
          <w:position w:val="0"/>
        </w:rPr>
        <w:t>40.71%</w:t>
      </w:r>
      <w:r>
        <w:rPr>
          <w:color w:val="000000"/>
          <w:spacing w:val="0"/>
          <w:w w:val="100"/>
          <w:position w:val="0"/>
        </w:rPr>
        <w:t>股份。同时严华担任深圳市嘉嘉通投资合伙企业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 xml:space="preserve">、深圳市木加林投资合伙企业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和深圳市耕读邦投资合伙企业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的执行事务合伙人，该三个员工持股平台的的表决权 比例合计为</w:t>
      </w:r>
      <w:r>
        <w:rPr>
          <w:rFonts w:ascii="Times New Roman" w:eastAsia="Times New Roman" w:hAnsi="Times New Roman" w:cs="Times New Roman"/>
          <w:color w:val="000000"/>
          <w:spacing w:val="0"/>
          <w:w w:val="100"/>
          <w:position w:val="0"/>
        </w:rPr>
        <w:t>8.34%</w:t>
      </w:r>
      <w:r>
        <w:rPr>
          <w:color w:val="000000"/>
          <w:spacing w:val="0"/>
          <w:w w:val="100"/>
          <w:position w:val="0"/>
        </w:rPr>
        <w:t>，因此严华对本公司的表决权比例为</w:t>
      </w:r>
      <w:r>
        <w:rPr>
          <w:rFonts w:ascii="Times New Roman" w:eastAsia="Times New Roman" w:hAnsi="Times New Roman" w:cs="Times New Roman"/>
          <w:color w:val="000000"/>
          <w:spacing w:val="0"/>
          <w:w w:val="100"/>
          <w:position w:val="0"/>
        </w:rPr>
        <w:t>43.30%</w:t>
      </w:r>
      <w:r>
        <w:rPr>
          <w:color w:val="000000"/>
          <w:spacing w:val="0"/>
          <w:w w:val="100"/>
          <w:position w:val="0"/>
        </w:rPr>
        <w:t>。</w:t>
      </w:r>
    </w:p>
    <w:p>
      <w:pPr>
        <w:pStyle w:val="Style38"/>
        <w:keepNext/>
        <w:keepLines/>
        <w:widowControl w:val="0"/>
        <w:shd w:val="clear" w:color="auto" w:fill="auto"/>
        <w:tabs>
          <w:tab w:pos="378" w:val="left"/>
        </w:tabs>
        <w:bidi w:val="0"/>
        <w:spacing w:before="0" w:after="32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2</w:t>
      </w:r>
      <w:bookmarkEnd w:id="1867"/>
      <w:r>
        <w:rPr>
          <w:color w:val="000000"/>
          <w:spacing w:val="0"/>
          <w:w w:val="100"/>
          <w:position w:val="0"/>
        </w:rPr>
        <w:t>、</w:t>
        <w:tab/>
        <w:t>本企业的子公司情况</w:t>
      </w:r>
      <w:bookmarkEnd w:id="1865"/>
      <w:bookmarkEnd w:id="1866"/>
      <w:bookmarkEnd w:id="1868"/>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本企业子公司的情况详见附注七。</w:t>
      </w:r>
    </w:p>
    <w:p>
      <w:pPr>
        <w:pStyle w:val="Style38"/>
        <w:keepNext/>
        <w:keepLines/>
        <w:widowControl w:val="0"/>
        <w:shd w:val="clear" w:color="auto" w:fill="auto"/>
        <w:tabs>
          <w:tab w:pos="378" w:val="left"/>
        </w:tabs>
        <w:bidi w:val="0"/>
        <w:spacing w:before="0" w:after="32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3</w:t>
      </w:r>
      <w:bookmarkEnd w:id="1871"/>
      <w:r>
        <w:rPr>
          <w:color w:val="000000"/>
          <w:spacing w:val="0"/>
          <w:w w:val="100"/>
          <w:position w:val="0"/>
        </w:rPr>
        <w:t>、</w:t>
        <w:tab/>
        <w:t>本企业合营和联营企业情况</w:t>
      </w:r>
      <w:bookmarkEnd w:id="1869"/>
      <w:bookmarkEnd w:id="1870"/>
      <w:bookmarkEnd w:id="1872"/>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left"/>
        <w:rPr>
          <w:sz w:val="20"/>
          <w:szCs w:val="20"/>
        </w:rPr>
      </w:pPr>
      <w:bookmarkStart w:id="1873" w:name="bookmark1873"/>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、其他关联方情况</w:t>
      </w:r>
      <w:bookmarkEnd w:id="1873"/>
    </w:p>
    <w:tbl>
      <w:tblPr>
        <w:tblOverlap w:val="never"/>
        <w:jc w:val="center"/>
        <w:tblLayout w:type="fixed"/>
      </w:tblPr>
      <w:tblGrid>
        <w:gridCol w:w="4790"/>
        <w:gridCol w:w="4790"/>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陈文慧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严华之配偶</w:t>
            </w:r>
          </w:p>
        </w:tc>
      </w:tr>
      <w:tr>
        <w:trPr>
          <w:trHeight w:val="33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海通证券股份有限公司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本公司持股</w:t>
            </w:r>
            <w:r>
              <w:rPr>
                <w:rFonts w:ascii="Times New Roman" w:eastAsia="Times New Roman" w:hAnsi="Times New Roman" w:cs="Times New Roman"/>
                <w:color w:val="000000"/>
                <w:spacing w:val="0"/>
                <w:w w:val="100"/>
                <w:position w:val="0"/>
                <w:sz w:val="18"/>
                <w:szCs w:val="18"/>
              </w:rPr>
              <w:t>4.68%</w:t>
            </w:r>
            <w:r>
              <w:rPr>
                <w:color w:val="000000"/>
                <w:spacing w:val="0"/>
                <w:w w:val="100"/>
                <w:position w:val="0"/>
                <w:sz w:val="18"/>
                <w:szCs w:val="18"/>
              </w:rPr>
              <w:t>之股东</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pStyle w:val="Style12"/>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日在深圳证券交易所挂牌交易后，海通证券股份有限公司持有本公司的股权比 例由</w:t>
      </w:r>
      <w:r>
        <w:rPr>
          <w:rFonts w:ascii="Times New Roman" w:eastAsia="Times New Roman" w:hAnsi="Times New Roman" w:cs="Times New Roman"/>
          <w:color w:val="000000"/>
          <w:spacing w:val="0"/>
          <w:w w:val="100"/>
          <w:position w:val="0"/>
        </w:rPr>
        <w:t>6.24%</w:t>
      </w:r>
      <w:r>
        <w:rPr>
          <w:color w:val="000000"/>
          <w:spacing w:val="0"/>
          <w:w w:val="100"/>
          <w:position w:val="0"/>
        </w:rPr>
        <w:t>下降为</w:t>
      </w:r>
      <w:r>
        <w:rPr>
          <w:rFonts w:ascii="Times New Roman" w:eastAsia="Times New Roman" w:hAnsi="Times New Roman" w:cs="Times New Roman"/>
          <w:color w:val="000000"/>
          <w:spacing w:val="0"/>
          <w:w w:val="100"/>
          <w:position w:val="0"/>
        </w:rPr>
        <w:t>4.68%</w:t>
      </w:r>
      <w:r>
        <w:rPr>
          <w:color w:val="000000"/>
          <w:spacing w:val="0"/>
          <w:w w:val="100"/>
          <w:position w:val="0"/>
        </w:rPr>
        <w:t>，</w:t>
      </w:r>
      <w:r>
        <w:rPr>
          <w:color w:val="000000"/>
          <w:spacing w:val="0"/>
          <w:w w:val="100"/>
          <w:position w:val="0"/>
        </w:rPr>
        <w:t>在过去十二个月内属于《深圳证券交易所创业板股票上市规则》规定的关联法人。</w:t>
      </w:r>
    </w:p>
    <w:p>
      <w:pPr>
        <w:pStyle w:val="Style38"/>
        <w:keepNext/>
        <w:keepLines/>
        <w:widowControl w:val="0"/>
        <w:shd w:val="clear" w:color="auto" w:fill="auto"/>
        <w:bidi w:val="0"/>
        <w:spacing w:before="0" w:after="160" w:line="408" w:lineRule="exact"/>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5</w:t>
      </w:r>
      <w:bookmarkEnd w:id="1876"/>
      <w:r>
        <w:rPr>
          <w:color w:val="000000"/>
          <w:spacing w:val="0"/>
          <w:w w:val="100"/>
          <w:position w:val="0"/>
        </w:rPr>
        <w:t>、关联交易情况</w:t>
      </w:r>
      <w:bookmarkEnd w:id="1874"/>
      <w:bookmarkEnd w:id="1875"/>
      <w:bookmarkEnd w:id="1877"/>
    </w:p>
    <w:p>
      <w:pPr>
        <w:pStyle w:val="Style46"/>
        <w:keepNext/>
        <w:keepLines/>
        <w:widowControl w:val="0"/>
        <w:shd w:val="clear" w:color="auto" w:fill="auto"/>
        <w:bidi w:val="0"/>
        <w:spacing w:before="0" w:after="160" w:line="408" w:lineRule="exact"/>
        <w:ind w:left="0" w:right="0" w:firstLine="0"/>
        <w:jc w:val="left"/>
      </w:pPr>
      <w:bookmarkStart w:id="1878" w:name="bookmark1878"/>
      <w:bookmarkStart w:id="1879" w:name="bookmark1879"/>
      <w:bookmarkStart w:id="1880" w:name="bookmark18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78"/>
      <w:bookmarkEnd w:id="1879"/>
      <w:bookmarkEnd w:id="1880"/>
    </w:p>
    <w:p>
      <w:pPr>
        <w:pStyle w:val="Style12"/>
        <w:keepNext w:val="0"/>
        <w:keepLines w:val="0"/>
        <w:widowControl w:val="0"/>
        <w:shd w:val="clear" w:color="auto" w:fill="auto"/>
        <w:bidi w:val="0"/>
        <w:spacing w:before="0" w:after="0" w:line="408"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接受劳务情况表：不适用</w:t>
      </w:r>
    </w:p>
    <w:p>
      <w:pPr>
        <w:pStyle w:val="Style12"/>
        <w:keepNext w:val="0"/>
        <w:keepLines w:val="0"/>
        <w:widowControl w:val="0"/>
        <w:shd w:val="clear" w:color="auto" w:fill="auto"/>
        <w:bidi w:val="0"/>
        <w:spacing w:before="0" w:after="160" w:line="408" w:lineRule="exact"/>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海通证券股份有限公司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11,338,208.13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7,807,301.83</w:t>
            </w:r>
          </w:p>
        </w:tc>
      </w:tr>
    </w:tbl>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购销商品、提供和接受劳务的关联交易说明：无</w:t>
      </w:r>
    </w:p>
    <w:p>
      <w:pPr>
        <w:widowControl w:val="0"/>
        <w:spacing w:after="439" w:line="1" w:lineRule="exact"/>
      </w:pPr>
    </w:p>
    <w:p>
      <w:pPr>
        <w:pStyle w:val="Style46"/>
        <w:keepNext/>
        <w:keepLines/>
        <w:widowControl w:val="0"/>
        <w:shd w:val="clear" w:color="auto" w:fill="auto"/>
        <w:tabs>
          <w:tab w:pos="493" w:val="left"/>
        </w:tabs>
        <w:bidi w:val="0"/>
        <w:spacing w:before="0" w:after="32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81"/>
      <w:bookmarkEnd w:id="1882"/>
      <w:bookmarkEnd w:id="1884"/>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2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885"/>
      <w:bookmarkEnd w:id="1886"/>
      <w:bookmarkEnd w:id="1888"/>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16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889"/>
      <w:bookmarkEnd w:id="1890"/>
      <w:bookmarkEnd w:id="1892"/>
      <w:r>
        <w:rPr>
          <w:color w:val="000000"/>
          <w:spacing w:val="0"/>
          <w:w w:val="100"/>
          <w:position w:val="0"/>
        </w:rPr>
        <w:t xml:space="preserve"> </w:t>
      </w:r>
      <w:r>
        <w:rPr>
          <w:rStyle w:val="CharStyle13"/>
          <w:b w:val="0"/>
          <w:bCs w:val="0"/>
        </w:rPr>
        <w:t>本公司作为担保方：不适用</w:t>
      </w:r>
    </w:p>
    <w:p>
      <w:pPr>
        <w:pStyle w:val="Style12"/>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本公司作为被担保方</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担保方</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担保是否已经履行完毕</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严华、陈文慧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10,011,763.89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严华、陈文慧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12,014,116.67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严华、陈文慧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30,006,583.33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299" w:line="1" w:lineRule="exact"/>
      </w:pPr>
    </w:p>
    <w:p>
      <w:pPr>
        <w:pStyle w:val="Style46"/>
        <w:keepNext/>
        <w:keepLines/>
        <w:widowControl w:val="0"/>
        <w:shd w:val="clear" w:color="auto" w:fill="auto"/>
        <w:bidi w:val="0"/>
        <w:spacing w:before="0" w:after="34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w:t>
      </w:r>
      <w:bookmarkEnd w:id="189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93"/>
      <w:bookmarkEnd w:id="1894"/>
      <w:bookmarkEnd w:id="1896"/>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40" w:line="240" w:lineRule="auto"/>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w:t>
      </w:r>
      <w:bookmarkEnd w:id="1899"/>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897"/>
      <w:bookmarkEnd w:id="1898"/>
      <w:bookmarkEnd w:id="1900"/>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00" w:line="240" w:lineRule="auto"/>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rPr>
        <w:t>（</w:t>
      </w:r>
      <w:bookmarkEnd w:id="1903"/>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901"/>
      <w:bookmarkEnd w:id="1902"/>
      <w:bookmarkEnd w:id="190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12,486,427.73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10,109,925.63</w:t>
            </w:r>
          </w:p>
        </w:tc>
      </w:tr>
    </w:tbl>
    <w:p>
      <w:pPr>
        <w:widowControl w:val="0"/>
        <w:spacing w:after="299" w:line="1" w:lineRule="exact"/>
      </w:pPr>
    </w:p>
    <w:p>
      <w:pPr>
        <w:pStyle w:val="Style46"/>
        <w:keepNext/>
        <w:keepLines/>
        <w:widowControl w:val="0"/>
        <w:shd w:val="clear" w:color="auto" w:fill="auto"/>
        <w:bidi w:val="0"/>
        <w:spacing w:before="0" w:after="340" w:line="240" w:lineRule="auto"/>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w:t>
      </w:r>
      <w:bookmarkEnd w:id="190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05"/>
      <w:bookmarkEnd w:id="1906"/>
      <w:bookmarkEnd w:id="1908"/>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0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6</w:t>
      </w:r>
      <w:bookmarkEnd w:id="1911"/>
      <w:r>
        <w:rPr>
          <w:color w:val="000000"/>
          <w:spacing w:val="0"/>
          <w:w w:val="100"/>
          <w:position w:val="0"/>
        </w:rPr>
        <w:t>、关联方应收应付款项</w:t>
      </w:r>
      <w:bookmarkEnd w:id="1909"/>
      <w:bookmarkEnd w:id="1910"/>
      <w:bookmarkEnd w:id="1912"/>
    </w:p>
    <w:p>
      <w:pPr>
        <w:pStyle w:val="Style46"/>
        <w:keepNext/>
        <w:keepLines/>
        <w:widowControl w:val="0"/>
        <w:shd w:val="clear" w:color="auto" w:fill="auto"/>
        <w:bidi w:val="0"/>
        <w:spacing w:before="0" w:after="300" w:line="240" w:lineRule="auto"/>
        <w:ind w:left="0" w:right="0" w:firstLine="0"/>
        <w:jc w:val="left"/>
      </w:pPr>
      <w:bookmarkStart w:id="1913" w:name="bookmark1913"/>
      <w:bookmarkStart w:id="1914" w:name="bookmark1914"/>
      <w:bookmarkStart w:id="1915" w:name="bookmark19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13"/>
      <w:bookmarkEnd w:id="1914"/>
      <w:bookmarkEnd w:id="191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1949"/>
        <w:gridCol w:w="1594"/>
        <w:gridCol w:w="1594"/>
        <w:gridCol w:w="1594"/>
        <w:gridCol w:w="1603"/>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r>
      <w:tr>
        <w:trPr>
          <w:trHeight w:val="31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海通证券股份有限公司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5,016,135.02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250,806.75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1,174,941.75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58,747.09</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5,016,135.02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250,806.75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1,174,941.75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58,747.09</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1916" w:name="bookmark1916"/>
      <w:bookmarkStart w:id="1917" w:name="bookmark1917"/>
      <w:bookmarkStart w:id="1918" w:name="bookmark19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16"/>
      <w:bookmarkEnd w:id="1917"/>
      <w:bookmarkEnd w:id="1918"/>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0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7</w:t>
      </w:r>
      <w:bookmarkEnd w:id="1921"/>
      <w:r>
        <w:rPr>
          <w:color w:val="000000"/>
          <w:spacing w:val="0"/>
          <w:w w:val="100"/>
          <w:position w:val="0"/>
        </w:rPr>
        <w:t>、关联方承诺</w:t>
      </w:r>
      <w:bookmarkEnd w:id="1919"/>
      <w:bookmarkEnd w:id="1920"/>
      <w:bookmarkEnd w:id="1922"/>
    </w:p>
    <w:p>
      <w:pPr>
        <w:pStyle w:val="Style1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0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8</w:t>
      </w:r>
      <w:bookmarkEnd w:id="1925"/>
      <w:r>
        <w:rPr>
          <w:color w:val="000000"/>
          <w:spacing w:val="0"/>
          <w:w w:val="100"/>
          <w:position w:val="0"/>
        </w:rPr>
        <w:t>、其他</w:t>
      </w:r>
      <w:bookmarkEnd w:id="1923"/>
      <w:bookmarkEnd w:id="1924"/>
      <w:bookmarkEnd w:id="1926"/>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left"/>
      </w:pPr>
      <w:bookmarkStart w:id="1927" w:name="bookmark1927"/>
      <w:bookmarkStart w:id="1928" w:name="bookmark1928"/>
      <w:bookmarkStart w:id="1929" w:name="bookmark1929"/>
      <w:r>
        <w:rPr>
          <w:color w:val="000000"/>
          <w:spacing w:val="0"/>
          <w:w w:val="100"/>
          <w:position w:val="0"/>
          <w:sz w:val="24"/>
          <w:szCs w:val="24"/>
        </w:rPr>
        <w:t>十三、股份支付</w:t>
      </w:r>
      <w:bookmarkEnd w:id="1927"/>
      <w:bookmarkEnd w:id="1928"/>
      <w:bookmarkEnd w:id="1929"/>
    </w:p>
    <w:p>
      <w:pPr>
        <w:pStyle w:val="Style38"/>
        <w:keepNext/>
        <w:keepLines/>
        <w:widowControl w:val="0"/>
        <w:shd w:val="clear" w:color="auto" w:fill="auto"/>
        <w:bidi w:val="0"/>
        <w:spacing w:before="0" w:after="300" w:line="240" w:lineRule="auto"/>
        <w:ind w:left="0" w:right="0" w:firstLine="0"/>
        <w:jc w:val="left"/>
      </w:pPr>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30"/>
      <w:bookmarkEnd w:id="1931"/>
      <w:bookmarkEnd w:id="1932"/>
    </w:p>
    <w:p>
      <w:pPr>
        <w:pStyle w:val="Style1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02"/>
        <w:gridCol w:w="5779"/>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5,721,000.00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6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公司期末发行在外的股票期权行权价格的范围 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27.82</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18"/>
                <w:szCs w:val="18"/>
              </w:rPr>
              <w:t>55.07</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股，其中授予的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，合同剩余期限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年；授予的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，合同剩余期限</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年；授予的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，合同剩余期限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r>
    </w:tbl>
    <w:p>
      <w:pPr>
        <w:widowControl w:val="0"/>
        <w:spacing w:after="299" w:line="1" w:lineRule="exact"/>
      </w:pPr>
    </w:p>
    <w:p>
      <w:pPr>
        <w:pStyle w:val="Style38"/>
        <w:keepNext/>
        <w:keepLines/>
        <w:widowControl w:val="0"/>
        <w:shd w:val="clear" w:color="auto" w:fill="auto"/>
        <w:bidi w:val="0"/>
        <w:spacing w:before="0" w:after="160" w:line="240" w:lineRule="auto"/>
        <w:ind w:left="0" w:right="0" w:firstLine="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33"/>
      <w:bookmarkEnd w:id="1934"/>
      <w:bookmarkEnd w:id="1935"/>
      <w:r>
        <w:rPr>
          <w:color w:val="000000"/>
          <w:spacing w:val="0"/>
          <w:w w:val="100"/>
          <w:position w:val="0"/>
        </w:rPr>
        <w:t xml:space="preserve"> </w:t>
      </w:r>
      <w:r>
        <w:rPr>
          <w:rStyle w:val="CharStyle13"/>
          <w:rFonts w:ascii="Times New Roman" w:eastAsia="Times New Roman" w:hAnsi="Times New Roman" w:cs="Times New Roman"/>
          <w:b w:val="0"/>
          <w:bCs w:val="0"/>
        </w:rPr>
        <w:t>q</w:t>
      </w:r>
      <w:r>
        <w:rPr>
          <w:rStyle w:val="CharStyle13"/>
          <w:b w:val="0"/>
          <w:bCs w:val="0"/>
        </w:rPr>
        <w:t>适用</w:t>
      </w:r>
      <w:r>
        <w:rPr>
          <w:rStyle w:val="CharStyle13"/>
          <w:b w:val="0"/>
          <w:bCs w:val="0"/>
        </w:rPr>
        <w:t>口</w:t>
      </w:r>
      <w:r>
        <w:rPr>
          <w:rStyle w:val="CharStyle13"/>
          <w:b w:val="0"/>
          <w:bCs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29"/>
        <w:gridCol w:w="535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B-S</w:t>
            </w:r>
            <w:r>
              <w:rPr>
                <w:color w:val="000000"/>
                <w:spacing w:val="0"/>
                <w:w w:val="100"/>
                <w:position w:val="0"/>
                <w:sz w:val="18"/>
                <w:szCs w:val="18"/>
              </w:rPr>
              <w:t>模型</w:t>
            </w:r>
          </w:p>
        </w:tc>
      </w:tr>
      <w:tr>
        <w:trPr>
          <w:trHeight w:val="79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可行权权益工具数量的确定依据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在等待期内每个资产负债表日，公司根据最新取得的可行权职工人 数变动、业绩变动等后续信息作出最佳估计，修正预计可行权的权 益工具数量，以作出可行权权益工具数量的最佳估计</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本期估计与上期估计有重大差异的原因</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以权益结算的股份支付计入资本公积的累计金额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9,740,686.08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9,740,686.08</w:t>
            </w:r>
          </w:p>
        </w:tc>
      </w:tr>
    </w:tbl>
    <w:p>
      <w:pPr>
        <w:widowControl w:val="0"/>
        <w:spacing w:after="299" w:line="1" w:lineRule="exact"/>
      </w:pPr>
    </w:p>
    <w:p>
      <w:pPr>
        <w:pStyle w:val="Style38"/>
        <w:keepNext/>
        <w:keepLines/>
        <w:widowControl w:val="0"/>
        <w:shd w:val="clear" w:color="auto" w:fill="auto"/>
        <w:bidi w:val="0"/>
        <w:spacing w:before="0" w:after="44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3</w:t>
      </w:r>
      <w:bookmarkEnd w:id="1938"/>
      <w:r>
        <w:rPr>
          <w:color w:val="000000"/>
          <w:spacing w:val="0"/>
          <w:w w:val="100"/>
          <w:position w:val="0"/>
        </w:rPr>
        <w:t>、以现金结算的股份支付情况</w:t>
      </w:r>
      <w:bookmarkEnd w:id="1936"/>
      <w:bookmarkEnd w:id="1937"/>
      <w:bookmarkEnd w:id="1939"/>
      <w:r>
        <w:rPr>
          <w:color w:val="000000"/>
          <w:spacing w:val="0"/>
          <w:w w:val="100"/>
          <w:position w:val="0"/>
        </w:rPr>
        <w:t xml:space="preserve"> </w:t>
      </w:r>
      <w:r>
        <w:rPr>
          <w:rStyle w:val="CharStyle13"/>
          <w:rFonts w:ascii="Times New Roman" w:eastAsia="Times New Roman" w:hAnsi="Times New Roman" w:cs="Times New Roman"/>
          <w:b w:val="0"/>
          <w:bCs w:val="0"/>
        </w:rPr>
        <w:t>□</w:t>
      </w:r>
      <w:r>
        <w:rPr>
          <w:rStyle w:val="CharStyle13"/>
          <w:b w:val="0"/>
          <w:bCs w:val="0"/>
        </w:rPr>
        <w:t>适用</w:t>
      </w:r>
      <w:r>
        <w:rPr>
          <w:rStyle w:val="CharStyle13"/>
          <w:rFonts w:ascii="Times New Roman" w:eastAsia="Times New Roman" w:hAnsi="Times New Roman" w:cs="Times New Roman"/>
          <w:b w:val="0"/>
          <w:bCs w:val="0"/>
        </w:rPr>
        <w:t>q</w:t>
      </w:r>
      <w:r>
        <w:rPr>
          <w:rStyle w:val="CharStyle13"/>
          <w:b w:val="0"/>
          <w:bCs w:val="0"/>
        </w:rPr>
        <w:t>不适用</w:t>
      </w:r>
    </w:p>
    <w:p>
      <w:pPr>
        <w:pStyle w:val="Style38"/>
        <w:keepNext/>
        <w:keepLines/>
        <w:widowControl w:val="0"/>
        <w:shd w:val="clear" w:color="auto" w:fill="auto"/>
        <w:tabs>
          <w:tab w:pos="378" w:val="left"/>
        </w:tabs>
        <w:bidi w:val="0"/>
        <w:spacing w:before="0" w:after="30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4</w:t>
      </w:r>
      <w:bookmarkEnd w:id="1942"/>
      <w:r>
        <w:rPr>
          <w:color w:val="000000"/>
          <w:spacing w:val="0"/>
          <w:w w:val="100"/>
          <w:position w:val="0"/>
        </w:rPr>
        <w:t>、</w:t>
        <w:tab/>
        <w:t>股份支付的修改、终止情况</w:t>
      </w:r>
      <w:bookmarkEnd w:id="1940"/>
      <w:bookmarkEnd w:id="1941"/>
      <w:bookmarkEnd w:id="1943"/>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tabs>
          <w:tab w:pos="378" w:val="left"/>
        </w:tabs>
        <w:bidi w:val="0"/>
        <w:spacing w:before="0" w:after="30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5</w:t>
      </w:r>
      <w:bookmarkEnd w:id="1946"/>
      <w:r>
        <w:rPr>
          <w:color w:val="000000"/>
          <w:spacing w:val="0"/>
          <w:w w:val="100"/>
          <w:position w:val="0"/>
        </w:rPr>
        <w:t>、</w:t>
        <w:tab/>
        <w:t>其他</w:t>
      </w:r>
      <w:bookmarkEnd w:id="1944"/>
      <w:bookmarkEnd w:id="1945"/>
      <w:bookmarkEnd w:id="1947"/>
    </w:p>
    <w:p>
      <w:pPr>
        <w:pStyle w:val="Style1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1948" w:name="bookmark1948"/>
      <w:bookmarkStart w:id="1949" w:name="bookmark1949"/>
      <w:bookmarkStart w:id="1950" w:name="bookmark1950"/>
      <w:r>
        <w:rPr>
          <w:color w:val="000000"/>
          <w:spacing w:val="0"/>
          <w:w w:val="100"/>
          <w:position w:val="0"/>
          <w:sz w:val="24"/>
          <w:szCs w:val="24"/>
        </w:rPr>
        <w:t>十四、承诺及或有事项</w:t>
      </w:r>
      <w:bookmarkEnd w:id="1948"/>
      <w:bookmarkEnd w:id="1949"/>
      <w:bookmarkEnd w:id="1950"/>
    </w:p>
    <w:p>
      <w:pPr>
        <w:pStyle w:val="Style38"/>
        <w:keepNext/>
        <w:keepLines/>
        <w:widowControl w:val="0"/>
        <w:shd w:val="clear" w:color="auto" w:fill="auto"/>
        <w:tabs>
          <w:tab w:pos="368" w:val="left"/>
        </w:tabs>
        <w:bidi w:val="0"/>
        <w:spacing w:before="0" w:after="32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1</w:t>
      </w:r>
      <w:bookmarkEnd w:id="1953"/>
      <w:r>
        <w:rPr>
          <w:color w:val="000000"/>
          <w:spacing w:val="0"/>
          <w:w w:val="100"/>
          <w:position w:val="0"/>
        </w:rPr>
        <w:t>、</w:t>
        <w:tab/>
        <w:t>重要承诺事项</w:t>
      </w:r>
      <w:bookmarkEnd w:id="1951"/>
      <w:bookmarkEnd w:id="1952"/>
      <w:bookmarkEnd w:id="1954"/>
    </w:p>
    <w:p>
      <w:pPr>
        <w:pStyle w:val="Style1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日，本公司不存在需要披露的重大承诺及或有事项。</w:t>
      </w:r>
    </w:p>
    <w:p>
      <w:pPr>
        <w:pStyle w:val="Style38"/>
        <w:keepNext/>
        <w:keepLines/>
        <w:widowControl w:val="0"/>
        <w:shd w:val="clear" w:color="auto" w:fill="auto"/>
        <w:tabs>
          <w:tab w:pos="378" w:val="left"/>
        </w:tabs>
        <w:bidi w:val="0"/>
        <w:spacing w:before="0" w:after="32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2</w:t>
      </w:r>
      <w:bookmarkEnd w:id="1957"/>
      <w:r>
        <w:rPr>
          <w:color w:val="000000"/>
          <w:spacing w:val="0"/>
          <w:w w:val="100"/>
          <w:position w:val="0"/>
        </w:rPr>
        <w:t>、</w:t>
        <w:tab/>
        <w:t>或有事项</w:t>
      </w:r>
      <w:bookmarkEnd w:id="1955"/>
      <w:bookmarkEnd w:id="1956"/>
      <w:bookmarkEnd w:id="1958"/>
    </w:p>
    <w:p>
      <w:pPr>
        <w:pStyle w:val="Style46"/>
        <w:keepNext/>
        <w:keepLines/>
        <w:widowControl w:val="0"/>
        <w:shd w:val="clear" w:color="auto" w:fill="auto"/>
        <w:tabs>
          <w:tab w:pos="493" w:val="left"/>
        </w:tabs>
        <w:bidi w:val="0"/>
        <w:spacing w:before="0" w:after="32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59"/>
      <w:bookmarkEnd w:id="1960"/>
      <w:bookmarkEnd w:id="1962"/>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46"/>
        <w:keepNext/>
        <w:keepLines/>
        <w:widowControl w:val="0"/>
        <w:shd w:val="clear" w:color="auto" w:fill="auto"/>
        <w:tabs>
          <w:tab w:pos="493" w:val="left"/>
        </w:tabs>
        <w:bidi w:val="0"/>
        <w:spacing w:before="0" w:after="32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w:t>
      </w:r>
      <w:bookmarkEnd w:id="196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63"/>
      <w:bookmarkEnd w:id="1964"/>
      <w:bookmarkEnd w:id="1966"/>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公司不存在需要披露的重要或有事项。</w:t>
      </w:r>
    </w:p>
    <w:p>
      <w:pPr>
        <w:pStyle w:val="Style38"/>
        <w:keepNext/>
        <w:keepLines/>
        <w:widowControl w:val="0"/>
        <w:shd w:val="clear" w:color="auto" w:fill="auto"/>
        <w:tabs>
          <w:tab w:pos="378" w:val="left"/>
        </w:tabs>
        <w:bidi w:val="0"/>
        <w:spacing w:before="0" w:after="320" w:line="240" w:lineRule="auto"/>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3</w:t>
      </w:r>
      <w:bookmarkEnd w:id="1969"/>
      <w:r>
        <w:rPr>
          <w:color w:val="000000"/>
          <w:spacing w:val="0"/>
          <w:w w:val="100"/>
          <w:position w:val="0"/>
        </w:rPr>
        <w:t>、</w:t>
        <w:tab/>
        <w:t>其他</w:t>
      </w:r>
      <w:bookmarkEnd w:id="1967"/>
      <w:bookmarkEnd w:id="1968"/>
      <w:bookmarkEnd w:id="1970"/>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1971" w:name="bookmark1971"/>
      <w:bookmarkStart w:id="1972" w:name="bookmark1972"/>
      <w:bookmarkStart w:id="1973" w:name="bookmark1973"/>
      <w:r>
        <w:rPr>
          <w:color w:val="000000"/>
          <w:spacing w:val="0"/>
          <w:w w:val="100"/>
          <w:position w:val="0"/>
          <w:sz w:val="24"/>
          <w:szCs w:val="24"/>
        </w:rPr>
        <w:t>十五、资产负债表日后事项</w:t>
      </w:r>
      <w:bookmarkEnd w:id="1971"/>
      <w:bookmarkEnd w:id="1972"/>
      <w:bookmarkEnd w:id="1973"/>
    </w:p>
    <w:p>
      <w:pPr>
        <w:pStyle w:val="Style38"/>
        <w:keepNext/>
        <w:keepLines/>
        <w:widowControl w:val="0"/>
        <w:shd w:val="clear" w:color="auto" w:fill="auto"/>
        <w:bidi w:val="0"/>
        <w:spacing w:before="0" w:after="320" w:line="240" w:lineRule="auto"/>
        <w:ind w:left="0" w:right="0" w:firstLine="0"/>
        <w:jc w:val="left"/>
      </w:pPr>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74"/>
      <w:bookmarkEnd w:id="1975"/>
      <w:bookmarkEnd w:id="1976"/>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left"/>
      </w:pPr>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77"/>
      <w:bookmarkEnd w:id="1978"/>
      <w:bookmarkEnd w:id="1979"/>
    </w:p>
    <w:tbl>
      <w:tblPr>
        <w:tblOverlap w:val="never"/>
        <w:jc w:val="center"/>
        <w:tblLayout w:type="fixed"/>
      </w:tblPr>
      <w:tblGrid>
        <w:gridCol w:w="4992"/>
        <w:gridCol w:w="4589"/>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拟分配的利润或股利（元）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15,406,941.62</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经审议批准宣告发放的利润或股利（元）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15,406,941.62</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bookmarkStart w:id="1980" w:name="bookmark198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、销售退回</w:t>
      </w:r>
      <w:bookmarkEnd w:id="1980"/>
    </w:p>
    <w:p>
      <w:pPr>
        <w:widowControl w:val="0"/>
        <w:spacing w:after="119" w:line="1" w:lineRule="exact"/>
      </w:pPr>
    </w:p>
    <w:p>
      <w:pPr>
        <w:pStyle w:val="Style12"/>
        <w:keepNext w:val="0"/>
        <w:keepLines w:val="0"/>
        <w:widowControl w:val="0"/>
        <w:shd w:val="clear" w:color="auto" w:fill="auto"/>
        <w:bidi w:val="0"/>
        <w:spacing w:before="0" w:after="320" w:line="409" w:lineRule="exact"/>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120" w:line="409" w:lineRule="exact"/>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4</w:t>
      </w:r>
      <w:bookmarkEnd w:id="1983"/>
      <w:r>
        <w:rPr>
          <w:color w:val="000000"/>
          <w:spacing w:val="0"/>
          <w:w w:val="100"/>
          <w:position w:val="0"/>
        </w:rPr>
        <w:t>、其他资产负债表日后事项说明</w:t>
      </w:r>
      <w:bookmarkEnd w:id="1981"/>
      <w:bookmarkEnd w:id="1982"/>
      <w:bookmarkEnd w:id="1984"/>
    </w:p>
    <w:p>
      <w:pPr>
        <w:pStyle w:val="Style12"/>
        <w:keepNext w:val="0"/>
        <w:keepLines w:val="0"/>
        <w:widowControl w:val="0"/>
        <w:shd w:val="clear" w:color="auto" w:fill="auto"/>
        <w:bidi w:val="0"/>
        <w:spacing w:before="0" w:after="320" w:line="409"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日本公司第三届董事会第十次会议审议通过</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年度利润分配预案，以公司总股份 </w:t>
      </w:r>
      <w:r>
        <w:rPr>
          <w:rFonts w:ascii="Times New Roman" w:eastAsia="Times New Roman" w:hAnsi="Times New Roman" w:cs="Times New Roman"/>
          <w:color w:val="000000"/>
          <w:spacing w:val="0"/>
          <w:w w:val="100"/>
          <w:position w:val="0"/>
        </w:rPr>
        <w:t>220,099,166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0.70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 xml:space="preserve">15,406,941.62 </w:t>
      </w:r>
      <w:r>
        <w:rPr>
          <w:color w:val="000000"/>
          <w:spacing w:val="0"/>
          <w:w w:val="100"/>
          <w:position w:val="0"/>
        </w:rPr>
        <w:t>元（含税），同时以资本公积金向股权登记日登记在册的全体股东每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股，共计转增</w:t>
      </w:r>
      <w:r>
        <w:rPr>
          <w:rFonts w:ascii="Times New Roman" w:eastAsia="Times New Roman" w:hAnsi="Times New Roman" w:cs="Times New Roman"/>
          <w:color w:val="000000"/>
          <w:spacing w:val="0"/>
          <w:w w:val="100"/>
          <w:position w:val="0"/>
        </w:rPr>
        <w:t xml:space="preserve">154,069,416 </w:t>
      </w:r>
      <w:r>
        <w:rPr>
          <w:color w:val="000000"/>
          <w:spacing w:val="0"/>
          <w:w w:val="100"/>
          <w:position w:val="0"/>
        </w:rPr>
        <w:t>股，本次资本公积金转增股本后，公司总股本增加至</w:t>
      </w:r>
      <w:r>
        <w:rPr>
          <w:rFonts w:ascii="Times New Roman" w:eastAsia="Times New Roman" w:hAnsi="Times New Roman" w:cs="Times New Roman"/>
          <w:color w:val="000000"/>
          <w:spacing w:val="0"/>
          <w:w w:val="100"/>
          <w:position w:val="0"/>
        </w:rPr>
        <w:t>374,168,582</w:t>
      </w:r>
      <w:r>
        <w:rPr>
          <w:color w:val="000000"/>
          <w:spacing w:val="0"/>
          <w:w w:val="100"/>
          <w:position w:val="0"/>
        </w:rPr>
        <w:t>股。以上利润分配和资本公积转增股本预 案尚需公司</w:t>
      </w:r>
      <w:r>
        <w:rPr>
          <w:rFonts w:ascii="Times New Roman" w:eastAsia="Times New Roman" w:hAnsi="Times New Roman" w:cs="Times New Roman"/>
          <w:color w:val="000000"/>
          <w:spacing w:val="0"/>
          <w:w w:val="100"/>
          <w:position w:val="0"/>
        </w:rPr>
        <w:t>2021</w:t>
      </w:r>
      <w:r>
        <w:rPr>
          <w:color w:val="000000"/>
          <w:spacing w:val="0"/>
          <w:w w:val="100"/>
          <w:position w:val="0"/>
        </w:rPr>
        <w:t>年度股东大会批准实施。</w:t>
      </w:r>
    </w:p>
    <w:p>
      <w:pPr>
        <w:pStyle w:val="Style31"/>
        <w:keepNext/>
        <w:keepLines/>
        <w:widowControl w:val="0"/>
        <w:shd w:val="clear" w:color="auto" w:fill="auto"/>
        <w:bidi w:val="0"/>
        <w:spacing w:before="0" w:after="160" w:line="240" w:lineRule="auto"/>
        <w:ind w:left="0" w:right="0" w:firstLine="0"/>
        <w:jc w:val="left"/>
      </w:pPr>
      <w:bookmarkStart w:id="1985" w:name="bookmark1985"/>
      <w:bookmarkStart w:id="1986" w:name="bookmark1986"/>
      <w:bookmarkStart w:id="1987" w:name="bookmark1987"/>
      <w:r>
        <w:rPr>
          <w:color w:val="000000"/>
          <w:spacing w:val="0"/>
          <w:w w:val="100"/>
          <w:position w:val="0"/>
          <w:sz w:val="24"/>
          <w:szCs w:val="24"/>
        </w:rPr>
        <w:t>十六、其他重要事项</w:t>
      </w:r>
      <w:bookmarkEnd w:id="1985"/>
      <w:bookmarkEnd w:id="1986"/>
      <w:bookmarkEnd w:id="1987"/>
    </w:p>
    <w:p>
      <w:pPr>
        <w:pStyle w:val="Style38"/>
        <w:keepNext/>
        <w:keepLines/>
        <w:widowControl w:val="0"/>
        <w:shd w:val="clear" w:color="auto" w:fill="auto"/>
        <w:tabs>
          <w:tab w:pos="368" w:val="left"/>
        </w:tabs>
        <w:bidi w:val="0"/>
        <w:spacing w:before="0" w:after="160" w:line="410" w:lineRule="exact"/>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1</w:t>
      </w:r>
      <w:bookmarkEnd w:id="1990"/>
      <w:r>
        <w:rPr>
          <w:color w:val="000000"/>
          <w:spacing w:val="0"/>
          <w:w w:val="100"/>
          <w:position w:val="0"/>
        </w:rPr>
        <w:t>、</w:t>
        <w:tab/>
        <w:t>前期会计差错更正</w:t>
      </w:r>
      <w:bookmarkEnd w:id="1988"/>
      <w:bookmarkEnd w:id="1989"/>
      <w:bookmarkEnd w:id="1991"/>
    </w:p>
    <w:p>
      <w:pPr>
        <w:pStyle w:val="Style1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不适用</w:t>
      </w:r>
    </w:p>
    <w:p>
      <w:pPr>
        <w:pStyle w:val="Style38"/>
        <w:keepNext/>
        <w:keepLines/>
        <w:widowControl w:val="0"/>
        <w:shd w:val="clear" w:color="auto" w:fill="auto"/>
        <w:tabs>
          <w:tab w:pos="378" w:val="left"/>
        </w:tabs>
        <w:bidi w:val="0"/>
        <w:spacing w:before="0" w:after="0" w:line="430" w:lineRule="auto"/>
        <w:ind w:left="0" w:right="0" w:firstLine="0"/>
        <w:jc w:val="both"/>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2</w:t>
      </w:r>
      <w:bookmarkEnd w:id="1994"/>
      <w:r>
        <w:rPr>
          <w:color w:val="000000"/>
          <w:spacing w:val="0"/>
          <w:w w:val="100"/>
          <w:position w:val="0"/>
        </w:rPr>
        <w:t>、</w:t>
        <w:tab/>
        <w:t>债务重组</w:t>
      </w:r>
      <w:bookmarkEnd w:id="1992"/>
      <w:bookmarkEnd w:id="1993"/>
      <w:bookmarkEnd w:id="1995"/>
    </w:p>
    <w:p>
      <w:pPr>
        <w:pStyle w:val="Style1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不适用</w:t>
      </w:r>
    </w:p>
    <w:p>
      <w:pPr>
        <w:pStyle w:val="Style38"/>
        <w:keepNext/>
        <w:keepLines/>
        <w:widowControl w:val="0"/>
        <w:shd w:val="clear" w:color="auto" w:fill="auto"/>
        <w:tabs>
          <w:tab w:pos="378" w:val="left"/>
        </w:tabs>
        <w:bidi w:val="0"/>
        <w:spacing w:before="0" w:after="0" w:line="430" w:lineRule="auto"/>
        <w:ind w:left="0" w:right="0" w:firstLine="0"/>
        <w:jc w:val="both"/>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3</w:t>
      </w:r>
      <w:bookmarkEnd w:id="1998"/>
      <w:r>
        <w:rPr>
          <w:color w:val="000000"/>
          <w:spacing w:val="0"/>
          <w:w w:val="100"/>
          <w:position w:val="0"/>
        </w:rPr>
        <w:t>、</w:t>
        <w:tab/>
        <w:t>资产置换</w:t>
      </w:r>
      <w:bookmarkEnd w:id="1996"/>
      <w:bookmarkEnd w:id="1997"/>
      <w:bookmarkEnd w:id="1999"/>
    </w:p>
    <w:p>
      <w:pPr>
        <w:pStyle w:val="Style1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不适用</w:t>
      </w:r>
    </w:p>
    <w:p>
      <w:pPr>
        <w:pStyle w:val="Style38"/>
        <w:keepNext/>
        <w:keepLines/>
        <w:widowControl w:val="0"/>
        <w:shd w:val="clear" w:color="auto" w:fill="auto"/>
        <w:tabs>
          <w:tab w:pos="378" w:val="left"/>
        </w:tabs>
        <w:bidi w:val="0"/>
        <w:spacing w:before="0" w:after="0" w:line="430" w:lineRule="auto"/>
        <w:ind w:left="0" w:right="0" w:firstLine="0"/>
        <w:jc w:val="both"/>
      </w:pPr>
      <w:bookmarkStart w:id="2000" w:name="bookmark2000"/>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4</w:t>
      </w:r>
      <w:bookmarkEnd w:id="2002"/>
      <w:r>
        <w:rPr>
          <w:color w:val="000000"/>
          <w:spacing w:val="0"/>
          <w:w w:val="100"/>
          <w:position w:val="0"/>
        </w:rPr>
        <w:t>、</w:t>
        <w:tab/>
        <w:t>年金计划</w:t>
      </w:r>
      <w:bookmarkEnd w:id="2000"/>
      <w:bookmarkEnd w:id="2001"/>
      <w:bookmarkEnd w:id="2003"/>
    </w:p>
    <w:p>
      <w:pPr>
        <w:pStyle w:val="Style1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不适用</w:t>
      </w:r>
    </w:p>
    <w:p>
      <w:pPr>
        <w:pStyle w:val="Style38"/>
        <w:keepNext/>
        <w:keepLines/>
        <w:widowControl w:val="0"/>
        <w:shd w:val="clear" w:color="auto" w:fill="auto"/>
        <w:tabs>
          <w:tab w:pos="378" w:val="left"/>
        </w:tabs>
        <w:bidi w:val="0"/>
        <w:spacing w:before="0" w:after="0" w:line="430" w:lineRule="auto"/>
        <w:ind w:left="0" w:right="0" w:firstLine="0"/>
        <w:jc w:val="both"/>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5</w:t>
      </w:r>
      <w:bookmarkEnd w:id="2006"/>
      <w:r>
        <w:rPr>
          <w:color w:val="000000"/>
          <w:spacing w:val="0"/>
          <w:w w:val="100"/>
          <w:position w:val="0"/>
        </w:rPr>
        <w:t>、</w:t>
        <w:tab/>
        <w:t>终止经营</w:t>
      </w:r>
      <w:bookmarkEnd w:id="2004"/>
      <w:bookmarkEnd w:id="2005"/>
      <w:bookmarkEnd w:id="2007"/>
    </w:p>
    <w:p>
      <w:pPr>
        <w:pStyle w:val="Style1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不适用</w:t>
      </w:r>
    </w:p>
    <w:p>
      <w:pPr>
        <w:pStyle w:val="Style38"/>
        <w:keepNext/>
        <w:keepLines/>
        <w:widowControl w:val="0"/>
        <w:shd w:val="clear" w:color="auto" w:fill="auto"/>
        <w:tabs>
          <w:tab w:pos="378" w:val="left"/>
        </w:tabs>
        <w:bidi w:val="0"/>
        <w:spacing w:before="0" w:after="0" w:line="43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6</w:t>
      </w:r>
      <w:bookmarkEnd w:id="2010"/>
      <w:r>
        <w:rPr>
          <w:color w:val="000000"/>
          <w:spacing w:val="0"/>
          <w:w w:val="100"/>
          <w:position w:val="0"/>
        </w:rPr>
        <w:t>、</w:t>
        <w:tab/>
        <w:t>分部信息</w:t>
      </w:r>
      <w:bookmarkEnd w:id="2008"/>
      <w:bookmarkEnd w:id="2009"/>
      <w:bookmarkEnd w:id="2011"/>
    </w:p>
    <w:p>
      <w:pPr>
        <w:pStyle w:val="Style46"/>
        <w:keepNext/>
        <w:keepLines/>
        <w:widowControl w:val="0"/>
        <w:shd w:val="clear" w:color="auto" w:fill="auto"/>
        <w:tabs>
          <w:tab w:pos="493" w:val="left"/>
        </w:tabs>
        <w:bidi w:val="0"/>
        <w:spacing w:before="0" w:after="160" w:line="410" w:lineRule="exact"/>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12"/>
      <w:bookmarkEnd w:id="2013"/>
      <w:bookmarkEnd w:id="2015"/>
    </w:p>
    <w:p>
      <w:pPr>
        <w:pStyle w:val="Style12"/>
        <w:keepNext w:val="0"/>
        <w:keepLines w:val="0"/>
        <w:widowControl w:val="0"/>
        <w:shd w:val="clear" w:color="auto" w:fill="auto"/>
        <w:bidi w:val="0"/>
        <w:spacing w:before="0" w:after="280" w:line="410" w:lineRule="exact"/>
        <w:ind w:left="0" w:right="0" w:firstLine="440"/>
        <w:jc w:val="both"/>
      </w:pPr>
      <w:r>
        <w:rPr>
          <w:color w:val="000000"/>
          <w:spacing w:val="0"/>
          <w:w w:val="100"/>
          <w:position w:val="0"/>
        </w:rPr>
        <w:t>不适用</w:t>
      </w:r>
    </w:p>
    <w:p>
      <w:pPr>
        <w:pStyle w:val="Style46"/>
        <w:keepNext/>
        <w:keepLines/>
        <w:widowControl w:val="0"/>
        <w:shd w:val="clear" w:color="auto" w:fill="auto"/>
        <w:tabs>
          <w:tab w:pos="493" w:val="left"/>
        </w:tabs>
        <w:bidi w:val="0"/>
        <w:spacing w:before="0" w:after="160" w:line="410" w:lineRule="exact"/>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16"/>
      <w:bookmarkEnd w:id="2017"/>
      <w:bookmarkEnd w:id="2019"/>
    </w:p>
    <w:p>
      <w:pPr>
        <w:pStyle w:val="Style12"/>
        <w:keepNext w:val="0"/>
        <w:keepLines w:val="0"/>
        <w:widowControl w:val="0"/>
        <w:shd w:val="clear" w:color="auto" w:fill="auto"/>
        <w:bidi w:val="0"/>
        <w:spacing w:before="0" w:after="280" w:line="410" w:lineRule="exact"/>
        <w:ind w:left="0" w:right="0" w:firstLine="440"/>
        <w:jc w:val="both"/>
      </w:pPr>
      <w:r>
        <w:rPr>
          <w:color w:val="000000"/>
          <w:spacing w:val="0"/>
          <w:w w:val="100"/>
          <w:position w:val="0"/>
        </w:rPr>
        <w:t>不适用</w:t>
      </w:r>
    </w:p>
    <w:p>
      <w:pPr>
        <w:pStyle w:val="Style46"/>
        <w:keepNext/>
        <w:keepLines/>
        <w:widowControl w:val="0"/>
        <w:shd w:val="clear" w:color="auto" w:fill="auto"/>
        <w:tabs>
          <w:tab w:pos="493" w:val="left"/>
        </w:tabs>
        <w:bidi w:val="0"/>
        <w:spacing w:before="0" w:after="160" w:line="410" w:lineRule="exact"/>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20"/>
      <w:bookmarkEnd w:id="2021"/>
      <w:bookmarkEnd w:id="2023"/>
    </w:p>
    <w:p>
      <w:pPr>
        <w:pStyle w:val="Style12"/>
        <w:keepNext w:val="0"/>
        <w:keepLines w:val="0"/>
        <w:widowControl w:val="0"/>
        <w:shd w:val="clear" w:color="auto" w:fill="auto"/>
        <w:bidi w:val="0"/>
        <w:spacing w:before="0" w:after="280" w:line="410" w:lineRule="exact"/>
        <w:ind w:left="0" w:right="0" w:firstLine="440"/>
        <w:jc w:val="both"/>
      </w:pPr>
      <w:r>
        <w:rPr>
          <w:color w:val="000000"/>
          <w:spacing w:val="0"/>
          <w:w w:val="100"/>
          <w:position w:val="0"/>
        </w:rPr>
        <w:t>不适用</w:t>
      </w:r>
    </w:p>
    <w:p>
      <w:pPr>
        <w:pStyle w:val="Style46"/>
        <w:keepNext/>
        <w:keepLines/>
        <w:widowControl w:val="0"/>
        <w:shd w:val="clear" w:color="auto" w:fill="auto"/>
        <w:tabs>
          <w:tab w:pos="493" w:val="left"/>
        </w:tabs>
        <w:bidi w:val="0"/>
        <w:spacing w:before="0" w:after="160" w:line="410" w:lineRule="exact"/>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24"/>
      <w:bookmarkEnd w:id="2025"/>
      <w:bookmarkEnd w:id="2027"/>
    </w:p>
    <w:p>
      <w:pPr>
        <w:pStyle w:val="Style12"/>
        <w:keepNext w:val="0"/>
        <w:keepLines w:val="0"/>
        <w:widowControl w:val="0"/>
        <w:shd w:val="clear" w:color="auto" w:fill="auto"/>
        <w:bidi w:val="0"/>
        <w:spacing w:before="0" w:after="280" w:line="410" w:lineRule="exact"/>
        <w:ind w:left="0" w:right="0" w:firstLine="360"/>
        <w:jc w:val="left"/>
      </w:pPr>
      <w:r>
        <w:rPr>
          <w:color w:val="000000"/>
          <w:spacing w:val="0"/>
          <w:w w:val="100"/>
          <w:position w:val="0"/>
        </w:rPr>
        <w:t>本公司主要经营活动为向客户提供软件技术服务。公司将此业务视作为一个整体实施管理、评估经营 成果。因此，本公司无需披露分部信息。本公司按服务类型</w:t>
      </w:r>
      <w:r>
        <w:rPr>
          <w:rFonts w:ascii="Times New Roman" w:eastAsia="Times New Roman" w:hAnsi="Times New Roman" w:cs="Times New Roman"/>
          <w:color w:val="000000"/>
          <w:spacing w:val="0"/>
          <w:w w:val="100"/>
          <w:position w:val="0"/>
        </w:rPr>
        <w:t>/</w:t>
      </w:r>
      <w:r>
        <w:rPr>
          <w:color w:val="000000"/>
          <w:spacing w:val="0"/>
          <w:w w:val="100"/>
          <w:position w:val="0"/>
        </w:rPr>
        <w:t>地区分类的营业收入及营业成本详见本财务 报表附注五</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）1</w:t>
      </w:r>
      <w:r>
        <w:rPr>
          <w:color w:val="000000"/>
          <w:spacing w:val="0"/>
          <w:w w:val="100"/>
          <w:position w:val="0"/>
        </w:rPr>
        <w:t>之说明。</w:t>
      </w:r>
    </w:p>
    <w:p>
      <w:pPr>
        <w:pStyle w:val="Style38"/>
        <w:keepNext/>
        <w:keepLines/>
        <w:widowControl w:val="0"/>
        <w:shd w:val="clear" w:color="auto" w:fill="auto"/>
        <w:tabs>
          <w:tab w:pos="373" w:val="left"/>
        </w:tabs>
        <w:bidi w:val="0"/>
        <w:spacing w:before="0" w:after="140" w:line="418" w:lineRule="exact"/>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7</w:t>
      </w:r>
      <w:bookmarkEnd w:id="2030"/>
      <w:r>
        <w:rPr>
          <w:color w:val="000000"/>
          <w:spacing w:val="0"/>
          <w:w w:val="100"/>
          <w:position w:val="0"/>
        </w:rPr>
        <w:t>、</w:t>
        <w:tab/>
        <w:t>其他对投资者决策有影响的重要交易和事项</w:t>
      </w:r>
      <w:bookmarkEnd w:id="2028"/>
      <w:bookmarkEnd w:id="2029"/>
      <w:bookmarkEnd w:id="2031"/>
    </w:p>
    <w:p>
      <w:pPr>
        <w:pStyle w:val="Style12"/>
        <w:keepNext w:val="0"/>
        <w:keepLines w:val="0"/>
        <w:widowControl w:val="0"/>
        <w:shd w:val="clear" w:color="auto" w:fill="auto"/>
        <w:bidi w:val="0"/>
        <w:spacing w:before="0" w:after="300" w:line="418" w:lineRule="exact"/>
        <w:ind w:left="0" w:right="0" w:firstLine="440"/>
        <w:jc w:val="both"/>
      </w:pPr>
      <w:r>
        <w:rPr>
          <w:color w:val="000000"/>
          <w:spacing w:val="0"/>
          <w:w w:val="100"/>
          <w:position w:val="0"/>
        </w:rPr>
        <w:t>不适用</w:t>
      </w:r>
    </w:p>
    <w:p>
      <w:pPr>
        <w:pStyle w:val="Style38"/>
        <w:keepNext/>
        <w:keepLines/>
        <w:widowControl w:val="0"/>
        <w:shd w:val="clear" w:color="auto" w:fill="auto"/>
        <w:tabs>
          <w:tab w:pos="378" w:val="left"/>
        </w:tabs>
        <w:bidi w:val="0"/>
        <w:spacing w:before="0" w:after="140" w:line="437" w:lineRule="auto"/>
        <w:ind w:left="0" w:right="0" w:firstLine="0"/>
        <w:jc w:val="both"/>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8</w:t>
      </w:r>
      <w:bookmarkEnd w:id="2034"/>
      <w:r>
        <w:rPr>
          <w:color w:val="000000"/>
          <w:spacing w:val="0"/>
          <w:w w:val="100"/>
          <w:position w:val="0"/>
        </w:rPr>
        <w:t>、</w:t>
        <w:tab/>
        <w:t>其他</w:t>
      </w:r>
      <w:bookmarkEnd w:id="2032"/>
      <w:bookmarkEnd w:id="2033"/>
      <w:bookmarkEnd w:id="2035"/>
    </w:p>
    <w:p>
      <w:pPr>
        <w:pStyle w:val="Style12"/>
        <w:keepNext w:val="0"/>
        <w:keepLines w:val="0"/>
        <w:widowControl w:val="0"/>
        <w:numPr>
          <w:ilvl w:val="0"/>
          <w:numId w:val="77"/>
        </w:numPr>
        <w:shd w:val="clear" w:color="auto" w:fill="auto"/>
        <w:bidi w:val="0"/>
        <w:spacing w:before="0" w:after="0" w:line="437" w:lineRule="auto"/>
        <w:ind w:left="0" w:right="0" w:firstLine="440"/>
        <w:jc w:val="both"/>
      </w:pPr>
      <w:bookmarkStart w:id="2036" w:name="bookmark2036"/>
      <w:bookmarkEnd w:id="2036"/>
      <w:r>
        <w:rPr>
          <w:color w:val="000000"/>
          <w:spacing w:val="0"/>
          <w:w w:val="100"/>
          <w:position w:val="0"/>
        </w:rPr>
        <w:t>公司作为承租人</w:t>
      </w:r>
    </w:p>
    <w:p>
      <w:pPr>
        <w:pStyle w:val="Style12"/>
        <w:keepNext w:val="0"/>
        <w:keepLines w:val="0"/>
        <w:widowControl w:val="0"/>
        <w:numPr>
          <w:ilvl w:val="0"/>
          <w:numId w:val="79"/>
        </w:numPr>
        <w:shd w:val="clear" w:color="auto" w:fill="auto"/>
        <w:tabs>
          <w:tab w:pos="870" w:val="left"/>
        </w:tabs>
        <w:bidi w:val="0"/>
        <w:spacing w:before="0" w:after="0" w:line="418" w:lineRule="exact"/>
        <w:ind w:left="0" w:right="0" w:firstLine="440"/>
        <w:jc w:val="left"/>
      </w:pPr>
      <w:bookmarkStart w:id="2037" w:name="bookmark2037"/>
      <w:bookmarkEnd w:id="2037"/>
      <w:r>
        <w:rPr>
          <w:color w:val="000000"/>
          <w:spacing w:val="0"/>
          <w:w w:val="100"/>
          <w:position w:val="0"/>
        </w:rPr>
        <w:t>使用权资产相关信息详见本财务报表附注五</w:t>
      </w:r>
      <w:r>
        <w:rPr>
          <w:rFonts w:ascii="Times New Roman" w:eastAsia="Times New Roman" w:hAnsi="Times New Roman" w:cs="Times New Roman"/>
          <w:color w:val="000000"/>
          <w:spacing w:val="0"/>
          <w:w w:val="100"/>
          <w:position w:val="0"/>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rPr>
        <w:t>)12</w:t>
      </w:r>
      <w:r>
        <w:rPr>
          <w:color w:val="000000"/>
          <w:spacing w:val="0"/>
          <w:w w:val="100"/>
          <w:position w:val="0"/>
        </w:rPr>
        <w:t>之说明；</w:t>
      </w:r>
    </w:p>
    <w:p>
      <w:pPr>
        <w:pStyle w:val="Style12"/>
        <w:keepNext w:val="0"/>
        <w:keepLines w:val="0"/>
        <w:widowControl w:val="0"/>
        <w:numPr>
          <w:ilvl w:val="0"/>
          <w:numId w:val="79"/>
        </w:numPr>
        <w:shd w:val="clear" w:color="auto" w:fill="auto"/>
        <w:tabs>
          <w:tab w:pos="843" w:val="left"/>
        </w:tabs>
        <w:bidi w:val="0"/>
        <w:spacing w:before="0" w:after="200" w:line="418" w:lineRule="exact"/>
        <w:ind w:left="0" w:right="0" w:firstLine="440"/>
        <w:jc w:val="both"/>
      </w:pPr>
      <w:bookmarkStart w:id="2038" w:name="bookmark2038"/>
      <w:bookmarkEnd w:id="2038"/>
      <w:r>
        <w:rPr>
          <w:color w:val="000000"/>
          <w:spacing w:val="0"/>
          <w:w w:val="100"/>
          <w:position w:val="0"/>
        </w:rPr>
        <w:t>公司对短期租赁和低价值资产租赁的会计政策详见本财务报表附注三</w:t>
      </w:r>
      <w:r>
        <w:rPr>
          <w:rFonts w:ascii="Times New Roman" w:eastAsia="Times New Roman" w:hAnsi="Times New Roman" w:cs="Times New Roman"/>
          <w:color w:val="000000"/>
          <w:spacing w:val="0"/>
          <w:w w:val="100"/>
          <w:position w:val="0"/>
        </w:rPr>
        <w:t>(</w:t>
      </w:r>
      <w:r>
        <w:rPr>
          <w:color w:val="000000"/>
          <w:spacing w:val="0"/>
          <w:w w:val="100"/>
          <w:position w:val="0"/>
        </w:rPr>
        <w:t>二十四</w:t>
      </w:r>
      <w:r>
        <w:rPr>
          <w:rFonts w:ascii="Times New Roman" w:eastAsia="Times New Roman" w:hAnsi="Times New Roman" w:cs="Times New Roman"/>
          <w:color w:val="000000"/>
          <w:spacing w:val="0"/>
          <w:w w:val="100"/>
          <w:position w:val="0"/>
        </w:rPr>
        <w:t>)</w:t>
      </w:r>
      <w:r>
        <w:rPr>
          <w:color w:val="000000"/>
          <w:spacing w:val="0"/>
          <w:w w:val="100"/>
          <w:position w:val="0"/>
        </w:rPr>
        <w:t>之说明。计入当期损 益的短期租赁费用和低价值资产租赁费用金额如下：</w:t>
      </w:r>
    </w:p>
    <w:p>
      <w:pPr>
        <w:pStyle w:val="Style1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单元：元</w:t>
      </w:r>
    </w:p>
    <w:tbl>
      <w:tblPr>
        <w:tblOverlap w:val="never"/>
        <w:jc w:val="center"/>
        <w:tblLayout w:type="fixed"/>
      </w:tblPr>
      <w:tblGrid>
        <w:gridCol w:w="6840"/>
        <w:gridCol w:w="2803"/>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短期租赁费用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3,506,178.10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低价值资产租赁费用(短期租赁除外)</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3,506,178.10</w:t>
            </w:r>
          </w:p>
        </w:tc>
      </w:tr>
    </w:tbl>
    <w:p>
      <w:pPr>
        <w:pStyle w:val="Style12"/>
        <w:keepNext w:val="0"/>
        <w:keepLines w:val="0"/>
        <w:widowControl w:val="0"/>
        <w:numPr>
          <w:ilvl w:val="0"/>
          <w:numId w:val="79"/>
        </w:numPr>
        <w:shd w:val="clear" w:color="auto" w:fill="auto"/>
        <w:bidi w:val="0"/>
        <w:spacing w:before="0" w:after="200" w:line="240" w:lineRule="auto"/>
        <w:ind w:left="0" w:right="0" w:firstLine="440"/>
        <w:jc w:val="left"/>
      </w:pPr>
      <w:bookmarkStart w:id="2039" w:name="bookmark2039"/>
      <w:bookmarkEnd w:id="2039"/>
      <w:r>
        <w:rPr>
          <w:color w:val="000000"/>
          <w:spacing w:val="0"/>
          <w:w w:val="100"/>
          <w:position w:val="0"/>
        </w:rPr>
        <w:t>与租赁相关的当期损益及现金流</w:t>
      </w:r>
    </w:p>
    <w:p>
      <w:pPr>
        <w:pStyle w:val="Style1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单元：元</w:t>
      </w:r>
    </w:p>
    <w:tbl>
      <w:tblPr>
        <w:tblOverlap w:val="never"/>
        <w:jc w:val="center"/>
        <w:tblLayout w:type="fixed"/>
      </w:tblPr>
      <w:tblGrid>
        <w:gridCol w:w="6840"/>
        <w:gridCol w:w="2803"/>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租赁负债的利息费用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3,135,173.24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计入当期损益的未纳入租赁负债计量的可变租赁付款额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转租使用权资产取得的收入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与租赁相关的总现金流出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38,189,243.01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售后租回交易产生的相关损益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2"/>
        <w:keepNext w:val="0"/>
        <w:keepLines w:val="0"/>
        <w:widowControl w:val="0"/>
        <w:numPr>
          <w:ilvl w:val="0"/>
          <w:numId w:val="79"/>
        </w:numPr>
        <w:shd w:val="clear" w:color="auto" w:fill="auto"/>
        <w:tabs>
          <w:tab w:pos="870" w:val="left"/>
        </w:tabs>
        <w:bidi w:val="0"/>
        <w:spacing w:before="0" w:after="140" w:line="240" w:lineRule="auto"/>
        <w:ind w:left="0" w:right="0" w:firstLine="440"/>
        <w:jc w:val="both"/>
      </w:pPr>
      <w:bookmarkStart w:id="2040" w:name="bookmark2040"/>
      <w:bookmarkEnd w:id="2040"/>
      <w:r>
        <w:rPr>
          <w:color w:val="000000"/>
          <w:spacing w:val="0"/>
          <w:w w:val="100"/>
          <w:position w:val="0"/>
        </w:rPr>
        <w:t>租赁负债的到期期限分析和相应流动性风险管理详见本财务报表附注八</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12"/>
        <w:keepNext w:val="0"/>
        <w:keepLines w:val="0"/>
        <w:widowControl w:val="0"/>
        <w:numPr>
          <w:ilvl w:val="0"/>
          <w:numId w:val="79"/>
        </w:numPr>
        <w:shd w:val="clear" w:color="auto" w:fill="auto"/>
        <w:tabs>
          <w:tab w:pos="870" w:val="left"/>
        </w:tabs>
        <w:bidi w:val="0"/>
        <w:spacing w:before="0" w:after="140" w:line="240" w:lineRule="auto"/>
        <w:ind w:left="0" w:right="0" w:firstLine="440"/>
        <w:jc w:val="left"/>
      </w:pPr>
      <w:bookmarkStart w:id="2041" w:name="bookmark2041"/>
      <w:bookmarkEnd w:id="2041"/>
      <w:r>
        <w:rPr>
          <w:color w:val="000000"/>
          <w:spacing w:val="0"/>
          <w:w w:val="100"/>
          <w:position w:val="0"/>
        </w:rPr>
        <w:t>租赁活动的性质</w:t>
      </w:r>
    </w:p>
    <w:tbl>
      <w:tblPr>
        <w:tblOverlap w:val="never"/>
        <w:jc w:val="center"/>
        <w:tblLayout w:type="fixed"/>
      </w:tblPr>
      <w:tblGrid>
        <w:gridCol w:w="2534"/>
        <w:gridCol w:w="1598"/>
        <w:gridCol w:w="3043"/>
        <w:gridCol w:w="2467"/>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租赁资产类别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是否存在续租选择权</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both"/>
      </w:pPr>
      <w:bookmarkStart w:id="2042" w:name="bookmark2042"/>
      <w:bookmarkStart w:id="2043" w:name="bookmark2043"/>
      <w:bookmarkStart w:id="2044" w:name="bookmark2044"/>
      <w:r>
        <w:rPr>
          <w:color w:val="000000"/>
          <w:spacing w:val="0"/>
          <w:w w:val="100"/>
          <w:position w:val="0"/>
          <w:sz w:val="24"/>
          <w:szCs w:val="24"/>
        </w:rPr>
        <w:t>十七、母公司财务报表主要项目注释</w:t>
      </w:r>
      <w:bookmarkEnd w:id="2042"/>
      <w:bookmarkEnd w:id="2043"/>
      <w:bookmarkEnd w:id="2044"/>
    </w:p>
    <w:p>
      <w:pPr>
        <w:pStyle w:val="Style38"/>
        <w:keepNext/>
        <w:keepLines/>
        <w:widowControl w:val="0"/>
        <w:shd w:val="clear" w:color="auto" w:fill="auto"/>
        <w:bidi w:val="0"/>
        <w:spacing w:before="0" w:after="300" w:line="240" w:lineRule="auto"/>
        <w:ind w:left="0" w:right="0" w:firstLine="0"/>
        <w:jc w:val="both"/>
      </w:pPr>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45"/>
      <w:bookmarkEnd w:id="2046"/>
      <w:bookmarkEnd w:id="2047"/>
    </w:p>
    <w:p>
      <w:pPr>
        <w:pStyle w:val="Style46"/>
        <w:keepNext/>
        <w:keepLines/>
        <w:widowControl w:val="0"/>
        <w:shd w:val="clear" w:color="auto" w:fill="auto"/>
        <w:bidi w:val="0"/>
        <w:spacing w:before="0" w:after="300" w:line="240" w:lineRule="auto"/>
        <w:ind w:left="0" w:right="0" w:firstLine="0"/>
        <w:jc w:val="both"/>
      </w:pPr>
      <w:bookmarkStart w:id="2048" w:name="bookmark2048"/>
      <w:bookmarkStart w:id="2049" w:name="bookmark2049"/>
      <w:bookmarkStart w:id="2050" w:name="bookmark20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48"/>
      <w:bookmarkEnd w:id="2049"/>
      <w:bookmarkEnd w:id="205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8"/>
        <w:gridCol w:w="792"/>
        <w:gridCol w:w="802"/>
        <w:gridCol w:w="787"/>
        <w:gridCol w:w="941"/>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55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4D4D4"/>
            <w:vAlign w:val="center"/>
          </w:tcPr>
          <w:p>
            <w:pPr/>
          </w:p>
        </w:tc>
      </w:tr>
      <w:tr>
        <w:trPr>
          <w:trHeight w:val="55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51,116,2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31,262,2</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19,854,02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92"/>
        <w:gridCol w:w="778"/>
        <w:gridCol w:w="792"/>
        <w:gridCol w:w="802"/>
        <w:gridCol w:w="787"/>
        <w:gridCol w:w="941"/>
      </w:tblGrid>
      <w:tr>
        <w:trPr>
          <w:trHeight w:val="56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934,201,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49,788,7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32,060,18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555,290,20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5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985,318,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81,050,9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904,267,1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46,708,58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556,615,40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bl>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按单项计提坏账准备:</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计提理由</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18,337,930.00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9,168,965.00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8,220,796.03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4,110,398.02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1,867,222.50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1,078,652.50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539,326.25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265,785.31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21,080,052.21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16,244,117.37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30.00%;50.00%;100.00%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51,116,223.87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31,262,203.20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390"/>
        <w:gridCol w:w="2390"/>
        <w:gridCol w:w="2400"/>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934,126,903.10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49,788,783.68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合并范围内关联方组合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934,201,905.66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49,788,783.68</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确定该组合依据的说明：贝</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r>
              <w:rPr>
                <w:color w:val="000000"/>
                <w:spacing w:val="0"/>
                <w:w w:val="100"/>
                <w:position w:val="0"/>
              </w:rPr>
              <w:t>龄组合</w:t>
            </w:r>
          </w:p>
        </w:tc>
      </w:tr>
    </w:tbl>
    <w:p>
      <w:pPr>
        <w:widowControl w:val="0"/>
        <w:spacing w:after="159" w:line="1" w:lineRule="exact"/>
      </w:pP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390"/>
        <w:gridCol w:w="2390"/>
        <w:gridCol w:w="2400"/>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923,276,416.17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46,163,820.81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9,189,934.93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2,297,483.73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666,145.72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994,406.28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934,126,903.10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49,788,783.68</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确定该组合依据的说明：贝</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r>
              <w:rPr>
                <w:color w:val="000000"/>
                <w:spacing w:val="0"/>
                <w:w w:val="100"/>
                <w:position w:val="0"/>
              </w:rPr>
              <w:t>龄组合</w:t>
            </w:r>
          </w:p>
        </w:tc>
      </w:tr>
    </w:tbl>
    <w:p>
      <w:pPr>
        <w:widowControl w:val="0"/>
        <w:spacing w:after="159" w:line="1" w:lineRule="exact"/>
      </w:pP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相关信息：</w:t>
      </w:r>
    </w:p>
    <w:p>
      <w:pPr>
        <w:pStyle w:val="Style1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947,840,401.64</w:t>
            </w:r>
          </w:p>
        </w:tc>
      </w:tr>
    </w:tbl>
    <w:p>
      <w:pPr>
        <w:spacing w:lineRule="exact" w:line="1"/>
        <w:rPr>
          <w:sz w:val="2"/>
          <w:szCs w:val="2"/>
        </w:rPr>
      </w:pPr>
      <w:r>
        <w:br w:type="page"/>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23,040,773.60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2,644,724.38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11,792,229.91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8,468,624.51</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161,786.17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3,161,819.23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985,318,129.53</w:t>
            </w:r>
          </w:p>
        </w:tc>
      </w:tr>
    </w:tbl>
    <w:p>
      <w:pPr>
        <w:widowControl w:val="0"/>
        <w:spacing w:after="279" w:line="1" w:lineRule="exact"/>
      </w:pPr>
    </w:p>
    <w:p>
      <w:pPr>
        <w:pStyle w:val="Style46"/>
        <w:keepNext/>
        <w:keepLines/>
        <w:widowControl w:val="0"/>
        <w:shd w:val="clear" w:color="auto" w:fill="auto"/>
        <w:bidi w:val="0"/>
        <w:spacing w:before="0" w:after="340" w:line="240" w:lineRule="auto"/>
        <w:ind w:left="0" w:right="0" w:firstLine="0"/>
        <w:jc w:val="left"/>
      </w:pPr>
      <w:bookmarkStart w:id="2051" w:name="bookmark2051"/>
      <w:bookmarkStart w:id="2052" w:name="bookmark2052"/>
      <w:bookmarkStart w:id="2053" w:name="bookmark20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51"/>
      <w:bookmarkEnd w:id="2052"/>
      <w:bookmarkEnd w:id="2053"/>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4"/>
        <w:gridCol w:w="1277"/>
        <w:gridCol w:w="1421"/>
        <w:gridCol w:w="1416"/>
        <w:gridCol w:w="1277"/>
        <w:gridCol w:w="1133"/>
        <w:gridCol w:w="1248"/>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单项计提坏账准备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14,648,399.02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17,692,040.18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1,739,367.50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661,131.50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31,262,203.20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32,060,182.83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17,728,600.85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49,788,783.68</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46,708,581.85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35,420,641.03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1,739,367.50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661,131.50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81,050,986.88</w:t>
            </w:r>
          </w:p>
        </w:tc>
      </w:tr>
    </w:tbl>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其中本期坏账准备收回或转回金额重要的:</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特力惠信息科技股份有限公司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1,313,312.00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应收账款回收</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1,313,312.00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46"/>
        <w:keepNext/>
        <w:keepLines/>
        <w:widowControl w:val="0"/>
        <w:shd w:val="clear" w:color="auto" w:fill="auto"/>
        <w:bidi w:val="0"/>
        <w:spacing w:before="0" w:after="340" w:line="240" w:lineRule="auto"/>
        <w:ind w:left="0" w:right="0" w:firstLine="0"/>
        <w:jc w:val="left"/>
      </w:pPr>
      <w:bookmarkStart w:id="2054" w:name="bookmark2054"/>
      <w:bookmarkStart w:id="2055" w:name="bookmark2055"/>
      <w:bookmarkStart w:id="2056" w:name="bookmark2056"/>
      <w:bookmarkStart w:id="2057" w:name="bookmark2057"/>
      <w:r>
        <w:rPr>
          <w:color w:val="000000"/>
          <w:spacing w:val="0"/>
          <w:w w:val="100"/>
          <w:position w:val="0"/>
        </w:rPr>
        <w:t>（</w:t>
      </w:r>
      <w:bookmarkEnd w:id="205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54"/>
      <w:bookmarkEnd w:id="2055"/>
      <w:bookmarkEnd w:id="2057"/>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46"/>
        <w:keepNext/>
        <w:keepLines/>
        <w:widowControl w:val="0"/>
        <w:shd w:val="clear" w:color="auto" w:fill="auto"/>
        <w:bidi w:val="0"/>
        <w:spacing w:before="0" w:after="280" w:line="240" w:lineRule="auto"/>
        <w:ind w:left="0" w:right="0" w:firstLine="0"/>
        <w:jc w:val="left"/>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58"/>
      <w:bookmarkEnd w:id="2059"/>
      <w:bookmarkEnd w:id="206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843"/>
        <w:gridCol w:w="2971"/>
        <w:gridCol w:w="2098"/>
      </w:tblGrid>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占应收账款期末余额合计数的比例</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坏账准备期末余额</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70,954,099.93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3,548,042.93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69,149,542.34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3,457,477.12</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66,803,548.27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3,340,177.42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48,144,578.13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2,407,228.91</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42,061,685.06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2,103,084.25</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297,113,453.73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6"/>
        <w:keepNext/>
        <w:keepLines/>
        <w:widowControl w:val="0"/>
        <w:shd w:val="clear" w:color="auto" w:fill="auto"/>
        <w:bidi w:val="0"/>
        <w:spacing w:before="0" w:after="280" w:line="240" w:lineRule="auto"/>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062"/>
      <w:bookmarkEnd w:id="2063"/>
      <w:bookmarkEnd w:id="2065"/>
    </w:p>
    <w:tbl>
      <w:tblPr>
        <w:tblOverlap w:val="never"/>
        <w:jc w:val="center"/>
        <w:tblLayout w:type="fixed"/>
      </w:tblPr>
      <w:tblGrid>
        <w:gridCol w:w="2837"/>
        <w:gridCol w:w="1699"/>
        <w:gridCol w:w="2539"/>
        <w:gridCol w:w="2568"/>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终止确认金额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与终止确认相关的利得或损失</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金融资产转移方式</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52,318,082.17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2,488,349.26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无追索权应收账款保理</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735,529.82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无追索权应收账款保理</w:t>
            </w:r>
          </w:p>
        </w:tc>
      </w:tr>
    </w:tbl>
    <w:p>
      <w:pPr>
        <w:spacing w:lineRule="exact" w:line="1"/>
        <w:rPr>
          <w:sz w:val="2"/>
          <w:szCs w:val="2"/>
        </w:rPr>
      </w:pPr>
      <w:r>
        <w:br w:type="page"/>
      </w:r>
    </w:p>
    <w:tbl>
      <w:tblPr>
        <w:tblOverlap w:val="never"/>
        <w:jc w:val="center"/>
        <w:tblLayout w:type="fixed"/>
      </w:tblPr>
      <w:tblGrid>
        <w:gridCol w:w="2837"/>
        <w:gridCol w:w="1699"/>
        <w:gridCol w:w="2539"/>
        <w:gridCol w:w="256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658,150.71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无追索权应收账款保理</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303030"/>
                <w:spacing w:val="0"/>
                <w:w w:val="100"/>
                <w:position w:val="0"/>
                <w:sz w:val="18"/>
                <w:szCs w:val="18"/>
              </w:rPr>
              <w:t>无追索权应收账款保理</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53,782,781.14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2,558,296.73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066"/>
      <w:bookmarkEnd w:id="2067"/>
      <w:bookmarkEnd w:id="2069"/>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00" w:line="240" w:lineRule="auto"/>
        <w:ind w:left="0" w:right="0" w:firstLine="0"/>
        <w:jc w:val="left"/>
      </w:pPr>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70"/>
      <w:bookmarkEnd w:id="2071"/>
      <w:bookmarkEnd w:id="207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14,544,147.95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11,995,061.60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14,544,147.95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11,995,061.60</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2073" w:name="bookmark2073"/>
      <w:bookmarkStart w:id="2074" w:name="bookmark2074"/>
      <w:bookmarkStart w:id="2075" w:name="bookmark20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73"/>
      <w:bookmarkEnd w:id="2074"/>
      <w:bookmarkEnd w:id="2075"/>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0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076"/>
      <w:bookmarkEnd w:id="2077"/>
      <w:bookmarkEnd w:id="2079"/>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46"/>
        <w:keepNext/>
        <w:keepLines/>
        <w:widowControl w:val="0"/>
        <w:shd w:val="clear" w:color="auto" w:fill="auto"/>
        <w:tabs>
          <w:tab w:pos="493" w:val="left"/>
        </w:tabs>
        <w:bidi w:val="0"/>
        <w:spacing w:before="0" w:after="30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w:t>
      </w:r>
      <w:bookmarkEnd w:id="2082"/>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080"/>
      <w:bookmarkEnd w:id="2081"/>
      <w:bookmarkEnd w:id="2083"/>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72"/>
        <w:keepNext/>
        <w:keepLines/>
        <w:widowControl w:val="0"/>
        <w:shd w:val="clear" w:color="auto" w:fill="auto"/>
        <w:bidi w:val="0"/>
        <w:spacing w:before="0" w:line="240" w:lineRule="auto"/>
        <w:ind w:left="0" w:right="0" w:firstLine="0"/>
        <w:jc w:val="left"/>
      </w:pPr>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84"/>
      <w:bookmarkEnd w:id="2085"/>
      <w:bookmarkEnd w:id="208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19,239,615.59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14,845,819.85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应收暂付款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53,052.28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45,239.79</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借款及备用金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1,181,531.00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418,938.06</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合并范围内关联方往来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830,341.70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21,304,540.57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15,309,997.70</w:t>
            </w:r>
          </w:p>
        </w:tc>
      </w:tr>
    </w:tbl>
    <w:p>
      <w:pPr>
        <w:widowControl w:val="0"/>
        <w:spacing w:after="299" w:line="1" w:lineRule="exact"/>
      </w:pPr>
    </w:p>
    <w:p>
      <w:pPr>
        <w:pStyle w:val="Style72"/>
        <w:keepNext/>
        <w:keepLines/>
        <w:widowControl w:val="0"/>
        <w:shd w:val="clear" w:color="auto" w:fill="auto"/>
        <w:bidi w:val="0"/>
        <w:spacing w:before="0" w:line="240" w:lineRule="auto"/>
        <w:ind w:left="0" w:right="0" w:firstLine="0"/>
        <w:jc w:val="left"/>
      </w:pPr>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87"/>
      <w:bookmarkEnd w:id="2088"/>
      <w:bookmarkEnd w:id="208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43"/>
        <w:gridCol w:w="1838"/>
        <w:gridCol w:w="1838"/>
        <w:gridCol w:w="1853"/>
      </w:tblGrid>
      <w:tr>
        <w:trPr>
          <w:trHeight w:val="57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spacing w:lineRule="exact" w:line="1"/>
        <w:rPr>
          <w:sz w:val="2"/>
          <w:szCs w:val="2"/>
        </w:rPr>
      </w:pPr>
      <w:r>
        <w:br w:type="page"/>
      </w:r>
    </w:p>
    <w:tbl>
      <w:tblPr>
        <w:tblOverlap w:val="never"/>
        <w:jc w:val="center"/>
        <w:tblLayout w:type="fixed"/>
      </w:tblPr>
      <w:tblGrid>
        <w:gridCol w:w="2270"/>
        <w:gridCol w:w="1843"/>
        <w:gridCol w:w="1838"/>
        <w:gridCol w:w="1838"/>
        <w:gridCol w:w="1853"/>
      </w:tblGrid>
      <w:tr>
        <w:trPr>
          <w:trHeight w:val="56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个月预期信用 损失</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415,940.45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669,829.87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2,229,165.78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3,314,936.10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w:t>
            </w:r>
          </w:p>
        </w:tc>
      </w:tr>
      <w:tr>
        <w:trPr>
          <w:trHeight w:val="317"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转入第二阶段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-163,922.93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163,922.93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-606,707.62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606,707.62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276,484.95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592,569.48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2,576,402.08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3,445,456.52</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528,502.47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819,614.67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5,412,275.48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6,760,392.62</w:t>
            </w:r>
          </w:p>
        </w:tc>
      </w:tr>
    </w:tbl>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1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11,400,391.16</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3,278,458.69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2,426,830.48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4,198,860.24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4,102,279.00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74,581.24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21,304,540.57</w:t>
            </w:r>
          </w:p>
        </w:tc>
      </w:tr>
    </w:tbl>
    <w:p>
      <w:pPr>
        <w:widowControl w:val="0"/>
        <w:spacing w:after="319" w:line="1" w:lineRule="exact"/>
      </w:pPr>
    </w:p>
    <w:p>
      <w:pPr>
        <w:pStyle w:val="Style72"/>
        <w:keepNext/>
        <w:keepLines/>
        <w:widowControl w:val="0"/>
        <w:shd w:val="clear" w:color="auto" w:fill="auto"/>
        <w:bidi w:val="0"/>
        <w:spacing w:before="0" w:after="320" w:line="240" w:lineRule="auto"/>
        <w:ind w:left="0" w:right="0" w:firstLine="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3</w:t>
      </w:r>
      <w:bookmarkEnd w:id="2092"/>
      <w:r>
        <w:rPr>
          <w:color w:val="000000"/>
          <w:spacing w:val="0"/>
          <w:w w:val="100"/>
          <w:position w:val="0"/>
        </w:rPr>
        <w:t>）本期计提、收回或转回的坏账准备情况</w:t>
      </w:r>
      <w:bookmarkEnd w:id="2090"/>
      <w:bookmarkEnd w:id="2091"/>
      <w:bookmarkEnd w:id="2093"/>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84"/>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单项计提坏账准备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53,052.28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53,052.28</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按组合计提坏账准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3,261,883.82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3,445,456.52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6,707,340.34</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3,314,936.10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3,445,456.52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6,760,392.62</w:t>
            </w:r>
          </w:p>
        </w:tc>
      </w:tr>
    </w:tbl>
    <w:p>
      <w:pPr>
        <w:pStyle w:val="Style1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其中本期坏账准备转回或收回金额重要的：不适用</w:t>
      </w:r>
    </w:p>
    <w:p>
      <w:pPr>
        <w:pStyle w:val="Style72"/>
        <w:keepNext/>
        <w:keepLines/>
        <w:widowControl w:val="0"/>
        <w:shd w:val="clear" w:color="auto" w:fill="auto"/>
        <w:tabs>
          <w:tab w:pos="397" w:val="left"/>
        </w:tabs>
        <w:bidi w:val="0"/>
        <w:spacing w:before="0" w:after="320" w:line="240" w:lineRule="auto"/>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4</w:t>
      </w:r>
      <w:bookmarkEnd w:id="2096"/>
      <w:r>
        <w:rPr>
          <w:color w:val="000000"/>
          <w:spacing w:val="0"/>
          <w:w w:val="100"/>
          <w:position w:val="0"/>
        </w:rPr>
        <w:t>）</w:t>
        <w:tab/>
        <w:t>本期实际核销的其他应收款情况</w:t>
      </w:r>
      <w:bookmarkEnd w:id="2094"/>
      <w:bookmarkEnd w:id="2095"/>
      <w:bookmarkEnd w:id="2097"/>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72"/>
        <w:keepNext/>
        <w:keepLines/>
        <w:widowControl w:val="0"/>
        <w:shd w:val="clear" w:color="auto" w:fill="auto"/>
        <w:tabs>
          <w:tab w:pos="397" w:val="left"/>
        </w:tabs>
        <w:bidi w:val="0"/>
        <w:spacing w:before="0" w:after="32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5</w:t>
      </w:r>
      <w:bookmarkEnd w:id="2100"/>
      <w:r>
        <w:rPr>
          <w:color w:val="000000"/>
          <w:spacing w:val="0"/>
          <w:w w:val="100"/>
          <w:position w:val="0"/>
        </w:rPr>
        <w:t>）</w:t>
        <w:tab/>
        <w:t>按欠款方归集的期末余额前五名的其他应收款情况</w:t>
      </w:r>
      <w:bookmarkEnd w:id="2098"/>
      <w:bookmarkEnd w:id="2099"/>
      <w:bookmarkEnd w:id="210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378"/>
        <w:gridCol w:w="1382"/>
        <w:gridCol w:w="1205"/>
        <w:gridCol w:w="1560"/>
        <w:gridCol w:w="1392"/>
      </w:tblGrid>
      <w:tr>
        <w:trPr>
          <w:trHeight w:val="57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款项的性质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占其他应收款期末 余额合计数的比例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坏账准备期末余 额</w:t>
            </w:r>
          </w:p>
        </w:tc>
      </w:tr>
    </w:tbl>
    <w:p>
      <w:pPr>
        <w:spacing w:lineRule="exact" w:line="1"/>
        <w:rPr>
          <w:sz w:val="2"/>
          <w:szCs w:val="2"/>
        </w:rPr>
      </w:pPr>
      <w:r>
        <w:br w:type="page"/>
      </w:r>
    </w:p>
    <w:tbl>
      <w:tblPr>
        <w:tblOverlap w:val="never"/>
        <w:jc w:val="center"/>
        <w:tblLayout w:type="fixed"/>
      </w:tblPr>
      <w:tblGrid>
        <w:gridCol w:w="2669"/>
        <w:gridCol w:w="1378"/>
        <w:gridCol w:w="1382"/>
        <w:gridCol w:w="1205"/>
        <w:gridCol w:w="1560"/>
        <w:gridCol w:w="1392"/>
      </w:tblGrid>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1,919,000.00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1,919,000.00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1,964.10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1,319,552.10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65,977.61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313,737.39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78,434.35</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732,974.55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366,487.28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830,341.70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7,154,887.74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4,431,863.34</w:t>
            </w:r>
          </w:p>
        </w:tc>
      </w:tr>
    </w:tbl>
    <w:p>
      <w:pPr>
        <w:widowControl w:val="0"/>
        <w:spacing w:after="299" w:line="1" w:lineRule="exact"/>
      </w:pPr>
    </w:p>
    <w:p>
      <w:pPr>
        <w:pStyle w:val="Style72"/>
        <w:keepNext/>
        <w:keepLines/>
        <w:widowControl w:val="0"/>
        <w:shd w:val="clear" w:color="auto" w:fill="auto"/>
        <w:bidi w:val="0"/>
        <w:spacing w:before="0" w:after="34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6</w:t>
      </w:r>
      <w:bookmarkEnd w:id="2104"/>
      <w:r>
        <w:rPr>
          <w:color w:val="000000"/>
          <w:spacing w:val="0"/>
          <w:w w:val="100"/>
          <w:position w:val="0"/>
        </w:rPr>
        <w:t>）涉及政府补助的应收款项</w:t>
      </w:r>
      <w:bookmarkEnd w:id="2102"/>
      <w:bookmarkEnd w:id="2103"/>
      <w:bookmarkEnd w:id="2105"/>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72"/>
        <w:keepNext/>
        <w:keepLines/>
        <w:widowControl w:val="0"/>
        <w:shd w:val="clear" w:color="auto" w:fill="auto"/>
        <w:tabs>
          <w:tab w:pos="392" w:val="left"/>
        </w:tabs>
        <w:bidi w:val="0"/>
        <w:spacing w:before="0" w:after="34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7</w:t>
      </w:r>
      <w:bookmarkEnd w:id="2108"/>
      <w:r>
        <w:rPr>
          <w:color w:val="000000"/>
          <w:spacing w:val="0"/>
          <w:w w:val="100"/>
          <w:position w:val="0"/>
        </w:rPr>
        <w:t>）</w:t>
        <w:tab/>
        <w:t>因金融资产转移而终止确认的其他应收款</w:t>
      </w:r>
      <w:bookmarkEnd w:id="2106"/>
      <w:bookmarkEnd w:id="2107"/>
      <w:bookmarkEnd w:id="2109"/>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72"/>
        <w:keepNext/>
        <w:keepLines/>
        <w:widowControl w:val="0"/>
        <w:shd w:val="clear" w:color="auto" w:fill="auto"/>
        <w:tabs>
          <w:tab w:pos="397" w:val="left"/>
        </w:tabs>
        <w:bidi w:val="0"/>
        <w:spacing w:before="0" w:after="340" w:line="240" w:lineRule="auto"/>
        <w:ind w:left="0" w:right="0" w:firstLine="0"/>
        <w:jc w:val="left"/>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8</w:t>
      </w:r>
      <w:bookmarkEnd w:id="2112"/>
      <w:r>
        <w:rPr>
          <w:color w:val="000000"/>
          <w:spacing w:val="0"/>
          <w:w w:val="100"/>
          <w:position w:val="0"/>
        </w:rPr>
        <w:t>）</w:t>
        <w:tab/>
        <w:t>转移其他应收款且继续涉入形成的资产、负债金额</w:t>
      </w:r>
      <w:bookmarkEnd w:id="2110"/>
      <w:bookmarkEnd w:id="2111"/>
      <w:bookmarkEnd w:id="2113"/>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0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3</w:t>
      </w:r>
      <w:bookmarkEnd w:id="2116"/>
      <w:r>
        <w:rPr>
          <w:color w:val="000000"/>
          <w:spacing w:val="0"/>
          <w:w w:val="100"/>
          <w:position w:val="0"/>
        </w:rPr>
        <w:t>、长期股权投资</w:t>
      </w:r>
      <w:bookmarkEnd w:id="2114"/>
      <w:bookmarkEnd w:id="2115"/>
      <w:bookmarkEnd w:id="211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3"/>
        <w:gridCol w:w="1378"/>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22,380,000.00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4,250,000.00</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22,380,000.00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4,250,000.00</w:t>
            </w:r>
          </w:p>
        </w:tc>
      </w:tr>
    </w:tbl>
    <w:p>
      <w:pPr>
        <w:widowControl w:val="0"/>
        <w:spacing w:after="299" w:line="1" w:lineRule="exact"/>
      </w:pPr>
    </w:p>
    <w:p>
      <w:pPr>
        <w:pStyle w:val="Style46"/>
        <w:keepNext/>
        <w:keepLines/>
        <w:widowControl w:val="0"/>
        <w:shd w:val="clear" w:color="auto" w:fill="auto"/>
        <w:bidi w:val="0"/>
        <w:spacing w:before="0" w:after="300" w:line="240" w:lineRule="auto"/>
        <w:ind w:left="0" w:right="0" w:firstLine="0"/>
        <w:jc w:val="left"/>
      </w:pPr>
      <w:bookmarkStart w:id="2118" w:name="bookmark2118"/>
      <w:bookmarkStart w:id="2119" w:name="bookmark2119"/>
      <w:bookmarkStart w:id="2120" w:name="bookmark21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18"/>
      <w:bookmarkEnd w:id="2119"/>
      <w:bookmarkEnd w:id="212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4"/>
        <w:gridCol w:w="1277"/>
        <w:gridCol w:w="1181"/>
        <w:gridCol w:w="946"/>
        <w:gridCol w:w="1277"/>
        <w:gridCol w:w="850"/>
        <w:gridCol w:w="1421"/>
        <w:gridCol w:w="850"/>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账面价值</w:t>
            </w:r>
            <w:r>
              <w:rPr>
                <w:color w:val="000000"/>
                <w:spacing w:val="0"/>
                <w:w w:val="100"/>
                <w:position w:val="0"/>
                <w:sz w:val="18"/>
                <w:szCs w:val="18"/>
              </w:rPr>
              <w:t>）</w:t>
            </w:r>
          </w:p>
        </w:tc>
        <w:tc>
          <w:tcPr>
            <w:gridSpan w:val="4"/>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40" w:line="240" w:lineRule="auto"/>
              <w:ind w:left="0" w:right="0" w:firstLine="280"/>
              <w:jc w:val="left"/>
              <w:rPr>
                <w:sz w:val="18"/>
                <w:szCs w:val="18"/>
              </w:rPr>
            </w:pPr>
            <w:r>
              <w:rPr>
                <w:color w:val="000000"/>
                <w:spacing w:val="0"/>
                <w:w w:val="100"/>
                <w:position w:val="0"/>
                <w:sz w:val="18"/>
                <w:szCs w:val="18"/>
              </w:rPr>
              <w:t>期末余额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计提减值准备</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法本通信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上海法本信息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22,380,000.00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6"/>
        <w:keepNext/>
        <w:keepLines/>
        <w:widowControl w:val="0"/>
        <w:shd w:val="clear" w:color="auto" w:fill="auto"/>
        <w:bidi w:val="0"/>
        <w:spacing w:before="0" w:after="340" w:line="240" w:lineRule="auto"/>
        <w:ind w:left="0" w:right="0" w:firstLine="0"/>
        <w:jc w:val="left"/>
      </w:pPr>
      <w:bookmarkStart w:id="2121" w:name="bookmark2121"/>
      <w:bookmarkStart w:id="2122" w:name="bookmark2122"/>
      <w:bookmarkStart w:id="2123" w:name="bookmark21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21"/>
      <w:bookmarkEnd w:id="2122"/>
      <w:bookmarkEnd w:id="2123"/>
    </w:p>
    <w:p>
      <w:pPr>
        <w:pStyle w:val="Style12"/>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不适用</w:t>
      </w:r>
      <w:r>
        <w:br w:type="page"/>
      </w:r>
    </w:p>
    <w:p>
      <w:pPr>
        <w:pStyle w:val="Style46"/>
        <w:keepNext/>
        <w:keepLines/>
        <w:widowControl w:val="0"/>
        <w:numPr>
          <w:ilvl w:val="0"/>
          <w:numId w:val="81"/>
        </w:numPr>
        <w:shd w:val="clear" w:color="auto" w:fill="auto"/>
        <w:bidi w:val="0"/>
        <w:spacing w:before="0" w:after="320" w:line="240" w:lineRule="auto"/>
        <w:ind w:left="0" w:right="0" w:firstLine="0"/>
        <w:jc w:val="left"/>
      </w:pPr>
      <w:bookmarkStart w:id="2124" w:name="bookmark2124"/>
      <w:bookmarkStart w:id="2125" w:name="bookmark2125"/>
      <w:bookmarkStart w:id="2126" w:name="bookmark2126"/>
      <w:bookmarkStart w:id="2127" w:name="bookmark2127"/>
      <w:bookmarkEnd w:id="2126"/>
      <w:r>
        <w:rPr>
          <w:color w:val="000000"/>
          <w:spacing w:val="0"/>
          <w:w w:val="100"/>
          <w:position w:val="0"/>
        </w:rPr>
        <w:t>其他说明</w:t>
      </w:r>
      <w:bookmarkEnd w:id="2124"/>
      <w:bookmarkEnd w:id="2125"/>
      <w:bookmarkEnd w:id="2127"/>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left"/>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4</w:t>
      </w:r>
      <w:bookmarkEnd w:id="2130"/>
      <w:r>
        <w:rPr>
          <w:color w:val="000000"/>
          <w:spacing w:val="0"/>
          <w:w w:val="100"/>
          <w:position w:val="0"/>
        </w:rPr>
        <w:t>、营业收入和营业成本</w:t>
      </w:r>
      <w:bookmarkEnd w:id="2128"/>
      <w:bookmarkEnd w:id="2129"/>
      <w:bookmarkEnd w:id="213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0"/>
        <w:gridCol w:w="1925"/>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3,061,281,783.79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2,259,456,518.30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1,946,963,786.99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1,393,589,735.94</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5,019,707.59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66,373.95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17,411.64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23,080.58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3,066,301,491.38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2,259,522,892.25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1,946,981,198.63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1,393,612,816.52</w:t>
            </w:r>
          </w:p>
        </w:tc>
      </w:tr>
    </w:tbl>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收入相关信息:</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合同分类</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分析与设计服务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230,813,171.13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230,813,171.13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开发与编程服务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1,634,061,635.21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1,634,061,635.21</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测试与集成服务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602,619,366.33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602,619,366.33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实施与运维服务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541,428,886.60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541,428,886.60</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57,378,432.12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57,378,432.12</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1,400,526,407.18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1,400,526,407.18</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948,007,493.28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948,007,493.28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557,464,998.84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557,464,998.84</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46,105,773.47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46,105,773.47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38,652,762.13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38,652,762.13</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75,544,056.47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75,544,056.47</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1,229,829,220.48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1,229,829,220.48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923,707,902.41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923,707,902.41</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347,021,128.41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347,021,128.41</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140,983,066.96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140,983,066.96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117,307,870.75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117,307,870.75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91,984,270.82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91,984,270.82</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航空、物流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58,566,648.63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58,566,648.63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45,473,855.75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45,473,855.75</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111,427,527.17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111,427,527.17</w:t>
            </w: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0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2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3,066,301,491.38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3,066,301,491.38</w:t>
            </w:r>
          </w:p>
        </w:tc>
      </w:tr>
    </w:tbl>
    <w:p>
      <w:pPr>
        <w:pStyle w:val="Style12"/>
        <w:keepNext w:val="0"/>
        <w:keepLines w:val="0"/>
        <w:widowControl w:val="0"/>
        <w:shd w:val="clear" w:color="auto" w:fill="auto"/>
        <w:bidi w:val="0"/>
        <w:spacing w:before="0" w:after="0" w:line="408" w:lineRule="exact"/>
        <w:ind w:left="0" w:right="0" w:firstLine="0"/>
        <w:jc w:val="both"/>
      </w:pPr>
      <w:r>
        <w:rPr>
          <w:color w:val="000000"/>
          <w:spacing w:val="0"/>
          <w:w w:val="100"/>
          <w:position w:val="0"/>
        </w:rPr>
        <w:t>与履约义务相关的信息：</w:t>
      </w:r>
    </w:p>
    <w:p>
      <w:pPr>
        <w:pStyle w:val="Style12"/>
        <w:keepNext w:val="0"/>
        <w:keepLines w:val="0"/>
        <w:widowControl w:val="0"/>
        <w:shd w:val="clear" w:color="auto" w:fill="auto"/>
        <w:bidi w:val="0"/>
        <w:spacing w:before="0" w:after="0" w:line="408" w:lineRule="exact"/>
        <w:ind w:left="0" w:right="0" w:firstLine="0"/>
        <w:jc w:val="both"/>
      </w:pPr>
      <w:r>
        <w:rPr>
          <w:color w:val="000000"/>
          <w:spacing w:val="0"/>
          <w:w w:val="100"/>
          <w:position w:val="0"/>
        </w:rPr>
        <w:t>在本期确认的包括在合同负债期初账面价值中的收入为</w:t>
      </w:r>
      <w:r>
        <w:rPr>
          <w:rFonts w:ascii="Times New Roman" w:eastAsia="Times New Roman" w:hAnsi="Times New Roman" w:cs="Times New Roman"/>
          <w:color w:val="000000"/>
          <w:spacing w:val="0"/>
          <w:w w:val="100"/>
          <w:position w:val="0"/>
        </w:rPr>
        <w:t>1,379,818.75</w:t>
      </w:r>
      <w:r>
        <w:rPr>
          <w:color w:val="000000"/>
          <w:spacing w:val="0"/>
          <w:w w:val="100"/>
          <w:position w:val="0"/>
        </w:rPr>
        <w:t>元。</w:t>
      </w:r>
    </w:p>
    <w:p>
      <w:pPr>
        <w:pStyle w:val="Style12"/>
        <w:keepNext w:val="0"/>
        <w:keepLines w:val="0"/>
        <w:widowControl w:val="0"/>
        <w:shd w:val="clear" w:color="auto" w:fill="auto"/>
        <w:bidi w:val="0"/>
        <w:spacing w:before="0" w:after="0" w:line="408" w:lineRule="exact"/>
        <w:ind w:left="0" w:right="0" w:firstLine="0"/>
        <w:jc w:val="both"/>
      </w:pPr>
      <w:r>
        <w:rPr>
          <w:color w:val="000000"/>
          <w:spacing w:val="0"/>
          <w:w w:val="100"/>
          <w:position w:val="0"/>
        </w:rPr>
        <w:t>与分摊至剩余履约义务的交易价格相关的信息：</w:t>
      </w:r>
    </w:p>
    <w:p>
      <w:pPr>
        <w:pStyle w:val="Style12"/>
        <w:keepNext w:val="0"/>
        <w:keepLines w:val="0"/>
        <w:widowControl w:val="0"/>
        <w:shd w:val="clear" w:color="auto" w:fill="auto"/>
        <w:bidi w:val="0"/>
        <w:spacing w:before="0" w:after="420" w:line="408"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p>
    <w:p>
      <w:pPr>
        <w:pStyle w:val="Style38"/>
        <w:keepNext/>
        <w:keepLines/>
        <w:widowControl w:val="0"/>
        <w:shd w:val="clear" w:color="auto" w:fill="auto"/>
        <w:bidi w:val="0"/>
        <w:spacing w:before="0" w:after="120" w:line="427" w:lineRule="auto"/>
        <w:ind w:left="0" w:right="0" w:firstLine="0"/>
        <w:jc w:val="both"/>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5</w:t>
      </w:r>
      <w:bookmarkEnd w:id="2134"/>
      <w:r>
        <w:rPr>
          <w:color w:val="000000"/>
          <w:spacing w:val="0"/>
          <w:w w:val="100"/>
          <w:position w:val="0"/>
        </w:rPr>
        <w:t>、投资收益</w:t>
      </w:r>
      <w:bookmarkEnd w:id="2132"/>
      <w:bookmarkEnd w:id="2133"/>
      <w:bookmarkEnd w:id="213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交易性金融资产在持有期间的投资收益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8,146,114.60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918,511.12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无追索权应收账款保理收益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-130,842.33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8,015,272.27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918,511.12</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both"/>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6</w:t>
      </w:r>
      <w:bookmarkEnd w:id="2138"/>
      <w:r>
        <w:rPr>
          <w:color w:val="000000"/>
          <w:spacing w:val="0"/>
          <w:w w:val="100"/>
          <w:position w:val="0"/>
        </w:rPr>
        <w:t>、其他</w:t>
      </w:r>
      <w:bookmarkEnd w:id="2136"/>
      <w:bookmarkEnd w:id="2137"/>
      <w:bookmarkEnd w:id="2139"/>
    </w:p>
    <w:p>
      <w:pPr>
        <w:pStyle w:val="Style12"/>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both"/>
      </w:pPr>
      <w:bookmarkStart w:id="2140" w:name="bookmark2140"/>
      <w:bookmarkStart w:id="2141" w:name="bookmark2141"/>
      <w:bookmarkStart w:id="2142" w:name="bookmark2142"/>
      <w:r>
        <w:rPr>
          <w:color w:val="000000"/>
          <w:spacing w:val="0"/>
          <w:w w:val="100"/>
          <w:position w:val="0"/>
          <w:sz w:val="24"/>
          <w:szCs w:val="24"/>
        </w:rPr>
        <w:t>十八、补充资料</w:t>
      </w:r>
      <w:bookmarkEnd w:id="2140"/>
      <w:bookmarkEnd w:id="2141"/>
      <w:bookmarkEnd w:id="2142"/>
    </w:p>
    <w:p>
      <w:pPr>
        <w:pStyle w:val="Style38"/>
        <w:keepNext/>
        <w:keepLines/>
        <w:widowControl w:val="0"/>
        <w:shd w:val="clear" w:color="auto" w:fill="auto"/>
        <w:bidi w:val="0"/>
        <w:spacing w:before="0" w:after="300" w:line="240" w:lineRule="auto"/>
        <w:ind w:left="0" w:right="0" w:firstLine="0"/>
        <w:jc w:val="both"/>
      </w:pPr>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43"/>
      <w:bookmarkEnd w:id="2144"/>
      <w:bookmarkEnd w:id="2145"/>
    </w:p>
    <w:p>
      <w:pPr>
        <w:pStyle w:val="Style1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41"/>
        <w:gridCol w:w="1843"/>
        <w:gridCol w:w="3830"/>
      </w:tblGrid>
      <w:tr>
        <w:trPr>
          <w:trHeight w:val="331"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1,477,116.62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主要系处置办公场地所致</w:t>
            </w:r>
          </w:p>
        </w:tc>
      </w:tr>
      <w:tr>
        <w:trPr>
          <w:trHeight w:val="79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计入当期损益的政府补助（与公司正常经营业务 密切相关，符合国家政策规定、按照一定标准定 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14,735,500.72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主要系报告期内收到政府补贴所致</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8,146,114.60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主要系报告期内购买理财产品收益所致</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单独进行减值测试的应收款项减值准备转回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1,739,367.50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前期已单项计提的应收账款本期部分收回</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-544,641.12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主要系业务迅速增长，需增加办公场地，支付</w:t>
            </w:r>
          </w:p>
        </w:tc>
      </w:tr>
    </w:tbl>
    <w:tbl>
      <w:tblPr>
        <w:tblOverlap w:val="never"/>
        <w:jc w:val="center"/>
        <w:tblLayout w:type="fixed"/>
      </w:tblPr>
      <w:tblGrid>
        <w:gridCol w:w="3941"/>
        <w:gridCol w:w="1843"/>
        <w:gridCol w:w="3830"/>
      </w:tblGrid>
      <w:tr>
        <w:trPr>
          <w:trHeight w:val="29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原办公场地违约金所致</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3,833,016.95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21,720,441.37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2"/>
        <w:keepNext w:val="0"/>
        <w:keepLines w:val="0"/>
        <w:widowControl w:val="0"/>
        <w:shd w:val="clear" w:color="auto" w:fill="auto"/>
        <w:bidi w:val="0"/>
        <w:spacing w:before="0" w:after="140" w:line="413" w:lineRule="exact"/>
        <w:ind w:left="0" w:right="0" w:firstLine="0"/>
        <w:jc w:val="left"/>
      </w:pPr>
      <w:r>
        <w:rPr>
          <w:color w:val="000000"/>
          <w:spacing w:val="0"/>
          <w:w w:val="100"/>
          <w:position w:val="0"/>
        </w:rPr>
        <w:t>其他符合非经常性损益定义的损益项目的具体情况：</w:t>
      </w:r>
    </w:p>
    <w:p>
      <w:pPr>
        <w:pStyle w:val="Style12"/>
        <w:keepNext w:val="0"/>
        <w:keepLines w:val="0"/>
        <w:widowControl w:val="0"/>
        <w:shd w:val="clear" w:color="auto" w:fill="auto"/>
        <w:bidi w:val="0"/>
        <w:spacing w:before="0" w:after="0" w:line="43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2"/>
        <w:keepNext w:val="0"/>
        <w:keepLines w:val="0"/>
        <w:widowControl w:val="0"/>
        <w:shd w:val="clear" w:color="auto" w:fill="auto"/>
        <w:bidi w:val="0"/>
        <w:spacing w:before="0" w:after="0" w:line="413" w:lineRule="exact"/>
        <w:ind w:left="0" w:right="0" w:firstLine="0"/>
        <w:jc w:val="left"/>
      </w:pPr>
      <w:r>
        <w:rPr>
          <w:color w:val="000000"/>
          <w:spacing w:val="0"/>
          <w:w w:val="100"/>
          <w:position w:val="0"/>
        </w:rPr>
        <w:t>公司不存在其他符合非经常性损益定义的损益项目的具体情况。</w:t>
      </w:r>
    </w:p>
    <w:p>
      <w:pPr>
        <w:pStyle w:val="Style12"/>
        <w:keepNext w:val="0"/>
        <w:keepLines w:val="0"/>
        <w:widowControl w:val="0"/>
        <w:shd w:val="clear" w:color="auto" w:fill="auto"/>
        <w:bidi w:val="0"/>
        <w:spacing w:before="0" w:after="140" w:line="413"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 定为经常性损益项目的情况说明</w:t>
      </w:r>
    </w:p>
    <w:p>
      <w:pPr>
        <w:pStyle w:val="Style12"/>
        <w:keepNext w:val="0"/>
        <w:keepLines w:val="0"/>
        <w:widowControl w:val="0"/>
        <w:shd w:val="clear" w:color="auto" w:fill="auto"/>
        <w:bidi w:val="0"/>
        <w:spacing w:before="0" w:after="260" w:line="43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8"/>
        <w:keepNext/>
        <w:keepLines/>
        <w:widowControl w:val="0"/>
        <w:shd w:val="clear" w:color="auto" w:fill="auto"/>
        <w:bidi w:val="0"/>
        <w:spacing w:before="0" w:after="300" w:line="240" w:lineRule="auto"/>
        <w:ind w:left="0" w:right="0" w:firstLine="0"/>
        <w:jc w:val="left"/>
      </w:pPr>
      <w:bookmarkStart w:id="2146" w:name="bookmark2146"/>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2</w:t>
      </w:r>
      <w:bookmarkEnd w:id="2148"/>
      <w:r>
        <w:rPr>
          <w:color w:val="000000"/>
          <w:spacing w:val="0"/>
          <w:w w:val="100"/>
          <w:position w:val="0"/>
        </w:rPr>
        <w:t>、净资产收益率及每股收益</w:t>
      </w:r>
      <w:bookmarkEnd w:id="2146"/>
      <w:bookmarkEnd w:id="2147"/>
      <w:bookmarkEnd w:id="2149"/>
    </w:p>
    <w:tbl>
      <w:tblPr>
        <w:tblOverlap w:val="never"/>
        <w:jc w:val="center"/>
        <w:tblLayout w:type="fixed"/>
      </w:tblPr>
      <w:tblGrid>
        <w:gridCol w:w="4229"/>
        <w:gridCol w:w="1416"/>
        <w:gridCol w:w="1982"/>
        <w:gridCol w:w="1987"/>
      </w:tblGrid>
      <w:tr>
        <w:trPr>
          <w:trHeight w:val="331"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加权平均净资产 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bl>
    <w:p>
      <w:pPr>
        <w:widowControl w:val="0"/>
        <w:spacing w:after="259" w:line="1" w:lineRule="exact"/>
      </w:pPr>
    </w:p>
    <w:p>
      <w:pPr>
        <w:pStyle w:val="Style38"/>
        <w:keepNext/>
        <w:keepLines/>
        <w:widowControl w:val="0"/>
        <w:shd w:val="clear" w:color="auto" w:fill="auto"/>
        <w:bidi w:val="0"/>
        <w:spacing w:before="0" w:after="300" w:line="240" w:lineRule="auto"/>
        <w:ind w:left="0" w:right="0" w:firstLine="0"/>
        <w:jc w:val="left"/>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3</w:t>
      </w:r>
      <w:bookmarkEnd w:id="2152"/>
      <w:r>
        <w:rPr>
          <w:color w:val="000000"/>
          <w:spacing w:val="0"/>
          <w:w w:val="100"/>
          <w:position w:val="0"/>
        </w:rPr>
        <w:t>、境内外会计准则下会计数据差异</w:t>
      </w:r>
      <w:bookmarkEnd w:id="2150"/>
      <w:bookmarkEnd w:id="2151"/>
      <w:bookmarkEnd w:id="2153"/>
    </w:p>
    <w:p>
      <w:pPr>
        <w:pStyle w:val="Style1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不适用</w:t>
      </w:r>
    </w:p>
    <w:p>
      <w:pPr>
        <w:pStyle w:val="Style38"/>
        <w:keepNext/>
        <w:keepLines/>
        <w:widowControl w:val="0"/>
        <w:shd w:val="clear" w:color="auto" w:fill="auto"/>
        <w:bidi w:val="0"/>
        <w:spacing w:before="0" w:after="300" w:line="240" w:lineRule="auto"/>
        <w:ind w:left="0" w:right="0" w:firstLine="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4</w:t>
      </w:r>
      <w:bookmarkEnd w:id="2156"/>
      <w:r>
        <w:rPr>
          <w:color w:val="000000"/>
          <w:spacing w:val="0"/>
          <w:w w:val="100"/>
          <w:position w:val="0"/>
        </w:rPr>
        <w:t>、其他</w:t>
      </w:r>
      <w:bookmarkEnd w:id="2154"/>
      <w:bookmarkEnd w:id="2155"/>
      <w:bookmarkEnd w:id="2157"/>
    </w:p>
    <w:p>
      <w:pPr>
        <w:pStyle w:val="Style12"/>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不适用</w:t>
      </w:r>
    </w:p>
    <w:sectPr>
      <w:footnotePr>
        <w:pos w:val="pageBottom"/>
        <w:numFmt w:val="decimal"/>
        <w:numRestart w:val="continuous"/>
      </w:footnotePr>
      <w:type w:val="continuous"/>
      <w:pgSz w:w="11900" w:h="16840"/>
      <w:pgMar w:top="1278" w:right="1001" w:bottom="1408" w:left="1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1">
    <w:name w:val="Body text (3)_"/>
    <w:basedOn w:val="DefaultParagraphFont"/>
    <w:link w:val="Style10"/>
    <w:rPr>
      <w:rFonts w:ascii="SimSun" w:eastAsia="SimSun" w:hAnsi="SimSun" w:cs="SimSun"/>
      <w:b w:val="0"/>
      <w:bCs w:val="0"/>
      <w:i w:val="0"/>
      <w:iCs w:val="0"/>
      <w:smallCaps w:val="0"/>
      <w:strike w:val="0"/>
      <w:u w:val="none"/>
      <w:shd w:val="clear" w:color="auto" w:fill="auto"/>
    </w:rPr>
  </w:style>
  <w:style w:type="character" w:customStyle="1" w:styleId="CharStyle13">
    <w:name w:val="Body text_"/>
    <w:basedOn w:val="DefaultParagraphFont"/>
    <w:link w:val="Style12"/>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Heading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Body text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Table of contents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8">
    <w:name w:val="Picture caption_"/>
    <w:basedOn w:val="DefaultParagraphFont"/>
    <w:link w:val="Style27"/>
    <w:rPr>
      <w:rFonts w:ascii="SimSun" w:eastAsia="SimSun" w:hAnsi="SimSun" w:cs="SimSun"/>
      <w:b/>
      <w:bCs/>
      <w:i w:val="0"/>
      <w:iCs w:val="0"/>
      <w:smallCaps w:val="0"/>
      <w:strike w:val="0"/>
      <w:color w:val="DEEBF7"/>
      <w:sz w:val="17"/>
      <w:szCs w:val="17"/>
      <w:u w:val="none"/>
      <w:shd w:val="clear" w:color="auto" w:fill="auto"/>
    </w:rPr>
  </w:style>
  <w:style w:type="character" w:customStyle="1" w:styleId="CharStyle32">
    <w:name w:val="Heading #2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37">
    <w:name w:val="Table caption_"/>
    <w:basedOn w:val="DefaultParagraphFont"/>
    <w:link w:val="Style36"/>
    <w:rPr>
      <w:rFonts w:ascii="SimSun" w:eastAsia="SimSun" w:hAnsi="SimSun" w:cs="SimSun"/>
      <w:b w:val="0"/>
      <w:bCs w:val="0"/>
      <w:i w:val="0"/>
      <w:iCs w:val="0"/>
      <w:smallCaps w:val="0"/>
      <w:strike w:val="0"/>
      <w:sz w:val="18"/>
      <w:szCs w:val="18"/>
      <w:u w:val="none"/>
      <w:shd w:val="clear" w:color="auto" w:fill="auto"/>
    </w:rPr>
  </w:style>
  <w:style w:type="character" w:customStyle="1" w:styleId="CharStyle39">
    <w:name w:val="Heading #3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7">
    <w:name w:val="Heading #4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55">
    <w:name w:val="Body text (6)_"/>
    <w:basedOn w:val="DefaultParagraphFont"/>
    <w:link w:val="Style54"/>
    <w:rPr>
      <w:rFonts w:ascii="SimSun" w:eastAsia="SimSun" w:hAnsi="SimSun" w:cs="SimSun"/>
      <w:b w:val="0"/>
      <w:bCs w:val="0"/>
      <w:i w:val="0"/>
      <w:iCs w:val="0"/>
      <w:smallCaps w:val="0"/>
      <w:strike w:val="0"/>
      <w:sz w:val="18"/>
      <w:szCs w:val="18"/>
      <w:u w:val="none"/>
      <w:shd w:val="clear" w:color="auto" w:fill="auto"/>
    </w:rPr>
  </w:style>
  <w:style w:type="character" w:customStyle="1" w:styleId="CharStyle63">
    <w:name w:val="Body text (7)_"/>
    <w:basedOn w:val="DefaultParagraphFont"/>
    <w:link w:val="Style6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7">
    <w:name w:val="Other (3)_"/>
    <w:basedOn w:val="DefaultParagraphFont"/>
    <w:link w:val="Style66"/>
    <w:rPr>
      <w:rFonts w:ascii="SimSun" w:eastAsia="SimSun" w:hAnsi="SimSun" w:cs="SimSun"/>
      <w:b w:val="0"/>
      <w:bCs w:val="0"/>
      <w:i w:val="0"/>
      <w:iCs w:val="0"/>
      <w:smallCaps w:val="0"/>
      <w:strike w:val="0"/>
      <w:sz w:val="18"/>
      <w:szCs w:val="18"/>
      <w:u w:val="none"/>
      <w:shd w:val="clear" w:color="auto" w:fill="auto"/>
    </w:rPr>
  </w:style>
  <w:style w:type="character" w:customStyle="1" w:styleId="CharStyle73">
    <w:name w:val="Heading #5_"/>
    <w:basedOn w:val="DefaultParagraphFont"/>
    <w:link w:val="Style72"/>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0">
    <w:name w:val="Body text (3)"/>
    <w:basedOn w:val="Normal"/>
    <w:link w:val="CharStyle11"/>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styleId="Style12">
    <w:name w:val="Body text"/>
    <w:basedOn w:val="Normal"/>
    <w:link w:val="CharStyle13"/>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Heading #1"/>
    <w:basedOn w:val="Normal"/>
    <w:link w:val="CharStyle18"/>
    <w:pPr>
      <w:widowControl w:val="0"/>
      <w:shd w:val="clear" w:color="auto" w:fill="auto"/>
      <w:spacing w:before="29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Body text (2)"/>
    <w:basedOn w:val="Normal"/>
    <w:link w:val="CharStyle20"/>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Table of contents"/>
    <w:basedOn w:val="Normal"/>
    <w:link w:val="CharStyle23"/>
    <w:pPr>
      <w:widowControl w:val="0"/>
      <w:shd w:val="clear" w:color="auto" w:fill="auto"/>
      <w:spacing w:after="160"/>
    </w:pPr>
    <w:rPr>
      <w:rFonts w:ascii="SimSun" w:eastAsia="SimSun" w:hAnsi="SimSun" w:cs="SimSun"/>
      <w:b/>
      <w:bCs/>
      <w:i w:val="0"/>
      <w:iCs w:val="0"/>
      <w:smallCaps w:val="0"/>
      <w:strike w:val="0"/>
      <w:u w:val="none"/>
      <w:shd w:val="clear" w:color="auto" w:fill="auto"/>
    </w:rPr>
  </w:style>
  <w:style w:type="paragraph" w:customStyle="1" w:styleId="Style27">
    <w:name w:val="Picture caption"/>
    <w:basedOn w:val="Normal"/>
    <w:link w:val="CharStyle28"/>
    <w:pPr>
      <w:widowControl w:val="0"/>
      <w:shd w:val="clear" w:color="auto" w:fill="auto"/>
    </w:pPr>
    <w:rPr>
      <w:rFonts w:ascii="SimSun" w:eastAsia="SimSun" w:hAnsi="SimSun" w:cs="SimSun"/>
      <w:b/>
      <w:bCs/>
      <w:i w:val="0"/>
      <w:iCs w:val="0"/>
      <w:smallCaps w:val="0"/>
      <w:strike w:val="0"/>
      <w:color w:val="DEEBF7"/>
      <w:sz w:val="17"/>
      <w:szCs w:val="17"/>
      <w:u w:val="none"/>
      <w:shd w:val="clear" w:color="auto" w:fill="auto"/>
    </w:rPr>
  </w:style>
  <w:style w:type="paragraph" w:customStyle="1" w:styleId="Style31">
    <w:name w:val="Heading #2"/>
    <w:basedOn w:val="Normal"/>
    <w:link w:val="CharStyle32"/>
    <w:pPr>
      <w:widowControl w:val="0"/>
      <w:shd w:val="clear" w:color="auto" w:fill="auto"/>
      <w:spacing w:after="310"/>
      <w:outlineLvl w:val="1"/>
    </w:pPr>
    <w:rPr>
      <w:rFonts w:ascii="SimSun" w:eastAsia="SimSun" w:hAnsi="SimSun" w:cs="SimSun"/>
      <w:b/>
      <w:bCs/>
      <w:i w:val="0"/>
      <w:iCs w:val="0"/>
      <w:smallCaps w:val="0"/>
      <w:strike w:val="0"/>
      <w:u w:val="none"/>
      <w:shd w:val="clear" w:color="auto" w:fill="auto"/>
    </w:rPr>
  </w:style>
  <w:style w:type="paragraph" w:customStyle="1" w:styleId="Style36">
    <w:name w:val="Table caption"/>
    <w:basedOn w:val="Normal"/>
    <w:link w:val="CharStyle37"/>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8">
    <w:name w:val="Heading #3"/>
    <w:basedOn w:val="Normal"/>
    <w:link w:val="CharStyle39"/>
    <w:pPr>
      <w:widowControl w:val="0"/>
      <w:shd w:val="clear" w:color="auto" w:fill="auto"/>
      <w:spacing w:after="4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6">
    <w:name w:val="Heading #4"/>
    <w:basedOn w:val="Normal"/>
    <w:link w:val="CharStyle4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Body text (6)"/>
    <w:basedOn w:val="Normal"/>
    <w:link w:val="CharStyle55"/>
    <w:pPr>
      <w:widowControl w:val="0"/>
      <w:shd w:val="clear" w:color="auto" w:fill="auto"/>
      <w:spacing w:after="200"/>
    </w:pPr>
    <w:rPr>
      <w:rFonts w:ascii="SimSun" w:eastAsia="SimSun" w:hAnsi="SimSun" w:cs="SimSun"/>
      <w:b w:val="0"/>
      <w:bCs w:val="0"/>
      <w:i w:val="0"/>
      <w:iCs w:val="0"/>
      <w:smallCaps w:val="0"/>
      <w:strike w:val="0"/>
      <w:sz w:val="18"/>
      <w:szCs w:val="18"/>
      <w:u w:val="none"/>
      <w:shd w:val="clear" w:color="auto" w:fill="auto"/>
    </w:rPr>
  </w:style>
  <w:style w:type="paragraph" w:customStyle="1" w:styleId="Style62">
    <w:name w:val="Body text (7)"/>
    <w:basedOn w:val="Normal"/>
    <w:link w:val="CharStyle63"/>
    <w:pPr>
      <w:widowControl w:val="0"/>
      <w:shd w:val="clear" w:color="auto" w:fill="auto"/>
      <w:spacing w:after="180"/>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6">
    <w:name w:val="Other (3)"/>
    <w:basedOn w:val="Normal"/>
    <w:link w:val="CharStyle6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2">
    <w:name w:val="Heading #5"/>
    <w:basedOn w:val="Normal"/>
    <w:link w:val="CharStyle73"/>
    <w:pPr>
      <w:widowControl w:val="0"/>
      <w:shd w:val="clear" w:color="auto" w:fill="auto"/>
      <w:spacing w:after="30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深圳市法本信息技术股份有限公司2021年年度报告全文</dc:title>
  <dc:subject/>
  <dc:creator>深圳市法本信息技术股份有限公司</dc:creator>
  <cp:keywords/>
</cp:coreProperties>
</file>