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22"/>
          <w:szCs w:val="22"/>
        </w:rPr>
      </w:pPr>
      <w:bookmarkStart w:id="0" w:name="bookmark0"/>
      <w:r>
        <w:rPr>
          <w:color w:val="000000"/>
          <w:spacing w:val="0"/>
          <w:w w:val="100"/>
          <w:position w:val="0"/>
          <w:sz w:val="24"/>
          <w:szCs w:val="24"/>
        </w:rPr>
        <w:t>证券代码：</w:t>
      </w:r>
      <w:r>
        <w:rPr>
          <w:rFonts w:ascii="Tahoma" w:eastAsia="Tahoma" w:hAnsi="Tahoma" w:cs="Tahoma"/>
          <w:color w:val="000000"/>
          <w:spacing w:val="0"/>
          <w:w w:val="100"/>
          <w:position w:val="0"/>
          <w:sz w:val="22"/>
          <w:szCs w:val="22"/>
        </w:rPr>
        <w:t>300996</w:t>
      </w:r>
      <w:bookmarkEnd w:id="0"/>
    </w:p>
    <w:p>
      <w:pPr>
        <w:pStyle w:val="Style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证券简称：普联软件</w:t>
      </w:r>
    </w:p>
    <w:p>
      <w:pPr>
        <w:pStyle w:val="Style2"/>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pgSz w:w="11900" w:h="16840"/>
          <w:pgMar w:top="1988" w:right="1272" w:bottom="3202" w:left="1114" w:header="0" w:footer="3" w:gutter="0"/>
          <w:cols w:num="3" w:space="720" w:equalWidth="0">
            <w:col w:w="1954" w:space="1886"/>
            <w:col w:w="2194" w:space="1291"/>
            <w:col w:w="2189"/>
          </w:cols>
          <w:noEndnote/>
          <w:rtlGutter w:val="0"/>
          <w:docGrid w:linePitch="360"/>
        </w:sectPr>
      </w:pPr>
      <w:r>
        <w:rPr>
          <w:color w:val="000000"/>
          <w:spacing w:val="0"/>
          <w:w w:val="100"/>
          <w:position w:val="0"/>
          <w:sz w:val="24"/>
          <w:szCs w:val="24"/>
        </w:rPr>
        <w:t>公告编号：</w:t>
      </w:r>
      <w:r>
        <w:rPr>
          <w:rFonts w:ascii="Tahoma" w:eastAsia="Tahoma" w:hAnsi="Tahoma" w:cs="Tahoma"/>
          <w:color w:val="000000"/>
          <w:spacing w:val="0"/>
          <w:w w:val="100"/>
          <w:position w:val="0"/>
          <w:sz w:val="22"/>
          <w:szCs w:val="22"/>
        </w:rPr>
        <w:t>2022-017</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1" w:after="10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10" w:right="0" w:bottom="3202" w:left="0" w:header="0" w:footer="3" w:gutter="0"/>
          <w:cols w:space="720"/>
          <w:noEndnote/>
          <w:rtlGutter w:val="0"/>
          <w:docGrid w:linePitch="360"/>
        </w:sectPr>
      </w:pPr>
    </w:p>
    <w:p>
      <w:pPr>
        <w:pStyle w:val="Style2"/>
        <w:keepNext w:val="0"/>
        <w:keepLines w:val="0"/>
        <w:widowControl w:val="0"/>
        <w:shd w:val="clear" w:color="auto" w:fill="auto"/>
        <w:tabs>
          <w:tab w:leader="hyphen" w:pos="998" w:val="left"/>
        </w:tabs>
        <w:bidi w:val="0"/>
        <w:spacing w:before="0" w:after="0" w:line="0" w:lineRule="atLeast"/>
        <w:ind w:left="0" w:right="0" w:firstLine="0"/>
        <w:jc w:val="center"/>
        <w:rPr>
          <w:sz w:val="64"/>
          <w:szCs w:val="64"/>
        </w:rPr>
      </w:pPr>
      <w:r>
        <w:rPr>
          <w:rFonts w:ascii="Times New Roman" w:eastAsia="Times New Roman" w:hAnsi="Times New Roman" w:cs="Times New Roman"/>
          <w:b/>
          <w:bCs/>
          <w:color w:val="000000"/>
          <w:spacing w:val="0"/>
          <w:w w:val="100"/>
          <w:position w:val="0"/>
          <w:sz w:val="64"/>
          <w:szCs w:val="64"/>
          <w:shd w:val="clear" w:color="auto" w:fill="FFFFFF"/>
        </w:rPr>
        <w:t xml:space="preserve">Pans </w:t>
      </w:r>
      <w:r>
        <w:rPr>
          <w:b/>
          <w:bCs/>
          <w:color w:val="E00226"/>
          <w:spacing w:val="0"/>
          <w:w w:val="100"/>
          <w:position w:val="0"/>
          <w:sz w:val="32"/>
          <w:szCs w:val="32"/>
          <w:shd w:val="clear" w:color="auto" w:fill="FFFFFF"/>
        </w:rPr>
        <w:t xml:space="preserve">帝 </w:t>
      </w:r>
      <w:r>
        <w:rPr>
          <w:rFonts w:ascii="Times New Roman" w:eastAsia="Times New Roman" w:hAnsi="Times New Roman" w:cs="Times New Roman"/>
          <w:b/>
          <w:bCs/>
          <w:color w:val="000000"/>
          <w:spacing w:val="0"/>
          <w:w w:val="100"/>
          <w:position w:val="0"/>
          <w:sz w:val="64"/>
          <w:szCs w:val="64"/>
          <w:shd w:val="clear" w:color="auto" w:fill="FFFFFF"/>
        </w:rPr>
        <w:t>ft</w:t>
      </w:r>
    </w:p>
    <w:p>
      <w:pPr>
        <w:pStyle w:val="Style2"/>
        <w:keepNext w:val="0"/>
        <w:keepLines w:val="0"/>
        <w:widowControl w:val="0"/>
        <w:shd w:val="clear" w:color="auto" w:fill="auto"/>
        <w:tabs>
          <w:tab w:leader="hyphen" w:pos="998" w:val="left"/>
        </w:tabs>
        <w:bidi w:val="0"/>
        <w:spacing w:before="0" w:after="220" w:line="139" w:lineRule="exact"/>
        <w:ind w:left="0" w:right="0" w:firstLine="0"/>
        <w:jc w:val="center"/>
        <w:rPr>
          <w:sz w:val="10"/>
          <w:szCs w:val="10"/>
        </w:rPr>
      </w:pPr>
      <w:r>
        <w:rPr>
          <w:rFonts w:ascii="SimHei" w:eastAsia="SimHei" w:hAnsi="SimHei" w:cs="SimHei"/>
          <w:color w:val="F193A2"/>
          <w:spacing w:val="0"/>
          <w:w w:val="100"/>
          <w:position w:val="0"/>
          <w:sz w:val="10"/>
          <w:szCs w:val="10"/>
        </w:rPr>
        <w:tab/>
      </w:r>
      <w:r>
        <w:rPr>
          <w:rFonts w:ascii="SimHei" w:eastAsia="SimHei" w:hAnsi="SimHei" w:cs="SimHei"/>
          <w:color w:val="E84963"/>
          <w:spacing w:val="0"/>
          <w:w w:val="100"/>
          <w:position w:val="0"/>
          <w:sz w:val="10"/>
          <w:szCs w:val="10"/>
        </w:rPr>
        <w:t>菁嫉就伸</w:t>
      </w:r>
      <w:r>
        <w:rPr>
          <w:rFonts w:ascii="SimHei" w:eastAsia="SimHei" w:hAnsi="SimHei" w:cs="SimHei"/>
          <w:color w:val="F193A2"/>
          <w:spacing w:val="0"/>
          <w:w w:val="100"/>
          <w:position w:val="0"/>
          <w:sz w:val="10"/>
          <w:szCs w:val="10"/>
        </w:rPr>
        <w:t>—</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普联软件股份有限公司</w:t>
      </w:r>
    </w:p>
    <w:p>
      <w:pPr>
        <w:pStyle w:val="Style2"/>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3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3"/>
        <w:keepNext/>
        <w:keepLines/>
        <w:widowControl w:val="0"/>
        <w:shd w:val="clear" w:color="auto" w:fill="auto"/>
        <w:bidi w:val="0"/>
        <w:spacing w:before="0" w:after="380" w:line="240" w:lineRule="auto"/>
        <w:ind w:left="0" w:right="0" w:firstLine="0"/>
        <w:jc w:val="center"/>
      </w:pPr>
      <w:bookmarkStart w:id="1" w:name="bookmark1"/>
      <w:bookmarkStart w:id="2" w:name="bookmark2"/>
      <w:bookmarkStart w:id="3" w:name="bookmark3"/>
      <w:r>
        <w:rPr>
          <w:color w:val="000000"/>
          <w:spacing w:val="0"/>
          <w:w w:val="100"/>
          <w:position w:val="0"/>
        </w:rPr>
        <w:t>第一节重要提示、目录和释义</w:t>
      </w:r>
      <w:bookmarkEnd w:id="1"/>
      <w:bookmarkEnd w:id="2"/>
      <w:bookmarkEnd w:id="3"/>
    </w:p>
    <w:p>
      <w:pPr>
        <w:pStyle w:val="Style15"/>
        <w:keepNext w:val="0"/>
        <w:keepLines w:val="0"/>
        <w:widowControl w:val="0"/>
        <w:shd w:val="clear" w:color="auto" w:fill="auto"/>
        <w:bidi w:val="0"/>
        <w:spacing w:before="0"/>
        <w:ind w:left="0" w:right="0"/>
        <w:jc w:val="both"/>
      </w:pPr>
      <w:bookmarkStart w:id="4" w:name="bookmark4"/>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4"/>
    </w:p>
    <w:p>
      <w:pPr>
        <w:pStyle w:val="Style15"/>
        <w:keepNext w:val="0"/>
        <w:keepLines w:val="0"/>
        <w:widowControl w:val="0"/>
        <w:shd w:val="clear" w:color="auto" w:fill="auto"/>
        <w:bidi w:val="0"/>
        <w:spacing w:before="0"/>
        <w:ind w:left="0" w:right="0"/>
        <w:jc w:val="both"/>
      </w:pPr>
      <w:r>
        <w:rPr>
          <w:color w:val="000000"/>
          <w:spacing w:val="0"/>
          <w:w w:val="100"/>
          <w:position w:val="0"/>
        </w:rPr>
        <w:t>公司负责人蔺国强、主管会计工作负责人聂玉涛及会计机构负责人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赵炜声明：保证本年度报告中财务报告的真实、准确、完整。</w:t>
      </w:r>
    </w:p>
    <w:p>
      <w:pPr>
        <w:pStyle w:val="Style15"/>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bidi w:val="0"/>
        <w:spacing w:before="0"/>
        <w:ind w:left="0" w:right="0"/>
        <w:jc w:val="both"/>
      </w:pPr>
      <w:r>
        <w:rPr>
          <w:color w:val="000000"/>
          <w:spacing w:val="0"/>
          <w:w w:val="100"/>
          <w:position w:val="0"/>
        </w:rPr>
        <w:t>本年度报告涉及的公司未来计划等前瞻性陈述，属于公司计划性事务，不 构成公司对投资者的实质承诺，敬请投资者注意投资风险。</w:t>
      </w:r>
    </w:p>
    <w:p>
      <w:pPr>
        <w:pStyle w:val="Style15"/>
        <w:keepNext w:val="0"/>
        <w:keepLines w:val="0"/>
        <w:widowControl w:val="0"/>
        <w:shd w:val="clear" w:color="auto" w:fill="auto"/>
        <w:bidi w:val="0"/>
        <w:spacing w:before="0" w:line="631" w:lineRule="exact"/>
        <w:ind w:left="0" w:right="0"/>
        <w:jc w:val="both"/>
        <w:sectPr>
          <w:footnotePr>
            <w:pos w:val="pageBottom"/>
            <w:numFmt w:val="decimal"/>
            <w:numRestart w:val="continuous"/>
          </w:footnotePr>
          <w:type w:val="continuous"/>
          <w:pgSz w:w="11900" w:h="16840"/>
          <w:pgMar w:top="1810" w:right="1043" w:bottom="3202" w:left="1031"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141,010,659</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3.00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0" w:after="160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6"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53"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18"/>
        <w:keepNext w:val="0"/>
        <w:keepLines w:val="0"/>
        <w:widowControl w:val="0"/>
        <w:shd w:val="clear" w:color="auto" w:fill="auto"/>
        <w:tabs>
          <w:tab w:pos="1040" w:val="left"/>
          <w:tab w:leader="dot" w:pos="9616" w:val="right"/>
        </w:tabs>
        <w:bidi w:val="0"/>
        <w:spacing w:before="0" w:line="240" w:lineRule="auto"/>
        <w:ind w:left="0" w:right="0" w:firstLine="0"/>
        <w:jc w:val="left"/>
      </w:pPr>
      <w:hyperlink w:anchor="bookmark261"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464"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480"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623"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696"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701"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sectPr>
          <w:footnotePr>
            <w:pos w:val="pageBottom"/>
            <w:numFmt w:val="decimal"/>
            <w:numRestart w:val="continuous"/>
          </w:footnotePr>
          <w:pgSz w:w="11900" w:h="16840"/>
          <w:pgMar w:top="2862" w:right="1114" w:bottom="2862" w:left="1104" w:header="0" w:footer="3" w:gutter="0"/>
          <w:cols w:space="720"/>
          <w:noEndnote/>
          <w:rtlGutter w:val="0"/>
          <w:docGrid w:linePitch="360"/>
        </w:sectPr>
      </w:pPr>
      <w:hyperlink w:anchor="bookmark704"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83</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一</w:t>
      </w:r>
      <w:bookmarkEnd w:id="5"/>
      <w:r>
        <w:rPr>
          <w:color w:val="000000"/>
          <w:spacing w:val="0"/>
          <w:w w:val="100"/>
          <w:position w:val="0"/>
        </w:rPr>
        <w:t>、</w:t>
        <w:tab/>
        <w:t>载有公司负责人、主管会计工作负责人、会计机构负责人（会计主管人员）签名并盖章的财务报表。</w:t>
      </w:r>
    </w:p>
    <w:p>
      <w:pPr>
        <w:pStyle w:val="Style21"/>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二</w:t>
      </w:r>
      <w:bookmarkEnd w:id="6"/>
      <w:r>
        <w:rPr>
          <w:color w:val="000000"/>
          <w:spacing w:val="0"/>
          <w:w w:val="100"/>
          <w:position w:val="0"/>
        </w:rPr>
        <w:t>、</w:t>
        <w:tab/>
        <w:t>报告期内在中国证监会指定网站上公开披露过的所有公司文件的正本及公告的原稿。</w:t>
      </w:r>
    </w:p>
    <w:p>
      <w:pPr>
        <w:pStyle w:val="Style21"/>
        <w:keepNext w:val="0"/>
        <w:keepLines w:val="0"/>
        <w:widowControl w:val="0"/>
        <w:shd w:val="clear" w:color="auto" w:fill="auto"/>
        <w:tabs>
          <w:tab w:pos="430" w:val="left"/>
        </w:tabs>
        <w:bidi w:val="0"/>
        <w:spacing w:before="0" w:after="0" w:line="240" w:lineRule="auto"/>
        <w:ind w:left="0" w:right="0" w:firstLine="0"/>
        <w:jc w:val="left"/>
      </w:pPr>
      <w:bookmarkStart w:id="7" w:name="bookmark7"/>
      <w:r>
        <w:rPr>
          <w:color w:val="000000"/>
          <w:spacing w:val="0"/>
          <w:w w:val="100"/>
          <w:position w:val="0"/>
        </w:rPr>
        <w:t>三</w:t>
      </w:r>
      <w:bookmarkEnd w:id="7"/>
      <w:r>
        <w:rPr>
          <w:color w:val="000000"/>
          <w:spacing w:val="0"/>
          <w:w w:val="100"/>
          <w:position w:val="0"/>
        </w:rPr>
        <w:t>、</w:t>
        <w:tab/>
        <w:t>以上备查文件备置地点：公司董事会办公室。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普联软件、普联股份、公司、本公司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普联软件股份有限公司新疆分公司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巴州分公司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普联软件股份有限公司巴州分公司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普联软件股份有限公司深圳分公司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成都分公司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普联软件股份有限公司成都分公司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rPr>
              <w:t>普联数字科技（济南）有限公司，曾用名普联软件服务外包（济南） 有限公司，本公司全资子公司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普联中瑞（北京）软件有限公司，曾用名北京艾特蓝博科技有限公司， 本公司全资子公司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PANSOFT （HONG KONG） LIMITED/</w:t>
            </w:r>
            <w:r>
              <w:rPr>
                <w:color w:val="000000"/>
                <w:spacing w:val="0"/>
                <w:w w:val="100"/>
                <w:position w:val="0"/>
              </w:rPr>
              <w:t>普联软件（香港）有限公司，注 册地中国香港，本公司全资子公司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普联大阪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日本</w:t>
            </w:r>
            <w:r>
              <w:rPr>
                <w:rFonts w:ascii="Courier New" w:eastAsia="Courier New" w:hAnsi="Courier New" w:cs="Courier New"/>
                <w:color w:val="000000"/>
                <w:spacing w:val="0"/>
                <w:w w:val="100"/>
                <w:position w:val="0"/>
                <w:sz w:val="18"/>
                <w:szCs w:val="18"/>
              </w:rPr>
              <w:t>/^&gt;77b</w:t>
            </w:r>
            <w:r>
              <w:rPr>
                <w:color w:val="000000"/>
                <w:spacing w:val="0"/>
                <w:w w:val="100"/>
                <w:position w:val="0"/>
              </w:rPr>
              <w:t>株式会社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普联软件（日本）股份有限公司，注册地日 本，本公司间接全资子公司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普联数建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普联智能数建科技（北京）有限公司，本公司控股子公司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合肥朗霁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合肥普联朗霁软件有限公司，曾用名合肥朗霁软件技术有限公司，本 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合肥耀安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合肥耀安科技有限公司，本公司参股公司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董事或董事会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本公司董事或董事会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监事或监事会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本公司监事或监事会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现行有效的本公司章程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国资委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国务院国有资产管理委员会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中华人民共和国财政部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银保监会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中国银行保险监督管理委员会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元的人民币普通股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企业资源计划(</w:t>
            </w:r>
            <w:r>
              <w:rPr>
                <w:rFonts w:ascii="Times New Roman" w:eastAsia="Times New Roman" w:hAnsi="Times New Roman" w:cs="Times New Roman"/>
                <w:color w:val="000000"/>
                <w:spacing w:val="0"/>
                <w:w w:val="100"/>
                <w:position w:val="0"/>
                <w:sz w:val="18"/>
                <w:szCs w:val="18"/>
              </w:rPr>
              <w:t>Enterprise Resource Planning</w:t>
            </w:r>
            <w:r>
              <w:rPr>
                <w:color w:val="000000"/>
                <w:spacing w:val="0"/>
                <w:w w:val="100"/>
                <w:position w:val="0"/>
              </w:rPr>
              <w:t>)，建立在信息技术基础 上，以系统化的管理思想，为企业决策层及员工提供决策运行手段的 管理平台</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与信息技术、软件、互联网相关的一种服务，借助互联网把计算资源 集合起来，通过软件实现自动化管理，形成可配置的计算资源共享池 (资源包括网络、服务器、存储、应用软件、服务)，资源快速提供。</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这种模式提供可用的、便捷的、按需的资源访问和应用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需要新处理模式才能具有更强的决策力、洞察发现力和流程优化能力 的海量、高增长率和多样化的信息资产</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OSP</w:t>
            </w:r>
            <w:r>
              <w:rPr>
                <w:color w:val="000000"/>
                <w:spacing w:val="0"/>
                <w:w w:val="100"/>
                <w:position w:val="0"/>
              </w:rPr>
              <w:t>平台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开放服务平台(</w:t>
            </w:r>
            <w:r>
              <w:rPr>
                <w:rFonts w:ascii="Times New Roman" w:eastAsia="Times New Roman" w:hAnsi="Times New Roman" w:cs="Times New Roman"/>
                <w:color w:val="000000"/>
                <w:spacing w:val="0"/>
                <w:w w:val="100"/>
                <w:position w:val="0"/>
                <w:sz w:val="18"/>
                <w:szCs w:val="18"/>
              </w:rPr>
              <w:t>Open Service Platform)</w:t>
            </w:r>
            <w:r>
              <w:rPr>
                <w:color w:val="000000"/>
                <w:spacing w:val="0"/>
                <w:w w:val="100"/>
                <w:position w:val="0"/>
              </w:rPr>
              <w:t>，是公司多年来在应用软件研 发过程中提炼出的业务模型、模板、开发工具，开发框架，中间件， 基础类库及研发模式等成果的载体，是集开发、集成、运行、管理等 功能于一体的覆盖软件全生命周期的统一软件平台。该平台提供可视 化和集成化开发模式，是公司目前的主流研发平台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软件能力成熟度模型集成(</w:t>
            </w: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XBRL</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可扩展商业报告语言(</w:t>
            </w:r>
            <w:r>
              <w:rPr>
                <w:rFonts w:ascii="Times New Roman" w:eastAsia="Times New Roman" w:hAnsi="Times New Roman" w:cs="Times New Roman"/>
                <w:color w:val="000000"/>
                <w:spacing w:val="0"/>
                <w:w w:val="100"/>
                <w:position w:val="0"/>
                <w:sz w:val="18"/>
                <w:szCs w:val="18"/>
              </w:rPr>
              <w:t>eXtensible Business Reporting Language</w:t>
            </w:r>
            <w:r>
              <w:rPr>
                <w:color w:val="000000"/>
                <w:spacing w:val="0"/>
                <w:w w:val="100"/>
                <w:position w:val="0"/>
              </w:rPr>
              <w:t>)，一种 基于</w:t>
            </w:r>
            <w:r>
              <w:rPr>
                <w:rFonts w:ascii="Times New Roman" w:eastAsia="Times New Roman" w:hAnsi="Times New Roman" w:cs="Times New Roman"/>
                <w:color w:val="000000"/>
                <w:spacing w:val="0"/>
                <w:w w:val="100"/>
                <w:position w:val="0"/>
                <w:sz w:val="18"/>
                <w:szCs w:val="18"/>
              </w:rPr>
              <w:t>XML</w:t>
            </w:r>
            <w:r>
              <w:rPr>
                <w:color w:val="000000"/>
                <w:spacing w:val="0"/>
                <w:w w:val="100"/>
                <w:position w:val="0"/>
              </w:rPr>
              <w:t>的标记语言，用于商业和财务信息的定义和交换</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面向服务的体系结构</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Service-Oriented Architecture</w:t>
            </w:r>
            <w:r>
              <w:rPr>
                <w:color w:val="000000"/>
                <w:spacing w:val="0"/>
                <w:w w:val="100"/>
                <w:position w:val="0"/>
              </w:rPr>
              <w:t>)，面向服务的体 系结构是一个组件模型，它将应用程序的不同功能单元(称为服务) 通过这些服务之间定义良好的接口和契约联系起来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w:t>
            </w:r>
            <w:r>
              <w:rPr>
                <w:color w:val="000000"/>
                <w:spacing w:val="0"/>
                <w:w w:val="100"/>
                <w:position w:val="0"/>
              </w:rPr>
              <w:t>一种基于互联网提供软件服务的 应用模式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平台即服务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Platform as a Service</w:t>
            </w:r>
            <w:r>
              <w:rPr>
                <w:color w:val="000000"/>
                <w:spacing w:val="0"/>
                <w:w w:val="100"/>
                <w:position w:val="0"/>
              </w:rPr>
              <w:t>)，</w:t>
            </w:r>
            <w:r>
              <w:rPr>
                <w:color w:val="000000"/>
                <w:spacing w:val="0"/>
                <w:w w:val="100"/>
                <w:position w:val="0"/>
              </w:rPr>
              <w:t>提供基于互联网构建应用程序和 服务的平台。</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为开发、测试和管理软件应用程序提供按需开发环 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利用局部网络或互联网等通信技术把传感器、控制器、机器、人员和 物等通过新的方式联在一起，形成人与物、物与物相联，实现信息化、 远程管理控制和智能化的网络</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J2EE</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一套针对企业级分布式应用的标准和规范，定义了基于</w:t>
            </w:r>
            <w:r>
              <w:rPr>
                <w:rFonts w:ascii="Times New Roman" w:eastAsia="Times New Roman" w:hAnsi="Times New Roman" w:cs="Times New Roman"/>
                <w:color w:val="000000"/>
                <w:spacing w:val="0"/>
                <w:w w:val="100"/>
                <w:position w:val="0"/>
                <w:sz w:val="18"/>
                <w:szCs w:val="18"/>
              </w:rPr>
              <w:t>Java</w:t>
            </w:r>
            <w:r>
              <w:rPr>
                <w:color w:val="000000"/>
                <w:spacing w:val="0"/>
                <w:w w:val="100"/>
                <w:position w:val="0"/>
              </w:rPr>
              <w:t>组件技术 设计、开发、组装和部署企业应用系统的标准，规范了分布式多层应 用系统模型、组件重用策略、一体化的安全模型以及灵活的事务控制 策略</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人工智能(</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是研究、开发用 于模拟、延伸和扩展人的智能的理论、方法、技术及应用系统的一门 新的技术科学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分布式数据存储、点对点传输、共识机制、加密算法等计算机技术的 新型应用模式</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微服务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一项在云中部署应用和服务的技术，其基本思想在于考虑围绕着业务 领域组件来创建应用，这些应用可独立地进行开发、管理和加速</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成熟产品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经过用户充分使用验证并经多次迭代形成的功能比较完善的软件系 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基线产品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用于完成产品开发或项目交付，所使用的具备基本功能的自有可复用 软件或系统框架，非用户交付软件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定制软件、定制软件开发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公司根据合同约定，自行研究开发以满足客户个性化需求的软件或为 客户进行个性化软件系统开发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公司对外销售的自行研究开发、拥有自主知识产权的软件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人天类开发或服务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公司技术人员为客户提供开发或技术服务，按照投入的人数及实际工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作天数结算的一类业务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RPA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流程自动化机器人（</w:t>
            </w:r>
            <w:r>
              <w:rPr>
                <w:rFonts w:ascii="Times New Roman" w:eastAsia="Times New Roman" w:hAnsi="Times New Roman" w:cs="Times New Roman"/>
                <w:color w:val="000000"/>
                <w:spacing w:val="0"/>
                <w:w w:val="100"/>
                <w:position w:val="0"/>
                <w:sz w:val="18"/>
                <w:szCs w:val="18"/>
              </w:rPr>
              <w:t>Robotic Process Automation</w:t>
            </w:r>
            <w:r>
              <w:rPr>
                <w:color w:val="000000"/>
                <w:spacing w:val="0"/>
                <w:w w:val="100"/>
                <w:position w:val="0"/>
              </w:rPr>
              <w:t>软件）</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中台，与前台、后台相对应，在系统中被共用的中间件的集合。包含 技术中台、业务中台、组织中台、数据中台等。中台的一个核心就是 共享性</w:t>
            </w:r>
          </w:p>
        </w:tc>
      </w:tr>
    </w:tbl>
    <w:p>
      <w:pPr>
        <w:sectPr>
          <w:footnotePr>
            <w:pos w:val="pageBottom"/>
            <w:numFmt w:val="decimal"/>
            <w:numRestart w:val="continuous"/>
          </w:footnotePr>
          <w:pgSz w:w="11900" w:h="16840"/>
          <w:pgMar w:top="1441" w:right="1139" w:bottom="1556" w:left="1079" w:header="0" w:footer="3" w:gutter="0"/>
          <w:cols w:space="720"/>
          <w:noEndnote/>
          <w:rtlGutter w:val="0"/>
          <w:docGrid w:linePitch="360"/>
        </w:sectPr>
      </w:pPr>
    </w:p>
    <w:p>
      <w:pPr>
        <w:pStyle w:val="Style13"/>
        <w:keepNext/>
        <w:keepLines/>
        <w:widowControl w:val="0"/>
        <w:shd w:val="clear" w:color="auto" w:fill="auto"/>
        <w:bidi w:val="0"/>
        <w:spacing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5"/>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rPr>
        <w:t>一</w:t>
      </w:r>
      <w:bookmarkEnd w:id="14"/>
      <w:r>
        <w:rPr>
          <w:color w:val="000000"/>
          <w:spacing w:val="0"/>
          <w:w w:val="100"/>
          <w:position w:val="0"/>
        </w:rPr>
        <w:t>、公司信息</w:t>
      </w:r>
      <w:bookmarkEnd w:id="12"/>
      <w:bookmarkEnd w:id="13"/>
      <w:bookmarkEnd w:id="15"/>
      <w:bookmarkEnd w:id="11"/>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52" w:val="left"/>
                <w:tab w:pos="5112" w:val="left"/>
              </w:tabs>
              <w:bidi w:val="0"/>
              <w:spacing w:before="0" w:after="0" w:line="240" w:lineRule="auto"/>
              <w:ind w:left="0" w:right="0" w:firstLine="0"/>
              <w:jc w:val="left"/>
              <w:rPr>
                <w:sz w:val="18"/>
                <w:szCs w:val="18"/>
              </w:rPr>
            </w:pPr>
            <w:r>
              <w:rPr>
                <w:color w:val="000000"/>
                <w:spacing w:val="0"/>
                <w:w w:val="100"/>
                <w:position w:val="0"/>
                <w:sz w:val="17"/>
                <w:szCs w:val="17"/>
              </w:rPr>
              <w:t>普联软件</w:t>
              <w:tab/>
              <w:t>股票代码</w:t>
              <w:tab/>
            </w:r>
            <w:r>
              <w:rPr>
                <w:rFonts w:ascii="Times New Roman" w:eastAsia="Times New Roman" w:hAnsi="Times New Roman" w:cs="Times New Roman"/>
                <w:color w:val="000000"/>
                <w:spacing w:val="0"/>
                <w:w w:val="100"/>
                <w:position w:val="0"/>
                <w:sz w:val="18"/>
                <w:szCs w:val="18"/>
              </w:rPr>
              <w:t>300996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Pansoft Company Limited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Pansoft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济南市高新区舜华路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号齐鲁软件园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号楼（创业广场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座）一层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月，公司成立，注册地址：济南市高新区齐鲁软件园大厦二楼；</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月，注册 地址变更为：济南市高新区舜华路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号齐鲁软件园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号楼（创业广场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座）一层。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济南市高新区舜华路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号齐鲁软件园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号楼（创业广场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座）一层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250101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"http://www.pansoft.com" </w:instrText>
            </w:r>
            <w:r>
              <w:fldChar w:fldCharType="separate"/>
            </w:r>
            <w:r>
              <w:rPr>
                <w:rFonts w:ascii="Times New Roman" w:eastAsia="Times New Roman" w:hAnsi="Times New Roman" w:cs="Times New Roman"/>
                <w:color w:val="000000"/>
                <w:spacing w:val="0"/>
                <w:w w:val="100"/>
                <w:position w:val="0"/>
                <w:sz w:val="18"/>
                <w:szCs w:val="18"/>
              </w:rPr>
              <w:t>www.pansoft.com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"mailto:300996@pansoft.com" </w:instrText>
            </w:r>
            <w:r>
              <w:fldChar w:fldCharType="separate"/>
            </w:r>
            <w:r>
              <w:rPr>
                <w:rFonts w:ascii="Times New Roman" w:eastAsia="Times New Roman" w:hAnsi="Times New Roman" w:cs="Times New Roman"/>
                <w:color w:val="000000"/>
                <w:spacing w:val="0"/>
                <w:w w:val="100"/>
                <w:position w:val="0"/>
                <w:sz w:val="18"/>
                <w:szCs w:val="18"/>
              </w:rPr>
              <w:t>300996@pansoft.com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张庆超</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济南市高新区舜华路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号齐鲁软件园</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号楼（创业广场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座）一层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济南市高新区舜华路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号齐鲁软件园</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号楼（创业广场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座）一层</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0531-88897389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0531-88897389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0531-88897389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0531-88897389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"mailto:300996@pansoft.com" </w:instrText>
            </w:r>
            <w:r>
              <w:fldChar w:fldCharType="separate"/>
            </w:r>
            <w:r>
              <w:rPr>
                <w:rFonts w:ascii="Times New Roman" w:eastAsia="Times New Roman" w:hAnsi="Times New Roman" w:cs="Times New Roman"/>
                <w:color w:val="000000"/>
                <w:spacing w:val="0"/>
                <w:w w:val="100"/>
                <w:position w:val="0"/>
                <w:sz w:val="18"/>
                <w:szCs w:val="18"/>
              </w:rPr>
              <w:t>300996@pansoft.com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"mailto:300996@pansoft.com" </w:instrText>
            </w:r>
            <w:r>
              <w:fldChar w:fldCharType="separate"/>
            </w:r>
            <w:r>
              <w:rPr>
                <w:rFonts w:ascii="Times New Roman" w:eastAsia="Times New Roman" w:hAnsi="Times New Roman" w:cs="Times New Roman"/>
                <w:color w:val="000000"/>
                <w:spacing w:val="0"/>
                <w:w w:val="100"/>
                <w:position w:val="0"/>
                <w:sz w:val="18"/>
                <w:szCs w:val="18"/>
              </w:rPr>
              <w:t>300996@pansoft.com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《中国证券报》《证券时报》《上海证券报》《证券日报》，巨潮资讯网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济南市高新区舜华路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号齐鲁软件园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号楼（创业广场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座）一层董 事会办公室</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号赛特广场五层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江涛、郭冬梅</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中泰证券股份有限公司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济南市市中区经七路</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曾丽萍、孙芳晶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422,103,866.51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367,771,593.63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138,575,574.82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83,389,906.25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58,777,401.35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126,368,013.76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79,188,219.82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55,043,233.55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164,172,569.87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92,530,291.89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71,393,032.23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1,125,702,162.50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541,602,484.57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446,373,143.38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924,551,703.78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407,617,971.75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339,529,961.62</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4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5"/>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36,393,355.34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101,676,974.45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74,903,734.57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368,958,395.05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3,111,267.98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27,845,655.13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11,807,281.83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95,811,369.88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2,260,779.76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27,019,733.62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10,309,018.16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86,778,482.22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-87,445,871.97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43,087,616.88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-65,750,903.27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274,281,728.23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31"/>
        <w:keepNext/>
        <w:keepLines/>
        <w:widowControl w:val="0"/>
        <w:shd w:val="clear" w:color="auto" w:fill="auto"/>
        <w:tabs>
          <w:tab w:pos="403"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116,384.84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3,988,368.17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3,579,049.48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3,685,694.34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9,518,702.18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1,415,140.77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481,366.60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-111,077.54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-41,716.86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1,364,155.11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458,580.96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383,362.32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12,207,561.06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4,201,686.43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3,734,167.80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12" w:lineRule="exact"/>
        <w:ind w:left="0" w:right="0" w:firstLine="0"/>
        <w:jc w:val="both"/>
        <w:sectPr>
          <w:footnotePr>
            <w:pos w:val="pageBottom"/>
            <w:numFmt w:val="decimal"/>
            <w:numRestart w:val="continuous"/>
          </w:footnotePr>
          <w:pgSz w:w="11900" w:h="16840"/>
          <w:pgMar w:top="1441" w:right="1134" w:bottom="1451" w:left="1090"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8"/>
          <w:szCs w:val="18"/>
        </w:rPr>
        <w:t>一一</w:t>
      </w:r>
      <w:r>
        <w:rPr>
          <w:color w:val="000000"/>
          <w:spacing w:val="0"/>
          <w:w w:val="100"/>
          <w:position w:val="0"/>
        </w:rPr>
        <w:t>非经常性损益》中列举的非经常性损益项目界定 为经常性损益的项目的情形。</w:t>
      </w:r>
    </w:p>
    <w:p>
      <w:pPr>
        <w:pStyle w:val="Style13"/>
        <w:keepNext/>
        <w:keepLines/>
        <w:widowControl w:val="0"/>
        <w:shd w:val="clear" w:color="auto" w:fill="auto"/>
        <w:bidi w:val="0"/>
        <w:spacing w:before="76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5"/>
        <w:keepNext/>
        <w:keepLines/>
        <w:widowControl w:val="0"/>
        <w:shd w:val="clear" w:color="auto" w:fill="auto"/>
        <w:bidi w:val="0"/>
        <w:spacing w:before="0" w:after="22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、报告期内公司所处行业情况</w:t>
      </w:r>
      <w:bookmarkEnd w:id="56"/>
      <w:bookmarkEnd w:id="57"/>
      <w:bookmarkEnd w:id="59"/>
      <w:bookmarkEnd w:id="55"/>
    </w:p>
    <w:p>
      <w:pPr>
        <w:pStyle w:val="Style21"/>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80" w:line="310" w:lineRule="exact"/>
        <w:ind w:left="0" w:right="0"/>
        <w:jc w:val="both"/>
      </w:pPr>
      <w:bookmarkStart w:id="60" w:name="bookmark60"/>
      <w:r>
        <w:rPr>
          <w:rFonts w:ascii="Times New Roman" w:eastAsia="Times New Roman" w:hAnsi="Times New Roman" w:cs="Times New Roman"/>
          <w:b/>
          <w:bCs/>
          <w:color w:val="000000"/>
          <w:spacing w:val="0"/>
          <w:w w:val="100"/>
          <w:position w:val="0"/>
          <w:sz w:val="18"/>
          <w:szCs w:val="18"/>
        </w:rPr>
        <w:t>1</w:t>
      </w:r>
      <w:bookmarkEnd w:id="60"/>
      <w:r>
        <w:rPr>
          <w:b/>
          <w:bCs/>
          <w:color w:val="000000"/>
          <w:spacing w:val="0"/>
          <w:w w:val="100"/>
          <w:position w:val="0"/>
        </w:rPr>
        <w:t>、软件和信息技术服务行业概览</w:t>
      </w:r>
    </w:p>
    <w:p>
      <w:pPr>
        <w:pStyle w:val="Style21"/>
        <w:keepNext w:val="0"/>
        <w:keepLines w:val="0"/>
        <w:widowControl w:val="0"/>
        <w:shd w:val="clear" w:color="auto" w:fill="auto"/>
        <w:bidi w:val="0"/>
        <w:spacing w:before="0" w:after="220" w:line="310" w:lineRule="exact"/>
        <w:ind w:left="0" w:right="0"/>
        <w:jc w:val="both"/>
      </w:pPr>
      <w:r>
        <w:rPr>
          <w:color w:val="000000"/>
          <w:spacing w:val="0"/>
          <w:w w:val="100"/>
          <w:position w:val="0"/>
        </w:rPr>
        <w:t>公司所属的行业为软件和信息技术服务业。随着《中华人民共和国国民经济和社会发展第十四个五年规划和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 目标纲要》等重要文件的陆续颁布以及软件和信息技术服务业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发展规划全面启动，我国软件产业的产品形态、服务 模式、竞争格局加速演进，软件和信息技术服务业在数字经济发展、社会运行保障方面的作用愈发显著，正在成为重组全球 要素资源、重塑全球经济结构、改变全球竞争格局的关键力量之一。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年，全国软件和信息技术服务业</w:t>
      </w:r>
      <w:r>
        <w:rPr>
          <w:color w:val="070707"/>
          <w:spacing w:val="0"/>
          <w:w w:val="100"/>
          <w:position w:val="0"/>
        </w:rPr>
        <w:t>收入保持较快增长， 盈利能力稳步提升，从业人员规模不断扩大，</w:t>
      </w:r>
      <w:r>
        <w:rPr>
          <w:color w:val="000000"/>
          <w:spacing w:val="0"/>
          <w:w w:val="100"/>
          <w:position w:val="0"/>
        </w:rPr>
        <w:t>规模以上企业超</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万家，累计完成软件业务收入</w:t>
      </w:r>
      <w:r>
        <w:rPr>
          <w:rFonts w:ascii="Times New Roman" w:eastAsia="Times New Roman" w:hAnsi="Times New Roman" w:cs="Times New Roman"/>
          <w:color w:val="000000"/>
          <w:spacing w:val="0"/>
          <w:w w:val="100"/>
          <w:position w:val="0"/>
          <w:sz w:val="18"/>
          <w:szCs w:val="18"/>
        </w:rPr>
        <w:t>94,994</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17.7%</w:t>
      </w:r>
      <w:r>
        <w:rPr>
          <w:color w:val="000000"/>
          <w:spacing w:val="0"/>
          <w:w w:val="100"/>
          <w:position w:val="0"/>
        </w:rPr>
        <w:t>； 实现利润总额</w:t>
      </w:r>
      <w:r>
        <w:rPr>
          <w:rFonts w:ascii="Times New Roman" w:eastAsia="Times New Roman" w:hAnsi="Times New Roman" w:cs="Times New Roman"/>
          <w:color w:val="000000"/>
          <w:spacing w:val="0"/>
          <w:w w:val="100"/>
          <w:position w:val="0"/>
          <w:sz w:val="18"/>
          <w:szCs w:val="18"/>
        </w:rPr>
        <w:t>11,875</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；从业人员平均人数</w:t>
      </w:r>
      <w:r>
        <w:rPr>
          <w:rFonts w:ascii="Times New Roman" w:eastAsia="Times New Roman" w:hAnsi="Times New Roman" w:cs="Times New Roman"/>
          <w:color w:val="000000"/>
          <w:spacing w:val="0"/>
          <w:w w:val="100"/>
          <w:position w:val="0"/>
          <w:sz w:val="18"/>
          <w:szCs w:val="18"/>
        </w:rPr>
        <w:t>809</w:t>
      </w:r>
      <w:r>
        <w:rPr>
          <w:color w:val="000000"/>
          <w:spacing w:val="0"/>
          <w:w w:val="100"/>
          <w:position w:val="0"/>
        </w:rPr>
        <w:t>万人，同比增长</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w:t>
      </w:r>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软件和信息技术服务业为国家长期大力支持发展的行业，利好政策不断。软件和信息技术服务业主要法规和政策:</w:t>
      </w:r>
    </w:p>
    <w:tbl>
      <w:tblPr>
        <w:tblOverlap w:val="never"/>
        <w:jc w:val="center"/>
        <w:tblLayout w:type="fixed"/>
      </w:tblPr>
      <w:tblGrid>
        <w:gridCol w:w="864"/>
        <w:gridCol w:w="869"/>
        <w:gridCol w:w="2126"/>
        <w:gridCol w:w="5251"/>
      </w:tblGrid>
      <w:tr>
        <w:trPr>
          <w:trHeight w:val="437"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发文单位</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文件名称</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主要内容</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《促进大数据发展行动纲</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180"/>
              <w:jc w:val="both"/>
            </w:pPr>
            <w:r>
              <w:rPr>
                <w:color w:val="000000"/>
                <w:spacing w:val="0"/>
                <w:w w:val="100"/>
                <w:position w:val="0"/>
              </w:rPr>
              <w:t>加大大数据关键技术研发、产业发展和人才培养力度，着力推进 数据汇集和发掘，深化大数据在各行业创新应用，促进大数据产业 健康发展。</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《关于促进云计算创新发 展培育信息产业新业态的 意见》（国发〔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180"/>
              <w:jc w:val="both"/>
            </w:pPr>
            <w:r>
              <w:rPr>
                <w:color w:val="000000"/>
                <w:spacing w:val="0"/>
                <w:w w:val="100"/>
                <w:position w:val="0"/>
              </w:rPr>
              <w:t>充分发挥云计算对数据资源集聚作用，实现数据资源的融合共享， 推动大数据挖掘、分析、应用和服务。</w:t>
            </w:r>
          </w:p>
        </w:tc>
      </w:tr>
      <w:tr>
        <w:trPr>
          <w:trHeight w:val="19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工业和信 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《信息产业发展指南》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180"/>
              <w:jc w:val="both"/>
            </w:pPr>
            <w:r>
              <w:rPr>
                <w:color w:val="000000"/>
                <w:spacing w:val="0"/>
                <w:w w:val="100"/>
                <w:position w:val="0"/>
              </w:rPr>
              <w:t>提出了增强体系化创新能力、构建协同优化的产业结构、促进信 息技术深度融合应用、建设新一代信息基础设施、提升信息通信和 无线电行业管理水平、强化信息产业安全保障能力、增强国际化发 展能力</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大任务，确定了集成电路、基础电子、基础软件和工业软件、 关键应用软件和行业解决方案、智能硬件和应用电子、计算机与通 信设备、大数据、云计算、物联网</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个领域的发展重点。</w:t>
            </w:r>
          </w:p>
        </w:tc>
      </w:tr>
      <w:tr>
        <w:trPr>
          <w:trHeight w:val="22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left"/>
            </w:pPr>
            <w:r>
              <w:rPr>
                <w:color w:val="000000"/>
                <w:spacing w:val="0"/>
                <w:w w:val="100"/>
                <w:position w:val="0"/>
              </w:rPr>
              <w:t>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 划》</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180"/>
              <w:jc w:val="both"/>
            </w:pPr>
            <w:r>
              <w:rPr>
                <w:color w:val="000000"/>
                <w:spacing w:val="0"/>
                <w:w w:val="100"/>
                <w:position w:val="0"/>
              </w:rPr>
              <w:t>打造自主先进的技术体系，努力增强信息领域核心技术设备自主 创新能力，建立新一代网络技术体系、云计算技术体系、端计算技 术体系和安全技术体系。集成电路、基础软件、核心元器件等关键 薄弱环节实现系统性突破。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技术研发和标准制定取得突破性进展 并启动商用。云计算、大数据、物联网、移动互联网等核心技术接 近国际先进水平。部分前沿技术、颠覆性技术在全球率先取得突破， 成为全球网信产业重要领导者。</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工业和信 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《软件和信息技术服务业 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2016-2020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180"/>
              <w:jc w:val="both"/>
            </w:pPr>
            <w:r>
              <w:rPr>
                <w:color w:val="000000"/>
                <w:spacing w:val="0"/>
                <w:w w:val="100"/>
                <w:position w:val="0"/>
              </w:rPr>
              <w:t>面向基础软件、高端工业软件、云计算、大数据、信息安全、人 工智能等重点领域和重大需求，加强产学研用对接，布局国家级创 新中心建设，建立以快速应用为导向的创新成果持续改进提高机制， 加快核心技术成果的转化。</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《云计算发展三年行动计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年，云计算网络安全保障能力明显提高，网络安全监管体</w:t>
            </w:r>
          </w:p>
        </w:tc>
      </w:tr>
    </w:tbl>
    <w:p>
      <w:pPr>
        <w:spacing w:lineRule="exact" w:line="1"/>
        <w:rPr>
          <w:sz w:val="2"/>
          <w:szCs w:val="2"/>
        </w:rPr>
      </w:pPr>
      <w:r>
        <w:br w:type="page"/>
      </w:r>
    </w:p>
    <w:tbl>
      <w:tblPr>
        <w:tblOverlap w:val="never"/>
        <w:jc w:val="center"/>
        <w:tblLayout w:type="fixed"/>
      </w:tblPr>
      <w:tblGrid>
        <w:gridCol w:w="864"/>
        <w:gridCol w:w="869"/>
        <w:gridCol w:w="2126"/>
        <w:gridCol w:w="5251"/>
      </w:tblGrid>
      <w:tr>
        <w:trPr>
          <w:trHeight w:val="10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both"/>
            </w:pPr>
            <w:r>
              <w:rPr>
                <w:color w:val="000000"/>
                <w:spacing w:val="0"/>
                <w:w w:val="100"/>
                <w:position w:val="0"/>
              </w:rPr>
              <w:t>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系和法规体系逐步健全。云计算成为信息化建设主要形态和建设网 络强国、制造强国的重要支撑，推动经济社会各领域信息化水平大 幅提高。</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工业和信 息化部、国 家发展改 革委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《扩大和升级信息消费三 年行动计划（</w:t>
            </w:r>
            <w:r>
              <w:rPr>
                <w:rFonts w:ascii="Times New Roman" w:eastAsia="Times New Roman" w:hAnsi="Times New Roman" w:cs="Times New Roman"/>
                <w:color w:val="000000"/>
                <w:spacing w:val="0"/>
                <w:w w:val="100"/>
                <w:position w:val="0"/>
                <w:sz w:val="18"/>
                <w:szCs w:val="18"/>
              </w:rPr>
              <w:t xml:space="preserve">2018-2020 </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发布信息技术服务标准（</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）体系</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版，持续开展贯标活动， 支持企业以标准为引领加快提升综合集成服务能力。</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工业和信 息化部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《推动企业上云实施指南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180"/>
              <w:jc w:val="both"/>
            </w:pPr>
            <w:r>
              <w:rPr>
                <w:color w:val="000000"/>
                <w:spacing w:val="0"/>
                <w:w w:val="100"/>
                <w:position w:val="0"/>
              </w:rPr>
              <w:t>全国新增上云企业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万家，形成典型标杆应用案例</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个以上， 形成一批有影响力、带动力的云平台和企业上云体验中心。</w:t>
            </w:r>
          </w:p>
        </w:tc>
      </w:tr>
      <w:tr>
        <w:trPr>
          <w:trHeight w:val="16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中央全面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深化改革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《关于促进人工智能和实 体经济深度融合的指导意 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促进人工智能和实体经济深度融合，要把握新一代人工智能发展 的特点，坚持以市场需求为导向，以产业应用为目标，深化改革创 新，优化制度环境，激发企业创新活力和内生动力，结合不同企业、 不同区域特点，探索创新成果应用转化的路径和方法，构建数据驱 动、人机协同、跨界融合、共创分享的智能经济形态。</w:t>
            </w:r>
          </w:p>
        </w:tc>
      </w:tr>
      <w:tr>
        <w:trPr>
          <w:trHeight w:val="10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国资委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《关于加快推进国有企业 数字化转型工作的通知》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180"/>
              <w:jc w:val="both"/>
            </w:pPr>
            <w:r>
              <w:rPr>
                <w:color w:val="000000"/>
                <w:spacing w:val="0"/>
                <w:w w:val="100"/>
                <w:position w:val="0"/>
              </w:rPr>
              <w:t>通知提出突出重点，打造行业数字化转型示范样板，其中明确指 出要打造能源类企业数字化转型示范和打造建筑类企业数字化转型 示范。</w:t>
            </w:r>
          </w:p>
        </w:tc>
      </w:tr>
      <w:tr>
        <w:trPr>
          <w:trHeight w:val="136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both"/>
            </w:pPr>
            <w:r>
              <w:rPr>
                <w:color w:val="000000"/>
                <w:spacing w:val="0"/>
                <w:w w:val="100"/>
                <w:position w:val="0"/>
              </w:rPr>
              <w:t>国务院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《中华人民共和国国民经 济和社会发展第十四个五 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 纲要》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充分发挥海量数据和丰富应用场景优势，促进数字技术与实体经 济深度融合，赋能传统产业转型升级，催生新产业新业态新模式， 壮大经济发展新引擎。</w:t>
            </w:r>
          </w:p>
        </w:tc>
      </w:tr>
      <w:tr>
        <w:trPr>
          <w:trHeight w:val="29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工业和信 息化部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 和信息技术服务业发展规 划的通知》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1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时期，将围绕软件产业链，重点从三方面发力：一是稳 固上游，夯实开发环境、工具等产业链上游基础软件实力。二是攻 坚中游，提升工业软件、应用软件、平台软件、嵌入式软件等产业 链中游的软件水平。三是做优下游，增加产业链下游信息技术服务 产品供给。</w:t>
            </w:r>
          </w:p>
          <w:p>
            <w:pPr>
              <w:pStyle w:val="Style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注重把培育壮大市场主体与提高产业集聚发展水平结合起来，重 点推动以下工作：一是积极做强做大骨干企业，二是构建协同发展 企业梯队，三是推动中小企业专业化、特色化发展，四是推动产业 高效集聚发展。</w:t>
            </w:r>
          </w:p>
        </w:tc>
      </w:tr>
      <w:tr>
        <w:trPr>
          <w:trHeight w:val="198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both"/>
            </w:pPr>
            <w:r>
              <w:rPr>
                <w:color w:val="000000"/>
                <w:spacing w:val="0"/>
                <w:w w:val="100"/>
                <w:position w:val="0"/>
              </w:rPr>
              <w:t>国务院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《国务院关于印发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数字经济发展规划的通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立足新发展阶段，完整、准确、全面贯彻新发展理念，构建新发 展格局，推动高质量发展，统筹发展和安全、统筹国内和国际，以 数据为关键要素，以数字技术与实体经济深度融合为主线，加强数 字基础设施建设，完善数字经济治理体系，协同推进数字产业化和 产业数字化，赋能传统产业转型升级，培育新产业新业态新模式， 不断做强做优做大我国数字经济，为构建数字中国提供有力支撑。</w:t>
            </w:r>
          </w:p>
        </w:tc>
      </w:tr>
      <w:tr>
        <w:trPr>
          <w:trHeight w:val="137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160"/>
              <w:jc w:val="both"/>
            </w:pPr>
            <w:r>
              <w:rPr>
                <w:color w:val="000000"/>
                <w:spacing w:val="0"/>
                <w:w w:val="100"/>
                <w:position w:val="0"/>
              </w:rPr>
              <w:t>国资委</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《关于中央企业加快建设 世界一流财务管理体系的 指导意见》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180"/>
              <w:jc w:val="both"/>
            </w:pPr>
            <w:r>
              <w:rPr>
                <w:color w:val="000000"/>
                <w:spacing w:val="0"/>
                <w:w w:val="100"/>
                <w:position w:val="0"/>
              </w:rPr>
              <w:t>以数字技术与财务管理深度融合为抓手，固根基、强职能、优保 障，加快构建世界一流财务管理体系，有力支撑服务国家战略，有 力支撑建设世界一流企业，有力支撑增强国有经济竞争力、创新力、 控制力、影响力、抗风险能力。</w:t>
            </w:r>
          </w:p>
        </w:tc>
      </w:tr>
    </w:tbl>
    <w:p>
      <w:pPr>
        <w:pStyle w:val="Style27"/>
        <w:keepNext w:val="0"/>
        <w:keepLines w:val="0"/>
        <w:widowControl w:val="0"/>
        <w:shd w:val="clear" w:color="auto" w:fill="auto"/>
        <w:bidi w:val="0"/>
        <w:spacing w:before="0" w:after="0" w:line="240" w:lineRule="auto"/>
        <w:ind w:left="77"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、主要客户所处行业和主要业务领域的信息化概况</w:t>
      </w:r>
    </w:p>
    <w:p>
      <w:pPr>
        <w:pStyle w:val="Style21"/>
        <w:keepNext w:val="0"/>
        <w:keepLines w:val="0"/>
        <w:widowControl w:val="0"/>
        <w:numPr>
          <w:ilvl w:val="0"/>
          <w:numId w:val="1"/>
        </w:numPr>
        <w:shd w:val="clear" w:color="auto" w:fill="auto"/>
        <w:tabs>
          <w:tab w:pos="765" w:val="left"/>
        </w:tabs>
        <w:bidi w:val="0"/>
        <w:spacing w:before="0" w:after="100" w:line="313" w:lineRule="exact"/>
        <w:ind w:left="0" w:right="0" w:firstLine="380"/>
        <w:jc w:val="both"/>
      </w:pPr>
      <w:bookmarkStart w:id="61" w:name="bookmark61"/>
      <w:bookmarkEnd w:id="61"/>
      <w:r>
        <w:rPr>
          <w:color w:val="000000"/>
          <w:spacing w:val="0"/>
          <w:w w:val="100"/>
          <w:position w:val="0"/>
        </w:rPr>
        <w:t>油气行业信息化概况</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公司现有主要客户集中于油气行业，该行业信息化总体水平较高，已经基本完成生产、经营、管理等领域的主要信息化 系统建设工作，集团公司统建的管理信息系统已经覆盖绝大部分核心管理流程，集团管控和业务协同能力大大加强，信息化 已经成为其竞争力的重要组成部分。</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目前，全球能源行业正面临着全方位、颠覆性的深刻变革，电动革命、市场革命、数字革命、绿色革命加速演进，以新 一代信息技术与经济社会各领域深度融合为特征的第四次工业革命迅猛发展，数字化、网络化、智能化正在重塑全球社会、 政治、经济格局，技术融合突破和产业优化升级加快推进，国际领先的油气公司都在加快推进数字化转型。</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为充分发挥国有企业在新一轮变革浪潮中的引领作用，各大油气公司纷纷把加快数字化转型作为公司重要任务，通过将 数字技术融入到油气产业链的产品、服务和流程中，推动公司发展理念、工作模式、运营管理、科技研发、管理机制等方面 的变革，打造智能化生产、网络化协同、个性化服务等新能力，开创基于用户、数据、创新驱动的新商业模式、新生产方式 和新产业生态，从而加快推动数字化转型智能化发展，促进数字技术与油气业务的融合创新，推进基业长青的世界一流企业 建设。</w:t>
      </w:r>
    </w:p>
    <w:p>
      <w:pPr>
        <w:pStyle w:val="Style21"/>
        <w:keepNext w:val="0"/>
        <w:keepLines w:val="0"/>
        <w:widowControl w:val="0"/>
        <w:numPr>
          <w:ilvl w:val="0"/>
          <w:numId w:val="1"/>
        </w:numPr>
        <w:shd w:val="clear" w:color="auto" w:fill="auto"/>
        <w:tabs>
          <w:tab w:pos="765" w:val="left"/>
        </w:tabs>
        <w:bidi w:val="0"/>
        <w:spacing w:before="0" w:after="100" w:line="313" w:lineRule="exact"/>
        <w:ind w:left="0" w:right="0" w:firstLine="380"/>
        <w:jc w:val="both"/>
      </w:pPr>
      <w:bookmarkStart w:id="62" w:name="bookmark62"/>
      <w:bookmarkEnd w:id="62"/>
      <w:r>
        <w:rPr>
          <w:color w:val="000000"/>
          <w:spacing w:val="0"/>
          <w:w w:val="100"/>
          <w:position w:val="0"/>
        </w:rPr>
        <w:t>建筑行业信息化概况</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建筑行业是我国国民经济的重要支柱产业，作为建筑产业大国，我国建筑工程规模排在世界前列，但与此同时，建筑产 业的数字化进程却仍相对滞后。尤其在新冠疫情爆发的特殊背景下，建筑业传统建造方式受到较大冲击，粗放型发展模式已 难以为继，迫切需要通过加快推动智能建造与建筑工业化协同发展，集成</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w:t>
      </w:r>
      <w:r>
        <w:rPr>
          <w:color w:val="000000"/>
          <w:spacing w:val="0"/>
          <w:w w:val="100"/>
          <w:position w:val="0"/>
        </w:rPr>
        <w:t>云计算、大数据、物联网、区块链、</w:t>
      </w:r>
      <w:r>
        <w:rPr>
          <w:rFonts w:ascii="Times New Roman" w:eastAsia="Times New Roman" w:hAnsi="Times New Roman" w:cs="Times New Roman"/>
          <w:color w:val="000000"/>
          <w:spacing w:val="0"/>
          <w:w w:val="100"/>
          <w:position w:val="0"/>
          <w:sz w:val="18"/>
          <w:szCs w:val="18"/>
        </w:rPr>
        <w:t xml:space="preserve">AR/VR </w:t>
      </w:r>
      <w:r>
        <w:rPr>
          <w:color w:val="000000"/>
          <w:spacing w:val="0"/>
          <w:w w:val="100"/>
          <w:position w:val="0"/>
        </w:rPr>
        <w:t>等新技术，形成智能建造产业体系，走出内涵集约式高质量发展新路。</w:t>
      </w:r>
    </w:p>
    <w:p>
      <w:pPr>
        <w:pStyle w:val="Style21"/>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建筑业发展规划》中指出以推动建筑业高质量发展为主题，以深化供给侧结构性改革为主线，以推动智能建 造与新型建筑工业化协同发展为动力，加快建筑业转型升级。十四五期间，将重点在五个方面加强建筑业数字化水平：一是 完善智能建造政策和产业体系；二是夯实标准化和数字化基础，加快推进建筑信息模型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w:t>
      </w:r>
      <w:r>
        <w:rPr>
          <w:color w:val="000000"/>
          <w:spacing w:val="0"/>
          <w:w w:val="100"/>
          <w:position w:val="0"/>
        </w:rPr>
        <w:t>技术在工程全寿命期的集成 应用，健全数据交互和安全标准，强化设计、生产、施工各环节数字化协同，推动工程建设全过程数字化成果交付和应用； 三是打造建筑产业互联网平台，开展建筑产业互联网平台建设试点，探索适合不同应用场景的系统解决方案，培育一批行业 级、企业级、项目级建筑产业互联网平台，建设政府监管平台；四是鼓励建筑企业、互联网企业和科研院所等开展合作，加 强物联网、大数据、云计算、人工智能、区块链等新一代信息技术在建筑领域中的融合应用；五是加快建筑机器人研发和应 用，加强新型传感、智能控制和优化、多机协同、人机协作等建筑机器人核心技术研究，研究编制关键技术标准，形成一批 建筑机器人标志性产品。</w:t>
      </w:r>
    </w:p>
    <w:p>
      <w:pPr>
        <w:pStyle w:val="Style2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建筑行业大型集团企业已经开始发力信息化、数字化建设，提出以信息化、数字化转型打造新时代建筑企业核心竞争力 的目标，全面开展横向覆盖财务、资金、项目管理、供应链、人力资源、市场营销等业务领域，纵向穿透集团各层级组织机 构的业财一体的信息化平台建设。中国建筑集团信息化大会暨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中建</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启动会指出集团上下要积极践行新发展理念， 以建成建筑产业互联网为目标，打造技术、大数据和云计算三大平台，建设数字指挥决策、产业链数字化、海外信息化提升、 企业管理协同、产业互联网奠基与信息化基础设施云化六大项目群的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中建</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，进一步提升集团信息化水平，加快推 进集团数字化转型；会议指出要将信息化建设摆在重要位置，充分认识信息化工作的重要性、必要性，充分发挥信息化在企 业改革发展中的赋能作用，加强与信息技术领域优秀企业深度合作，共同培育发展建筑产业互联网，构筑数字经济新支柱， 为产业高质量发展注入强大动力，让传统的建筑产业焕发出新的生命力。</w:t>
      </w:r>
    </w:p>
    <w:p>
      <w:pPr>
        <w:pStyle w:val="Style2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总之，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以及未来一个时期内，建筑行业信息化将呈现出一个加速增长的态势</w:t>
      </w:r>
      <w:r>
        <w:rPr>
          <w:color w:val="000000"/>
          <w:spacing w:val="0"/>
          <w:w w:val="100"/>
          <w:position w:val="0"/>
          <w:sz w:val="18"/>
          <w:szCs w:val="18"/>
        </w:rPr>
        <w:t>，</w:t>
      </w:r>
      <w:r>
        <w:rPr>
          <w:color w:val="000000"/>
          <w:spacing w:val="0"/>
          <w:w w:val="100"/>
          <w:position w:val="0"/>
        </w:rPr>
        <w:t>市场空间巨大。</w:t>
      </w:r>
    </w:p>
    <w:p>
      <w:pPr>
        <w:pStyle w:val="Style21"/>
        <w:keepNext w:val="0"/>
        <w:keepLines w:val="0"/>
        <w:widowControl w:val="0"/>
        <w:numPr>
          <w:ilvl w:val="0"/>
          <w:numId w:val="1"/>
        </w:numPr>
        <w:shd w:val="clear" w:color="auto" w:fill="auto"/>
        <w:tabs>
          <w:tab w:pos="765" w:val="left"/>
        </w:tabs>
        <w:bidi w:val="0"/>
        <w:spacing w:before="0" w:after="100" w:line="313" w:lineRule="exact"/>
        <w:ind w:left="0" w:right="0" w:firstLine="380"/>
        <w:jc w:val="both"/>
      </w:pPr>
      <w:bookmarkStart w:id="63" w:name="bookmark63"/>
      <w:bookmarkEnd w:id="63"/>
      <w:r>
        <w:rPr>
          <w:color w:val="000000"/>
          <w:spacing w:val="0"/>
          <w:w w:val="100"/>
          <w:position w:val="0"/>
        </w:rPr>
        <w:t>主要业务领域信息化概况</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为贯彻落实党的十九大报告提出的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培育具有全球竞争力的世界一流企业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的要求，国务院国资委陆续出台了一系列的指 导性文件，要求中央企业持续加强资金管理、推行全面预算管理、完善财务管理体系等。</w:t>
      </w:r>
    </w:p>
    <w:p>
      <w:pPr>
        <w:pStyle w:val="Style21"/>
        <w:keepNext w:val="0"/>
        <w:keepLines w:val="0"/>
        <w:widowControl w:val="0"/>
        <w:shd w:val="clear" w:color="auto" w:fill="auto"/>
        <w:bidi w:val="0"/>
        <w:spacing w:before="0" w:after="100" w:line="307" w:lineRule="exact"/>
        <w:ind w:left="0" w:right="0" w:firstLine="380"/>
        <w:jc w:val="both"/>
      </w:pPr>
      <w:r>
        <w:rPr>
          <w:color w:val="000000"/>
          <w:spacing w:val="0"/>
          <w:w w:val="100"/>
          <w:position w:val="0"/>
        </w:rPr>
        <w:t xml:space="preserve">国资委在《关于推动中央企业加快司库体系建设进一步加强资金管理的意见》中明确指出中央企业要充分认识推进司库 体系建设的必要性和紧迫性，主动把握新一轮信息技术革命和数字经济快速发展的战略机遇，围绕创建世界一流财务管理体 </w:t>
      </w:r>
      <w:r>
        <w:rPr>
          <w:color w:val="000000"/>
          <w:spacing w:val="0"/>
          <w:w w:val="100"/>
          <w:position w:val="0"/>
        </w:rPr>
        <w:t>系，将司库体系建设作为促进财务管理数字化转型升级的切入点和突破口，重构内部资金等金融资源管理体系，进一步加强 资金的集约、高效、安全管理，促进业财深度融合，推动企业管理创新与组织变革，不断增强企业价值创造力、核心竞争力 和抗风险能力，夯实培育世界一流企业的管理基础。指导意见还提出了建设司库体系明确的时间表和具体的管理要求。</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国资委《关于中央企业加快建设世界一流财务管理体系的指导意见》中明确指出财务管理是企业管理的中心环节，是企 业实现基业长青的重要基础和保障。中央企业要以数字技术与财务管理深度融合为抓手，固根基、强职能、优保障，加快构 建世界一流财务管理体系，有力支撑服务国家战略，有力支撑建设世界一流企业，有力支撑增强国有经济竞争力、创新力、 控制力、影响力、抗风险能力。中央企业要主动运用大数据、人工智能、移动互联网、云计算、区块链等新技术，充分发挥 财务作为天然数据中心的优势，推动财务管理从信息化向数字化、智能化转型，实现以核算场景为基础向业务场景为核心转 换，努力成为企业数字化转型的先行者、引领者、推动者，为加快产业数字化、数字产业化注智赋能。</w:t>
      </w:r>
    </w:p>
    <w:p>
      <w:pPr>
        <w:pStyle w:val="Style25"/>
        <w:keepNext/>
        <w:keepLines/>
        <w:widowControl w:val="0"/>
        <w:shd w:val="clear" w:color="auto" w:fill="auto"/>
        <w:bidi w:val="0"/>
        <w:spacing w:before="0" w:after="26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rPr>
        <w:t>二</w:t>
      </w:r>
      <w:bookmarkEnd w:id="66"/>
      <w:r>
        <w:rPr>
          <w:color w:val="000000"/>
          <w:spacing w:val="0"/>
          <w:w w:val="100"/>
          <w:position w:val="0"/>
        </w:rPr>
        <w:t>、报告期内公司从事的主要业务</w:t>
      </w:r>
      <w:bookmarkEnd w:id="64"/>
      <w:bookmarkEnd w:id="65"/>
      <w:bookmarkEnd w:id="67"/>
    </w:p>
    <w:p>
      <w:pPr>
        <w:pStyle w:val="Style21"/>
        <w:keepNext w:val="0"/>
        <w:keepLines w:val="0"/>
        <w:widowControl w:val="0"/>
        <w:shd w:val="clear" w:color="auto" w:fill="auto"/>
        <w:tabs>
          <w:tab w:pos="481" w:val="left"/>
        </w:tabs>
        <w:bidi w:val="0"/>
        <w:spacing w:before="0" w:after="100" w:line="312" w:lineRule="exact"/>
        <w:ind w:left="0" w:right="0" w:firstLine="0"/>
        <w:jc w:val="left"/>
      </w:pPr>
      <w:bookmarkStart w:id="68" w:name="bookmark68"/>
      <w:r>
        <w:rPr>
          <w:b/>
          <w:bCs/>
          <w:color w:val="000000"/>
          <w:spacing w:val="0"/>
          <w:w w:val="100"/>
          <w:position w:val="0"/>
        </w:rPr>
        <w:t>（</w:t>
      </w:r>
      <w:bookmarkEnd w:id="68"/>
      <w:r>
        <w:rPr>
          <w:b/>
          <w:bCs/>
          <w:color w:val="000000"/>
          <w:spacing w:val="0"/>
          <w:w w:val="100"/>
          <w:position w:val="0"/>
        </w:rPr>
        <w:t>一）</w:t>
        <w:tab/>
        <w:t>主营业务基本情况</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公司主营业务是为大型集团企业提供管理信息化方案及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综合服务，致力于应用云计算、大数据、人工智能等新一代信 息技术，推动企业运营管理数字化、智能化。目前主要面向石油、石化、建筑、地产及金融保险领域客户，提供管理信息系 统的方案设计、软件开发、系统实施及运维服务，提供管理软件产品及售后服务。公司的产品、方案和服务主要聚焦于集团 财务管控、资金集中管理、财务共享服务、数据应用服务以及信息系统集成等领域，正在积极拓展智慧工地、数字建造等建 筑行业产业互联网相关业务。</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公司主要客户包括中国石油、中国石化、中国海油、国家管网、中国建筑五大央企长期战略客户，中国通用技术、中国 中铁、中国铁建、中国华能、中航集团、中国广核、上汽集团、山东港口集团等其他央企及地方国企客户；万达集团、新希 望集团、龙湖集团、融创集团、小米集团等行业龙头企业；中国平安、中国人寿、太平洋保险等逾百家保险行业客户以及浦 发银行、全国股转公司等。</w:t>
      </w:r>
    </w:p>
    <w:p>
      <w:pPr>
        <w:pStyle w:val="Style21"/>
        <w:keepNext w:val="0"/>
        <w:keepLines w:val="0"/>
        <w:widowControl w:val="0"/>
        <w:shd w:val="clear" w:color="auto" w:fill="auto"/>
        <w:tabs>
          <w:tab w:pos="481" w:val="left"/>
        </w:tabs>
        <w:bidi w:val="0"/>
        <w:spacing w:before="0" w:after="100" w:line="312" w:lineRule="exact"/>
        <w:ind w:left="0" w:right="0" w:firstLine="0"/>
        <w:jc w:val="left"/>
      </w:pPr>
      <w:bookmarkStart w:id="69" w:name="bookmark69"/>
      <w:r>
        <w:rPr>
          <w:b/>
          <w:bCs/>
          <w:color w:val="000000"/>
          <w:spacing w:val="0"/>
          <w:w w:val="100"/>
          <w:position w:val="0"/>
        </w:rPr>
        <w:t>（</w:t>
      </w:r>
      <w:bookmarkEnd w:id="69"/>
      <w:r>
        <w:rPr>
          <w:b/>
          <w:bCs/>
          <w:color w:val="000000"/>
          <w:spacing w:val="0"/>
          <w:w w:val="100"/>
          <w:position w:val="0"/>
        </w:rPr>
        <w:t>二）</w:t>
        <w:tab/>
        <w:t>公司主要业务模式</w:t>
      </w:r>
    </w:p>
    <w:p>
      <w:pPr>
        <w:pStyle w:val="Style21"/>
        <w:keepNext w:val="0"/>
        <w:keepLines w:val="0"/>
        <w:widowControl w:val="0"/>
        <w:shd w:val="clear" w:color="auto" w:fill="auto"/>
        <w:bidi w:val="0"/>
        <w:spacing w:before="0" w:after="220" w:line="312" w:lineRule="exact"/>
        <w:ind w:left="0" w:right="0"/>
        <w:jc w:val="both"/>
      </w:pPr>
      <w:r>
        <w:rPr>
          <w:color w:val="000000"/>
          <w:spacing w:val="0"/>
          <w:w w:val="100"/>
          <w:position w:val="0"/>
        </w:rPr>
        <w:t>大型集团客户和优势业务领域是公司业务拓展的重点方向。公司充分考虑自身业务特点，通过布局相应的业务机构、采 用针对性的销售策略拓展客户。</w:t>
      </w:r>
    </w:p>
    <w:p>
      <w:pPr>
        <w:pStyle w:val="Style21"/>
        <w:keepNext w:val="0"/>
        <w:keepLines w:val="0"/>
        <w:widowControl w:val="0"/>
        <w:shd w:val="clear" w:color="auto" w:fill="auto"/>
        <w:tabs>
          <w:tab w:pos="644" w:val="left"/>
        </w:tabs>
        <w:bidi w:val="0"/>
        <w:spacing w:before="0" w:after="0" w:line="360" w:lineRule="auto"/>
        <w:ind w:left="0" w:right="0"/>
        <w:jc w:val="both"/>
      </w:pPr>
      <w:bookmarkStart w:id="70" w:name="bookmark70"/>
      <w:r>
        <w:rPr>
          <w:rFonts w:ascii="Times New Roman" w:eastAsia="Times New Roman" w:hAnsi="Times New Roman" w:cs="Times New Roman"/>
          <w:b/>
          <w:bCs/>
          <w:color w:val="000000"/>
          <w:spacing w:val="0"/>
          <w:w w:val="100"/>
          <w:position w:val="0"/>
          <w:sz w:val="18"/>
          <w:szCs w:val="18"/>
        </w:rPr>
        <w:t>1</w:t>
      </w:r>
      <w:bookmarkEnd w:id="70"/>
      <w:r>
        <w:rPr>
          <w:b/>
          <w:bCs/>
          <w:color w:val="000000"/>
          <w:spacing w:val="0"/>
          <w:w w:val="100"/>
          <w:position w:val="0"/>
        </w:rPr>
        <w:t>、</w:t>
        <w:tab/>
        <w:t>组织方式</w:t>
      </w:r>
    </w:p>
    <w:p>
      <w:pPr>
        <w:pStyle w:val="Style21"/>
        <w:keepNext w:val="0"/>
        <w:keepLines w:val="0"/>
        <w:widowControl w:val="0"/>
        <w:shd w:val="clear" w:color="auto" w:fill="auto"/>
        <w:bidi w:val="0"/>
        <w:spacing w:before="0" w:after="220" w:line="314" w:lineRule="exact"/>
        <w:ind w:left="0" w:right="0"/>
        <w:jc w:val="both"/>
      </w:pPr>
      <w:r>
        <w:rPr>
          <w:color w:val="000000"/>
          <w:spacing w:val="0"/>
          <w:w w:val="100"/>
          <w:position w:val="0"/>
        </w:rPr>
        <w:t>公司采用事业部为主体、区域本地化服务机构协同的运营管理模式，公司设有石油、石化、油田、建筑、</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w:t>
      </w:r>
      <w:r>
        <w:rPr>
          <w:color w:val="000000"/>
          <w:spacing w:val="0"/>
          <w:w w:val="100"/>
          <w:position w:val="0"/>
        </w:rPr>
        <w:t>共享 服务等多个行业及专业领域事业部，设有面向建筑行业的控股子公司，并在北京、深圳、香港、成都、西安、乌鲁木齐、库 尔勒等地设有区域机构；公司设有平台研发部门和产品研发部门，专职从事技术平台研发和产品研发工作，以平台研发、产 品研发和项目研发相结合的方式，满足</w:t>
      </w:r>
      <w:r>
        <w:rPr>
          <w:rFonts w:ascii="Times New Roman" w:eastAsia="Times New Roman" w:hAnsi="Times New Roman" w:cs="Times New Roman"/>
          <w:color w:val="000000"/>
          <w:spacing w:val="0"/>
          <w:w w:val="100"/>
          <w:position w:val="0"/>
          <w:sz w:val="18"/>
          <w:szCs w:val="18"/>
        </w:rPr>
        <w:t>To B</w:t>
      </w:r>
      <w:r>
        <w:rPr>
          <w:color w:val="000000"/>
          <w:spacing w:val="0"/>
          <w:w w:val="100"/>
          <w:position w:val="0"/>
        </w:rPr>
        <w:t>模式下客户大规模批量化定制的需求，并同步实现解决方案、产品、平台的积累、 进化和推广。该组织方式适合公司目前的业务拓展战略，具有较高的运行效率和服务质量。</w:t>
      </w:r>
    </w:p>
    <w:p>
      <w:pPr>
        <w:pStyle w:val="Style21"/>
        <w:keepNext w:val="0"/>
        <w:keepLines w:val="0"/>
        <w:widowControl w:val="0"/>
        <w:shd w:val="clear" w:color="auto" w:fill="auto"/>
        <w:tabs>
          <w:tab w:pos="658" w:val="left"/>
        </w:tabs>
        <w:bidi w:val="0"/>
        <w:spacing w:before="0" w:after="0" w:line="360" w:lineRule="auto"/>
        <w:ind w:left="0" w:right="0"/>
        <w:jc w:val="both"/>
      </w:pPr>
      <w:bookmarkStart w:id="71" w:name="bookmark71"/>
      <w:r>
        <w:rPr>
          <w:rFonts w:ascii="Times New Roman" w:eastAsia="Times New Roman" w:hAnsi="Times New Roman" w:cs="Times New Roman"/>
          <w:b/>
          <w:bCs/>
          <w:color w:val="000000"/>
          <w:spacing w:val="0"/>
          <w:w w:val="100"/>
          <w:position w:val="0"/>
          <w:sz w:val="18"/>
          <w:szCs w:val="18"/>
        </w:rPr>
        <w:t>2</w:t>
      </w:r>
      <w:bookmarkEnd w:id="71"/>
      <w:r>
        <w:rPr>
          <w:b/>
          <w:bCs/>
          <w:color w:val="000000"/>
          <w:spacing w:val="0"/>
          <w:w w:val="100"/>
          <w:position w:val="0"/>
        </w:rPr>
        <w:t>、</w:t>
        <w:tab/>
        <w:t>业务拓展方式</w:t>
      </w:r>
    </w:p>
    <w:p>
      <w:pPr>
        <w:pStyle w:val="Style21"/>
        <w:keepNext w:val="0"/>
        <w:keepLines w:val="0"/>
        <w:widowControl w:val="0"/>
        <w:shd w:val="clear" w:color="auto" w:fill="auto"/>
        <w:bidi w:val="0"/>
        <w:spacing w:before="0" w:after="100" w:line="317" w:lineRule="exact"/>
        <w:ind w:left="0" w:right="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聚焦大型集团客户、聚焦优势业务领域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的发展战略，分别采用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的业务模式进行业 务拓展。</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）面向大型集团企业，发挥集团管控业务竞争优势，以定制软件方式拓展大型集团客户市场，采用长期服务策略持 续扩展业务领域</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针对大型集团企业信息化建设方案复杂度高，前期规划、筹备周期长的特点，发挥公司在大型集团企业管理信息化领域 经验丰富、熟悉行业特点的优势，主要采用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工程师顾问式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模式进行直接销售。在获取项目信息后，组织经验丰富的专家顾 问团队，与客户充分沟通、交流，展示方案能力、交付能力和实施能力，赢得客户信任。</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针对已有大型集团客户，公司努力抓住技术进步和管理变革带来的新机遇，推动新模式和新技术与客户业务实践的深度 </w:t>
      </w:r>
      <w:r>
        <w:rPr>
          <w:color w:val="000000"/>
          <w:spacing w:val="0"/>
          <w:w w:val="100"/>
          <w:position w:val="0"/>
        </w:rPr>
        <w:t>融合，持续提供原有系统升级服务，不断拓展新的业务领域，包括经营管理领域、石油行业油气生产领域、建筑行业建造管 理领域等。公司为长期服务客户，一般会成立专门的业务部门，从事项目交付、运维服务和业务拓展。</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针对已有大型集团客户所属分子公司，公司充分利用承建集团公司统建系统的优势，积极拓展集团分子公司业务市场。 公司为长期服务分子公司客户，一般会设立本地化分支机构或服务团队，从事项目交付、运维服务和业务拓展。</w:t>
      </w:r>
    </w:p>
    <w:p>
      <w:pPr>
        <w:pStyle w:val="Style21"/>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）面向更广泛市场，聚焦优势业务领域，以专业化产品和服务拓展更多行业领域客户</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公司在财务共享服务、资金集中管理、</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数据应用等细分领域具备较强的竞争优势，产品成熟度较高，并形成了一 定的品牌效应，聚焦上述细分领域，组建专业团队进行产品研发和客户拓展。通过口碑营销、市场活动、媒体宣传等形式进 行市场推广，主要以直销模式实现销售。</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两种业务拓展模式相互依托，相互促进。依托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模式下大型集团企业的最佳业务实践，提炼核心优势产品， 建立细分领域的差异化竞争优势，开拓更广泛市场；依托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模式储备准战略客户，通过整合公司能力深度服务将 更多的准战略客户发展为战略客户，持续提供服务。</w:t>
      </w:r>
    </w:p>
    <w:p>
      <w:pPr>
        <w:pStyle w:val="Style21"/>
        <w:keepNext w:val="0"/>
        <w:keepLines w:val="0"/>
        <w:widowControl w:val="0"/>
        <w:shd w:val="clear" w:color="auto" w:fill="auto"/>
        <w:bidi w:val="0"/>
        <w:spacing w:before="0" w:after="100" w:line="315" w:lineRule="exact"/>
        <w:ind w:left="0" w:right="0" w:firstLine="0"/>
        <w:jc w:val="both"/>
      </w:pPr>
      <w:bookmarkStart w:id="72" w:name="bookmark72"/>
      <w:r>
        <w:rPr>
          <w:b/>
          <w:bCs/>
          <w:color w:val="000000"/>
          <w:spacing w:val="0"/>
          <w:w w:val="100"/>
          <w:position w:val="0"/>
        </w:rPr>
        <w:t>（</w:t>
      </w:r>
      <w:bookmarkEnd w:id="72"/>
      <w:r>
        <w:rPr>
          <w:b/>
          <w:bCs/>
          <w:color w:val="000000"/>
          <w:spacing w:val="0"/>
          <w:w w:val="100"/>
          <w:position w:val="0"/>
        </w:rPr>
        <w:t>三）报告期业务推进情况</w:t>
      </w:r>
    </w:p>
    <w:p>
      <w:pPr>
        <w:pStyle w:val="Style21"/>
        <w:keepNext w:val="0"/>
        <w:keepLines w:val="0"/>
        <w:widowControl w:val="0"/>
        <w:shd w:val="clear" w:color="auto" w:fill="auto"/>
        <w:bidi w:val="0"/>
        <w:spacing w:before="0" w:after="100" w:line="315"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年，公司积极把握企业数字化转型机遇，持续深化落实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聚焦大型集团客户、聚焦优势业务领域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的发展战略，业务 方向更加聚焦，发展目标更加明确。战略客户业务方面，石油行业、建筑行业双轮驱动的格局基本形成，集团管控业务稳中 有增，业务领域持续拓展；优势领域业务方面，公司积极加强产品研发投入和销售团队建设，在客户高质量发展内在需求和 政府部门监管要求的双重驱动下，市场机会显现并加速实施落地。</w:t>
      </w:r>
    </w:p>
    <w:p>
      <w:pPr>
        <w:pStyle w:val="Style21"/>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公司为客户开发的信息系统均拥有自主知识产权，符合信息安全和自主可控的要求，在深度参与大型集团企业信息化工 作的基础上，公司积极储备技术资源和人力资源，全面开展符合信创标准的软件产品研发工作，产品布局逐步完善，市场开 拓能力、经营质量、经营成果有明显提升。</w:t>
      </w:r>
    </w:p>
    <w:p>
      <w:pPr>
        <w:pStyle w:val="Style21"/>
        <w:keepNext w:val="0"/>
        <w:keepLines w:val="0"/>
        <w:widowControl w:val="0"/>
        <w:shd w:val="clear" w:color="auto" w:fill="auto"/>
        <w:tabs>
          <w:tab w:pos="664" w:val="left"/>
        </w:tabs>
        <w:bidi w:val="0"/>
        <w:spacing w:before="0" w:after="0" w:line="360" w:lineRule="auto"/>
        <w:ind w:left="0" w:right="0" w:firstLine="380"/>
        <w:jc w:val="both"/>
      </w:pPr>
      <w:bookmarkStart w:id="73" w:name="bookmark73"/>
      <w:r>
        <w:rPr>
          <w:rFonts w:ascii="Times New Roman" w:eastAsia="Times New Roman" w:hAnsi="Times New Roman" w:cs="Times New Roman"/>
          <w:b/>
          <w:bCs/>
          <w:color w:val="000000"/>
          <w:spacing w:val="0"/>
          <w:w w:val="100"/>
          <w:position w:val="0"/>
          <w:sz w:val="18"/>
          <w:szCs w:val="18"/>
        </w:rPr>
        <w:t>1</w:t>
      </w:r>
      <w:bookmarkEnd w:id="73"/>
      <w:r>
        <w:rPr>
          <w:b/>
          <w:bCs/>
          <w:color w:val="000000"/>
          <w:spacing w:val="0"/>
          <w:w w:val="100"/>
          <w:position w:val="0"/>
        </w:rPr>
        <w:t>、</w:t>
        <w:tab/>
        <w:t>石油行业、建筑行业双轮驱动的战略客户新格局基本形成，业务发展进入新阶段</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公司在石油行业各项业务正常有序开展，长期合作持续深化，具有业务黏性高、收入稳定性高的特点，是公司健康发展 的重要基础。公司在建筑行业集团财务管控业务保持稳定；公司面向建筑行业设立了控股子公司，汇集优势资源，全面启动 数字建造产品研发工作，努力抓住中国建筑信息化专项工作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中建</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的重大机遇，积极拓展智慧工地、数字建造、建 造物联网等建筑行业产业互联网业务。目前，公司战略客户业务初步实现从财务管理领域拓展到经营管理、生产管理领域， 从应用软件领域拓展到技术平台、数据平台等基础平台领域的突破。</w:t>
      </w:r>
    </w:p>
    <w:p>
      <w:pPr>
        <w:pStyle w:val="Style21"/>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公司将长期服务战略客户作为重要发展战略，为战略客户配备了专职技术团队或专业公司，长期、深入跟踪客户需求、 持续提供优质软件产品和技术服务，不断拓展业务广度和深度。目前，公司基本形成了石油行业、建筑行业双轮驱动的战略 客户新格局，为业务发展再上一个新台阶奠定了良好基础。</w:t>
      </w:r>
    </w:p>
    <w:p>
      <w:pPr>
        <w:pStyle w:val="Style21"/>
        <w:keepNext w:val="0"/>
        <w:keepLines w:val="0"/>
        <w:widowControl w:val="0"/>
        <w:shd w:val="clear" w:color="auto" w:fill="auto"/>
        <w:tabs>
          <w:tab w:pos="678" w:val="left"/>
        </w:tabs>
        <w:bidi w:val="0"/>
        <w:spacing w:before="0" w:after="0" w:line="360" w:lineRule="auto"/>
        <w:ind w:left="0" w:right="0" w:firstLine="380"/>
        <w:jc w:val="both"/>
      </w:pPr>
      <w:bookmarkStart w:id="74" w:name="bookmark74"/>
      <w:r>
        <w:rPr>
          <w:rFonts w:ascii="Times New Roman" w:eastAsia="Times New Roman" w:hAnsi="Times New Roman" w:cs="Times New Roman"/>
          <w:b/>
          <w:bCs/>
          <w:color w:val="000000"/>
          <w:spacing w:val="0"/>
          <w:w w:val="100"/>
          <w:position w:val="0"/>
          <w:sz w:val="18"/>
          <w:szCs w:val="18"/>
        </w:rPr>
        <w:t>2</w:t>
      </w:r>
      <w:bookmarkEnd w:id="74"/>
      <w:r>
        <w:rPr>
          <w:b/>
          <w:bCs/>
          <w:color w:val="000000"/>
          <w:spacing w:val="0"/>
          <w:w w:val="100"/>
          <w:position w:val="0"/>
        </w:rPr>
        <w:t>、</w:t>
        <w:tab/>
        <w:t>聚焦优势业务领域，加强产品研发和销售能力建设，抓住发展机遇拓展市场规模</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共享服务领域。公司紧跟信息技术进步和商业模式创新的步伐，进一步丰富完善产品功能，提升方案能力，逐步形成了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业财资税档一体化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数智化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财务共享解决方案及产品体系，持续拓展了电建地产、宝能集团、山东港口集团、远洋集团、 百联集团等客户。</w:t>
      </w:r>
    </w:p>
    <w:p>
      <w:pPr>
        <w:pStyle w:val="Style21"/>
        <w:keepNext w:val="0"/>
        <w:keepLines w:val="0"/>
        <w:widowControl w:val="0"/>
        <w:shd w:val="clear" w:color="auto" w:fill="auto"/>
        <w:bidi w:val="0"/>
        <w:spacing w:before="0" w:after="100" w:line="315" w:lineRule="exact"/>
        <w:ind w:left="0" w:right="0" w:firstLine="380"/>
        <w:jc w:val="both"/>
      </w:pP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和数据应用领域。公司与中国平安、中国太保、中国人寿等继续保持长期稳定的合作关系；持续加强技术团队建 设，完善偿二代产品，提高产品成熟度和竞争力，为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年保险行业偿二代全面升级的市场机会做好充分准备；继续加大风 险管理产品、新一代报表产品研发投入，面向保险行业推出具有竞争力的风险管理产品，完成国任财险、浙商财险、小康人 寿、平安养老等多家新客户的实施，并进一步完善数据管理与分析解决方案。</w:t>
      </w:r>
    </w:p>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资金管理业务领域。全球资金管理业务方面，加强产品研发，提高产品竞争力，完成了对境外资金管理的</w:t>
      </w:r>
      <w:r>
        <w:rPr>
          <w:rFonts w:ascii="Times New Roman" w:eastAsia="Times New Roman" w:hAnsi="Times New Roman" w:cs="Times New Roman"/>
          <w:color w:val="000000"/>
          <w:spacing w:val="0"/>
          <w:w w:val="100"/>
          <w:position w:val="0"/>
          <w:sz w:val="18"/>
          <w:szCs w:val="18"/>
        </w:rPr>
        <w:t xml:space="preserve">IFC </w:t>
      </w:r>
      <w:r>
        <w:rPr>
          <w:color w:val="000000"/>
          <w:spacing w:val="0"/>
          <w:w w:val="100"/>
          <w:position w:val="0"/>
        </w:rPr>
        <w:t>（国际金 融资本管理信息系统）和</w:t>
      </w:r>
      <w:r>
        <w:rPr>
          <w:rFonts w:ascii="Times New Roman" w:eastAsia="Times New Roman" w:hAnsi="Times New Roman" w:cs="Times New Roman"/>
          <w:color w:val="000000"/>
          <w:spacing w:val="0"/>
          <w:w w:val="100"/>
          <w:position w:val="0"/>
          <w:sz w:val="18"/>
          <w:szCs w:val="18"/>
        </w:rPr>
        <w:t>GBS</w:t>
      </w:r>
      <w:r>
        <w:rPr>
          <w:color w:val="000000"/>
          <w:spacing w:val="0"/>
          <w:w w:val="100"/>
          <w:position w:val="0"/>
        </w:rPr>
        <w:t xml:space="preserve">（环球银行报文服务系统）两个核心产品的升级；加强市场开拓，成功拓展中国铁建、中国铁 工、中国华能、上海汽车等重要客户并逐步完成产品交付工作，推进中国海油集团海外资金集中管理系统建设工作，巩固了 </w:t>
      </w:r>
      <w:r>
        <w:rPr>
          <w:color w:val="000000"/>
          <w:spacing w:val="0"/>
          <w:w w:val="100"/>
          <w:position w:val="0"/>
        </w:rPr>
        <w:t>公司在全球资金管理领域的行业领先地位。司库系统业务方面，借助公司在多家央企客户司库系统建设的经验和产品积累， 对标国资委关于中央企业加强司库体系建设的要求，进一步完善司库系统，产品成熟度、适用性及竞争力得到较大提升；加 强销售团队建设，抓住未来两年司库体系建设的市场窗口期，并为进一步拓展到更多省级集团企业打好基础，做好准备。</w:t>
      </w:r>
    </w:p>
    <w:p>
      <w:pPr>
        <w:pStyle w:val="Style21"/>
        <w:keepNext w:val="0"/>
        <w:keepLines w:val="0"/>
        <w:widowControl w:val="0"/>
        <w:shd w:val="clear" w:color="auto" w:fill="auto"/>
        <w:bidi w:val="0"/>
        <w:spacing w:before="0" w:after="240" w:line="302" w:lineRule="exact"/>
        <w:ind w:left="0" w:right="0" w:firstLine="380"/>
        <w:jc w:val="both"/>
      </w:pPr>
      <w:r>
        <w:rPr>
          <w:color w:val="000000"/>
          <w:spacing w:val="0"/>
          <w:w w:val="100"/>
          <w:position w:val="0"/>
        </w:rPr>
        <w:t>通过持续的产品研发投入，公司在优势业务领域的差异化竞争优势进一步提升，对加快市场开拓提供了强力支撑。公司 其他领域产品如新一代</w:t>
      </w:r>
      <w:r>
        <w:rPr>
          <w:rFonts w:ascii="Times New Roman" w:eastAsia="Times New Roman" w:hAnsi="Times New Roman" w:cs="Times New Roman"/>
          <w:color w:val="000000"/>
          <w:spacing w:val="0"/>
          <w:w w:val="100"/>
          <w:position w:val="0"/>
          <w:sz w:val="18"/>
          <w:szCs w:val="18"/>
        </w:rPr>
        <w:t>WebHR</w:t>
      </w:r>
      <w:r>
        <w:rPr>
          <w:color w:val="000000"/>
          <w:spacing w:val="0"/>
          <w:w w:val="100"/>
          <w:position w:val="0"/>
        </w:rPr>
        <w:t>产品等，业务规模较上期也实现了较大增长。</w:t>
      </w:r>
    </w:p>
    <w:p>
      <w:pPr>
        <w:pStyle w:val="Style21"/>
        <w:keepNext w:val="0"/>
        <w:keepLines w:val="0"/>
        <w:widowControl w:val="0"/>
        <w:shd w:val="clear" w:color="auto" w:fill="auto"/>
        <w:bidi w:val="0"/>
        <w:spacing w:before="0" w:after="0" w:line="360" w:lineRule="auto"/>
        <w:ind w:left="0" w:right="0" w:firstLine="380"/>
        <w:jc w:val="both"/>
      </w:pPr>
      <w:bookmarkStart w:id="75" w:name="bookmark75"/>
      <w:r>
        <w:rPr>
          <w:rFonts w:ascii="Times New Roman" w:eastAsia="Times New Roman" w:hAnsi="Times New Roman" w:cs="Times New Roman"/>
          <w:b/>
          <w:bCs/>
          <w:color w:val="000000"/>
          <w:spacing w:val="0"/>
          <w:w w:val="100"/>
          <w:position w:val="0"/>
          <w:sz w:val="18"/>
          <w:szCs w:val="18"/>
        </w:rPr>
        <w:t>3</w:t>
      </w:r>
      <w:bookmarkEnd w:id="75"/>
      <w:r>
        <w:rPr>
          <w:b/>
          <w:bCs/>
          <w:color w:val="000000"/>
          <w:spacing w:val="0"/>
          <w:w w:val="100"/>
          <w:position w:val="0"/>
        </w:rPr>
        <w:t>、持续加强研发投入，提升技术平台支撑能力</w:t>
      </w:r>
    </w:p>
    <w:p>
      <w:pPr>
        <w:pStyle w:val="Style21"/>
        <w:keepNext w:val="0"/>
        <w:keepLines w:val="0"/>
        <w:widowControl w:val="0"/>
        <w:shd w:val="clear" w:color="auto" w:fill="auto"/>
        <w:bidi w:val="0"/>
        <w:spacing w:before="0" w:after="400" w:line="310" w:lineRule="exact"/>
        <w:ind w:left="0" w:right="0" w:firstLine="380"/>
        <w:jc w:val="both"/>
      </w:pPr>
      <w:r>
        <w:rPr>
          <w:color w:val="000000"/>
          <w:spacing w:val="0"/>
          <w:w w:val="100"/>
          <w:position w:val="0"/>
        </w:rPr>
        <w:t>技术平台研发方面，公司积极采用新技术、新架构提升技术平台能力，主要包括容器云资源管理调度能力、大数据处理 能力和开发运维自动化能力，正式发布了</w:t>
      </w:r>
      <w:r>
        <w:rPr>
          <w:rFonts w:ascii="Times New Roman" w:eastAsia="Times New Roman" w:hAnsi="Times New Roman" w:cs="Times New Roman"/>
          <w:color w:val="000000"/>
          <w:spacing w:val="0"/>
          <w:w w:val="100"/>
          <w:position w:val="0"/>
          <w:sz w:val="18"/>
          <w:szCs w:val="18"/>
        </w:rPr>
        <w:t>OSP</w:t>
      </w:r>
      <w:r>
        <w:rPr>
          <w:color w:val="000000"/>
          <w:spacing w:val="0"/>
          <w:w w:val="100"/>
          <w:position w:val="0"/>
        </w:rPr>
        <w:t>开发平台</w:t>
      </w:r>
      <w:r>
        <w:rPr>
          <w:rFonts w:ascii="Times New Roman" w:eastAsia="Times New Roman" w:hAnsi="Times New Roman" w:cs="Times New Roman"/>
          <w:color w:val="000000"/>
          <w:spacing w:val="0"/>
          <w:w w:val="100"/>
          <w:position w:val="0"/>
          <w:sz w:val="18"/>
          <w:szCs w:val="18"/>
        </w:rPr>
        <w:t>V6.0</w:t>
      </w:r>
      <w:r>
        <w:rPr>
          <w:color w:val="000000"/>
          <w:spacing w:val="0"/>
          <w:w w:val="100"/>
          <w:position w:val="0"/>
        </w:rPr>
        <w:t>，</w:t>
      </w:r>
      <w:r>
        <w:rPr>
          <w:color w:val="000000"/>
          <w:spacing w:val="0"/>
          <w:w w:val="100"/>
          <w:position w:val="0"/>
        </w:rPr>
        <w:t>实现了对</w:t>
      </w:r>
      <w:r>
        <w:rPr>
          <w:rFonts w:ascii="Times New Roman" w:eastAsia="Times New Roman" w:hAnsi="Times New Roman" w:cs="Times New Roman"/>
          <w:color w:val="000000"/>
          <w:spacing w:val="0"/>
          <w:w w:val="100"/>
          <w:position w:val="0"/>
          <w:sz w:val="18"/>
          <w:szCs w:val="18"/>
        </w:rPr>
        <w:t>SpnngBoot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React</w:t>
      </w:r>
      <w:r>
        <w:rPr>
          <w:color w:val="000000"/>
          <w:spacing w:val="0"/>
          <w:w w:val="100"/>
          <w:position w:val="0"/>
        </w:rPr>
        <w:t>框架的支持，完成了前后端分离部 署，对后台服务代码进行了重构，使其层次更清晰、代码更轻量，实现按需引用；完成了对</w:t>
      </w:r>
      <w:r>
        <w:rPr>
          <w:rFonts w:ascii="Times New Roman" w:eastAsia="Times New Roman" w:hAnsi="Times New Roman" w:cs="Times New Roman"/>
          <w:color w:val="000000"/>
          <w:spacing w:val="0"/>
          <w:w w:val="100"/>
          <w:position w:val="0"/>
          <w:sz w:val="18"/>
          <w:szCs w:val="18"/>
        </w:rPr>
        <w:t>TiDB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OceanBase</w:t>
      </w:r>
      <w:r>
        <w:rPr>
          <w:color w:val="000000"/>
          <w:spacing w:val="0"/>
          <w:w w:val="100"/>
          <w:position w:val="0"/>
        </w:rPr>
        <w:t>、</w:t>
      </w:r>
      <w:r>
        <w:rPr>
          <w:color w:val="000000"/>
          <w:spacing w:val="0"/>
          <w:w w:val="100"/>
          <w:position w:val="0"/>
        </w:rPr>
        <w:t xml:space="preserve">达梦数据库、 </w:t>
      </w:r>
      <w:r>
        <w:rPr>
          <w:rFonts w:ascii="Times New Roman" w:eastAsia="Times New Roman" w:hAnsi="Times New Roman" w:cs="Times New Roman"/>
          <w:color w:val="000000"/>
          <w:spacing w:val="0"/>
          <w:w w:val="100"/>
          <w:position w:val="0"/>
          <w:sz w:val="18"/>
          <w:szCs w:val="18"/>
        </w:rPr>
        <w:t>GBase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K-DB</w:t>
      </w:r>
      <w:r>
        <w:rPr>
          <w:color w:val="000000"/>
          <w:spacing w:val="0"/>
          <w:w w:val="100"/>
          <w:position w:val="0"/>
        </w:rPr>
        <w:t>等国产数据库的适配和兼容认证。公司大部分项目依托技术平台完成交付，</w:t>
      </w:r>
      <w:r>
        <w:rPr>
          <w:rFonts w:ascii="Times New Roman" w:eastAsia="Times New Roman" w:hAnsi="Times New Roman" w:cs="Times New Roman"/>
          <w:color w:val="000000"/>
          <w:spacing w:val="0"/>
          <w:w w:val="100"/>
          <w:position w:val="0"/>
          <w:sz w:val="18"/>
          <w:szCs w:val="18"/>
        </w:rPr>
        <w:t>OSP</w:t>
      </w:r>
      <w:r>
        <w:rPr>
          <w:color w:val="000000"/>
          <w:spacing w:val="0"/>
          <w:w w:val="100"/>
          <w:position w:val="0"/>
        </w:rPr>
        <w:t>平台为快速、高效的项目交付 提供了有力的技术支持，</w:t>
      </w:r>
      <w:r>
        <w:rPr>
          <w:rFonts w:ascii="Times New Roman" w:eastAsia="Times New Roman" w:hAnsi="Times New Roman" w:cs="Times New Roman"/>
          <w:color w:val="000000"/>
          <w:spacing w:val="0"/>
          <w:w w:val="100"/>
          <w:position w:val="0"/>
          <w:sz w:val="18"/>
          <w:szCs w:val="18"/>
        </w:rPr>
        <w:t>OSP</w:t>
      </w:r>
      <w:r>
        <w:rPr>
          <w:color w:val="000000"/>
          <w:spacing w:val="0"/>
          <w:w w:val="100"/>
          <w:position w:val="0"/>
        </w:rPr>
        <w:t>技术平台的先进性、稳定性对系统平稳高效运行起到了重要支撑作用，得到了用户认可。</w:t>
      </w:r>
    </w:p>
    <w:p>
      <w:pPr>
        <w:pStyle w:val="Style25"/>
        <w:keepNext/>
        <w:keepLines/>
        <w:widowControl w:val="0"/>
        <w:shd w:val="clear" w:color="auto" w:fill="auto"/>
        <w:bidi w:val="0"/>
        <w:spacing w:before="0" w:after="24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三</w:t>
      </w:r>
      <w:bookmarkEnd w:id="78"/>
      <w:r>
        <w:rPr>
          <w:color w:val="000000"/>
          <w:spacing w:val="0"/>
          <w:w w:val="100"/>
          <w:position w:val="0"/>
        </w:rPr>
        <w:t>、核心竞争力分析</w:t>
      </w:r>
      <w:bookmarkEnd w:id="76"/>
      <w:bookmarkEnd w:id="77"/>
      <w:bookmarkEnd w:id="79"/>
    </w:p>
    <w:p>
      <w:pPr>
        <w:pStyle w:val="Style2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公司始终专注于大型集团企业管理软件的开发及服务，在所从事的业务领域具备持续创新能力和较强的交付能力，积累 了丰富的实践经验和优质客户，所研发的软件产品符合大型集团企业需求；公司与主要战略客户建立了多层次的合作关系， 在大型集团企业信息化领域的市场地位不断巩固，具有较强的核心竞争力。</w:t>
      </w:r>
    </w:p>
    <w:p>
      <w:pPr>
        <w:pStyle w:val="Style21"/>
        <w:keepNext w:val="0"/>
        <w:keepLines w:val="0"/>
        <w:widowControl w:val="0"/>
        <w:shd w:val="clear" w:color="auto" w:fill="auto"/>
        <w:tabs>
          <w:tab w:pos="666" w:val="left"/>
        </w:tabs>
        <w:bidi w:val="0"/>
        <w:spacing w:before="0" w:after="0" w:line="360" w:lineRule="auto"/>
        <w:ind w:left="0" w:right="0" w:firstLine="380"/>
        <w:jc w:val="both"/>
      </w:pPr>
      <w:bookmarkStart w:id="80" w:name="bookmark80"/>
      <w:r>
        <w:rPr>
          <w:rFonts w:ascii="Times New Roman" w:eastAsia="Times New Roman" w:hAnsi="Times New Roman" w:cs="Times New Roman"/>
          <w:b/>
          <w:bCs/>
          <w:color w:val="000000"/>
          <w:spacing w:val="0"/>
          <w:w w:val="100"/>
          <w:position w:val="0"/>
          <w:sz w:val="18"/>
          <w:szCs w:val="18"/>
        </w:rPr>
        <w:t>1</w:t>
      </w:r>
      <w:bookmarkEnd w:id="80"/>
      <w:r>
        <w:rPr>
          <w:b/>
          <w:bCs/>
          <w:color w:val="000000"/>
          <w:spacing w:val="0"/>
          <w:w w:val="100"/>
          <w:position w:val="0"/>
        </w:rPr>
        <w:t>、</w:t>
        <w:tab/>
        <w:t>聚焦高端市场，与客户长期合作的优势</w:t>
      </w:r>
    </w:p>
    <w:p>
      <w:pPr>
        <w:pStyle w:val="Style2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公司聚焦中国石油、中国石化、中国海油、国家管网、中国建筑等大型集团企业客户，依托技术优势和优质服务建立长 期合作关系，合作的业务领域不断拓展，合同取得的稳定性、持续性以及客户信用较好，抗风险能力较强。在信息系统建设 阶段公司主要取得定制开发项目收入，进入正常运行阶段通过运维服务取得服务收入，并在服务过程中收集挖掘业务需求， 跟踪技术发展和管理新需求，获取新的定制开发机会。通过持续服务为客户提供优质服务，保持业务连续性和稳定性。</w:t>
      </w:r>
    </w:p>
    <w:p>
      <w:pPr>
        <w:pStyle w:val="Style21"/>
        <w:keepNext w:val="0"/>
        <w:keepLines w:val="0"/>
        <w:widowControl w:val="0"/>
        <w:shd w:val="clear" w:color="auto" w:fill="auto"/>
        <w:tabs>
          <w:tab w:pos="680" w:val="left"/>
        </w:tabs>
        <w:bidi w:val="0"/>
        <w:spacing w:before="0" w:after="0" w:line="360" w:lineRule="auto"/>
        <w:ind w:left="0" w:right="0" w:firstLine="380"/>
        <w:jc w:val="both"/>
      </w:pPr>
      <w:bookmarkStart w:id="81" w:name="bookmark81"/>
      <w:r>
        <w:rPr>
          <w:rFonts w:ascii="Times New Roman" w:eastAsia="Times New Roman" w:hAnsi="Times New Roman" w:cs="Times New Roman"/>
          <w:b/>
          <w:bCs/>
          <w:color w:val="000000"/>
          <w:spacing w:val="0"/>
          <w:w w:val="100"/>
          <w:position w:val="0"/>
          <w:sz w:val="18"/>
          <w:szCs w:val="18"/>
        </w:rPr>
        <w:t>2</w:t>
      </w:r>
      <w:bookmarkEnd w:id="81"/>
      <w:r>
        <w:rPr>
          <w:b/>
          <w:bCs/>
          <w:color w:val="000000"/>
          <w:spacing w:val="0"/>
          <w:w w:val="100"/>
          <w:position w:val="0"/>
        </w:rPr>
        <w:t>、</w:t>
        <w:tab/>
        <w:t>细分业务领域差异化竞争优势</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公司通过聚焦优势业务，深入耕耘，在特定业务领域建立了较大的差异化竞争优势，相关解决方案在技术水平、软件功 能、业务模式等方面进行了创新和突破，树立了典型的标杆客户群，在市场竞争中具有明显的差异化优势。</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在集团管控领域，公司拥有自主知识产权的集团管控软件系列产品，产品均基于公司统一的核心业务架构体系设计，构 成了面向复杂架构的集团企业管理信息化解决方案。其中，集团财务管理系统是国内较早实现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全球一套账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模式的集团财务 系统；集团资金管理系统提供完整的集团资金集中管理解决方案，已成功应用于多家大型央企客户。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年，集团财务管理 系统被确认为山东省首版次高端软件。</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在财务共享领域，公司拥有成熟全面的解决方案，具有较强的市场竞争力和系统交付能力，享有较高的市场知名度。尤 其在地产行业，目前已经和多家大型地产集团建立长期业务合作关系。</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在资金管理领域，公司拥有丰富的资金集中管理和境内外主要商业银行直联经验，香港团队有国际化服务优势。目前， 中国石油、中国石化、国家电网、中国广核、海信集团、紫金矿业、小米集团、中国铁建、中航集团等多家集团企业或其境 外资金管理机构已经成为公司客户。</w:t>
      </w:r>
    </w:p>
    <w:p>
      <w:pPr>
        <w:pStyle w:val="Style21"/>
        <w:keepNext w:val="0"/>
        <w:keepLines w:val="0"/>
        <w:widowControl w:val="0"/>
        <w:shd w:val="clear" w:color="auto" w:fill="auto"/>
        <w:bidi w:val="0"/>
        <w:spacing w:before="0" w:after="240" w:line="314" w:lineRule="exact"/>
        <w:ind w:left="0" w:right="0" w:firstLine="380"/>
        <w:jc w:val="both"/>
      </w:pPr>
      <w:r>
        <w:rPr>
          <w:color w:val="000000"/>
          <w:spacing w:val="0"/>
          <w:w w:val="100"/>
          <w:position w:val="0"/>
        </w:rPr>
        <w:t>在数据应用领域，公司是国内较早全面研究掌握</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标准体系及关键技术的软件厂商，是财政部通用分类标准实施技 术支持单位，也是</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软件产品较早通过</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软件认证技术委员会认证的单位之一。公司</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相关系统及产品，已经应 用到银保监会、中证信息、全国股转公司、多家保险公司和商业银行。</w:t>
      </w:r>
    </w:p>
    <w:p>
      <w:pPr>
        <w:pStyle w:val="Style21"/>
        <w:keepNext w:val="0"/>
        <w:keepLines w:val="0"/>
        <w:widowControl w:val="0"/>
        <w:shd w:val="clear" w:color="auto" w:fill="auto"/>
        <w:tabs>
          <w:tab w:pos="680" w:val="left"/>
        </w:tabs>
        <w:bidi w:val="0"/>
        <w:spacing w:before="0" w:after="0" w:line="360" w:lineRule="auto"/>
        <w:ind w:left="0" w:right="0" w:firstLine="380"/>
        <w:jc w:val="both"/>
      </w:pPr>
      <w:bookmarkStart w:id="82" w:name="bookmark82"/>
      <w:r>
        <w:rPr>
          <w:rFonts w:ascii="Times New Roman" w:eastAsia="Times New Roman" w:hAnsi="Times New Roman" w:cs="Times New Roman"/>
          <w:b/>
          <w:bCs/>
          <w:color w:val="000000"/>
          <w:spacing w:val="0"/>
          <w:w w:val="100"/>
          <w:position w:val="0"/>
          <w:sz w:val="18"/>
          <w:szCs w:val="18"/>
        </w:rPr>
        <w:t>3</w:t>
      </w:r>
      <w:bookmarkEnd w:id="82"/>
      <w:r>
        <w:rPr>
          <w:b/>
          <w:bCs/>
          <w:color w:val="000000"/>
          <w:spacing w:val="0"/>
          <w:w w:val="100"/>
          <w:position w:val="0"/>
        </w:rPr>
        <w:t>、</w:t>
        <w:tab/>
        <w:t>持续的技术研发及创新优势</w:t>
      </w:r>
    </w:p>
    <w:p>
      <w:pPr>
        <w:pStyle w:val="Style21"/>
        <w:keepNext w:val="0"/>
        <w:keepLines w:val="0"/>
        <w:widowControl w:val="0"/>
        <w:shd w:val="clear" w:color="auto" w:fill="auto"/>
        <w:bidi w:val="0"/>
        <w:spacing w:before="0" w:line="317" w:lineRule="exact"/>
        <w:ind w:left="0" w:right="0" w:firstLine="380"/>
        <w:jc w:val="both"/>
      </w:pPr>
      <w:r>
        <w:rPr>
          <w:color w:val="000000"/>
          <w:spacing w:val="0"/>
          <w:w w:val="100"/>
          <w:position w:val="0"/>
        </w:rPr>
        <w:t xml:space="preserve">公司具有较为完善的研发机构、研发投入机制、创新基础设施及创新制度体系。公司密切关注前沿技术动态，始终紧跟 技术发展趋势，深入研究云计算、大数据、物联网、人工智能、区块链等新一代信息技术，研发投入持续快速增加，研发费 </w:t>
      </w:r>
      <w:r>
        <w:rPr>
          <w:color w:val="000000"/>
          <w:spacing w:val="0"/>
          <w:w w:val="100"/>
          <w:position w:val="0"/>
        </w:rPr>
        <w:t>用率处于行业中上水平，在所从事的业务领域具备持续创新能力。公司拥有以</w:t>
      </w:r>
      <w:r>
        <w:rPr>
          <w:rFonts w:ascii="Times New Roman" w:eastAsia="Times New Roman" w:hAnsi="Times New Roman" w:cs="Times New Roman"/>
          <w:color w:val="000000"/>
          <w:spacing w:val="0"/>
          <w:w w:val="100"/>
          <w:position w:val="0"/>
          <w:sz w:val="18"/>
          <w:szCs w:val="18"/>
        </w:rPr>
        <w:t>“OSP</w:t>
      </w:r>
      <w:r>
        <w:rPr>
          <w:color w:val="000000"/>
          <w:spacing w:val="0"/>
          <w:w w:val="100"/>
          <w:position w:val="0"/>
        </w:rPr>
        <w:t>云开发平台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为核心的自 主知识产权技术平台及业务模型库，形成了符合公司业务特点的核心技术架构及软件开发体系，拥有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余项发明专利、</w:t>
      </w:r>
      <w:r>
        <w:rPr>
          <w:rFonts w:ascii="Times New Roman" w:eastAsia="Times New Roman" w:hAnsi="Times New Roman" w:cs="Times New Roman"/>
          <w:color w:val="000000"/>
          <w:spacing w:val="0"/>
          <w:w w:val="100"/>
          <w:position w:val="0"/>
          <w:sz w:val="18"/>
          <w:szCs w:val="18"/>
        </w:rPr>
        <w:t xml:space="preserve">180 </w:t>
      </w:r>
      <w:r>
        <w:rPr>
          <w:color w:val="000000"/>
          <w:spacing w:val="0"/>
          <w:w w:val="100"/>
          <w:position w:val="0"/>
        </w:rPr>
        <w:t>余项软件著作权。</w:t>
      </w:r>
    </w:p>
    <w:p>
      <w:pPr>
        <w:pStyle w:val="Style21"/>
        <w:keepNext w:val="0"/>
        <w:keepLines w:val="0"/>
        <w:widowControl w:val="0"/>
        <w:shd w:val="clear" w:color="auto" w:fill="auto"/>
        <w:bidi w:val="0"/>
        <w:spacing w:before="0" w:after="240" w:line="312" w:lineRule="exact"/>
        <w:ind w:left="0" w:right="0" w:firstLine="380"/>
        <w:jc w:val="both"/>
      </w:pPr>
      <w:r>
        <w:rPr>
          <w:color w:val="000000"/>
          <w:spacing w:val="0"/>
          <w:w w:val="100"/>
          <w:position w:val="0"/>
        </w:rPr>
        <w:t>公司是山东省企业移动计算工程技术研究中心和山东省软件工程技术中心依托单位，按照应用研究和技术研究并重的研 发策略，与山东大学、山东师范大学等高校建立了紧密的产学研合作关系，开展移动计算、大数据、区块链、人工智能等技 术应用研究，并共同承担了面向智能移动终端的支撑软件、支持国密算法的区块链平台研发与产业化、面向物联网的大数据 应用支撑平台软件、隐私保护的医疗数据融合应用公共服务平台等多项省级科研课题，促进了技术人员的快速成长，公司的 技术实力及创新能力得到持续提升。</w:t>
      </w:r>
    </w:p>
    <w:p>
      <w:pPr>
        <w:pStyle w:val="Style21"/>
        <w:keepNext w:val="0"/>
        <w:keepLines w:val="0"/>
        <w:widowControl w:val="0"/>
        <w:shd w:val="clear" w:color="auto" w:fill="auto"/>
        <w:bidi w:val="0"/>
        <w:spacing w:before="0" w:after="0" w:line="360" w:lineRule="auto"/>
        <w:ind w:left="0" w:right="0" w:firstLine="380"/>
        <w:jc w:val="both"/>
      </w:pPr>
      <w:bookmarkStart w:id="83" w:name="bookmark83"/>
      <w:r>
        <w:rPr>
          <w:rFonts w:ascii="Times New Roman" w:eastAsia="Times New Roman" w:hAnsi="Times New Roman" w:cs="Times New Roman"/>
          <w:b/>
          <w:bCs/>
          <w:color w:val="000000"/>
          <w:spacing w:val="0"/>
          <w:w w:val="100"/>
          <w:position w:val="0"/>
          <w:sz w:val="18"/>
          <w:szCs w:val="18"/>
        </w:rPr>
        <w:t>4</w:t>
      </w:r>
      <w:bookmarkEnd w:id="83"/>
      <w:r>
        <w:rPr>
          <w:b/>
          <w:bCs/>
          <w:color w:val="000000"/>
          <w:spacing w:val="0"/>
          <w:w w:val="100"/>
          <w:position w:val="0"/>
        </w:rPr>
        <w:t>、系统自主可控和本土化服务优势</w:t>
      </w:r>
    </w:p>
    <w:p>
      <w:pPr>
        <w:pStyle w:val="Style21"/>
        <w:keepNext w:val="0"/>
        <w:keepLines w:val="0"/>
        <w:widowControl w:val="0"/>
        <w:shd w:val="clear" w:color="auto" w:fill="auto"/>
        <w:bidi w:val="0"/>
        <w:spacing w:before="0" w:line="308" w:lineRule="exact"/>
        <w:ind w:left="0" w:right="0" w:firstLine="380"/>
        <w:jc w:val="both"/>
      </w:pPr>
      <w:r>
        <w:rPr>
          <w:color w:val="000000"/>
          <w:spacing w:val="0"/>
          <w:w w:val="100"/>
          <w:position w:val="0"/>
        </w:rPr>
        <w:t>随着外部环境的变化，央企客户对所应用的主要软件系统在自主可控、信息安全方面提出了更高的要求。公司为客户定 制开发的信息系统拥有完整的自主知识产权，可以面向用户开放源代码及设计文档。目前</w:t>
      </w:r>
      <w:r>
        <w:rPr>
          <w:rFonts w:ascii="Times New Roman" w:eastAsia="Times New Roman" w:hAnsi="Times New Roman" w:cs="Times New Roman"/>
          <w:color w:val="000000"/>
          <w:spacing w:val="0"/>
          <w:w w:val="100"/>
          <w:position w:val="0"/>
          <w:sz w:val="18"/>
          <w:szCs w:val="18"/>
        </w:rPr>
        <w:t>OSP</w:t>
      </w:r>
      <w:r>
        <w:rPr>
          <w:color w:val="000000"/>
          <w:spacing w:val="0"/>
          <w:w w:val="100"/>
          <w:position w:val="0"/>
        </w:rPr>
        <w:t>开发平台已经适配</w:t>
      </w:r>
      <w:r>
        <w:rPr>
          <w:rFonts w:ascii="Times New Roman" w:eastAsia="Times New Roman" w:hAnsi="Times New Roman" w:cs="Times New Roman"/>
          <w:color w:val="000000"/>
          <w:spacing w:val="0"/>
          <w:w w:val="100"/>
          <w:position w:val="0"/>
          <w:sz w:val="18"/>
          <w:szCs w:val="18"/>
        </w:rPr>
        <w:t>GaussDB</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GBase</w:t>
      </w:r>
      <w:r>
        <w:rPr>
          <w:color w:val="000000"/>
          <w:spacing w:val="0"/>
          <w:w w:val="100"/>
          <w:position w:val="0"/>
        </w:rPr>
        <w:t>、</w:t>
      </w:r>
      <w:r>
        <w:rPr>
          <w:color w:val="000000"/>
          <w:spacing w:val="0"/>
          <w:w w:val="100"/>
          <w:position w:val="0"/>
        </w:rPr>
        <w:t>达梦、浪潮</w:t>
      </w:r>
      <w:r>
        <w:rPr>
          <w:rFonts w:ascii="Times New Roman" w:eastAsia="Times New Roman" w:hAnsi="Times New Roman" w:cs="Times New Roman"/>
          <w:color w:val="000000"/>
          <w:spacing w:val="0"/>
          <w:w w:val="100"/>
          <w:position w:val="0"/>
          <w:sz w:val="18"/>
          <w:szCs w:val="18"/>
        </w:rPr>
        <w:t>K-DB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TiDB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OceanBase V3</w:t>
      </w:r>
      <w:r>
        <w:rPr>
          <w:color w:val="000000"/>
          <w:spacing w:val="0"/>
          <w:w w:val="100"/>
          <w:position w:val="0"/>
        </w:rPr>
        <w:t>等国产数据库，并取得了兼容性认证证书。公司的主要产品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普联集中财务 管理系统软件</w:t>
      </w:r>
      <w:r>
        <w:rPr>
          <w:rFonts w:ascii="Times New Roman" w:eastAsia="Times New Roman" w:hAnsi="Times New Roman" w:cs="Times New Roman"/>
          <w:color w:val="000000"/>
          <w:spacing w:val="0"/>
          <w:w w:val="100"/>
          <w:position w:val="0"/>
          <w:sz w:val="18"/>
          <w:szCs w:val="18"/>
        </w:rPr>
        <w:t>V9.0”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偿二代风险管理信息系统</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人力资本管理系统</w:t>
      </w:r>
      <w:r>
        <w:rPr>
          <w:rFonts w:ascii="Times New Roman" w:eastAsia="Times New Roman" w:hAnsi="Times New Roman" w:cs="Times New Roman"/>
          <w:color w:val="000000"/>
          <w:spacing w:val="0"/>
          <w:w w:val="100"/>
          <w:position w:val="0"/>
          <w:sz w:val="18"/>
          <w:szCs w:val="18"/>
        </w:rPr>
        <w:t>V</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通过华为云鲲鹏云服务兼容性测试认证， 获得华为鲲鹏技术认证证书，支持华为鲲鹏</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w:t>
      </w:r>
      <w:r>
        <w:rPr>
          <w:color w:val="000000"/>
          <w:spacing w:val="0"/>
          <w:w w:val="100"/>
          <w:position w:val="0"/>
        </w:rPr>
        <w:t>操作系统和数据库，符合信息安全基本要求。</w:t>
      </w:r>
    </w:p>
    <w:p>
      <w:pPr>
        <w:pStyle w:val="Style21"/>
        <w:keepNext w:val="0"/>
        <w:keepLines w:val="0"/>
        <w:widowControl w:val="0"/>
        <w:shd w:val="clear" w:color="auto" w:fill="auto"/>
        <w:bidi w:val="0"/>
        <w:spacing w:before="0" w:after="720" w:line="312" w:lineRule="exact"/>
        <w:ind w:left="0" w:right="0" w:firstLine="380"/>
        <w:jc w:val="both"/>
      </w:pPr>
      <w:r>
        <w:rPr>
          <w:color w:val="000000"/>
          <w:spacing w:val="0"/>
          <w:w w:val="100"/>
          <w:position w:val="0"/>
        </w:rPr>
        <w:t>公司长期服务于国内大型集团企业，对客户的行业特点、管理模式和业务流程等有长期深入的了解；公司技术人员长期 服务客户，能够准确理解把握客户业务需求；公司开发的软件在应用习惯、用户界面和对管理需求的系统呈现方面能够贴近 客户需求；在技术服务方面，公司有专职团队为客户提供服务，对客户需求的响应快速及时，客户满意度较高。面对国外厂 商的市场竞争，具有明显的本土化优势。</w:t>
      </w:r>
    </w:p>
    <w:p>
      <w:pPr>
        <w:pStyle w:val="Style25"/>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rPr>
        <w:t>四</w:t>
      </w:r>
      <w:bookmarkEnd w:id="86"/>
      <w:r>
        <w:rPr>
          <w:color w:val="000000"/>
          <w:spacing w:val="0"/>
          <w:w w:val="100"/>
          <w:position w:val="0"/>
        </w:rPr>
        <w:t>、主营业务分析</w:t>
      </w:r>
      <w:bookmarkEnd w:id="84"/>
      <w:bookmarkEnd w:id="85"/>
      <w:bookmarkEnd w:id="87"/>
    </w:p>
    <w:p>
      <w:pPr>
        <w:pStyle w:val="Style31"/>
        <w:keepNext/>
        <w:keepLines/>
        <w:widowControl w:val="0"/>
        <w:shd w:val="clear" w:color="auto" w:fill="auto"/>
        <w:bidi w:val="0"/>
        <w:spacing w:before="0" w:after="24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1</w:t>
      </w:r>
      <w:bookmarkEnd w:id="90"/>
      <w:r>
        <w:rPr>
          <w:color w:val="000000"/>
          <w:spacing w:val="0"/>
          <w:w w:val="100"/>
          <w:position w:val="0"/>
        </w:rPr>
        <w:t>、概述</w:t>
      </w:r>
      <w:bookmarkEnd w:id="88"/>
      <w:bookmarkEnd w:id="89"/>
      <w:bookmarkEnd w:id="91"/>
    </w:p>
    <w:p>
      <w:pPr>
        <w:pStyle w:val="Style21"/>
        <w:keepNext w:val="0"/>
        <w:keepLines w:val="0"/>
        <w:widowControl w:val="0"/>
        <w:shd w:val="clear" w:color="auto" w:fill="auto"/>
        <w:bidi w:val="0"/>
        <w:spacing w:before="0" w:line="310" w:lineRule="exact"/>
        <w:ind w:left="0" w:right="0" w:firstLine="380"/>
        <w:jc w:val="both"/>
      </w:pPr>
      <w:r>
        <w:rPr>
          <w:color w:val="000000"/>
          <w:spacing w:val="0"/>
          <w:w w:val="100"/>
          <w:position w:val="0"/>
        </w:rPr>
        <w:t>报告期内，在国家政策和市场需求的双重驱动下，公司坚持两个聚焦发展战略，持续扩大战略客户服务领域，不断拓展 细分领域的客户市场，业务规模不断扩大；持续加强研发投入，技术平台支撑能力不断提升，业务经营保持了较好较快的增 长态势，收入、利润较去年同期均实现了较高提升。报告期实现营业收入</w:t>
      </w:r>
      <w:r>
        <w:rPr>
          <w:rFonts w:ascii="Times New Roman" w:eastAsia="Times New Roman" w:hAnsi="Times New Roman" w:cs="Times New Roman"/>
          <w:color w:val="000000"/>
          <w:spacing w:val="0"/>
          <w:w w:val="100"/>
          <w:position w:val="0"/>
          <w:sz w:val="18"/>
          <w:szCs w:val="18"/>
        </w:rPr>
        <w:t>581,932,459.41</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37.86%</w:t>
      </w:r>
      <w:r>
        <w:rPr>
          <w:color w:val="000000"/>
          <w:spacing w:val="0"/>
          <w:w w:val="100"/>
          <w:position w:val="0"/>
        </w:rPr>
        <w:t>；营业 成本累计发生</w:t>
      </w:r>
      <w:r>
        <w:rPr>
          <w:rFonts w:ascii="Times New Roman" w:eastAsia="Times New Roman" w:hAnsi="Times New Roman" w:cs="Times New Roman"/>
          <w:color w:val="000000"/>
          <w:spacing w:val="0"/>
          <w:w w:val="100"/>
          <w:position w:val="0"/>
          <w:sz w:val="18"/>
          <w:szCs w:val="18"/>
        </w:rPr>
        <w:t>311,794,844.68</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30.42%</w:t>
      </w:r>
      <w:r>
        <w:rPr>
          <w:color w:val="000000"/>
          <w:spacing w:val="0"/>
          <w:w w:val="100"/>
          <w:position w:val="0"/>
        </w:rPr>
        <w:t>；毛利率为</w:t>
      </w:r>
      <w:r>
        <w:rPr>
          <w:rFonts w:ascii="Times New Roman" w:eastAsia="Times New Roman" w:hAnsi="Times New Roman" w:cs="Times New Roman"/>
          <w:color w:val="000000"/>
          <w:spacing w:val="0"/>
          <w:w w:val="100"/>
          <w:position w:val="0"/>
          <w:sz w:val="18"/>
          <w:szCs w:val="18"/>
        </w:rPr>
        <w:t>46.42%</w:t>
      </w:r>
      <w:r>
        <w:rPr>
          <w:color w:val="000000"/>
          <w:spacing w:val="0"/>
          <w:w w:val="100"/>
          <w:position w:val="0"/>
        </w:rPr>
        <w:t>，较上年同期提高</w:t>
      </w:r>
      <w:r>
        <w:rPr>
          <w:rFonts w:ascii="Times New Roman" w:eastAsia="Times New Roman" w:hAnsi="Times New Roman" w:cs="Times New Roman"/>
          <w:color w:val="000000"/>
          <w:spacing w:val="0"/>
          <w:w w:val="100"/>
          <w:position w:val="0"/>
          <w:sz w:val="18"/>
          <w:szCs w:val="18"/>
        </w:rPr>
        <w:t>3.06</w:t>
      </w:r>
      <w:r>
        <w:rPr>
          <w:color w:val="000000"/>
          <w:spacing w:val="0"/>
          <w:w w:val="100"/>
          <w:position w:val="0"/>
        </w:rPr>
        <w:t>个百分点；四项费用（销 售费用、管理费用、研发费用、财务费用）累计发生</w:t>
      </w:r>
      <w:r>
        <w:rPr>
          <w:rFonts w:ascii="Times New Roman" w:eastAsia="Times New Roman" w:hAnsi="Times New Roman" w:cs="Times New Roman"/>
          <w:color w:val="000000"/>
          <w:spacing w:val="0"/>
          <w:w w:val="100"/>
          <w:position w:val="0"/>
          <w:sz w:val="18"/>
          <w:szCs w:val="18"/>
        </w:rPr>
        <w:t>134,869,121.10</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42.74%</w:t>
      </w:r>
      <w:r>
        <w:rPr>
          <w:color w:val="000000"/>
          <w:spacing w:val="0"/>
          <w:w w:val="100"/>
          <w:position w:val="0"/>
        </w:rPr>
        <w:t xml:space="preserve">；实现归属于母公司净利润 </w:t>
      </w:r>
      <w:r>
        <w:rPr>
          <w:rFonts w:ascii="Times New Roman" w:eastAsia="Times New Roman" w:hAnsi="Times New Roman" w:cs="Times New Roman"/>
          <w:color w:val="000000"/>
          <w:spacing w:val="0"/>
          <w:w w:val="100"/>
          <w:position w:val="0"/>
          <w:sz w:val="18"/>
          <w:szCs w:val="18"/>
        </w:rPr>
        <w:t>138,575,574.8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66.18%</w:t>
      </w:r>
      <w:r>
        <w:rPr>
          <w:color w:val="000000"/>
          <w:spacing w:val="0"/>
          <w:w w:val="100"/>
          <w:position w:val="0"/>
        </w:rPr>
        <w:t>。</w:t>
      </w:r>
    </w:p>
    <w:p>
      <w:pPr>
        <w:pStyle w:val="Style21"/>
        <w:keepNext w:val="0"/>
        <w:keepLines w:val="0"/>
        <w:widowControl w:val="0"/>
        <w:shd w:val="clear" w:color="auto" w:fill="auto"/>
        <w:tabs>
          <w:tab w:pos="580" w:val="left"/>
        </w:tabs>
        <w:bidi w:val="0"/>
        <w:spacing w:before="0" w:line="311" w:lineRule="exact"/>
        <w:ind w:left="0" w:right="0" w:firstLine="200"/>
        <w:jc w:val="left"/>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分客户行业分析</w:t>
      </w:r>
    </w:p>
    <w:p>
      <w:pPr>
        <w:pStyle w:val="Style21"/>
        <w:keepNext w:val="0"/>
        <w:keepLines w:val="0"/>
        <w:widowControl w:val="0"/>
        <w:shd w:val="clear" w:color="auto" w:fill="auto"/>
        <w:bidi w:val="0"/>
        <w:spacing w:before="0" w:line="311" w:lineRule="exact"/>
        <w:ind w:left="0" w:right="0" w:firstLine="380"/>
        <w:jc w:val="both"/>
      </w:pPr>
      <w:r>
        <w:rPr>
          <w:color w:val="000000"/>
          <w:spacing w:val="0"/>
          <w:w w:val="100"/>
          <w:position w:val="0"/>
        </w:rPr>
        <w:t>在石油石化行业，公司坚持长期服务的策略，持续深耕中国石油、中国石化、中国海油、国家管网四家央企客户，在石 油石化行业信息化领域的地位进一步巩固，业务规模进一步提升，营业收入保持稳定增长，实现营业收入</w:t>
      </w:r>
      <w:r>
        <w:rPr>
          <w:rFonts w:ascii="Times New Roman" w:eastAsia="Times New Roman" w:hAnsi="Times New Roman" w:cs="Times New Roman"/>
          <w:color w:val="000000"/>
          <w:spacing w:val="0"/>
          <w:w w:val="100"/>
          <w:position w:val="0"/>
          <w:sz w:val="18"/>
          <w:szCs w:val="18"/>
        </w:rPr>
        <w:t>299,819,333.85</w:t>
      </w:r>
      <w:r>
        <w:rPr>
          <w:color w:val="000000"/>
          <w:spacing w:val="0"/>
          <w:w w:val="100"/>
          <w:position w:val="0"/>
        </w:rPr>
        <w:t>元， 较上年同期增长</w:t>
      </w:r>
      <w:r>
        <w:rPr>
          <w:rFonts w:ascii="Times New Roman" w:eastAsia="Times New Roman" w:hAnsi="Times New Roman" w:cs="Times New Roman"/>
          <w:color w:val="000000"/>
          <w:spacing w:val="0"/>
          <w:w w:val="100"/>
          <w:position w:val="0"/>
          <w:sz w:val="18"/>
          <w:szCs w:val="18"/>
        </w:rPr>
        <w:t>12.83%</w:t>
      </w:r>
      <w:r>
        <w:rPr>
          <w:color w:val="000000"/>
          <w:spacing w:val="0"/>
          <w:w w:val="100"/>
          <w:position w:val="0"/>
        </w:rPr>
        <w:t>，占公司营业收入的比例为</w:t>
      </w:r>
      <w:r>
        <w:rPr>
          <w:rFonts w:ascii="Times New Roman" w:eastAsia="Times New Roman" w:hAnsi="Times New Roman" w:cs="Times New Roman"/>
          <w:color w:val="000000"/>
          <w:spacing w:val="0"/>
          <w:w w:val="100"/>
          <w:position w:val="0"/>
          <w:sz w:val="18"/>
          <w:szCs w:val="18"/>
        </w:rPr>
        <w:t xml:space="preserve">51.52% </w:t>
      </w:r>
      <w:r>
        <w:rPr>
          <w:color w:val="000000"/>
          <w:spacing w:val="0"/>
          <w:w w:val="100"/>
          <w:position w:val="0"/>
        </w:rPr>
        <w:t>；在地产建筑行业，随着中国建筑业务领域的拓展和财务领域的 深入，以及在地产行业共享服务领域市场的不断开拓，营业收入规模及占比不断增长，实现营业收入</w:t>
      </w:r>
      <w:r>
        <w:rPr>
          <w:rFonts w:ascii="Times New Roman" w:eastAsia="Times New Roman" w:hAnsi="Times New Roman" w:cs="Times New Roman"/>
          <w:color w:val="000000"/>
          <w:spacing w:val="0"/>
          <w:w w:val="100"/>
          <w:position w:val="0"/>
          <w:sz w:val="18"/>
          <w:szCs w:val="18"/>
        </w:rPr>
        <w:t>183,019,677.9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元，较 上年同期增长</w:t>
      </w:r>
      <w:r>
        <w:rPr>
          <w:rFonts w:ascii="Times New Roman" w:eastAsia="Times New Roman" w:hAnsi="Times New Roman" w:cs="Times New Roman"/>
          <w:color w:val="000000"/>
          <w:spacing w:val="0"/>
          <w:w w:val="100"/>
          <w:position w:val="0"/>
          <w:sz w:val="18"/>
          <w:szCs w:val="18"/>
        </w:rPr>
        <w:t>187.99%</w:t>
      </w:r>
      <w:r>
        <w:rPr>
          <w:color w:val="000000"/>
          <w:spacing w:val="0"/>
          <w:w w:val="100"/>
          <w:position w:val="0"/>
        </w:rPr>
        <w:t>，占公司营业收入的比例为</w:t>
      </w:r>
      <w:r>
        <w:rPr>
          <w:rFonts w:ascii="Times New Roman" w:eastAsia="Times New Roman" w:hAnsi="Times New Roman" w:cs="Times New Roman"/>
          <w:color w:val="000000"/>
          <w:spacing w:val="0"/>
          <w:w w:val="100"/>
          <w:position w:val="0"/>
          <w:sz w:val="18"/>
          <w:szCs w:val="18"/>
        </w:rPr>
        <w:t>31.45%</w:t>
      </w:r>
      <w:r>
        <w:rPr>
          <w:color w:val="000000"/>
          <w:spacing w:val="0"/>
          <w:w w:val="100"/>
          <w:position w:val="0"/>
        </w:rPr>
        <w:t>，收入占比有较大提升。在金融行业，进一步扩大基于数据驱动的 业务，加强产品研发，努力提高金融保险行业收入规模，收入保持稳定，实现营业收入</w:t>
      </w:r>
      <w:r>
        <w:rPr>
          <w:rFonts w:ascii="Times New Roman" w:eastAsia="Times New Roman" w:hAnsi="Times New Roman" w:cs="Times New Roman"/>
          <w:color w:val="000000"/>
          <w:spacing w:val="0"/>
          <w:w w:val="100"/>
          <w:position w:val="0"/>
          <w:sz w:val="18"/>
          <w:szCs w:val="18"/>
        </w:rPr>
        <w:t>38,460,686.93</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40.79%</w:t>
      </w:r>
      <w:r>
        <w:rPr>
          <w:color w:val="000000"/>
          <w:spacing w:val="0"/>
          <w:w w:val="100"/>
          <w:position w:val="0"/>
        </w:rPr>
        <w:t>， 占公司营业收入的比例为</w:t>
      </w:r>
      <w:r>
        <w:rPr>
          <w:rFonts w:ascii="Times New Roman" w:eastAsia="Times New Roman" w:hAnsi="Times New Roman" w:cs="Times New Roman"/>
          <w:color w:val="000000"/>
          <w:spacing w:val="0"/>
          <w:w w:val="100"/>
          <w:position w:val="0"/>
          <w:sz w:val="18"/>
          <w:szCs w:val="18"/>
        </w:rPr>
        <w:t>6.61%</w:t>
      </w:r>
      <w:r>
        <w:rPr>
          <w:color w:val="000000"/>
          <w:spacing w:val="0"/>
          <w:w w:val="100"/>
          <w:position w:val="0"/>
        </w:rPr>
        <w:t>。</w:t>
      </w:r>
    </w:p>
    <w:p>
      <w:pPr>
        <w:pStyle w:val="Style21"/>
        <w:keepNext w:val="0"/>
        <w:keepLines w:val="0"/>
        <w:widowControl w:val="0"/>
        <w:shd w:val="clear" w:color="auto" w:fill="auto"/>
        <w:tabs>
          <w:tab w:pos="580" w:val="left"/>
        </w:tabs>
        <w:bidi w:val="0"/>
        <w:spacing w:before="0" w:line="311" w:lineRule="exact"/>
        <w:ind w:left="0" w:right="0" w:firstLine="20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分产品领域分析</w:t>
      </w:r>
    </w:p>
    <w:p>
      <w:pPr>
        <w:pStyle w:val="Style21"/>
        <w:keepNext w:val="0"/>
        <w:keepLines w:val="0"/>
        <w:widowControl w:val="0"/>
        <w:shd w:val="clear" w:color="auto" w:fill="auto"/>
        <w:bidi w:val="0"/>
        <w:spacing w:before="0" w:after="740" w:line="312" w:lineRule="exact"/>
        <w:ind w:left="0" w:right="0" w:firstLine="380"/>
        <w:jc w:val="both"/>
      </w:pPr>
      <w:r>
        <w:rPr>
          <w:color w:val="000000"/>
          <w:spacing w:val="0"/>
          <w:w w:val="100"/>
          <w:position w:val="0"/>
        </w:rPr>
        <w:t xml:space="preserve">集团管控类产品是公司传统优势产品，通过进行微服务升级和智能化升级重构，实现技术架构、大数据处理能力和智能 化服务能力的整体提升，进一步巩固和提升公司在大型集团企业管理信息化领域的竞争优势。集团管控产品收入继续保持稳 </w:t>
      </w:r>
      <w:r>
        <w:rPr>
          <w:color w:val="000000"/>
          <w:spacing w:val="0"/>
          <w:w w:val="100"/>
          <w:position w:val="0"/>
        </w:rPr>
        <w:t>定增长，是公司最主要的收入来源，实现营业收入</w:t>
      </w:r>
      <w:r>
        <w:rPr>
          <w:rFonts w:ascii="Times New Roman" w:eastAsia="Times New Roman" w:hAnsi="Times New Roman" w:cs="Times New Roman"/>
          <w:color w:val="000000"/>
          <w:spacing w:val="0"/>
          <w:w w:val="100"/>
          <w:position w:val="0"/>
          <w:sz w:val="18"/>
          <w:szCs w:val="18"/>
        </w:rPr>
        <w:t>447,978,418.40</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21.56%</w:t>
      </w:r>
      <w:r>
        <w:rPr>
          <w:color w:val="000000"/>
          <w:spacing w:val="0"/>
          <w:w w:val="100"/>
          <w:position w:val="0"/>
        </w:rPr>
        <w:t>。公司加快数字建造产品的落 地进程，数字建造产品实现收入</w:t>
      </w:r>
      <w:r>
        <w:rPr>
          <w:rFonts w:ascii="Times New Roman" w:eastAsia="Times New Roman" w:hAnsi="Times New Roman" w:cs="Times New Roman"/>
          <w:color w:val="000000"/>
          <w:spacing w:val="0"/>
          <w:w w:val="100"/>
          <w:position w:val="0"/>
          <w:sz w:val="18"/>
          <w:szCs w:val="18"/>
        </w:rPr>
        <w:t>11,534,433.97</w:t>
      </w:r>
      <w:r>
        <w:rPr>
          <w:color w:val="000000"/>
          <w:spacing w:val="0"/>
          <w:w w:val="100"/>
          <w:position w:val="0"/>
        </w:rPr>
        <w:t>元，实现了在本产品领域的突破，是公司重点拓展的产品方向。在平台软件方 面，公司积极从应用软件领域向平台软件领域进行拓展，平台软件产品实现营业收入</w:t>
      </w:r>
      <w:r>
        <w:rPr>
          <w:rFonts w:ascii="Times New Roman" w:eastAsia="Times New Roman" w:hAnsi="Times New Roman" w:cs="Times New Roman"/>
          <w:color w:val="000000"/>
          <w:spacing w:val="0"/>
          <w:w w:val="100"/>
          <w:position w:val="0"/>
          <w:sz w:val="18"/>
          <w:szCs w:val="18"/>
        </w:rPr>
        <w:t>68,942,995.84</w:t>
      </w:r>
      <w:r>
        <w:rPr>
          <w:color w:val="000000"/>
          <w:spacing w:val="0"/>
          <w:w w:val="100"/>
          <w:position w:val="0"/>
        </w:rPr>
        <w:t xml:space="preserve">元，较上年同期增长 </w:t>
      </w:r>
      <w:r>
        <w:rPr>
          <w:rFonts w:ascii="Times New Roman" w:eastAsia="Times New Roman" w:hAnsi="Times New Roman" w:cs="Times New Roman"/>
          <w:color w:val="000000"/>
          <w:spacing w:val="0"/>
          <w:w w:val="100"/>
          <w:position w:val="0"/>
          <w:sz w:val="18"/>
          <w:szCs w:val="18"/>
        </w:rPr>
        <w:t>2,531.08%</w:t>
      </w:r>
      <w:r>
        <w:rPr>
          <w:color w:val="000000"/>
          <w:spacing w:val="0"/>
          <w:w w:val="100"/>
          <w:position w:val="0"/>
        </w:rPr>
        <w:t>。数字化时代下，集团企业管理软件的生产模式将发生重大改变，基于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形态的交付模式将向基于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交付模式转变，公司将进一步加强平台软件的研发，全面满足集团企业数字化转型构建云基础设施需要，赋能集团企业灵活 应对外部商业环境的变化，并进行业务创新。</w:t>
      </w:r>
    </w:p>
    <w:p>
      <w:pPr>
        <w:pStyle w:val="Style31"/>
        <w:keepNext/>
        <w:keepLines/>
        <w:widowControl w:val="0"/>
        <w:shd w:val="clear" w:color="auto" w:fill="auto"/>
        <w:bidi w:val="0"/>
        <w:spacing w:before="0" w:line="240"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2</w:t>
      </w:r>
      <w:bookmarkEnd w:id="96"/>
      <w:r>
        <w:rPr>
          <w:color w:val="000000"/>
          <w:spacing w:val="0"/>
          <w:w w:val="100"/>
          <w:position w:val="0"/>
        </w:rPr>
        <w:t>、收入与成本</w:t>
      </w:r>
      <w:bookmarkEnd w:id="94"/>
      <w:bookmarkEnd w:id="95"/>
      <w:bookmarkEnd w:id="97"/>
    </w:p>
    <w:p>
      <w:pPr>
        <w:pStyle w:val="Style40"/>
        <w:keepNext/>
        <w:keepLines/>
        <w:widowControl w:val="0"/>
        <w:shd w:val="clear" w:color="auto" w:fill="auto"/>
        <w:bidi w:val="0"/>
        <w:spacing w:before="0" w:after="260" w:line="240" w:lineRule="auto"/>
        <w:ind w:left="0" w:right="0" w:firstLine="0"/>
        <w:jc w:val="both"/>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98"/>
      <w:bookmarkEnd w:id="99"/>
    </w:p>
    <w:p>
      <w:pPr>
        <w:pStyle w:val="Style21"/>
        <w:keepNext w:val="0"/>
        <w:keepLines w:val="0"/>
        <w:widowControl w:val="0"/>
        <w:shd w:val="clear" w:color="auto" w:fill="auto"/>
        <w:bidi w:val="0"/>
        <w:spacing w:before="0" w:after="160" w:line="313" w:lineRule="exact"/>
        <w:ind w:left="0" w:right="0" w:firstLine="0"/>
        <w:jc w:val="both"/>
      </w:pPr>
      <w:r>
        <w:rPr>
          <w:color w:val="000000"/>
          <w:spacing w:val="0"/>
          <w:w w:val="100"/>
          <w:position w:val="0"/>
        </w:rPr>
        <w:t>营业收入整体情况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422,103,866.51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299,819,333.85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265,733,742.24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183,019,677.90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63,549,636.05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38,460,686.93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27,317,403.26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18,552,680.14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15,040,660.42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15,993,029.79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17,374,401.79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3,965,461.40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4,369,414.32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22,121,589.40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28,718,608.43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447,978,418.40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368,523,158.84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11,534,433.97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24,827,167.39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27,886,080.15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68,942,995.84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2,620,334.31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21,694,203.56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20,112,038.09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6,482,364.08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2,412,525.99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549,729.13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49,665,600.97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56,556,695.20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18,369,195.92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13,642,783.85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10,672,635.60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12,753,738.20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404,273,225.02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249,673,395.47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50,517,316.43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56,193,469.03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7,002,123.54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9,979,205.91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13,189,658.55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6,412,365.90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28,242,703.38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16,892,212.95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422,103,866.51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133"/>
        <w:gridCol w:w="1133"/>
        <w:gridCol w:w="1138"/>
        <w:gridCol w:w="1195"/>
        <w:gridCol w:w="1070"/>
        <w:gridCol w:w="994"/>
        <w:gridCol w:w="989"/>
        <w:gridCol w:w="114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36,393,355.34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101,676,974.45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74,903,734.57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368,958,395.05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20,052,313.30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76,170,642.66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45,817,859.20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280,063,051.35</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归属于上市 公司股东的 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3,111,267.98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27,845,655.13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11,807,281.83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95,811,369.88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1,945,606.60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14,727,421.54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2,003,079.55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64,713,798.56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widowControl w:val="0"/>
        <w:spacing w:after="99" w:line="1" w:lineRule="exact"/>
      </w:pPr>
    </w:p>
    <w:p>
      <w:pPr>
        <w:pStyle w:val="Style21"/>
        <w:keepNext w:val="0"/>
        <w:keepLines w:val="0"/>
        <w:widowControl w:val="0"/>
        <w:shd w:val="clear" w:color="auto" w:fill="auto"/>
        <w:bidi w:val="0"/>
        <w:spacing w:before="0" w:after="380" w:line="310" w:lineRule="exact"/>
        <w:ind w:left="0" w:right="0"/>
        <w:jc w:val="both"/>
      </w:pPr>
      <w:r>
        <w:rPr>
          <w:color w:val="000000"/>
          <w:spacing w:val="0"/>
          <w:w w:val="100"/>
          <w:position w:val="0"/>
        </w:rPr>
        <w:t>公司的主要客户为中国石油、中国石化、中国建筑和中国海油、国家管网等大型集团企业，该等客户其信息化项目的立 项、审批和采购招标一般安排在每年的第一、二季度，且对合同签署以及项目验收和货款支付有较长的审核周期，下半年尤 其是第四季度通常是项目验收的高峰期。公司业务收入存在季节性特征，第四季度收入占比较高，但公司费用发生在年内平 均分布，导致上半年利润较少，公司业绩存在季节性波动的风险。</w:t>
      </w:r>
    </w:p>
    <w:p>
      <w:pPr>
        <w:pStyle w:val="Style40"/>
        <w:keepNext/>
        <w:keepLines/>
        <w:widowControl w:val="0"/>
        <w:shd w:val="clear" w:color="auto" w:fill="auto"/>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2"/>
      <w:bookmarkEnd w:id="103"/>
      <w:bookmarkEnd w:id="105"/>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299,819,333.85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177,514,526.99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183,019,677.90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86,360,522.87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447,978,418.40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240,458,869.84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68,942,995.84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33,686,031.62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49,665,600.97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22,018,189.97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404,273,225.02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224,468,026.69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bl>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6"/>
      <w:bookmarkEnd w:id="107"/>
      <w:bookmarkEnd w:id="109"/>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0"/>
      <w:bookmarkEnd w:id="111"/>
      <w:bookmarkEnd w:id="113"/>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4"/>
      <w:bookmarkEnd w:id="115"/>
      <w:bookmarkEnd w:id="117"/>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130,280,143.25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115,302,607.37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40,856,756.68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22,763,092.83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10,439,487.12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9,157,170.65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5,087,662.13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5,778,657.48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6,806,263.05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7,404,498.18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1,812,313.58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1,719,977.10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8,908,177.61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15,847,314.17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19" w:line="1" w:lineRule="exact"/>
      </w:pPr>
    </w:p>
    <w:p>
      <w:pPr>
        <w:pStyle w:val="Style21"/>
        <w:keepNext w:val="0"/>
        <w:keepLines w:val="0"/>
        <w:widowControl w:val="0"/>
        <w:shd w:val="clear" w:color="auto" w:fill="auto"/>
        <w:bidi w:val="0"/>
        <w:spacing w:before="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204,190,803.42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177,973,317.78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33,119,410.80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33,155,672.68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44,749,293.57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15,482,653.32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21,706,975.12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6,029,378.82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8,028,361.77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6,423,764.55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w:t>
            </w:r>
          </w:p>
        </w:tc>
      </w:tr>
    </w:tbl>
    <w:p>
      <w:pPr>
        <w:pStyle w:val="Style40"/>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8"/>
      <w:bookmarkEnd w:id="119"/>
      <w:bookmarkEnd w:id="12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公司因业务发展的需要，新设控股子公司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家。子公司名称：普联智能数建科技（北京）有限公司。</w:t>
      </w:r>
    </w:p>
    <w:p>
      <w:pPr>
        <w:pStyle w:val="Style40"/>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2"/>
      <w:bookmarkEnd w:id="123"/>
      <w:bookmarkEnd w:id="125"/>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line="240" w:lineRule="auto"/>
        <w:ind w:left="0" w:right="0" w:firstLine="0"/>
        <w:jc w:val="left"/>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6"/>
      <w:bookmarkEnd w:id="127"/>
      <w:bookmarkEnd w:id="129"/>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12"/>
        <w:gridCol w:w="507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443,614,751.07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142,933,752.66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140,696,567.50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100,935,557.05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33,215,060.48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25,833,813.38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443,614,751.07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76.23%</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651"/>
        <w:gridCol w:w="49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42,762,827.33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22,452,505.69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10,216,934.00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3,590,883.06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3,254,716.98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3,247,787.60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42,762,827.33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63.67%</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3</w:t>
      </w:r>
      <w:bookmarkEnd w:id="132"/>
      <w:r>
        <w:rPr>
          <w:color w:val="000000"/>
          <w:spacing w:val="0"/>
          <w:w w:val="100"/>
          <w:position w:val="0"/>
        </w:rPr>
        <w:t>、费用</w:t>
      </w:r>
      <w:bookmarkEnd w:id="130"/>
      <w:bookmarkEnd w:id="131"/>
      <w:bookmarkEnd w:id="133"/>
    </w:p>
    <w:p>
      <w:pPr>
        <w:pStyle w:val="Style27"/>
        <w:keepNext w:val="0"/>
        <w:keepLines w:val="0"/>
        <w:widowControl w:val="0"/>
        <w:shd w:val="clear" w:color="auto" w:fill="auto"/>
        <w:bidi w:val="0"/>
        <w:spacing w:before="0" w:after="0" w:line="240" w:lineRule="auto"/>
        <w:ind w:left="8194" w:right="0" w:firstLine="0"/>
        <w:jc w:val="left"/>
      </w:pPr>
      <w:r>
        <w:rPr>
          <w:color w:val="000000"/>
          <w:spacing w:val="0"/>
          <w:w w:val="100"/>
          <w:position w:val="0"/>
        </w:rPr>
        <w:t>单位：元</w:t>
      </w:r>
    </w:p>
    <w:tbl>
      <w:tblPr>
        <w:tblOverlap w:val="never"/>
        <w:jc w:val="center"/>
        <w:tblLayout w:type="fixed"/>
      </w:tblPr>
      <w:tblGrid>
        <w:gridCol w:w="1109"/>
        <w:gridCol w:w="1421"/>
        <w:gridCol w:w="1555"/>
        <w:gridCol w:w="1277"/>
        <w:gridCol w:w="422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15,469,354.99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12,883,600.87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46,774,726.74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30,122,918.64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主要系实行股权激励，股份支付费用增加；公司规模 扩大，增加租赁用房，房租增加等因素综合所致。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-998,545.16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主要系本报告期银行存款利息增加所致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73,623,584.53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51,715,171.71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主要系公司加大研发投入所致</w:t>
            </w:r>
          </w:p>
        </w:tc>
      </w:tr>
    </w:tbl>
    <w:p>
      <w:pPr>
        <w:widowControl w:val="0"/>
        <w:spacing w:after="679" w:line="1" w:lineRule="exact"/>
      </w:pPr>
    </w:p>
    <w:p>
      <w:pPr>
        <w:pStyle w:val="Style31"/>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4</w:t>
      </w:r>
      <w:bookmarkEnd w:id="136"/>
      <w:r>
        <w:rPr>
          <w:color w:val="000000"/>
          <w:spacing w:val="0"/>
          <w:w w:val="100"/>
          <w:position w:val="0"/>
        </w:rPr>
        <w:t>、研发投入</w:t>
      </w:r>
      <w:bookmarkEnd w:id="134"/>
      <w:bookmarkEnd w:id="135"/>
      <w:bookmarkEnd w:id="137"/>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53"/>
        <w:gridCol w:w="2976"/>
        <w:gridCol w:w="850"/>
        <w:gridCol w:w="2410"/>
        <w:gridCol w:w="20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预计对公司未来发展的影 响</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智能化集团管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控系列产品研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对集团管控系列产品进行技术升级、 架构提升和功能重构，研发基于新一 代信息技术的集团管控应用新产品。 主要内容包括新一代总账核心系统、 全球资金集中管理系统、智能税务管 理系统、微服务架构业务中台系统、 综合型智能化共享服务系统等。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构建面向重点行业领域的智能 化集团管控解决方案，实现技 术架构、大数据处理能力和智 能化服务能力的整体提升。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巩固优势行业地位，保持 高端市场竞争力，提高集 团管控软件可复用度，扩 大优势业务规模，拓展更 多行业集团客户。</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技术开发平台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采用新技术、新架构提升技术平台能 力，主要包括容器云资源管理调度能 力、大数据处理能力和开发运维自动 化能力等。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构建面向大型复杂架构系统部 署需求的</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云平台，面向大 型定制软件项目交付的</w:t>
            </w:r>
            <w:r>
              <w:rPr>
                <w:rFonts w:ascii="Times New Roman" w:eastAsia="Times New Roman" w:hAnsi="Times New Roman" w:cs="Times New Roman"/>
                <w:color w:val="000000"/>
                <w:spacing w:val="0"/>
                <w:w w:val="100"/>
                <w:position w:val="0"/>
                <w:sz w:val="18"/>
                <w:szCs w:val="18"/>
              </w:rPr>
              <w:t xml:space="preserve">OSP </w:t>
            </w:r>
            <w:r>
              <w:rPr>
                <w:color w:val="000000"/>
                <w:spacing w:val="0"/>
                <w:w w:val="100"/>
                <w:position w:val="0"/>
              </w:rPr>
              <w:t>云开发平台。实现基于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形态的交付模式向基于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的交付模式转变。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提高项目交付质量和交付 效率，规范产品研发、项 目管理与降低人力成本， 引领技术人员完成技术迁 移；支撑公司业务模式转 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系列产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偿付能力二代系统、风险管理系统研 发与提升改造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提高偿付能力二代系统、风险 管理产品的市场竞争力，为行 业用户提供更好的使用体验。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进一步扩大基于数据驱动 的业务，提高金融保险行 业收入规模。</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数字建造产品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研发建筑行业数字建造应用产品与解 决方案。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为建筑行业数字建造业务提供 一体化的解决方案。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推动公司建筑行业收入快 速增长，收入规模持续提 高。</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14.04%</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73,623,584.53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51,715,171.71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39,093,385.90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1"/>
        <w:keepNext/>
        <w:keepLines/>
        <w:widowControl w:val="0"/>
        <w:shd w:val="clear" w:color="auto" w:fill="auto"/>
        <w:bidi w:val="0"/>
        <w:spacing w:before="0" w:after="38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5</w:t>
      </w:r>
      <w:bookmarkEnd w:id="140"/>
      <w:r>
        <w:rPr>
          <w:color w:val="000000"/>
          <w:spacing w:val="0"/>
          <w:w w:val="100"/>
          <w:position w:val="0"/>
        </w:rPr>
        <w:t>、现金流</w:t>
      </w:r>
      <w:bookmarkEnd w:id="138"/>
      <w:bookmarkEnd w:id="139"/>
      <w:bookmarkEnd w:id="14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2122"/>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591,264,513.43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412,071,236.10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427,091,943.56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319,540,944.21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164,172,569.87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92,530,291.89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902,789,566.00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238,360,783.86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1,149,063,988.11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359,489,274.40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219.64%</w:t>
            </w:r>
          </w:p>
        </w:tc>
      </w:tr>
    </w:tbl>
    <w:p>
      <w:pPr>
        <w:spacing w:lineRule="exact" w:line="1"/>
        <w:rPr>
          <w:sz w:val="2"/>
          <w:szCs w:val="2"/>
        </w:rPr>
      </w:pPr>
      <w:r>
        <w:br w:type="page"/>
      </w:r>
    </w:p>
    <w:tbl>
      <w:tblPr>
        <w:tblOverlap w:val="never"/>
        <w:jc w:val="center"/>
        <w:tblLayout w:type="fixed"/>
      </w:tblPr>
      <w:tblGrid>
        <w:gridCol w:w="2669"/>
        <w:gridCol w:w="2122"/>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-246,274,422.11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-121,128,490.54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427,336,198.13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56,351,246.16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18,006,631.92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370,984,951.97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-17,006,631.92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288,349,479.94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-45,816,175.35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729.36%</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445" w:val="left"/>
        </w:tabs>
        <w:bidi w:val="0"/>
        <w:spacing w:before="0" w:line="240" w:lineRule="auto"/>
        <w:ind w:left="0" w:right="0" w:firstLine="0"/>
        <w:jc w:val="both"/>
      </w:pPr>
      <w:bookmarkStart w:id="142" w:name="bookmark142"/>
      <w:r>
        <w:rPr>
          <w:color w:val="000000"/>
          <w:spacing w:val="0"/>
          <w:w w:val="100"/>
          <w:position w:val="0"/>
        </w:rPr>
        <w:t>（</w:t>
      </w:r>
      <w:bookmarkEnd w:id="1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经营活动现金流入大幅增加主要系营业收入增长，销售回款增加所致。</w:t>
      </w:r>
    </w:p>
    <w:p>
      <w:pPr>
        <w:pStyle w:val="Style21"/>
        <w:keepNext w:val="0"/>
        <w:keepLines w:val="0"/>
        <w:widowControl w:val="0"/>
        <w:shd w:val="clear" w:color="auto" w:fill="auto"/>
        <w:bidi w:val="0"/>
        <w:spacing w:before="0" w:line="240" w:lineRule="auto"/>
        <w:ind w:left="0" w:right="0" w:firstLine="0"/>
        <w:jc w:val="both"/>
      </w:pPr>
      <w:bookmarkStart w:id="143" w:name="bookmark143"/>
      <w:r>
        <w:rPr>
          <w:color w:val="000000"/>
          <w:spacing w:val="0"/>
          <w:w w:val="100"/>
          <w:position w:val="0"/>
        </w:rPr>
        <w:t>（</w:t>
      </w:r>
      <w:bookmarkEnd w:id="1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经营活动现金流出大幅增加主要系业务规模和人员规模扩大，支付员工薪酬、差旅费用、项目采购增加所致。</w:t>
      </w:r>
    </w:p>
    <w:p>
      <w:pPr>
        <w:pStyle w:val="Style21"/>
        <w:keepNext w:val="0"/>
        <w:keepLines w:val="0"/>
        <w:widowControl w:val="0"/>
        <w:shd w:val="clear" w:color="auto" w:fill="auto"/>
        <w:tabs>
          <w:tab w:pos="445" w:val="left"/>
        </w:tabs>
        <w:bidi w:val="0"/>
        <w:spacing w:before="0" w:line="240" w:lineRule="auto"/>
        <w:ind w:left="0" w:right="0" w:firstLine="0"/>
        <w:jc w:val="both"/>
      </w:pPr>
      <w:bookmarkStart w:id="144" w:name="bookmark144"/>
      <w:r>
        <w:rPr>
          <w:color w:val="000000"/>
          <w:spacing w:val="0"/>
          <w:w w:val="100"/>
          <w:position w:val="0"/>
        </w:rPr>
        <w:t>（</w:t>
      </w:r>
      <w:bookmarkEnd w:id="1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投资活动现金流入大幅增加主要系闲置资金现金管理到期收回所致。</w:t>
      </w:r>
    </w:p>
    <w:p>
      <w:pPr>
        <w:pStyle w:val="Style21"/>
        <w:keepNext w:val="0"/>
        <w:keepLines w:val="0"/>
        <w:widowControl w:val="0"/>
        <w:shd w:val="clear" w:color="auto" w:fill="auto"/>
        <w:tabs>
          <w:tab w:pos="445" w:val="left"/>
        </w:tabs>
        <w:bidi w:val="0"/>
        <w:spacing w:before="0" w:line="240" w:lineRule="auto"/>
        <w:ind w:left="0" w:right="0" w:firstLine="0"/>
        <w:jc w:val="both"/>
      </w:pPr>
      <w:bookmarkStart w:id="145" w:name="bookmark145"/>
      <w:r>
        <w:rPr>
          <w:color w:val="000000"/>
          <w:spacing w:val="0"/>
          <w:w w:val="100"/>
          <w:position w:val="0"/>
        </w:rPr>
        <w:t>（</w:t>
      </w:r>
      <w:bookmarkEnd w:id="1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投资活动现金流出大幅增加主要系闲置资金现金管理增加所致。</w:t>
      </w:r>
    </w:p>
    <w:p>
      <w:pPr>
        <w:pStyle w:val="Style21"/>
        <w:keepNext w:val="0"/>
        <w:keepLines w:val="0"/>
        <w:widowControl w:val="0"/>
        <w:shd w:val="clear" w:color="auto" w:fill="auto"/>
        <w:tabs>
          <w:tab w:pos="445" w:val="left"/>
        </w:tabs>
        <w:bidi w:val="0"/>
        <w:spacing w:before="0" w:line="240" w:lineRule="auto"/>
        <w:ind w:left="0" w:right="0" w:firstLine="0"/>
        <w:jc w:val="both"/>
      </w:pPr>
      <w:bookmarkStart w:id="146" w:name="bookmark146"/>
      <w:r>
        <w:rPr>
          <w:color w:val="000000"/>
          <w:spacing w:val="0"/>
          <w:w w:val="100"/>
          <w:position w:val="0"/>
        </w:rPr>
        <w:t>（</w:t>
      </w:r>
      <w:bookmarkEnd w:id="14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筹资活动现金流入大幅增加主要系公司新股发行（</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w:t>
      </w:r>
      <w:r>
        <w:rPr>
          <w:color w:val="000000"/>
          <w:spacing w:val="0"/>
          <w:w w:val="100"/>
          <w:position w:val="0"/>
        </w:rPr>
        <w:t>，收到相应募集资金所致。</w:t>
      </w:r>
    </w:p>
    <w:p>
      <w:pPr>
        <w:pStyle w:val="Style21"/>
        <w:keepNext w:val="0"/>
        <w:keepLines w:val="0"/>
        <w:widowControl w:val="0"/>
        <w:shd w:val="clear" w:color="auto" w:fill="auto"/>
        <w:tabs>
          <w:tab w:pos="445" w:val="left"/>
        </w:tabs>
        <w:bidi w:val="0"/>
        <w:spacing w:before="0" w:line="240" w:lineRule="auto"/>
        <w:ind w:left="0" w:right="0" w:firstLine="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筹资活动现金流出大幅增加主要系支付</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中介费用，本期分配股利增加所致。</w:t>
      </w: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五</w:t>
      </w:r>
      <w:bookmarkEnd w:id="150"/>
      <w:r>
        <w:rPr>
          <w:color w:val="000000"/>
          <w:spacing w:val="0"/>
          <w:w w:val="100"/>
          <w:position w:val="0"/>
        </w:rPr>
        <w:t>、非主营业务情况</w:t>
      </w:r>
      <w:bookmarkEnd w:id="148"/>
      <w:bookmarkEnd w:id="149"/>
      <w:bookmarkEnd w:id="151"/>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10,656,843.85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现金管理收益及权益法核 算的长期股权投资收益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确认闲置资金现金管理公 允价值变动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计提项目存货跌价准备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-3,172,553.45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计提信用减值损失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7,752,539.58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软件产品即征即退、进项税 额加计抵减、政府补助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增值税即征即退具有可持续 性</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六</w:t>
      </w:r>
      <w:bookmarkEnd w:id="154"/>
      <w:r>
        <w:rPr>
          <w:color w:val="000000"/>
          <w:spacing w:val="0"/>
          <w:w w:val="100"/>
          <w:position w:val="0"/>
        </w:rPr>
        <w:t>、资产及负债状况分析</w:t>
      </w:r>
      <w:bookmarkEnd w:id="152"/>
      <w:bookmarkEnd w:id="153"/>
      <w:bookmarkEnd w:id="155"/>
    </w:p>
    <w:p>
      <w:pPr>
        <w:pStyle w:val="Style31"/>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2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253"/>
        <w:gridCol w:w="1286"/>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53"/>
        <w:gridCol w:w="1286"/>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重大变动说明</w:t>
            </w:r>
          </w:p>
        </w:tc>
      </w:tr>
      <w:tr>
        <w:trPr>
          <w:trHeight w:val="36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pPr>
            <w:r>
              <w:rPr>
                <w:color w:val="000000"/>
                <w:spacing w:val="0"/>
                <w:w w:val="100"/>
                <w:position w:val="0"/>
              </w:rPr>
              <w:t>例</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371,558,814.99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84,050,580.36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主要系报告期内公开发行股票资金 到位所致</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228,472,120.74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203,245,374.13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主要系报告期内公开发行股票资金 到位，企业业绩稳健增长等因素导致 总资产大幅增长所致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42,973,061.28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42,256,585.46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主要系报告期内公开发行股票资金 到位，企业业绩稳健增长等因素导致 总资产大幅增长所致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8,864,516.71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8,024,715.41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7,683,787.01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5,605,834.84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10,189,424.73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13,373,613.68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主要系实施新租赁准则，自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日起对租入资产确认使用权资产 和租赁负债所致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13,370,316.79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15,400,477.01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10,064,726.53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13,639,279.46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主要系实施新租赁准则，自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日起对租入资产确认使用权资产 和租赁负债所致</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境外资产占比较高</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、以公允价值计量的资产和负债</w:t>
      </w:r>
      <w:bookmarkEnd w:id="160"/>
      <w:bookmarkEnd w:id="161"/>
      <w:bookmarkEnd w:id="163"/>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989"/>
        <w:gridCol w:w="1253"/>
        <w:gridCol w:w="1138"/>
        <w:gridCol w:w="994"/>
        <w:gridCol w:w="821"/>
        <w:gridCol w:w="1445"/>
        <w:gridCol w:w="1277"/>
        <w:gridCol w:w="850"/>
        <w:gridCol w:w="128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354,210,042.73</w:t>
            </w:r>
          </w:p>
        </w:tc>
      </w:tr>
    </w:tbl>
    <w:p>
      <w:pPr>
        <w:spacing w:lineRule="exact" w:line="1"/>
        <w:rPr>
          <w:sz w:val="2"/>
          <w:szCs w:val="2"/>
        </w:rPr>
      </w:pPr>
      <w:r>
        <w:br w:type="page"/>
      </w:r>
    </w:p>
    <w:tbl>
      <w:tblPr>
        <w:tblOverlap w:val="never"/>
        <w:jc w:val="center"/>
        <w:tblLayout w:type="fixed"/>
      </w:tblPr>
      <w:tblGrid>
        <w:gridCol w:w="989"/>
        <w:gridCol w:w="1253"/>
        <w:gridCol w:w="1138"/>
        <w:gridCol w:w="994"/>
        <w:gridCol w:w="821"/>
        <w:gridCol w:w="1445"/>
        <w:gridCol w:w="1277"/>
        <w:gridCol w:w="850"/>
        <w:gridCol w:w="12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354,210,042.73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1,110,800,000.00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354,210,042.73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其他变动的内容</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28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、截至报告期末的资产权利受限情况</w:t>
      </w:r>
      <w:bookmarkEnd w:id="164"/>
      <w:bookmarkEnd w:id="165"/>
      <w:bookmarkEnd w:id="167"/>
    </w:p>
    <w:p>
      <w:pPr>
        <w:pStyle w:val="Style21"/>
        <w:keepNext w:val="0"/>
        <w:keepLines w:val="0"/>
        <w:widowControl w:val="0"/>
        <w:shd w:val="clear" w:color="auto" w:fill="auto"/>
        <w:bidi w:val="0"/>
        <w:spacing w:before="0" w:after="400" w:line="302" w:lineRule="exact"/>
        <w:ind w:left="0" w:right="0" w:firstLine="0"/>
        <w:jc w:val="left"/>
      </w:pPr>
      <w:r>
        <w:rPr>
          <w:color w:val="000000"/>
          <w:spacing w:val="0"/>
          <w:w w:val="100"/>
          <w:position w:val="0"/>
        </w:rPr>
        <w:t>截止报告期末，本公司不存在质押、冻结，或有潜在收回风险的款项。本公司受限制的货币资金为存放银行的保函保证金， 共计</w:t>
      </w:r>
      <w:r>
        <w:rPr>
          <w:rFonts w:ascii="Times New Roman" w:eastAsia="Times New Roman" w:hAnsi="Times New Roman" w:cs="Times New Roman"/>
          <w:color w:val="000000"/>
          <w:spacing w:val="0"/>
          <w:w w:val="100"/>
          <w:position w:val="0"/>
          <w:sz w:val="18"/>
          <w:szCs w:val="18"/>
        </w:rPr>
        <w:t xml:space="preserve">4,137,503.00 </w:t>
      </w:r>
      <w:r>
        <w:rPr>
          <w:color w:val="000000"/>
          <w:spacing w:val="0"/>
          <w:w w:val="100"/>
          <w:position w:val="0"/>
        </w:rPr>
        <w:t>元。</w:t>
      </w:r>
    </w:p>
    <w:p>
      <w:pPr>
        <w:pStyle w:val="Style25"/>
        <w:keepNext/>
        <w:keepLines/>
        <w:widowControl w:val="0"/>
        <w:shd w:val="clear" w:color="auto" w:fill="auto"/>
        <w:bidi w:val="0"/>
        <w:spacing w:before="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七</w:t>
      </w:r>
      <w:bookmarkEnd w:id="170"/>
      <w:r>
        <w:rPr>
          <w:color w:val="000000"/>
          <w:spacing w:val="0"/>
          <w:w w:val="100"/>
          <w:position w:val="0"/>
        </w:rPr>
        <w:t>、投资状况分析</w:t>
      </w:r>
      <w:bookmarkEnd w:id="168"/>
      <w:bookmarkEnd w:id="169"/>
      <w:bookmarkEnd w:id="171"/>
    </w:p>
    <w:p>
      <w:pPr>
        <w:pStyle w:val="Style31"/>
        <w:keepNext/>
        <w:keepLines/>
        <w:widowControl w:val="0"/>
        <w:shd w:val="clear" w:color="auto" w:fill="auto"/>
        <w:bidi w:val="0"/>
        <w:spacing w:before="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、总体情况</w:t>
      </w:r>
      <w:bookmarkEnd w:id="172"/>
      <w:bookmarkEnd w:id="173"/>
      <w:bookmarkEnd w:id="175"/>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1,149,063,988.11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359,489,274.40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219.64%</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、报告期内获取的重大的股权投资情况</w:t>
      </w:r>
      <w:bookmarkEnd w:id="176"/>
      <w:bookmarkEnd w:id="177"/>
      <w:bookmarkEnd w:id="179"/>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期（如</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引（如 有）</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普联智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能数建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京）有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数字建 造产品 的研 发、销 售、实 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自有资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北京普 联智建 科技中 心（有 限合 伙）、北 京普联 建信科 技中心</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已完 成设 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具体请 见公司 在巨潮 资讯网</w:t>
            </w:r>
          </w:p>
          <w:p>
            <w:pPr>
              <w:pStyle w:val="Style2"/>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cninfo.c om.cn</w:t>
            </w:r>
            <w:r>
              <w:rPr>
                <w:color w:val="000000"/>
                <w:spacing w:val="0"/>
                <w:w w:val="100"/>
                <w:position w:val="0"/>
              </w:rPr>
              <w:t xml:space="preserve">） </w:t>
            </w:r>
            <w:r>
              <w:rPr>
                <w:color w:val="000000"/>
                <w:spacing w:val="0"/>
                <w:w w:val="100"/>
                <w:position w:val="0"/>
              </w:rPr>
              <w:t>披露的 公告</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（公告</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合伙）、 北京普 联实信 科技中 心（有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编号：</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2021-00</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30,230,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、报告期内正在进行的重大的非股权投资情况</w:t>
      </w:r>
      <w:bookmarkEnd w:id="180"/>
      <w:bookmarkEnd w:id="181"/>
      <w:bookmarkEnd w:id="183"/>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171"/>
        <w:gridCol w:w="504"/>
        <w:gridCol w:w="710"/>
        <w:gridCol w:w="850"/>
        <w:gridCol w:w="998"/>
        <w:gridCol w:w="989"/>
        <w:gridCol w:w="442"/>
        <w:gridCol w:w="653"/>
        <w:gridCol w:w="653"/>
        <w:gridCol w:w="653"/>
        <w:gridCol w:w="715"/>
        <w:gridCol w:w="850"/>
        <w:gridCol w:w="86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是否为 固定资 产投资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投资项目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截至报告期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末累计实际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截止报 告期末 累计实 现的收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披露索引</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山东信息通信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技术创新科研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办公楼宇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27,728,724.30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57,728,724.30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27,728,724.30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57,728,724.30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、以公允价值计量的金融资产</w:t>
      </w:r>
      <w:bookmarkEnd w:id="184"/>
      <w:bookmarkEnd w:id="185"/>
      <w:bookmarkEnd w:id="187"/>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109"/>
        <w:gridCol w:w="1181"/>
        <w:gridCol w:w="1090"/>
        <w:gridCol w:w="994"/>
        <w:gridCol w:w="1272"/>
        <w:gridCol w:w="1133"/>
        <w:gridCol w:w="994"/>
        <w:gridCol w:w="1138"/>
        <w:gridCol w:w="11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初始投资成本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资金来源</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5,607.27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22,005,607.27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20,062,000.00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135,900,000.00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2,242,435.46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1,068,800,000.00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894,800,000.00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7,208,659.45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312,142,435.46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自有资金及 暂时闲置的 募集资金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135,900,000.00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2,310,042.73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1,110,800,000.00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894,800,000.00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7,208,659.45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354,210,042.73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、募集资金使用情况</w:t>
      </w:r>
      <w:bookmarkEnd w:id="188"/>
      <w:bookmarkEnd w:id="189"/>
      <w:bookmarkEnd w:id="191"/>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0"/>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36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发行股票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并上市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部分闲置 募集资金 进行现金 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22,329.8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17,823.31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635"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400"/>
              <w:jc w:val="left"/>
            </w:pPr>
            <w:r>
              <w:rPr>
                <w:color w:val="000000"/>
                <w:spacing w:val="0"/>
                <w:w w:val="100"/>
                <w:position w:val="0"/>
              </w:rPr>
              <w:t>根据中国证券监督管理委员会《关于同意普联软件股份有限公司首次公开发行股票注册的批复》（证监许可</w:t>
            </w:r>
            <w:r>
              <w:rPr>
                <w:rFonts w:ascii="Times New Roman" w:eastAsia="Times New Roman" w:hAnsi="Times New Roman" w:cs="Times New Roman"/>
                <w:color w:val="000000"/>
                <w:spacing w:val="0"/>
                <w:w w:val="100"/>
                <w:position w:val="0"/>
                <w:sz w:val="18"/>
                <w:szCs w:val="18"/>
              </w:rPr>
              <w:t xml:space="preserve">[2021]1358 </w:t>
            </w:r>
            <w:r>
              <w:rPr>
                <w:color w:val="000000"/>
                <w:spacing w:val="0"/>
                <w:w w:val="100"/>
                <w:position w:val="0"/>
              </w:rPr>
              <w:t>号），并经深圳证券交易所同意，普联软件股份有限公司（以下简称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）首次公开发行的人民币普通股股票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22,100,000</w:t>
            </w:r>
            <w:r>
              <w:rPr>
                <w:color w:val="000000"/>
                <w:spacing w:val="0"/>
                <w:w w:val="100"/>
                <w:position w:val="0"/>
              </w:rPr>
              <w:t>股，发行价格为</w:t>
            </w:r>
            <w:r>
              <w:rPr>
                <w:rFonts w:ascii="Times New Roman" w:eastAsia="Times New Roman" w:hAnsi="Times New Roman" w:cs="Times New Roman"/>
                <w:color w:val="000000"/>
                <w:spacing w:val="0"/>
                <w:w w:val="100"/>
                <w:position w:val="0"/>
                <w:sz w:val="18"/>
                <w:szCs w:val="18"/>
              </w:rPr>
              <w:t>20.81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股，募集资金总额为</w:t>
            </w:r>
            <w:r>
              <w:rPr>
                <w:rFonts w:ascii="Times New Roman" w:eastAsia="Times New Roman" w:hAnsi="Times New Roman" w:cs="Times New Roman"/>
                <w:color w:val="000000"/>
                <w:spacing w:val="0"/>
                <w:w w:val="100"/>
                <w:position w:val="0"/>
                <w:sz w:val="18"/>
                <w:szCs w:val="18"/>
              </w:rPr>
              <w:t>459,901,000.00</w:t>
            </w:r>
            <w:r>
              <w:rPr>
                <w:color w:val="000000"/>
                <w:spacing w:val="0"/>
                <w:w w:val="100"/>
                <w:position w:val="0"/>
              </w:rPr>
              <w:t xml:space="preserve">元，扣除各项发行费用后，募集资金净额为 </w:t>
            </w:r>
            <w:r>
              <w:rPr>
                <w:rFonts w:ascii="Times New Roman" w:eastAsia="Times New Roman" w:hAnsi="Times New Roman" w:cs="Times New Roman"/>
                <w:color w:val="000000"/>
                <w:spacing w:val="0"/>
                <w:w w:val="100"/>
                <w:position w:val="0"/>
                <w:sz w:val="18"/>
                <w:szCs w:val="18"/>
              </w:rPr>
              <w:t>398,358,190.59</w:t>
            </w:r>
            <w:r>
              <w:rPr>
                <w:color w:val="000000"/>
                <w:spacing w:val="0"/>
                <w:w w:val="100"/>
                <w:position w:val="0"/>
              </w:rPr>
              <w:t>元。上述募集资金已于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日到账。致同会计师事务所（特殊普通合伙）已于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日对公司首次公开发行股票的资金到位情况进行了审验，并出具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致同验字（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371C000286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w:t>
            </w:r>
          </w:p>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日，公司累计使用募集资金总额</w:t>
            </w:r>
            <w:r>
              <w:rPr>
                <w:rFonts w:ascii="Times New Roman" w:eastAsia="Times New Roman" w:hAnsi="Times New Roman" w:cs="Times New Roman"/>
                <w:color w:val="000000"/>
                <w:spacing w:val="0"/>
                <w:w w:val="100"/>
                <w:position w:val="0"/>
                <w:sz w:val="18"/>
                <w:szCs w:val="18"/>
              </w:rPr>
              <w:t>223,298,013.80</w:t>
            </w:r>
            <w:r>
              <w:rPr>
                <w:color w:val="000000"/>
                <w:spacing w:val="0"/>
                <w:w w:val="100"/>
                <w:position w:val="0"/>
              </w:rPr>
              <w:t>元，尚未使用募集资金余额</w:t>
            </w:r>
            <w:r>
              <w:rPr>
                <w:rFonts w:ascii="Times New Roman" w:eastAsia="Times New Roman" w:hAnsi="Times New Roman" w:cs="Times New Roman"/>
                <w:color w:val="000000"/>
                <w:spacing w:val="0"/>
                <w:w w:val="100"/>
                <w:position w:val="0"/>
                <w:sz w:val="18"/>
                <w:szCs w:val="18"/>
              </w:rPr>
              <w:t>178,233,105.86</w:t>
            </w:r>
            <w:r>
              <w:rPr>
                <w:color w:val="000000"/>
                <w:spacing w:val="0"/>
                <w:w w:val="100"/>
                <w:position w:val="0"/>
              </w:rPr>
              <w:t>，其 中，募集资金存放专项账户余额</w:t>
            </w:r>
            <w:r>
              <w:rPr>
                <w:rFonts w:ascii="Times New Roman" w:eastAsia="Times New Roman" w:hAnsi="Times New Roman" w:cs="Times New Roman"/>
                <w:color w:val="000000"/>
                <w:spacing w:val="0"/>
                <w:w w:val="100"/>
                <w:position w:val="0"/>
                <w:sz w:val="18"/>
                <w:szCs w:val="18"/>
              </w:rPr>
              <w:t>42,733,105.86</w:t>
            </w:r>
            <w:r>
              <w:rPr>
                <w:color w:val="000000"/>
                <w:spacing w:val="0"/>
                <w:w w:val="100"/>
                <w:position w:val="0"/>
              </w:rPr>
              <w:t>元（包括累计收到的银行利息、理财收益</w:t>
            </w:r>
            <w:r>
              <w:rPr>
                <w:rFonts w:ascii="Times New Roman" w:eastAsia="Times New Roman" w:hAnsi="Times New Roman" w:cs="Times New Roman"/>
                <w:color w:val="000000"/>
                <w:spacing w:val="0"/>
                <w:w w:val="100"/>
                <w:position w:val="0"/>
                <w:sz w:val="18"/>
                <w:szCs w:val="18"/>
              </w:rPr>
              <w:t>3,173,470.30</w:t>
            </w:r>
            <w:r>
              <w:rPr>
                <w:color w:val="000000"/>
                <w:spacing w:val="0"/>
                <w:w w:val="100"/>
                <w:position w:val="0"/>
              </w:rPr>
              <w:t>元、累计支付的银行 手续费</w:t>
            </w:r>
            <w:r>
              <w:rPr>
                <w:rFonts w:ascii="Times New Roman" w:eastAsia="Times New Roman" w:hAnsi="Times New Roman" w:cs="Times New Roman"/>
                <w:color w:val="000000"/>
                <w:spacing w:val="0"/>
                <w:w w:val="100"/>
                <w:position w:val="0"/>
                <w:sz w:val="18"/>
                <w:szCs w:val="18"/>
              </w:rPr>
              <w:t>541.23</w:t>
            </w:r>
            <w:r>
              <w:rPr>
                <w:color w:val="000000"/>
                <w:spacing w:val="0"/>
                <w:w w:val="100"/>
                <w:position w:val="0"/>
              </w:rPr>
              <w:t>元），期末现金管理产品余额</w:t>
            </w:r>
            <w:r>
              <w:rPr>
                <w:rFonts w:ascii="Times New Roman" w:eastAsia="Times New Roman" w:hAnsi="Times New Roman" w:cs="Times New Roman"/>
                <w:color w:val="000000"/>
                <w:spacing w:val="0"/>
                <w:w w:val="100"/>
                <w:position w:val="0"/>
                <w:sz w:val="18"/>
                <w:szCs w:val="18"/>
              </w:rPr>
              <w:t>135,500,000.00</w:t>
            </w:r>
            <w:r>
              <w:rPr>
                <w:color w:val="000000"/>
                <w:spacing w:val="0"/>
                <w:w w:val="100"/>
                <w:position w:val="0"/>
              </w:rPr>
              <w:t>元。</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6"/>
      <w:bookmarkEnd w:id="197"/>
      <w:bookmarkEnd w:id="199"/>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0"/>
        <w:gridCol w:w="725"/>
        <w:gridCol w:w="898"/>
        <w:gridCol w:w="898"/>
        <w:gridCol w:w="835"/>
        <w:gridCol w:w="787"/>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 资项目 和超募 资金投 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期实现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截止报告 期末累计 实现的效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智能化</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集团管 控系列 产品研 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7,765.39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7,765.39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3,888.15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 心及技 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5,241.05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835"/>
        <w:gridCol w:w="787"/>
        <w:gridCol w:w="898"/>
        <w:gridCol w:w="730"/>
        <w:gridCol w:w="725"/>
        <w:gridCol w:w="898"/>
        <w:gridCol w:w="730"/>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营销及 服务网 络建设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资项目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29,498.39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暂时闲 置超募 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7,237.43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动资金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 金投向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39,835.82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39,835.82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 计划进 度或预 计收益 的情况 和原因</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超募资 金的金 额、用途 及使用 进展情</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310"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公司首次公开发行股票实际募集资金净额为人民币</w:t>
            </w:r>
            <w:r>
              <w:rPr>
                <w:rFonts w:ascii="Times New Roman" w:eastAsia="Times New Roman" w:hAnsi="Times New Roman" w:cs="Times New Roman"/>
                <w:color w:val="000000"/>
                <w:spacing w:val="0"/>
                <w:w w:val="100"/>
                <w:position w:val="0"/>
                <w:sz w:val="18"/>
                <w:szCs w:val="18"/>
              </w:rPr>
              <w:t>398,358,190.59</w:t>
            </w:r>
            <w:r>
              <w:rPr>
                <w:color w:val="000000"/>
                <w:spacing w:val="0"/>
                <w:w w:val="100"/>
                <w:position w:val="0"/>
              </w:rPr>
              <w:t>元，扣除募集资金投资项目资金需求后， 超募资金为</w:t>
            </w:r>
            <w:r>
              <w:rPr>
                <w:rFonts w:ascii="Times New Roman" w:eastAsia="Times New Roman" w:hAnsi="Times New Roman" w:cs="Times New Roman"/>
                <w:color w:val="000000"/>
                <w:spacing w:val="0"/>
                <w:w w:val="100"/>
                <w:position w:val="0"/>
                <w:sz w:val="18"/>
                <w:szCs w:val="18"/>
              </w:rPr>
              <w:t>103,374,290.59</w:t>
            </w:r>
            <w:r>
              <w:rPr>
                <w:color w:val="000000"/>
                <w:spacing w:val="0"/>
                <w:w w:val="100"/>
                <w:position w:val="0"/>
              </w:rPr>
              <w:t>元。普联软件股份有限公司于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日召开第三届董事会第七次会议和第三 届监事会第六次会议，并于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年年度股东大会审议通过了《关于使用部分超募资金永 久补充流动资金的议案》，同意将募集资金共计人民币</w:t>
            </w:r>
            <w:r>
              <w:rPr>
                <w:rFonts w:ascii="Times New Roman" w:eastAsia="Times New Roman" w:hAnsi="Times New Roman" w:cs="Times New Roman"/>
                <w:color w:val="000000"/>
                <w:spacing w:val="0"/>
                <w:w w:val="100"/>
                <w:position w:val="0"/>
                <w:sz w:val="18"/>
                <w:szCs w:val="18"/>
              </w:rPr>
              <w:t>31,000,000.00</w:t>
            </w:r>
            <w:r>
              <w:rPr>
                <w:color w:val="000000"/>
                <w:spacing w:val="0"/>
                <w:w w:val="100"/>
                <w:position w:val="0"/>
              </w:rPr>
              <w:t>元自募集资金专户转入公司一般结算账户，</w:t>
            </w:r>
          </w:p>
        </w:tc>
      </w:tr>
    </w:tbl>
    <w:p>
      <w:pPr>
        <w:spacing w:lineRule="exact" w:line="1"/>
        <w:rPr>
          <w:sz w:val="2"/>
          <w:szCs w:val="2"/>
        </w:rPr>
      </w:pPr>
      <w:r>
        <w:br w:type="page"/>
      </w:r>
    </w:p>
    <w:tbl>
      <w:tblPr>
        <w:tblOverlap w:val="never"/>
        <w:jc w:val="center"/>
        <w:tblLayout w:type="fixed"/>
      </w:tblPr>
      <w:tblGrid>
        <w:gridCol w:w="730"/>
        <w:gridCol w:w="885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永久补充公司流动资金，以满足公司后续发展的实际需求。</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16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00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00"/>
              <w:jc w:val="left"/>
            </w:pPr>
            <w:r>
              <w:rPr>
                <w:color w:val="000000"/>
                <w:spacing w:val="0"/>
                <w:w w:val="100"/>
                <w:position w:val="0"/>
              </w:rPr>
              <w:t>在募集资金到位之前，为保障募投项目顺利进行，公司以自筹资金预先投入</w:t>
            </w:r>
            <w:r>
              <w:rPr>
                <w:rFonts w:ascii="Times New Roman" w:eastAsia="Times New Roman" w:hAnsi="Times New Roman" w:cs="Times New Roman"/>
                <w:color w:val="000000"/>
                <w:spacing w:val="0"/>
                <w:w w:val="100"/>
                <w:position w:val="0"/>
                <w:sz w:val="18"/>
                <w:szCs w:val="18"/>
              </w:rPr>
              <w:t>62,066,099.18</w:t>
            </w:r>
            <w:r>
              <w:rPr>
                <w:color w:val="000000"/>
                <w:spacing w:val="0"/>
                <w:w w:val="100"/>
                <w:position w:val="0"/>
              </w:rPr>
              <w:t>元。上述情况业经 致同会计师事务所（特殊普通合伙）鉴证，并于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日出具致同专字（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371A014400</w:t>
            </w:r>
            <w:r>
              <w:rPr>
                <w:color w:val="000000"/>
                <w:spacing w:val="0"/>
                <w:w w:val="100"/>
                <w:position w:val="0"/>
              </w:rPr>
              <w:t>号鉴证 报告。</w:t>
            </w:r>
          </w:p>
          <w:p>
            <w:pPr>
              <w:pStyle w:val="Style2"/>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日召开第三届董事会第八次会议、第三届监事会第七次会议，审议通过了《关于使用 募集资金置换预先投入募投项目自筹资金及已支付发行费用的议案》，同意以募集资金置换截至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日募投项目预先投入的自有资金人民币</w:t>
            </w:r>
            <w:r>
              <w:rPr>
                <w:rFonts w:ascii="Times New Roman" w:eastAsia="Times New Roman" w:hAnsi="Times New Roman" w:cs="Times New Roman"/>
                <w:color w:val="000000"/>
                <w:spacing w:val="0"/>
                <w:w w:val="100"/>
                <w:position w:val="0"/>
                <w:sz w:val="18"/>
                <w:szCs w:val="18"/>
              </w:rPr>
              <w:t>62,066,099.18</w:t>
            </w:r>
            <w:r>
              <w:rPr>
                <w:color w:val="000000"/>
                <w:spacing w:val="0"/>
                <w:w w:val="100"/>
                <w:position w:val="0"/>
              </w:rPr>
              <w:t>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普联软件股份有限公司于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日召开第三届董事会第七次会议和第三届监事会第六次会议，并于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年年度股东大会审议通过了《关于使用闲置募集资金和自有资金进行现金管理的议 案》，同意公司在不影响募投项目投资建设和保证募集资金安全使用的情况下，使用闲置募集资金（含超募资金） 不超过人民币</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亿元的现金额度、使用自有资金不超过人民币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亿元的现金额度，进行现金管理，使用期限自 股东大会审议通过之日起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个月内有效，在上述额度和期限范围内资金可滚动使用。截至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公司以募集资金认购尚未到期的现金管理产品余额为</w:t>
            </w:r>
            <w:r>
              <w:rPr>
                <w:rFonts w:ascii="Times New Roman" w:eastAsia="Times New Roman" w:hAnsi="Times New Roman" w:cs="Times New Roman"/>
                <w:color w:val="000000"/>
                <w:spacing w:val="0"/>
                <w:w w:val="100"/>
                <w:position w:val="0"/>
                <w:sz w:val="18"/>
                <w:szCs w:val="18"/>
              </w:rPr>
              <w:t>135,500,000.00</w:t>
            </w:r>
            <w:r>
              <w:rPr>
                <w:color w:val="000000"/>
                <w:spacing w:val="0"/>
                <w:w w:val="100"/>
                <w:position w:val="0"/>
              </w:rPr>
              <w:t>元。</w:t>
            </w: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 金使用 及披露 中存在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754"/>
        <w:gridCol w:w="895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的问题</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或其他</w:t>
            </w:r>
          </w:p>
        </w:tc>
        <w:tc>
          <w:tcPr>
            <w:tcBorders>
              <w:lef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0"/>
      <w:bookmarkEnd w:id="201"/>
      <w:bookmarkEnd w:id="20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line="240" w:lineRule="auto"/>
        <w:ind w:left="0" w:right="0" w:firstLine="0"/>
        <w:jc w:val="left"/>
      </w:pPr>
      <w:bookmarkStart w:id="204" w:name="bookmark204"/>
      <w:bookmarkStart w:id="205" w:name="bookmark205"/>
      <w:bookmarkStart w:id="206" w:name="bookmark206"/>
      <w:bookmarkStart w:id="207" w:name="bookmark207"/>
      <w:r>
        <w:rPr>
          <w:color w:val="000000"/>
          <w:spacing w:val="0"/>
          <w:w w:val="100"/>
          <w:position w:val="0"/>
        </w:rPr>
        <w:t>八</w:t>
      </w:r>
      <w:bookmarkEnd w:id="206"/>
      <w:r>
        <w:rPr>
          <w:color w:val="000000"/>
          <w:spacing w:val="0"/>
          <w:w w:val="100"/>
          <w:position w:val="0"/>
        </w:rPr>
        <w:t>、</w:t>
        <w:tab/>
        <w:t>重大资产和股权出售</w:t>
      </w:r>
      <w:bookmarkEnd w:id="204"/>
      <w:bookmarkEnd w:id="205"/>
      <w:bookmarkEnd w:id="207"/>
    </w:p>
    <w:p>
      <w:pPr>
        <w:pStyle w:val="Style31"/>
        <w:keepNext/>
        <w:keepLines/>
        <w:widowControl w:val="0"/>
        <w:shd w:val="clear" w:color="auto" w:fill="auto"/>
        <w:tabs>
          <w:tab w:pos="400" w:val="left"/>
        </w:tabs>
        <w:bidi w:val="0"/>
        <w:spacing w:before="0" w:line="240" w:lineRule="auto"/>
        <w:ind w:left="0" w:right="0" w:firstLine="0"/>
        <w:jc w:val="left"/>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w:t>
        <w:tab/>
        <w:t>出售重大资产情况</w:t>
      </w:r>
      <w:bookmarkEnd w:id="208"/>
      <w:bookmarkEnd w:id="209"/>
      <w:bookmarkEnd w:id="21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00" w:val="left"/>
        </w:tabs>
        <w:bidi w:val="0"/>
        <w:spacing w:before="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w:t>
        <w:tab/>
        <w:t>出售重大股权情况</w:t>
      </w:r>
      <w:bookmarkEnd w:id="212"/>
      <w:bookmarkEnd w:id="213"/>
      <w:bookmarkEnd w:id="215"/>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九</w:t>
      </w:r>
      <w:bookmarkEnd w:id="218"/>
      <w:r>
        <w:rPr>
          <w:color w:val="000000"/>
          <w:spacing w:val="0"/>
          <w:w w:val="100"/>
          <w:position w:val="0"/>
        </w:rPr>
        <w:t>、</w:t>
        <w:tab/>
        <w:t>主要控股参股公司分析</w:t>
      </w:r>
      <w:bookmarkEnd w:id="216"/>
      <w:bookmarkEnd w:id="217"/>
      <w:bookmarkEnd w:id="21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898"/>
        <w:gridCol w:w="1138"/>
        <w:gridCol w:w="1133"/>
        <w:gridCol w:w="1166"/>
        <w:gridCol w:w="1099"/>
        <w:gridCol w:w="1138"/>
        <w:gridCol w:w="1133"/>
        <w:gridCol w:w="11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普联软件（香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14,823,250.00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20,614,495.93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10,512,160.63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13,641,574.45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3,528,518.63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2,736,256.18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普联中瑞（北 京）软件有限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29,933,911.35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22,419,395.44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28,754,012.56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1,547,089.99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1,402,353.77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合肥普联朗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霁软件有限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24,040,916.77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20,744,291.62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14,321,461.43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2,897,486.87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2,491,941.21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普联数字科 技（济南）有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32,130,510.05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29,189,159.20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43,714,345.65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1,542,867.61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1,430,685.86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日本普联软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件株式会社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5,112,360.00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2,880,605.94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1,789,779.89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5,034,113.33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161,601.48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普联智能数 建科技（北 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软件开发与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13,920,137.74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8,160,708.33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-5,697,036.81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-5,695,437.71</w:t>
            </w:r>
          </w:p>
        </w:tc>
      </w:tr>
    </w:tbl>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普联智能数建科技（北京）有限公司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投资设立的控股子公司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当期无实质影响</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220" w:name="bookmark220"/>
      <w:bookmarkStart w:id="221" w:name="bookmark221"/>
      <w:bookmarkStart w:id="222" w:name="bookmark222"/>
      <w:r>
        <w:rPr>
          <w:color w:val="000000"/>
          <w:spacing w:val="0"/>
          <w:w w:val="100"/>
          <w:position w:val="0"/>
        </w:rPr>
        <w:t>十、公司控制的结构化主体情况</w:t>
      </w:r>
      <w:bookmarkEnd w:id="220"/>
      <w:bookmarkEnd w:id="221"/>
      <w:bookmarkEnd w:id="222"/>
    </w:p>
    <w:p>
      <w:pPr>
        <w:pStyle w:val="Style21"/>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23" w:name="bookmark223"/>
      <w:bookmarkStart w:id="224" w:name="bookmark224"/>
      <w:bookmarkStart w:id="225" w:name="bookmark225"/>
      <w:r>
        <w:rPr>
          <w:color w:val="000000"/>
          <w:spacing w:val="0"/>
          <w:w w:val="100"/>
          <w:position w:val="0"/>
        </w:rPr>
        <w:t>十一、公司未来发展的展望</w:t>
      </w:r>
      <w:bookmarkEnd w:id="223"/>
      <w:bookmarkEnd w:id="224"/>
      <w:bookmarkEnd w:id="225"/>
    </w:p>
    <w:p>
      <w:pPr>
        <w:pStyle w:val="Style21"/>
        <w:keepNext w:val="0"/>
        <w:keepLines w:val="0"/>
        <w:widowControl w:val="0"/>
        <w:shd w:val="clear" w:color="auto" w:fill="auto"/>
        <w:bidi w:val="0"/>
        <w:spacing w:before="0" w:after="240" w:line="313" w:lineRule="exact"/>
        <w:ind w:left="0" w:right="0" w:firstLine="0"/>
        <w:jc w:val="left"/>
      </w:pPr>
      <w:bookmarkStart w:id="226" w:name="bookmark226"/>
      <w:r>
        <w:rPr>
          <w:b/>
          <w:bCs/>
          <w:color w:val="000000"/>
          <w:spacing w:val="0"/>
          <w:w w:val="100"/>
          <w:position w:val="0"/>
        </w:rPr>
        <w:t>（</w:t>
      </w:r>
      <w:bookmarkEnd w:id="226"/>
      <w:r>
        <w:rPr>
          <w:b/>
          <w:bCs/>
          <w:color w:val="000000"/>
          <w:spacing w:val="0"/>
          <w:w w:val="100"/>
          <w:position w:val="0"/>
        </w:rPr>
        <w:t>一）行业格局和趋势</w:t>
      </w:r>
    </w:p>
    <w:p>
      <w:pPr>
        <w:pStyle w:val="Style21"/>
        <w:keepNext w:val="0"/>
        <w:keepLines w:val="0"/>
        <w:widowControl w:val="0"/>
        <w:shd w:val="clear" w:color="auto" w:fill="auto"/>
        <w:tabs>
          <w:tab w:pos="688" w:val="left"/>
        </w:tabs>
        <w:bidi w:val="0"/>
        <w:spacing w:before="0" w:after="0" w:line="360" w:lineRule="auto"/>
        <w:ind w:left="0" w:right="0"/>
        <w:jc w:val="left"/>
      </w:pPr>
      <w:bookmarkStart w:id="227" w:name="bookmark227"/>
      <w:r>
        <w:rPr>
          <w:rFonts w:ascii="Times New Roman" w:eastAsia="Times New Roman" w:hAnsi="Times New Roman" w:cs="Times New Roman"/>
          <w:b/>
          <w:bCs/>
          <w:color w:val="000000"/>
          <w:spacing w:val="0"/>
          <w:w w:val="100"/>
          <w:position w:val="0"/>
          <w:sz w:val="18"/>
          <w:szCs w:val="18"/>
        </w:rPr>
        <w:t>1</w:t>
      </w:r>
      <w:bookmarkEnd w:id="227"/>
      <w:r>
        <w:rPr>
          <w:b/>
          <w:bCs/>
          <w:color w:val="000000"/>
          <w:spacing w:val="0"/>
          <w:w w:val="100"/>
          <w:position w:val="0"/>
        </w:rPr>
        <w:t>、</w:t>
        <w:tab/>
        <w:t>集团企业信息化建设概况</w:t>
      </w:r>
    </w:p>
    <w:p>
      <w:pPr>
        <w:pStyle w:val="Style21"/>
        <w:keepNext w:val="0"/>
        <w:keepLines w:val="0"/>
        <w:widowControl w:val="0"/>
        <w:shd w:val="clear" w:color="auto" w:fill="auto"/>
        <w:bidi w:val="0"/>
        <w:spacing w:before="0" w:after="240" w:line="313" w:lineRule="exact"/>
        <w:ind w:left="0" w:right="0"/>
        <w:jc w:val="both"/>
      </w:pPr>
      <w:r>
        <w:rPr>
          <w:color w:val="000000"/>
          <w:spacing w:val="0"/>
          <w:w w:val="100"/>
          <w:position w:val="0"/>
        </w:rPr>
        <w:t>集团企业经营规模庞大、业务复杂、分子公司分布广泛，对信息化的需求在不断提高，从最初的部门级应用到集团一体 化的解决方案，从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烟囱式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式的孤岛系统建设到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一个网、一朵云、一个湖、一个平台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的平台化、生态化建设方案，集团企 业信息化的建设方案不断优化、应用领域不断扩展。目前集团企业信息化建设将进入以智能化为特征的数字化转型新阶段， 各集团企业为主动把握和引领新一轮信息技术革命和数字化转型新趋势，有效激发企业创新活力，持续不断保持企业竞争力， 纷纷将数字化转型融入到企业的核心战略。希望通过构建数字化能力，使数字技术与企业全要素、全价值链深度融合，变革 技术模式、管理模式、业务模式和商业模式，以信息流带动技术流、资金流、人才流、物资流协同创新，提高全要素生产率， 形成适应新时期数字经济发展需要的核心竞争力，促进产业转型升级和价值增长，实现集团企业高质量发展。</w:t>
      </w:r>
    </w:p>
    <w:p>
      <w:pPr>
        <w:pStyle w:val="Style21"/>
        <w:keepNext w:val="0"/>
        <w:keepLines w:val="0"/>
        <w:widowControl w:val="0"/>
        <w:shd w:val="clear" w:color="auto" w:fill="auto"/>
        <w:tabs>
          <w:tab w:pos="688" w:val="left"/>
        </w:tabs>
        <w:bidi w:val="0"/>
        <w:spacing w:before="0" w:after="0" w:line="360" w:lineRule="auto"/>
        <w:ind w:left="0" w:right="0"/>
        <w:jc w:val="both"/>
      </w:pPr>
      <w:bookmarkStart w:id="228" w:name="bookmark228"/>
      <w:r>
        <w:rPr>
          <w:rFonts w:ascii="Times New Roman" w:eastAsia="Times New Roman" w:hAnsi="Times New Roman" w:cs="Times New Roman"/>
          <w:b/>
          <w:bCs/>
          <w:color w:val="000000"/>
          <w:spacing w:val="0"/>
          <w:w w:val="100"/>
          <w:position w:val="0"/>
          <w:sz w:val="18"/>
          <w:szCs w:val="18"/>
        </w:rPr>
        <w:t>2</w:t>
      </w:r>
      <w:bookmarkEnd w:id="228"/>
      <w:r>
        <w:rPr>
          <w:b/>
          <w:bCs/>
          <w:color w:val="000000"/>
          <w:spacing w:val="0"/>
          <w:w w:val="100"/>
          <w:position w:val="0"/>
        </w:rPr>
        <w:t>、</w:t>
        <w:tab/>
        <w:t>集团企业信息化建设特点</w:t>
      </w:r>
    </w:p>
    <w:p>
      <w:pPr>
        <w:pStyle w:val="Style21"/>
        <w:keepNext w:val="0"/>
        <w:keepLines w:val="0"/>
        <w:widowControl w:val="0"/>
        <w:shd w:val="clear" w:color="auto" w:fill="auto"/>
        <w:tabs>
          <w:tab w:pos="771" w:val="left"/>
        </w:tabs>
        <w:bidi w:val="0"/>
        <w:spacing w:before="0" w:after="100" w:line="313" w:lineRule="exact"/>
        <w:ind w:left="0" w:right="0"/>
        <w:jc w:val="both"/>
      </w:pPr>
      <w:bookmarkStart w:id="229" w:name="bookmark229"/>
      <w:r>
        <w:rPr>
          <w:color w:val="000000"/>
          <w:spacing w:val="0"/>
          <w:w w:val="100"/>
          <w:position w:val="0"/>
        </w:rPr>
        <w:t>（</w:t>
      </w:r>
      <w:bookmarkEnd w:id="2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技术迭代速度快，企业面临多种技术路线选择</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随着物联网、云计算、大数据以及人工智能等技术发展日益成熟，企业信息化将不再局限于传统领域。在选择系统实施 的技术路线时，大型集团企业在上云方式上与中小企业有较大的差异，他们更关注数据的可控性、安全性和保密性，更关注 数据的所有权。集团企业针对不同数据、不用应用采用不同的部署方案，从而形成私有云为主、公有云辅助的混合云模式， 这也是大型企业在未来较长时间内的典型架构。</w:t>
      </w:r>
    </w:p>
    <w:p>
      <w:pPr>
        <w:pStyle w:val="Style21"/>
        <w:keepNext w:val="0"/>
        <w:keepLines w:val="0"/>
        <w:widowControl w:val="0"/>
        <w:shd w:val="clear" w:color="auto" w:fill="auto"/>
        <w:tabs>
          <w:tab w:pos="771" w:val="left"/>
        </w:tabs>
        <w:bidi w:val="0"/>
        <w:spacing w:before="0" w:after="100" w:line="313" w:lineRule="exact"/>
        <w:ind w:left="0" w:right="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以客户为导向，更注重系统设计的个性化</w:t>
      </w:r>
    </w:p>
    <w:p>
      <w:pPr>
        <w:pStyle w:val="Style21"/>
        <w:keepNext w:val="0"/>
        <w:keepLines w:val="0"/>
        <w:widowControl w:val="0"/>
        <w:shd w:val="clear" w:color="auto" w:fill="auto"/>
        <w:bidi w:val="0"/>
        <w:spacing w:before="0" w:after="100" w:line="313" w:lineRule="exact"/>
        <w:ind w:left="0" w:right="0"/>
        <w:jc w:val="both"/>
      </w:pPr>
      <w:r>
        <w:rPr>
          <w:color w:val="000000"/>
          <w:spacing w:val="0"/>
          <w:w w:val="100"/>
          <w:position w:val="0"/>
        </w:rPr>
        <w:t>随着数字化技术领域的持续投资和发展，中国已经逐渐从一个工业化经济体转变为一个数字化经济体，与此同时，市场 也正在经历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生产力导向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的转变。市场更青睐那些能持续带来增值产品和服务，且能抓住不断变化的客户需求 的商家，以客户为中心将成为各个集团企业的核心经营理念。集团管理信息系统也不例外，一方面，集团统建的管理信息系 统拥有企业全球内部客户即各业务单元的完整数据，同时可以接触到各业务单元完整的外部客户和供应商数据；另一方面， 认知计算、人工智能等技术在管理信息化的充分应用，可以使企业开展更全面、更深入的客户分析，掌握客户偏好。因此， 以客户为中心的管理信息系统，将可以向客户传递更个性化和独一无二的体验，将使企业在市场中更具竞争力。</w:t>
      </w:r>
    </w:p>
    <w:p>
      <w:pPr>
        <w:pStyle w:val="Style21"/>
        <w:keepNext w:val="0"/>
        <w:keepLines w:val="0"/>
        <w:widowControl w:val="0"/>
        <w:shd w:val="clear" w:color="auto" w:fill="auto"/>
        <w:tabs>
          <w:tab w:pos="771" w:val="left"/>
        </w:tabs>
        <w:bidi w:val="0"/>
        <w:spacing w:before="0" w:after="100" w:line="313" w:lineRule="exact"/>
        <w:ind w:left="0" w:right="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更加关注数据驱动</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传统的集团信息化建设主要关注业务流程的处理和优化，数字化模式下，利用各种新兴数字化技术将已有或将有的流程 事项进行自动化处理，业务流程、运营过程逐步沉淀为数据，企业需要从传统的流程视角转变为从数据视角关注业务和运营。 数据驱动，意味着以数据为核心，将企业的数据资产内容、关系梳理清楚，对之进行集成、共享、挖掘，从数据中发现问题、 发现规律、发现价值。数据驱动一方面倒逼企业进行流程优化，另一方面驱动企业基于数据开展业务创新。</w:t>
      </w:r>
    </w:p>
    <w:p>
      <w:pPr>
        <w:pStyle w:val="Style21"/>
        <w:keepNext w:val="0"/>
        <w:keepLines w:val="0"/>
        <w:widowControl w:val="0"/>
        <w:shd w:val="clear" w:color="auto" w:fill="auto"/>
        <w:tabs>
          <w:tab w:pos="771" w:val="left"/>
        </w:tabs>
        <w:bidi w:val="0"/>
        <w:spacing w:before="0" w:after="100" w:line="313" w:lineRule="exact"/>
        <w:ind w:left="0" w:right="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信息安全要求高</w:t>
      </w:r>
    </w:p>
    <w:p>
      <w:pPr>
        <w:pStyle w:val="Style21"/>
        <w:keepNext w:val="0"/>
        <w:keepLines w:val="0"/>
        <w:widowControl w:val="0"/>
        <w:shd w:val="clear" w:color="auto" w:fill="auto"/>
        <w:bidi w:val="0"/>
        <w:spacing w:before="0" w:after="220" w:line="314" w:lineRule="exact"/>
        <w:ind w:left="0" w:right="0" w:firstLine="380"/>
        <w:jc w:val="both"/>
      </w:pPr>
      <w:r>
        <w:rPr>
          <w:color w:val="000000"/>
          <w:spacing w:val="0"/>
          <w:w w:val="100"/>
          <w:position w:val="0"/>
        </w:rPr>
        <w:t>随着外部环境的变化，技术制裁已经影响到国内部分企业正常经营，国内大型集团企业对信创产品需求加速提升，客户 提出了自主、可控、安全、保密的迫切要求。随着国内信息技术自身不断升级发展，操作系统、数据库、中间件、办公软件、 网络安全等国产化产品逐步发展成熟，信创产业链已经初步形成，并具备一定成熟度，国内信创产品需求加速释放，管理软 件升级换代需求迫切，市场空间巨大。</w:t>
      </w:r>
    </w:p>
    <w:p>
      <w:pPr>
        <w:pStyle w:val="Style21"/>
        <w:keepNext w:val="0"/>
        <w:keepLines w:val="0"/>
        <w:widowControl w:val="0"/>
        <w:shd w:val="clear" w:color="auto" w:fill="auto"/>
        <w:bidi w:val="0"/>
        <w:spacing w:before="0" w:after="0" w:line="360" w:lineRule="auto"/>
        <w:ind w:left="0" w:right="0" w:firstLine="200"/>
        <w:jc w:val="both"/>
      </w:pPr>
      <w:bookmarkStart w:id="233" w:name="bookmark233"/>
      <w:r>
        <w:rPr>
          <w:rFonts w:ascii="Times New Roman" w:eastAsia="Times New Roman" w:hAnsi="Times New Roman" w:cs="Times New Roman"/>
          <w:b/>
          <w:bCs/>
          <w:color w:val="000000"/>
          <w:spacing w:val="0"/>
          <w:w w:val="100"/>
          <w:position w:val="0"/>
          <w:sz w:val="18"/>
          <w:szCs w:val="18"/>
        </w:rPr>
        <w:t>3</w:t>
      </w:r>
      <w:bookmarkEnd w:id="233"/>
      <w:r>
        <w:rPr>
          <w:b/>
          <w:bCs/>
          <w:color w:val="000000"/>
          <w:spacing w:val="0"/>
          <w:w w:val="100"/>
          <w:position w:val="0"/>
        </w:rPr>
        <w:t>、集团企业信息化发展趋势</w:t>
      </w:r>
    </w:p>
    <w:p>
      <w:pPr>
        <w:pStyle w:val="Style21"/>
        <w:keepNext w:val="0"/>
        <w:keepLines w:val="0"/>
        <w:widowControl w:val="0"/>
        <w:shd w:val="clear" w:color="auto" w:fill="auto"/>
        <w:tabs>
          <w:tab w:pos="765" w:val="left"/>
        </w:tabs>
        <w:bidi w:val="0"/>
        <w:spacing w:before="0" w:after="100" w:line="314" w:lineRule="exact"/>
        <w:ind w:left="0" w:right="0" w:firstLine="38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智能化发展趋势明显</w:t>
      </w:r>
    </w:p>
    <w:p>
      <w:pPr>
        <w:pStyle w:val="Style21"/>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智能化正在引领企业发展新方向。按照智能化发展的三个阶段，即</w:t>
      </w:r>
      <w:r>
        <w:rPr>
          <w:rFonts w:ascii="Times New Roman" w:eastAsia="Times New Roman" w:hAnsi="Times New Roman" w:cs="Times New Roman"/>
          <w:color w:val="000000"/>
          <w:spacing w:val="0"/>
          <w:w w:val="100"/>
          <w:position w:val="0"/>
          <w:sz w:val="18"/>
          <w:szCs w:val="18"/>
        </w:rPr>
        <w:t xml:space="preserve">RPA </w:t>
      </w:r>
      <w:r>
        <w:rPr>
          <w:color w:val="000000"/>
          <w:spacing w:val="0"/>
          <w:w w:val="100"/>
          <w:position w:val="0"/>
        </w:rPr>
        <w:t>（机器人流程自动化）、</w:t>
      </w:r>
      <w:r>
        <w:rPr>
          <w:rFonts w:ascii="Times New Roman" w:eastAsia="Times New Roman" w:hAnsi="Times New Roman" w:cs="Times New Roman"/>
          <w:color w:val="000000"/>
          <w:spacing w:val="0"/>
          <w:w w:val="100"/>
          <w:position w:val="0"/>
          <w:sz w:val="18"/>
          <w:szCs w:val="18"/>
        </w:rPr>
        <w:t xml:space="preserve">IA </w:t>
      </w:r>
      <w:r>
        <w:rPr>
          <w:color w:val="000000"/>
          <w:spacing w:val="0"/>
          <w:w w:val="100"/>
          <w:position w:val="0"/>
        </w:rPr>
        <w:t xml:space="preserve">（智能自动化）、 </w:t>
      </w:r>
      <w:r>
        <w:rPr>
          <w:rFonts w:ascii="Times New Roman" w:eastAsia="Times New Roman" w:hAnsi="Times New Roman" w:cs="Times New Roman"/>
          <w:color w:val="000000"/>
          <w:spacing w:val="0"/>
          <w:w w:val="100"/>
          <w:position w:val="0"/>
          <w:sz w:val="18"/>
          <w:szCs w:val="18"/>
        </w:rPr>
        <w:t xml:space="preserve">AI </w:t>
      </w:r>
      <w:r>
        <w:rPr>
          <w:color w:val="000000"/>
          <w:spacing w:val="0"/>
          <w:w w:val="100"/>
          <w:position w:val="0"/>
        </w:rPr>
        <w:t>（人工智能），未来，经营管理领域一方面将加速应用</w:t>
      </w:r>
      <w:r>
        <w:rPr>
          <w:rFonts w:ascii="Times New Roman" w:eastAsia="Times New Roman" w:hAnsi="Times New Roman" w:cs="Times New Roman"/>
          <w:color w:val="000000"/>
          <w:spacing w:val="0"/>
          <w:w w:val="100"/>
          <w:position w:val="0"/>
          <w:sz w:val="18"/>
          <w:szCs w:val="18"/>
        </w:rPr>
        <w:t>RPA</w:t>
      </w:r>
      <w:r>
        <w:rPr>
          <w:color w:val="000000"/>
          <w:spacing w:val="0"/>
          <w:w w:val="100"/>
          <w:position w:val="0"/>
        </w:rPr>
        <w:t>，</w:t>
      </w:r>
      <w:r>
        <w:rPr>
          <w:color w:val="000000"/>
          <w:spacing w:val="0"/>
          <w:w w:val="100"/>
          <w:position w:val="0"/>
        </w:rPr>
        <w:t>将规范化、标准化的业务或跨系统的业务操作，通过</w:t>
      </w:r>
      <w:r>
        <w:rPr>
          <w:rFonts w:ascii="Times New Roman" w:eastAsia="Times New Roman" w:hAnsi="Times New Roman" w:cs="Times New Roman"/>
          <w:color w:val="000000"/>
          <w:spacing w:val="0"/>
          <w:w w:val="100"/>
          <w:position w:val="0"/>
          <w:sz w:val="18"/>
          <w:szCs w:val="18"/>
        </w:rPr>
        <w:t xml:space="preserve">RPA </w:t>
      </w:r>
      <w:r>
        <w:rPr>
          <w:color w:val="000000"/>
          <w:spacing w:val="0"/>
          <w:w w:val="100"/>
          <w:position w:val="0"/>
        </w:rPr>
        <w:t>模拟人工操作，实现规模化应用，同时将深化智能自动化应用，将图像识别、语音识别、知识图谱等智能技术应用到端到端 流程的业务场景，使得数字化劳动力大规模参与业务处理，改善用户体验，提高工作质量和效率；另一方面，随着自然语言 处理、神经网络、深度学习等人工智能技术的探索应用，数字化服务将在更广范围提供智能管控、智能预测、智能决策等服 务，发挥智慧力量，为业务赋能。</w:t>
      </w:r>
    </w:p>
    <w:p>
      <w:pPr>
        <w:pStyle w:val="Style21"/>
        <w:keepNext w:val="0"/>
        <w:keepLines w:val="0"/>
        <w:widowControl w:val="0"/>
        <w:shd w:val="clear" w:color="auto" w:fill="auto"/>
        <w:tabs>
          <w:tab w:pos="765" w:val="left"/>
        </w:tabs>
        <w:bidi w:val="0"/>
        <w:spacing w:before="0" w:after="100" w:line="314" w:lineRule="exact"/>
        <w:ind w:left="0" w:right="0" w:firstLine="38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数据驱动引领集团企业转型升级</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基于大数据的行业应用以及机器学习算法给人工智能的发展带来重大突破，为产业互联网打开了全新的业务领域。通过 消费终端数据驱动生产以及供应链管理也使个性化定制和柔性制造成为可能，未来有可能进一步形成从供应链到电子商务的 全流程数据系统。数据驱动的管理变革将更好地发挥服务集团战略、赋能业务发展、提升价值创造的重要作用，不断提升管 理能力现代化水平，促进集团企业转型升级。</w:t>
      </w:r>
    </w:p>
    <w:p>
      <w:pPr>
        <w:pStyle w:val="Style21"/>
        <w:keepNext w:val="0"/>
        <w:keepLines w:val="0"/>
        <w:widowControl w:val="0"/>
        <w:shd w:val="clear" w:color="auto" w:fill="auto"/>
        <w:tabs>
          <w:tab w:pos="765" w:val="left"/>
        </w:tabs>
        <w:bidi w:val="0"/>
        <w:spacing w:before="0" w:after="100" w:line="314" w:lineRule="exact"/>
        <w:ind w:left="0" w:right="0" w:firstLine="38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PaaS+SaaS</w:t>
      </w:r>
      <w:r>
        <w:rPr>
          <w:color w:val="000000"/>
          <w:spacing w:val="0"/>
          <w:w w:val="100"/>
          <w:position w:val="0"/>
        </w:rPr>
        <w:t>将成为集团企业信息化建设新交付模式</w:t>
      </w:r>
    </w:p>
    <w:p>
      <w:pPr>
        <w:pStyle w:val="Style21"/>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目前，面向中小企业的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产品已经进入快速发展期，未来各细分业务领域的需求也会进一步扩大。大型集团企业的私 有云建设也进入了提速发展阶段，</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平台对于集团大型管理系统的基础能力建设、快速开发部署以及</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模式的持续扩展 改造更加重要。在新一代信息技术尤其是容器云技术的推动下，基于企业级</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平台构建各业务领域的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私有云服务将成 为集团企业信息化建设新交付模式。</w:t>
      </w:r>
    </w:p>
    <w:p>
      <w:pPr>
        <w:pStyle w:val="Style21"/>
        <w:keepNext w:val="0"/>
        <w:keepLines w:val="0"/>
        <w:widowControl w:val="0"/>
        <w:shd w:val="clear" w:color="auto" w:fill="auto"/>
        <w:tabs>
          <w:tab w:pos="765" w:val="left"/>
        </w:tabs>
        <w:bidi w:val="0"/>
        <w:spacing w:before="0" w:after="100" w:line="314" w:lineRule="exact"/>
        <w:ind w:left="0" w:right="0" w:firstLine="38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集团财务管控成为强化集团管控新热点</w:t>
      </w:r>
    </w:p>
    <w:p>
      <w:pPr>
        <w:pStyle w:val="Style21"/>
        <w:keepNext w:val="0"/>
        <w:keepLines w:val="0"/>
        <w:widowControl w:val="0"/>
        <w:shd w:val="clear" w:color="auto" w:fill="auto"/>
        <w:bidi w:val="0"/>
        <w:spacing w:before="0" w:after="100" w:line="309" w:lineRule="exact"/>
        <w:ind w:left="0" w:right="0" w:firstLine="380"/>
        <w:jc w:val="both"/>
      </w:pPr>
      <w:r>
        <w:rPr>
          <w:color w:val="000000"/>
          <w:spacing w:val="0"/>
          <w:w w:val="100"/>
          <w:position w:val="0"/>
        </w:rPr>
        <w:t xml:space="preserve">按照国务院国资委建设世界一流的财务管理体系的指导意见要求，中央企业应主动运用大数据、人工智能、移动互联网、 云计算、区块链等新技术，充分发挥财务作为天然数据中心的优势，推动财务管理从信息化向数字化、智能化转型，实现以 核算场景为基础向业务场景为核心转换，努力成为企业数字化转型的先行者、引领者、推动者，为加快产业数字化、数字产 业化注智赋能。指导意见还明确提出了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年工作目标和</w:t>
      </w:r>
      <w:r>
        <w:rPr>
          <w:rFonts w:ascii="Times New Roman" w:eastAsia="Times New Roman" w:hAnsi="Times New Roman" w:cs="Times New Roman"/>
          <w:color w:val="000000"/>
          <w:spacing w:val="0"/>
          <w:w w:val="100"/>
          <w:position w:val="0"/>
          <w:sz w:val="18"/>
          <w:szCs w:val="18"/>
        </w:rPr>
        <w:t>10-15</w:t>
      </w:r>
      <w:r>
        <w:rPr>
          <w:color w:val="000000"/>
          <w:spacing w:val="0"/>
          <w:w w:val="100"/>
          <w:position w:val="0"/>
        </w:rPr>
        <w:t>年努力目标，可以预见集团财务管理管控将成为新的市场热点。</w:t>
      </w:r>
    </w:p>
    <w:p>
      <w:pPr>
        <w:pStyle w:val="Style21"/>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总之，大型集团企业信息化建设具有明显的周期性，随着外部环境的变化和新一代信息技术的发展，在追求高质量发展 的内在需求和政府监管部门的积极推动下，以中央企业为代表的大型集团企业正处在新一轮信息化升级、数字化转型的全面 启动期。公司的产品、方案和服务主要聚焦于集团财务管控、资金集中管理、财务共享服务、数据应用服务以及信息系统集 成等领域，高度契合国务院国资委的指导意见中提出的在中央企业推进司库体系建设和财务管理数字化转型的有关要求，市 场推动作用显著，市场空间巨大。</w:t>
      </w:r>
    </w:p>
    <w:p>
      <w:pPr>
        <w:pStyle w:val="Style21"/>
        <w:keepNext w:val="0"/>
        <w:keepLines w:val="0"/>
        <w:widowControl w:val="0"/>
        <w:shd w:val="clear" w:color="auto" w:fill="auto"/>
        <w:bidi w:val="0"/>
        <w:spacing w:before="0" w:after="100" w:line="314" w:lineRule="exact"/>
        <w:ind w:left="0" w:right="0" w:firstLine="0"/>
        <w:jc w:val="left"/>
      </w:pPr>
      <w:bookmarkStart w:id="238" w:name="bookmark238"/>
      <w:r>
        <w:rPr>
          <w:b/>
          <w:bCs/>
          <w:color w:val="000000"/>
          <w:spacing w:val="0"/>
          <w:w w:val="100"/>
          <w:position w:val="0"/>
        </w:rPr>
        <w:t>（</w:t>
      </w:r>
      <w:bookmarkEnd w:id="238"/>
      <w:r>
        <w:rPr>
          <w:b/>
          <w:bCs/>
          <w:color w:val="000000"/>
          <w:spacing w:val="0"/>
          <w:w w:val="100"/>
          <w:position w:val="0"/>
        </w:rPr>
        <w:t>二）公司发展战略</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聚焦大型集团客户、聚焦优势业务领域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的发展战略，致力于应用云计算、大数据、人工智能等新一代信息科 技，推动企业运营管理数字化、智能化。提供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运行环境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三位一体的数字化云基础设施支撑体系与业务 解决方案，全面满足集团企业数字化转型构建云基础设施需要，赋能集团企业灵活应对外部商业环境的变化，并进行业务创 新。</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 xml:space="preserve">持续开拓大型集团企业客户，完善行业布局；对于已经建立长期合作关系的战略客户，拓展业务领域，扩大业务范围， 努力实现来自大型集团客户的收入规模、利润贡献持续稳定增长。持续拓展优势领域业务，提升产品化程度，加强符合大型 </w:t>
      </w:r>
      <w:r>
        <w:rPr>
          <w:color w:val="000000"/>
          <w:spacing w:val="0"/>
          <w:w w:val="100"/>
          <w:position w:val="0"/>
        </w:rPr>
        <w:t>集团企业需求和信创标准的产品研发；加强销售能力建设，采取差异化策略拓展更多集团企业客户，拓宽收入渠道，扩大优 势业务收入规模，推进优势领域客户向长期战略合作客户的转化。</w:t>
      </w:r>
    </w:p>
    <w:p>
      <w:pPr>
        <w:pStyle w:val="Style21"/>
        <w:keepNext w:val="0"/>
        <w:keepLines w:val="0"/>
        <w:widowControl w:val="0"/>
        <w:shd w:val="clear" w:color="auto" w:fill="auto"/>
        <w:tabs>
          <w:tab w:pos="515" w:val="left"/>
        </w:tabs>
        <w:bidi w:val="0"/>
        <w:spacing w:before="0" w:after="100" w:line="315" w:lineRule="exact"/>
        <w:ind w:left="0" w:right="0" w:firstLine="0"/>
        <w:jc w:val="both"/>
      </w:pPr>
      <w:bookmarkStart w:id="239" w:name="bookmark239"/>
      <w:r>
        <w:rPr>
          <w:b/>
          <w:bCs/>
          <w:color w:val="000000"/>
          <w:spacing w:val="0"/>
          <w:w w:val="100"/>
          <w:position w:val="0"/>
        </w:rPr>
        <w:t>（</w:t>
      </w:r>
      <w:bookmarkEnd w:id="239"/>
      <w:r>
        <w:rPr>
          <w:b/>
          <w:bCs/>
          <w:color w:val="000000"/>
          <w:spacing w:val="0"/>
          <w:w w:val="100"/>
          <w:position w:val="0"/>
        </w:rPr>
        <w:t>三）</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年度经营计划</w:t>
      </w:r>
    </w:p>
    <w:p>
      <w:pPr>
        <w:pStyle w:val="Style21"/>
        <w:keepNext w:val="0"/>
        <w:keepLines w:val="0"/>
        <w:widowControl w:val="0"/>
        <w:shd w:val="clear" w:color="auto" w:fill="auto"/>
        <w:bidi w:val="0"/>
        <w:spacing w:before="0" w:after="220" w:line="317" w:lineRule="exact"/>
        <w:ind w:left="0" w:right="0"/>
        <w:jc w:val="both"/>
      </w:pPr>
      <w:r>
        <w:rPr>
          <w:color w:val="000000"/>
          <w:spacing w:val="0"/>
          <w:w w:val="100"/>
          <w:position w:val="0"/>
        </w:rPr>
        <w:t>公司将围绕整体战略目标，采取积极措施抓住战略机遇，增强核心业务能力，完善行业布局，优化业务结构，加强主营 业务领域拓展，不断延伸和完善服务体系，拓宽服务范围，加快公司发展，努力形成新格局，再上新台阶。</w:t>
      </w:r>
    </w:p>
    <w:p>
      <w:pPr>
        <w:pStyle w:val="Style21"/>
        <w:keepNext w:val="0"/>
        <w:keepLines w:val="0"/>
        <w:widowControl w:val="0"/>
        <w:shd w:val="clear" w:color="auto" w:fill="auto"/>
        <w:tabs>
          <w:tab w:pos="513" w:val="left"/>
        </w:tabs>
        <w:bidi w:val="0"/>
        <w:spacing w:before="0" w:after="0" w:line="360" w:lineRule="auto"/>
        <w:ind w:left="0" w:right="0" w:firstLine="200"/>
        <w:jc w:val="both"/>
      </w:pPr>
      <w:bookmarkStart w:id="240" w:name="bookmark240"/>
      <w:r>
        <w:rPr>
          <w:rFonts w:ascii="Times New Roman" w:eastAsia="Times New Roman" w:hAnsi="Times New Roman" w:cs="Times New Roman"/>
          <w:b/>
          <w:bCs/>
          <w:color w:val="000000"/>
          <w:spacing w:val="0"/>
          <w:w w:val="100"/>
          <w:position w:val="0"/>
          <w:sz w:val="18"/>
          <w:szCs w:val="18"/>
        </w:rPr>
        <w:t>1</w:t>
      </w:r>
      <w:bookmarkEnd w:id="240"/>
      <w:r>
        <w:rPr>
          <w:b/>
          <w:bCs/>
          <w:color w:val="000000"/>
          <w:spacing w:val="0"/>
          <w:w w:val="100"/>
          <w:position w:val="0"/>
        </w:rPr>
        <w:t>、</w:t>
        <w:tab/>
        <w:t>专注主营业务领域，实现公司业绩稳健增长</w:t>
      </w:r>
    </w:p>
    <w:p>
      <w:pPr>
        <w:pStyle w:val="Style21"/>
        <w:keepNext w:val="0"/>
        <w:keepLines w:val="0"/>
        <w:widowControl w:val="0"/>
        <w:shd w:val="clear" w:color="auto" w:fill="auto"/>
        <w:bidi w:val="0"/>
        <w:spacing w:before="0" w:after="0" w:line="312" w:lineRule="exact"/>
        <w:ind w:left="0" w:right="0"/>
        <w:jc w:val="both"/>
      </w:pPr>
      <w:bookmarkStart w:id="241" w:name="bookmark241"/>
      <w:r>
        <w:rPr>
          <w:color w:val="000000"/>
          <w:spacing w:val="0"/>
          <w:w w:val="100"/>
          <w:position w:val="0"/>
        </w:rPr>
        <w:t>（</w:t>
      </w:r>
      <w:bookmarkEnd w:id="24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做强做优石油行业。石油行业四家央企客户已经制订了数字化转型、智能化发展的总体规划，正在全面启动新一 轮信息化升级、数字化转型工作。公司充分发挥长期服务石油行业的优势，积极采取措施抓住转型升级的业务发展机会，在 保持现有业务领域持续稳定增长的基础上，积极拓展石油行业经营管理、生产管理领域业务，为公司健康发展奠定坚实基础。</w:t>
      </w:r>
    </w:p>
    <w:p>
      <w:pPr>
        <w:pStyle w:val="Style21"/>
        <w:keepNext w:val="0"/>
        <w:keepLines w:val="0"/>
        <w:widowControl w:val="0"/>
        <w:shd w:val="clear" w:color="auto" w:fill="auto"/>
        <w:bidi w:val="0"/>
        <w:spacing w:before="0" w:after="100" w:line="475" w:lineRule="exact"/>
        <w:ind w:left="0" w:right="0"/>
        <w:jc w:val="both"/>
      </w:pPr>
      <w:bookmarkStart w:id="242" w:name="bookmark242"/>
      <w:r>
        <w:rPr>
          <w:color w:val="000000"/>
          <w:spacing w:val="0"/>
          <w:w w:val="100"/>
          <w:position w:val="0"/>
        </w:rPr>
        <w:t>（</w:t>
      </w:r>
      <w:bookmarkEnd w:id="24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重点拓展建筑行业。在保持传统优势业务的持续性、稳定性基础上，积极拓展业务领域、扩大业务范围；面向建 筑行业加快推进数字建造产品研发工作，发挥先发优势和集成优势，努力争取抓住</w:t>
      </w:r>
      <w:r>
        <w:rPr>
          <w:rFonts w:ascii="Times New Roman" w:eastAsia="Times New Roman" w:hAnsi="Times New Roman" w:cs="Times New Roman"/>
          <w:color w:val="000000"/>
          <w:spacing w:val="0"/>
          <w:w w:val="100"/>
          <w:position w:val="0"/>
          <w:sz w:val="18"/>
          <w:szCs w:val="18"/>
        </w:rPr>
        <w:t>“</w:t>
      </w:r>
      <w:r>
        <w:rPr>
          <w:rFonts w:ascii="SimHei" w:eastAsia="SimHei" w:hAnsi="SimHei" w:cs="SimHei"/>
          <w:color w:val="000000"/>
          <w:spacing w:val="0"/>
          <w:w w:val="100"/>
          <w:position w:val="0"/>
          <w:sz w:val="19"/>
          <w:szCs w:val="19"/>
        </w:rPr>
        <w:t>中建</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实施的机会，培育有竞争 力的建筑行业信息化解决方案，推动公司建筑行业收入快速增长，收入规模持续提高。</w:t>
      </w:r>
    </w:p>
    <w:p>
      <w:pPr>
        <w:pStyle w:val="Style21"/>
        <w:keepNext w:val="0"/>
        <w:keepLines w:val="0"/>
        <w:widowControl w:val="0"/>
        <w:shd w:val="clear" w:color="auto" w:fill="auto"/>
        <w:bidi w:val="0"/>
        <w:spacing w:before="0" w:after="100" w:line="315" w:lineRule="exact"/>
        <w:ind w:left="0" w:right="0"/>
        <w:jc w:val="both"/>
      </w:pPr>
      <w:bookmarkStart w:id="243" w:name="bookmark243"/>
      <w:r>
        <w:rPr>
          <w:color w:val="000000"/>
          <w:spacing w:val="0"/>
          <w:w w:val="100"/>
          <w:position w:val="0"/>
        </w:rPr>
        <w:t>（</w:t>
      </w:r>
      <w:bookmarkEnd w:id="243"/>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抓住优势业务机会。加强产品研发、加大市场推广力度，扩大优势业务领域收入规模，主要包括：保险行业数据 应用领域，把握保险行业偿二代升级的机会，扩大偿二代和风险管理产品的市场占用率，积极推动更多保险公司成为公司长 期客户；中央企业资金管理领域，把握国资委关于两年内基本完成司库体系建设的要求带来的市场机会，努力实现公司全球 资金管理和司库管理两个产品拓展更多央企客户，并逐步延伸至其他大型集团企业。</w:t>
      </w:r>
    </w:p>
    <w:p>
      <w:pPr>
        <w:pStyle w:val="Style21"/>
        <w:keepNext w:val="0"/>
        <w:keepLines w:val="0"/>
        <w:widowControl w:val="0"/>
        <w:shd w:val="clear" w:color="auto" w:fill="auto"/>
        <w:tabs>
          <w:tab w:pos="875" w:val="left"/>
        </w:tabs>
        <w:bidi w:val="0"/>
        <w:spacing w:before="0" w:after="220" w:line="322" w:lineRule="exact"/>
        <w:ind w:left="0" w:right="0"/>
        <w:jc w:val="both"/>
      </w:pPr>
      <w:bookmarkStart w:id="244" w:name="bookmark244"/>
      <w:r>
        <w:rPr>
          <w:color w:val="000000"/>
          <w:spacing w:val="0"/>
          <w:w w:val="100"/>
          <w:position w:val="0"/>
        </w:rPr>
        <w:t>（</w:t>
      </w:r>
      <w:bookmarkEnd w:id="24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借助大型集团客户产业链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链长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的核心地位，以资本和业务为纽带，探索建立产业互联网的创新业务模式，将服 务延伸至产业链、供应链、生态链。</w:t>
      </w:r>
    </w:p>
    <w:p>
      <w:pPr>
        <w:pStyle w:val="Style21"/>
        <w:keepNext w:val="0"/>
        <w:keepLines w:val="0"/>
        <w:widowControl w:val="0"/>
        <w:shd w:val="clear" w:color="auto" w:fill="auto"/>
        <w:tabs>
          <w:tab w:pos="528" w:val="left"/>
        </w:tabs>
        <w:bidi w:val="0"/>
        <w:spacing w:before="0" w:after="0" w:line="360" w:lineRule="auto"/>
        <w:ind w:left="0" w:right="0" w:firstLine="200"/>
        <w:jc w:val="both"/>
      </w:pPr>
      <w:bookmarkStart w:id="245" w:name="bookmark245"/>
      <w:r>
        <w:rPr>
          <w:rFonts w:ascii="Times New Roman" w:eastAsia="Times New Roman" w:hAnsi="Times New Roman" w:cs="Times New Roman"/>
          <w:b/>
          <w:bCs/>
          <w:color w:val="000000"/>
          <w:spacing w:val="0"/>
          <w:w w:val="100"/>
          <w:position w:val="0"/>
          <w:sz w:val="18"/>
          <w:szCs w:val="18"/>
        </w:rPr>
        <w:t>2</w:t>
      </w:r>
      <w:bookmarkEnd w:id="245"/>
      <w:r>
        <w:rPr>
          <w:b/>
          <w:bCs/>
          <w:color w:val="000000"/>
          <w:spacing w:val="0"/>
          <w:w w:val="100"/>
          <w:position w:val="0"/>
        </w:rPr>
        <w:t>、</w:t>
        <w:tab/>
        <w:t>加强平台研发与产品研发，优化产品布局，提高竞争力</w:t>
      </w:r>
    </w:p>
    <w:p>
      <w:pPr>
        <w:pStyle w:val="Style21"/>
        <w:keepNext w:val="0"/>
        <w:keepLines w:val="0"/>
        <w:widowControl w:val="0"/>
        <w:shd w:val="clear" w:color="auto" w:fill="auto"/>
        <w:tabs>
          <w:tab w:pos="875" w:val="left"/>
        </w:tabs>
        <w:bidi w:val="0"/>
        <w:spacing w:before="0" w:after="100" w:line="312" w:lineRule="exact"/>
        <w:ind w:left="0" w:right="0"/>
        <w:jc w:val="both"/>
      </w:pPr>
      <w:bookmarkStart w:id="246" w:name="bookmark246"/>
      <w:r>
        <w:rPr>
          <w:color w:val="000000"/>
          <w:spacing w:val="0"/>
          <w:w w:val="100"/>
          <w:position w:val="0"/>
        </w:rPr>
        <w:t>（</w:t>
      </w:r>
      <w:bookmarkEnd w:id="2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持续加强平台研发。数字化时代，大型集团企业管理软件的生产模式将由基于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形态的交付模式逐步向基于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 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的交付模式转变，公司将进一步加强平台软件的研发，持续提升公司的项目交付能力和交付效率，降低交付成本，并满 足集团企业数字化转型构建云基础设施和服务能力建设的需要。</w:t>
      </w:r>
    </w:p>
    <w:p>
      <w:pPr>
        <w:pStyle w:val="Style21"/>
        <w:keepNext w:val="0"/>
        <w:keepLines w:val="0"/>
        <w:widowControl w:val="0"/>
        <w:shd w:val="clear" w:color="auto" w:fill="auto"/>
        <w:tabs>
          <w:tab w:pos="875" w:val="left"/>
        </w:tabs>
        <w:bidi w:val="0"/>
        <w:spacing w:before="0" w:after="220" w:line="312" w:lineRule="exact"/>
        <w:ind w:left="0" w:right="0"/>
        <w:jc w:val="both"/>
      </w:pPr>
      <w:bookmarkStart w:id="247" w:name="bookmark247"/>
      <w:r>
        <w:rPr>
          <w:color w:val="000000"/>
          <w:spacing w:val="0"/>
          <w:w w:val="100"/>
          <w:position w:val="0"/>
        </w:rPr>
        <w:t>（</w:t>
      </w:r>
      <w:bookmarkEnd w:id="24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布局信创产品领域。争取行业龙头客户支持，研发符合大型集团企业需求和信创标准的</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软件产品，重点聚焦 国务院国资委发布的《关于中央企业加快世界一流财务体系建设的指导意见》中提出的总体要求，首先完成集团财务管控相 关产品和建筑行业</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的研发工作，形成世界一流财务体系解决方案和建筑行业</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解决方案。</w:t>
      </w:r>
    </w:p>
    <w:p>
      <w:pPr>
        <w:pStyle w:val="Style21"/>
        <w:keepNext w:val="0"/>
        <w:keepLines w:val="0"/>
        <w:widowControl w:val="0"/>
        <w:shd w:val="clear" w:color="auto" w:fill="auto"/>
        <w:tabs>
          <w:tab w:pos="528" w:val="left"/>
        </w:tabs>
        <w:bidi w:val="0"/>
        <w:spacing w:before="0" w:after="0" w:line="360" w:lineRule="auto"/>
        <w:ind w:left="0" w:right="0" w:firstLine="200"/>
        <w:jc w:val="both"/>
      </w:pPr>
      <w:bookmarkStart w:id="248" w:name="bookmark248"/>
      <w:r>
        <w:rPr>
          <w:rFonts w:ascii="Times New Roman" w:eastAsia="Times New Roman" w:hAnsi="Times New Roman" w:cs="Times New Roman"/>
          <w:b/>
          <w:bCs/>
          <w:color w:val="000000"/>
          <w:spacing w:val="0"/>
          <w:w w:val="100"/>
          <w:position w:val="0"/>
          <w:sz w:val="18"/>
          <w:szCs w:val="18"/>
        </w:rPr>
        <w:t>3</w:t>
      </w:r>
      <w:bookmarkEnd w:id="248"/>
      <w:r>
        <w:rPr>
          <w:b/>
          <w:bCs/>
          <w:color w:val="000000"/>
          <w:spacing w:val="0"/>
          <w:w w:val="100"/>
          <w:position w:val="0"/>
        </w:rPr>
        <w:t>、</w:t>
        <w:tab/>
        <w:t>加强公司管理能力建设，为生产赋能</w:t>
      </w:r>
    </w:p>
    <w:p>
      <w:pPr>
        <w:pStyle w:val="Style21"/>
        <w:keepNext w:val="0"/>
        <w:keepLines w:val="0"/>
        <w:widowControl w:val="0"/>
        <w:shd w:val="clear" w:color="auto" w:fill="auto"/>
        <w:tabs>
          <w:tab w:pos="870" w:val="left"/>
        </w:tabs>
        <w:bidi w:val="0"/>
        <w:spacing w:before="0" w:after="100" w:line="312" w:lineRule="exact"/>
        <w:ind w:left="0" w:right="0"/>
        <w:jc w:val="both"/>
      </w:pPr>
      <w:bookmarkStart w:id="249" w:name="bookmark249"/>
      <w:r>
        <w:rPr>
          <w:color w:val="000000"/>
          <w:spacing w:val="0"/>
          <w:w w:val="100"/>
          <w:position w:val="0"/>
        </w:rPr>
        <w:t>（</w:t>
      </w:r>
      <w:bookmarkEnd w:id="2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加强销售能力建设，采取差异化策略拓展更多集团企业客户，拓宽收入渠道，扩大优势业务的收入规模，平衡战 略客户业务的收入波动性，推进优势业务领域客户逐步转化为长期战略合作客户。</w:t>
      </w:r>
    </w:p>
    <w:p>
      <w:pPr>
        <w:pStyle w:val="Style21"/>
        <w:keepNext w:val="0"/>
        <w:keepLines w:val="0"/>
        <w:widowControl w:val="0"/>
        <w:shd w:val="clear" w:color="auto" w:fill="auto"/>
        <w:tabs>
          <w:tab w:pos="875" w:val="left"/>
        </w:tabs>
        <w:bidi w:val="0"/>
        <w:spacing w:before="0" w:after="220" w:line="322" w:lineRule="exact"/>
        <w:ind w:left="0" w:right="0"/>
        <w:jc w:val="both"/>
      </w:pPr>
      <w:bookmarkStart w:id="250" w:name="bookmark250"/>
      <w:r>
        <w:rPr>
          <w:color w:val="000000"/>
          <w:spacing w:val="0"/>
          <w:w w:val="100"/>
          <w:position w:val="0"/>
        </w:rPr>
        <w:t>（</w:t>
      </w:r>
      <w:bookmarkEnd w:id="2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加强公司运营及管理能力建设，完善风险管控机制，打造集团化经营的组织模式，实现公司预算管理、项目管理、 财务管理的集中统筹运作和协同。提高公司对业务部门、分子公司的服务能力和风险管控水平。</w:t>
      </w:r>
    </w:p>
    <w:p>
      <w:pPr>
        <w:pStyle w:val="Style21"/>
        <w:keepNext w:val="0"/>
        <w:keepLines w:val="0"/>
        <w:widowControl w:val="0"/>
        <w:shd w:val="clear" w:color="auto" w:fill="auto"/>
        <w:tabs>
          <w:tab w:pos="523" w:val="left"/>
        </w:tabs>
        <w:bidi w:val="0"/>
        <w:spacing w:before="0" w:after="0" w:line="360" w:lineRule="auto"/>
        <w:ind w:left="0" w:right="0" w:firstLine="200"/>
        <w:jc w:val="both"/>
      </w:pPr>
      <w:bookmarkStart w:id="251" w:name="bookmark251"/>
      <w:r>
        <w:rPr>
          <w:rFonts w:ascii="Times New Roman" w:eastAsia="Times New Roman" w:hAnsi="Times New Roman" w:cs="Times New Roman"/>
          <w:b/>
          <w:bCs/>
          <w:color w:val="000000"/>
          <w:spacing w:val="0"/>
          <w:w w:val="100"/>
          <w:position w:val="0"/>
          <w:sz w:val="18"/>
          <w:szCs w:val="18"/>
        </w:rPr>
        <w:t>4</w:t>
      </w:r>
      <w:bookmarkEnd w:id="251"/>
      <w:r>
        <w:rPr>
          <w:b/>
          <w:bCs/>
          <w:color w:val="000000"/>
          <w:spacing w:val="0"/>
          <w:w w:val="100"/>
          <w:position w:val="0"/>
        </w:rPr>
        <w:t>、</w:t>
        <w:tab/>
        <w:t>综合运用资本市场工具，推动公司快速发展</w:t>
      </w:r>
    </w:p>
    <w:p>
      <w:pPr>
        <w:pStyle w:val="Style21"/>
        <w:keepNext w:val="0"/>
        <w:keepLines w:val="0"/>
        <w:widowControl w:val="0"/>
        <w:shd w:val="clear" w:color="auto" w:fill="auto"/>
        <w:bidi w:val="0"/>
        <w:spacing w:before="0" w:after="100" w:line="312" w:lineRule="exact"/>
        <w:ind w:left="0" w:right="0"/>
        <w:jc w:val="both"/>
      </w:pPr>
      <w:r>
        <w:rPr>
          <w:color w:val="000000"/>
          <w:spacing w:val="0"/>
          <w:w w:val="100"/>
          <w:position w:val="0"/>
        </w:rPr>
        <w:t>公司将根据业务发展情况，适时运用资本市场提供的工具，强化公司竞争力，完善业务布局，积极稳妥推动公司高质量 快速发展。</w:t>
      </w:r>
    </w:p>
    <w:p>
      <w:pPr>
        <w:pStyle w:val="Style21"/>
        <w:keepNext w:val="0"/>
        <w:keepLines w:val="0"/>
        <w:widowControl w:val="0"/>
        <w:shd w:val="clear" w:color="auto" w:fill="auto"/>
        <w:tabs>
          <w:tab w:pos="515" w:val="left"/>
        </w:tabs>
        <w:bidi w:val="0"/>
        <w:spacing w:before="0" w:after="220" w:line="315" w:lineRule="exact"/>
        <w:ind w:left="0" w:right="0" w:firstLine="0"/>
        <w:jc w:val="both"/>
      </w:pPr>
      <w:bookmarkStart w:id="252" w:name="bookmark252"/>
      <w:r>
        <w:rPr>
          <w:b/>
          <w:bCs/>
          <w:color w:val="000000"/>
          <w:spacing w:val="0"/>
          <w:w w:val="100"/>
          <w:position w:val="0"/>
        </w:rPr>
        <w:t>（</w:t>
      </w:r>
      <w:bookmarkEnd w:id="252"/>
      <w:r>
        <w:rPr>
          <w:b/>
          <w:bCs/>
          <w:color w:val="000000"/>
          <w:spacing w:val="0"/>
          <w:w w:val="100"/>
          <w:position w:val="0"/>
        </w:rPr>
        <w:t>四）</w:t>
        <w:tab/>
        <w:t>可能面对的风险</w:t>
      </w:r>
    </w:p>
    <w:p>
      <w:pPr>
        <w:pStyle w:val="Style21"/>
        <w:keepNext w:val="0"/>
        <w:keepLines w:val="0"/>
        <w:widowControl w:val="0"/>
        <w:shd w:val="clear" w:color="auto" w:fill="auto"/>
        <w:bidi w:val="0"/>
        <w:spacing w:before="0" w:after="0" w:line="36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、公司客户较为集中的风险</w:t>
      </w:r>
    </w:p>
    <w:p>
      <w:pPr>
        <w:pStyle w:val="Style21"/>
        <w:keepNext w:val="0"/>
        <w:keepLines w:val="0"/>
        <w:widowControl w:val="0"/>
        <w:shd w:val="clear" w:color="auto" w:fill="auto"/>
        <w:bidi w:val="0"/>
        <w:spacing w:before="0" w:after="100" w:line="315" w:lineRule="exact"/>
        <w:ind w:left="0" w:right="0"/>
        <w:jc w:val="both"/>
      </w:pPr>
      <w:r>
        <w:rPr>
          <w:color w:val="000000"/>
          <w:spacing w:val="0"/>
          <w:w w:val="100"/>
          <w:position w:val="0"/>
        </w:rPr>
        <w:t>报告期内，公司来自前五名客户的销售收入金额</w:t>
      </w:r>
      <w:r>
        <w:rPr>
          <w:rFonts w:ascii="Times New Roman" w:eastAsia="Times New Roman" w:hAnsi="Times New Roman" w:cs="Times New Roman"/>
          <w:color w:val="000000"/>
          <w:spacing w:val="0"/>
          <w:w w:val="100"/>
          <w:position w:val="0"/>
          <w:sz w:val="18"/>
          <w:szCs w:val="18"/>
        </w:rPr>
        <w:t>443,614,751.07</w:t>
      </w:r>
      <w:r>
        <w:rPr>
          <w:color w:val="000000"/>
          <w:spacing w:val="0"/>
          <w:w w:val="100"/>
          <w:position w:val="0"/>
        </w:rPr>
        <w:t>元，占营业收入的比例为</w:t>
      </w:r>
      <w:r>
        <w:rPr>
          <w:rFonts w:ascii="Times New Roman" w:eastAsia="Times New Roman" w:hAnsi="Times New Roman" w:cs="Times New Roman"/>
          <w:color w:val="000000"/>
          <w:spacing w:val="0"/>
          <w:w w:val="100"/>
          <w:position w:val="0"/>
          <w:sz w:val="18"/>
          <w:szCs w:val="18"/>
        </w:rPr>
        <w:t>76.23%</w:t>
      </w:r>
      <w:r>
        <w:rPr>
          <w:color w:val="000000"/>
          <w:spacing w:val="0"/>
          <w:w w:val="100"/>
          <w:position w:val="0"/>
        </w:rPr>
        <w:t xml:space="preserve">。公司前五大客户销售 </w:t>
      </w:r>
      <w:r>
        <w:rPr>
          <w:color w:val="000000"/>
          <w:spacing w:val="0"/>
          <w:w w:val="100"/>
          <w:position w:val="0"/>
        </w:rPr>
        <w:t>收入占比较高，主要系公司通过在能源、建筑等行业业务的持续拓展，与中国石油、中国石化、中国海油、中国建筑、国家 管网等大型集团及其众多下属企业开展多领域业务的深入合作，呈现为客户集中度较高。如果客户未来采购策略发生变化， 或公司产品和服务质量不能持续满足客户要求，导致公司与主要客户的合作关系发生变化，将可能对公司的生产经营带来不 利影响。</w:t>
      </w:r>
    </w:p>
    <w:p>
      <w:pPr>
        <w:pStyle w:val="Style21"/>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公司多年来深耕大型集团客户市场，在石油石化信息化领域形成了良好的业务口碑，具有较高客户黏度，公司与石油石 化下属单位均有多年的合作关系，目前公司与该等客户的业务合作情况良好。中国建筑作为公司新拓展的战略客户，合作进 展良好，公司为中国建筑所提供的服务已经从财务管理领域延伸到智慧安全领域，从应用软件领域拓展到技术平台领域，正 在积极拓展智慧工地、数字建造、建造物联网等建筑行业业务。同时聚焦优势业务领域，建立细分领域的差异化竞争优势， 面向广泛市场客户提供专业化的产品及服务，力争形成了较大规模的高端客户群。</w:t>
      </w:r>
    </w:p>
    <w:p>
      <w:pPr>
        <w:pStyle w:val="Style21"/>
        <w:keepNext w:val="0"/>
        <w:keepLines w:val="0"/>
        <w:widowControl w:val="0"/>
        <w:shd w:val="clear" w:color="auto" w:fill="auto"/>
        <w:tabs>
          <w:tab w:pos="294" w:val="left"/>
        </w:tabs>
        <w:bidi w:val="0"/>
        <w:spacing w:before="0" w:after="0" w:line="360" w:lineRule="auto"/>
        <w:ind w:left="0" w:right="0" w:firstLine="0"/>
        <w:jc w:val="left"/>
      </w:pPr>
      <w:bookmarkStart w:id="253" w:name="bookmark253"/>
      <w:r>
        <w:rPr>
          <w:rFonts w:ascii="Times New Roman" w:eastAsia="Times New Roman" w:hAnsi="Times New Roman" w:cs="Times New Roman"/>
          <w:color w:val="000000"/>
          <w:spacing w:val="0"/>
          <w:w w:val="100"/>
          <w:position w:val="0"/>
          <w:sz w:val="18"/>
          <w:szCs w:val="18"/>
        </w:rPr>
        <w:t>2</w:t>
      </w:r>
      <w:bookmarkEnd w:id="253"/>
      <w:r>
        <w:rPr>
          <w:color w:val="000000"/>
          <w:spacing w:val="0"/>
          <w:w w:val="100"/>
          <w:position w:val="0"/>
        </w:rPr>
        <w:t>、</w:t>
        <w:tab/>
        <w:t>公司业绩存在季节性波动的风险</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公司的主要客户为中国石油、中国石化、中国建筑和中国海油等大型集团企业，该等客户其信息化项目的立项、审批和 采购招标一般安排在每年的第一、二季度，且对合同签署以及项目验收和货款支付有较长的审核周期，下半年尤其是第四季 度通常是项目验收的高峰期。公司业务收入存在季节性特征，第四季度收入占比较高，但公司费用发生在年内平均分布，随 着公司研发支出的快速增长和经营规模的持续扩大，导致上半年利润较少，公司业绩存在季节性波动的风险。</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公司一方面依托在智能财务共享、全球资金管理、</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大数据应用等细分领域具有差异化的竞争优势积极开拓广泛客 户市场，平衡收入的季节性波动；另一方面，积极与客户落实合同履约条款，识别履约义务，在完成履约义务后及时验收并 进行收入的确认。通过上述手段，努力降低业绩的波动性。</w:t>
      </w:r>
    </w:p>
    <w:p>
      <w:pPr>
        <w:pStyle w:val="Style21"/>
        <w:keepNext w:val="0"/>
        <w:keepLines w:val="0"/>
        <w:widowControl w:val="0"/>
        <w:shd w:val="clear" w:color="auto" w:fill="auto"/>
        <w:tabs>
          <w:tab w:pos="294" w:val="left"/>
        </w:tabs>
        <w:bidi w:val="0"/>
        <w:spacing w:before="0" w:after="0" w:line="360" w:lineRule="auto"/>
        <w:ind w:left="0" w:right="0" w:firstLine="0"/>
        <w:jc w:val="both"/>
      </w:pPr>
      <w:bookmarkStart w:id="254" w:name="bookmark254"/>
      <w:r>
        <w:rPr>
          <w:rFonts w:ascii="Times New Roman" w:eastAsia="Times New Roman" w:hAnsi="Times New Roman" w:cs="Times New Roman"/>
          <w:color w:val="000000"/>
          <w:spacing w:val="0"/>
          <w:w w:val="100"/>
          <w:position w:val="0"/>
          <w:sz w:val="18"/>
          <w:szCs w:val="18"/>
        </w:rPr>
        <w:t>3</w:t>
      </w:r>
      <w:bookmarkEnd w:id="254"/>
      <w:r>
        <w:rPr>
          <w:color w:val="000000"/>
          <w:spacing w:val="0"/>
          <w:w w:val="100"/>
          <w:position w:val="0"/>
        </w:rPr>
        <w:t>、</w:t>
        <w:tab/>
        <w:t>市场竞争的风险</w:t>
      </w:r>
    </w:p>
    <w:p>
      <w:pPr>
        <w:pStyle w:val="Style21"/>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经过多年的技术研发和市场开拓、运营，公司在能源、建筑等行业信息化管理软件服务领域赢得了客户的认可，拥有相 对稳固的客户群体，具有良好的品牌效应。近年来，随着我国软件和信息技术服务业的快速发展，国内企业信息化业务领域 的市场竞争也日趋激烈。公司若不能及时适应快速变化的市场环境、满足客户变化的业务需求、保持既有竞争优势和品牌效 应，未来将存在被竞争对手挤占市场从而造成公司市场占有率及经营业绩下滑的风险。</w:t>
      </w:r>
    </w:p>
    <w:p>
      <w:pPr>
        <w:pStyle w:val="Style21"/>
        <w:keepNext w:val="0"/>
        <w:keepLines w:val="0"/>
        <w:widowControl w:val="0"/>
        <w:shd w:val="clear" w:color="auto" w:fill="auto"/>
        <w:bidi w:val="0"/>
        <w:spacing w:before="0" w:after="200" w:line="391" w:lineRule="exact"/>
        <w:ind w:left="0" w:right="0" w:firstLine="380"/>
        <w:jc w:val="both"/>
      </w:pPr>
      <w:r>
        <w:rPr>
          <w:color w:val="000000"/>
          <w:spacing w:val="0"/>
          <w:w w:val="100"/>
          <w:position w:val="0"/>
        </w:rPr>
        <w:t>企业服务市场具有较高的行业壁垒，公司具有</w:t>
      </w:r>
      <w:r>
        <w:rPr>
          <w:rFonts w:ascii="Times New Roman" w:eastAsia="Times New Roman" w:hAnsi="Times New Roman" w:cs="Times New Roman"/>
          <w:color w:val="000000"/>
          <w:spacing w:val="0"/>
          <w:w w:val="100"/>
          <w:position w:val="0"/>
          <w:sz w:val="18"/>
          <w:szCs w:val="18"/>
        </w:rPr>
        <w:t>20</w:t>
      </w:r>
      <w:r>
        <w:rPr>
          <w:rFonts w:ascii="SimHei" w:eastAsia="SimHei" w:hAnsi="SimHei" w:cs="SimHei"/>
          <w:color w:val="000000"/>
          <w:spacing w:val="0"/>
          <w:w w:val="100"/>
          <w:position w:val="0"/>
          <w:sz w:val="19"/>
          <w:szCs w:val="19"/>
        </w:rPr>
        <w:t>余</w:t>
      </w:r>
      <w:r>
        <w:rPr>
          <w:color w:val="000000"/>
          <w:spacing w:val="0"/>
          <w:w w:val="100"/>
          <w:position w:val="0"/>
        </w:rPr>
        <w:t>年为客户提供应用和服务的经验能力，以及技术和人才等优势，公司 将对行业竞争格局的变化保持高度关注，充分发挥已有的竞争优势，坚持两个聚焦发展战略、坚持以客户为中心服务理念、 努力巩固与扩大市场地位。</w:t>
      </w:r>
    </w:p>
    <w:p>
      <w:pPr>
        <w:pStyle w:val="Style21"/>
        <w:keepNext w:val="0"/>
        <w:keepLines w:val="0"/>
        <w:widowControl w:val="0"/>
        <w:shd w:val="clear" w:color="auto" w:fill="auto"/>
        <w:tabs>
          <w:tab w:pos="294" w:val="left"/>
        </w:tabs>
        <w:bidi w:val="0"/>
        <w:spacing w:before="0" w:after="0" w:line="360" w:lineRule="auto"/>
        <w:ind w:left="0" w:right="0" w:firstLine="0"/>
        <w:jc w:val="both"/>
      </w:pPr>
      <w:bookmarkStart w:id="255" w:name="bookmark255"/>
      <w:r>
        <w:rPr>
          <w:rFonts w:ascii="Times New Roman" w:eastAsia="Times New Roman" w:hAnsi="Times New Roman" w:cs="Times New Roman"/>
          <w:color w:val="000000"/>
          <w:spacing w:val="0"/>
          <w:w w:val="100"/>
          <w:position w:val="0"/>
          <w:sz w:val="18"/>
          <w:szCs w:val="18"/>
        </w:rPr>
        <w:t>4</w:t>
      </w:r>
      <w:bookmarkEnd w:id="255"/>
      <w:r>
        <w:rPr>
          <w:color w:val="000000"/>
          <w:spacing w:val="0"/>
          <w:w w:val="100"/>
          <w:position w:val="0"/>
        </w:rPr>
        <w:t>、</w:t>
        <w:tab/>
        <w:t>技术创新的风险</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公司所从事的业务属于技术密集型，核心竞争力主要体现在拥有较强的系统开发、项目交付和技术研发能力。软件和信 息技术行业技术升级和更新换代较快，客户信息化建设的需求也在持续提升，公司必须不断进行技术创新以适应客户需求。 如果不能及时更新技术以适应市场变化，将影响公司持续经营和盈利能力。</w:t>
      </w:r>
    </w:p>
    <w:p>
      <w:pPr>
        <w:pStyle w:val="Style21"/>
        <w:keepNext w:val="0"/>
        <w:keepLines w:val="0"/>
        <w:widowControl w:val="0"/>
        <w:shd w:val="clear" w:color="auto" w:fill="auto"/>
        <w:bidi w:val="0"/>
        <w:spacing w:before="0" w:after="100" w:line="326" w:lineRule="exact"/>
        <w:ind w:left="0" w:right="0" w:firstLine="380"/>
        <w:jc w:val="both"/>
        <w:sectPr>
          <w:footnotePr>
            <w:pos w:val="pageBottom"/>
            <w:numFmt w:val="decimal"/>
            <w:numRestart w:val="continuous"/>
          </w:footnotePr>
          <w:pgSz w:w="11900" w:h="16840"/>
          <w:pgMar w:top="1150" w:right="853" w:bottom="1424" w:left="982" w:header="0" w:footer="3" w:gutter="0"/>
          <w:cols w:space="720"/>
          <w:noEndnote/>
          <w:rtlGutter w:val="0"/>
          <w:docGrid w:linePitch="360"/>
        </w:sectPr>
      </w:pPr>
      <w:r>
        <w:rPr>
          <w:color w:val="000000"/>
          <w:spacing w:val="0"/>
          <w:w w:val="100"/>
          <w:position w:val="0"/>
        </w:rPr>
        <w:t>公司将紧跟技术发展趋势，不断加大研发投入，持续进行技术创新，保持技术与产品的竞争力。进一步推动基于</w:t>
      </w:r>
      <w:r>
        <w:rPr>
          <w:rFonts w:ascii="Times New Roman" w:eastAsia="Times New Roman" w:hAnsi="Times New Roman" w:cs="Times New Roman"/>
          <w:color w:val="000000"/>
          <w:spacing w:val="0"/>
          <w:w w:val="100"/>
          <w:position w:val="0"/>
          <w:sz w:val="18"/>
          <w:szCs w:val="18"/>
        </w:rPr>
        <w:t xml:space="preserve">OSP </w:t>
      </w:r>
      <w:r>
        <w:rPr>
          <w:color w:val="000000"/>
          <w:spacing w:val="0"/>
          <w:w w:val="100"/>
          <w:position w:val="0"/>
        </w:rPr>
        <w:t>平台的交付模式，通过资源共享、共用和有效积累，提升交付能力、交付效率和交付质量，支撑业务快速增长。</w:t>
      </w:r>
    </w:p>
    <w:p>
      <w:pPr>
        <w:pStyle w:val="Style21"/>
        <w:keepNext w:val="0"/>
        <w:keepLines w:val="0"/>
        <w:widowControl w:val="0"/>
        <w:shd w:val="clear" w:color="auto" w:fill="auto"/>
        <w:bidi w:val="0"/>
        <w:spacing w:before="520" w:after="100" w:line="317" w:lineRule="exact"/>
        <w:ind w:left="0" w:right="0" w:firstLine="0"/>
        <w:jc w:val="left"/>
      </w:pPr>
      <w:bookmarkStart w:id="256" w:name="bookmark256"/>
      <w:r>
        <w:rPr>
          <w:rFonts w:ascii="Times New Roman" w:eastAsia="Times New Roman" w:hAnsi="Times New Roman" w:cs="Times New Roman"/>
          <w:color w:val="000000"/>
          <w:spacing w:val="0"/>
          <w:w w:val="100"/>
          <w:position w:val="0"/>
          <w:sz w:val="18"/>
          <w:szCs w:val="18"/>
        </w:rPr>
        <w:t>5</w:t>
      </w:r>
      <w:bookmarkEnd w:id="256"/>
      <w:r>
        <w:rPr>
          <w:color w:val="000000"/>
          <w:spacing w:val="0"/>
          <w:w w:val="100"/>
          <w:position w:val="0"/>
        </w:rPr>
        <w:t>、核心技术人员流失和核心技术泄露的风险</w:t>
      </w:r>
    </w:p>
    <w:p>
      <w:pPr>
        <w:pStyle w:val="Style21"/>
        <w:keepNext w:val="0"/>
        <w:keepLines w:val="0"/>
        <w:widowControl w:val="0"/>
        <w:shd w:val="clear" w:color="auto" w:fill="auto"/>
        <w:bidi w:val="0"/>
        <w:spacing w:before="0" w:after="0" w:line="317" w:lineRule="exact"/>
        <w:ind w:left="0" w:right="0"/>
        <w:jc w:val="both"/>
      </w:pPr>
      <w:r>
        <w:rPr>
          <w:color w:val="000000"/>
          <w:spacing w:val="0"/>
          <w:w w:val="100"/>
          <w:position w:val="0"/>
        </w:rPr>
        <w:t>公司所处行业为人才和技术密集型行业，对人才特别是核心技术人员的依赖程度通常高于传统生产型企业。公司若不能进一步增强对核心技术人员的凝聚力，避免核心技术人 员的流失，将不能确保本公司专有技术及其他商业秘密不会被泄露，从而对本公司的技术开发和市场开拓产生不利影响，削弱本公司的竞争优势。</w:t>
      </w:r>
    </w:p>
    <w:p>
      <w:pPr>
        <w:pStyle w:val="Style21"/>
        <w:keepNext w:val="0"/>
        <w:keepLines w:val="0"/>
        <w:widowControl w:val="0"/>
        <w:shd w:val="clear" w:color="auto" w:fill="auto"/>
        <w:bidi w:val="0"/>
        <w:spacing w:before="0" w:after="360" w:line="317" w:lineRule="exact"/>
        <w:ind w:left="0" w:right="0"/>
        <w:jc w:val="both"/>
      </w:pPr>
      <w:r>
        <w:rPr>
          <w:color w:val="000000"/>
          <w:spacing w:val="0"/>
          <w:w w:val="100"/>
          <w:position w:val="0"/>
        </w:rPr>
        <w:t>公司将加快人才的引进和培养；积极提升员工待遇，加强企业文化建设，赋能员工，激发组织活力，强化激励，提高人员效率；努力提高员工的能力和工作动力，不断赋能企 业的发展。</w:t>
      </w:r>
    </w:p>
    <w:p>
      <w:pPr>
        <w:pStyle w:val="Style25"/>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r>
        <w:rPr>
          <w:color w:val="000000"/>
          <w:spacing w:val="0"/>
          <w:w w:val="100"/>
          <w:position w:val="0"/>
        </w:rPr>
        <w:t>十二、报告期内接待调研、沟通、采访等活动登记表</w:t>
      </w:r>
      <w:bookmarkEnd w:id="257"/>
      <w:bookmarkEnd w:id="258"/>
      <w:bookmarkEnd w:id="259"/>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01"/>
        <w:gridCol w:w="1085"/>
        <w:gridCol w:w="850"/>
        <w:gridCol w:w="710"/>
        <w:gridCol w:w="6662"/>
        <w:gridCol w:w="1560"/>
        <w:gridCol w:w="170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调研的基本情况索引</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山东省济南 市高新区齐 鲁软件园</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座公司会议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淳厚基金、渤海汇金证券资产管理有限公司、北京鸿道投资管理有限责任公司、</w:t>
            </w:r>
            <w:r>
              <w:rPr>
                <w:rFonts w:ascii="Times New Roman" w:eastAsia="Times New Roman" w:hAnsi="Times New Roman" w:cs="Times New Roman"/>
                <w:color w:val="000000"/>
                <w:spacing w:val="0"/>
                <w:w w:val="100"/>
                <w:position w:val="0"/>
                <w:sz w:val="18"/>
                <w:szCs w:val="18"/>
              </w:rPr>
              <w:t>IGWT Investment</w:t>
            </w:r>
            <w:r>
              <w:rPr>
                <w:color w:val="000000"/>
                <w:spacing w:val="0"/>
                <w:w w:val="100"/>
                <w:position w:val="0"/>
              </w:rPr>
              <w:t>、</w:t>
            </w:r>
            <w:r>
              <w:rPr>
                <w:color w:val="000000"/>
                <w:spacing w:val="0"/>
                <w:w w:val="100"/>
                <w:position w:val="0"/>
              </w:rPr>
              <w:t>东兴研究所、招商证券资产管理有限公司、西安瀑布资产管理有限公司、 晨骏资本投资管理有限公司、德邦基金管理有限公司、平安证券股份有限公司、山东 鲁商私募（投资）基金管理有限公司、华融证券、东英金融集团（投资）、深圳市中 欧瑞博投资管理股份有限公司、明河投资、西藏东财基金管理有限公司、易方达基金、 安信基金、新华资产管理股份有限公司、国华人寿、国泰投研、鸿道投资、磐厚动量 （上海）资本管理有限公司、和谐汇一资产管理有限公司、工银瑞信基金、中海基金、 中航证券投资部、统一投信、拾贝投资、国海证券股份有限公司、上银基金、上海盘 京投资管理中心（有限合伙）、广东宝新资产管理有限公司、华宝信托有限责任公司、 上海聆泽投资管理有限公司、国信弘盛、北京诚盛投资管理有限公司、望正资产、北 京鼎萨投资有限公司、香港京华山一国际、深圳市远望角投资管理企业（有限合伙）、 北京和聚投资管理有限公司、北京远惟投资管理有限公司、惠州市南方睿泰基金管理 有限公司、陆家嘴国泰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《投资者关系活动 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）披露的《普联软件 投资者关系活动记录 表》（编号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上海浦东新 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光大保德信基金管理有限公司、富国基金管理有限公司、中欧基金管理有限公司、海 富通基金有限公司、浙商基金管理有限公司、东方证券股份有限公司、银河基金管理 有限公司、淳厚基金管理有限公司、交银施罗德基金管理有限公司、富安达基金管理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日披露的《投 资者关系活动记录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公司在巨潮资讯网</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.com.cn</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）披露的《普联软件</w:t>
            </w:r>
          </w:p>
        </w:tc>
      </w:tr>
    </w:tbl>
    <w:p>
      <w:pPr>
        <w:spacing w:lineRule="exact" w:line="1"/>
        <w:rPr>
          <w:sz w:val="2"/>
          <w:szCs w:val="2"/>
        </w:rPr>
      </w:pPr>
      <w:r>
        <w:br w:type="page"/>
      </w:r>
    </w:p>
    <w:tbl>
      <w:tblPr>
        <w:tblOverlap w:val="never"/>
        <w:jc w:val="center"/>
        <w:tblLayout w:type="fixed"/>
      </w:tblPr>
      <w:tblGrid>
        <w:gridCol w:w="1301"/>
        <w:gridCol w:w="1085"/>
        <w:gridCol w:w="850"/>
        <w:gridCol w:w="710"/>
        <w:gridCol w:w="6662"/>
        <w:gridCol w:w="1560"/>
        <w:gridCol w:w="1709"/>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接待对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调研的基本情况索引</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有限公司、上银基金管理有限公司、长信基金管理有限责任公司、东吴基金管理有限 公司、东海基金管理有限公司、东兴证券研究所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投资者关系活动记录 表》（编号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山东省济南 市高新区齐 鲁软件园</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座公司会议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华创证券有限责任公司、汇丰前海证券有限责任公司、柏骏资本管理（香港）有限公 司、嘉玉资本</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Jade Capital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日披露的《投 资者关系活动记录 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）披露的《普联软件 投资者关系活动记录 表》（编号</w:t>
            </w:r>
            <w:r>
              <w:rPr>
                <w:rFonts w:ascii="Times New Roman" w:eastAsia="Times New Roman" w:hAnsi="Times New Roman" w:cs="Times New Roman"/>
                <w:color w:val="000000"/>
                <w:spacing w:val="0"/>
                <w:w w:val="100"/>
                <w:position w:val="0"/>
                <w:sz w:val="18"/>
                <w:szCs w:val="18"/>
              </w:rPr>
              <w:t>2021-003</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山东省济南 市高新区齐 鲁软件园</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座公司会议 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年山东辖区上市公司投资者网上集体接待日的投资者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日披露的《投 资者关系活动记录 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）披露的《普联软件 投资者关系活动记录 表》（编号</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北京西城区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国信证券股份有限公司、中国人寿资产管理有限公司、博时基金管理有限公司、申九 资产管理有限公司、华夏久盈资产管理有限责任公司、华商基金管理有限公司、东方 基金管理股份有限公司、长城财富保险资产管理股份有限公司、工银瑞信基金管理有 限公司、中银国际证券股份有限公司、泰康资产管理有限责任公司、长盛基金管理有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日披露的</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《投资者关系活动 记录表》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）披露的《普联软件 投资者关系活动记录 表》（编号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山东省济南 市高新区齐 鲁软件园</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座公司会议 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淡水泉基金、嘉实基金、天马资产管理、国信证券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日披露的</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《投资者关系活动 记录表》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公司在巨潮资讯网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）披露的《普联软件 投资者关系活动记录 表》（编号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p>
        </w:tc>
      </w:tr>
    </w:tbl>
    <w:p>
      <w:pPr>
        <w:sectPr>
          <w:footnotePr>
            <w:pos w:val="pageBottom"/>
            <w:numFmt w:val="decimal"/>
            <w:numRestart w:val="continuous"/>
          </w:footnotePr>
          <w:pgSz w:w="16840" w:h="11900" w:orient="landscape"/>
          <w:pgMar w:top="1124" w:right="1443" w:bottom="1350" w:left="1395" w:header="0" w:footer="3" w:gutter="0"/>
          <w:cols w:space="720"/>
          <w:noEndnote/>
          <w:rtlGutter w:val="0"/>
          <w:docGrid w:linePitch="360"/>
        </w:sectPr>
      </w:pPr>
    </w:p>
    <w:p>
      <w:pPr>
        <w:pStyle w:val="Style13"/>
        <w:keepNext/>
        <w:keepLines/>
        <w:widowControl w:val="0"/>
        <w:shd w:val="clear" w:color="auto" w:fill="auto"/>
        <w:bidi w:val="0"/>
        <w:spacing w:before="520" w:after="580" w:line="240" w:lineRule="auto"/>
        <w:ind w:left="0" w:right="0" w:firstLine="0"/>
        <w:jc w:val="center"/>
      </w:pPr>
      <w:bookmarkStart w:id="260" w:name="bookmark260"/>
      <w:bookmarkStart w:id="261" w:name="bookmark261"/>
      <w:bookmarkStart w:id="262" w:name="bookmark262"/>
      <w:r>
        <w:rPr>
          <w:color w:val="000000"/>
          <w:spacing w:val="0"/>
          <w:w w:val="100"/>
          <w:position w:val="0"/>
        </w:rPr>
        <w:t>第四节公司治理</w:t>
      </w:r>
      <w:bookmarkEnd w:id="260"/>
      <w:bookmarkEnd w:id="261"/>
      <w:bookmarkEnd w:id="262"/>
    </w:p>
    <w:p>
      <w:pPr>
        <w:pStyle w:val="Style25"/>
        <w:keepNext/>
        <w:keepLines/>
        <w:widowControl w:val="0"/>
        <w:shd w:val="clear" w:color="auto" w:fill="auto"/>
        <w:bidi w:val="0"/>
        <w:spacing w:before="0" w:after="260" w:line="240" w:lineRule="auto"/>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、公司治理的基本状况</w:t>
      </w:r>
      <w:bookmarkEnd w:id="264"/>
      <w:bookmarkEnd w:id="265"/>
      <w:bookmarkEnd w:id="267"/>
      <w:bookmarkEnd w:id="263"/>
    </w:p>
    <w:p>
      <w:pPr>
        <w:pStyle w:val="Style2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报告期内，公司严格按照《中华人民共和国公司法》《中华人民共和国证券法》《上市公司治理准则》《深圳证券交易 所创业板上市公司规范运作指引》等相关法律、法规、规范性文件的要求，结合公司具体情况，不断完善公司的法人治理结 构，建立健全公司各项内部控制制度，严格按照各项规章制度执行，进一步规范公司运作，加强与投资者的信息交流，维护 广大投资者的合法权益。报告期内，公司治理情况符合中国证监会、深圳证券交易所发布的有关上市公司治理的规范性文件 要求。</w:t>
      </w:r>
    </w:p>
    <w:p>
      <w:pPr>
        <w:pStyle w:val="Style21"/>
        <w:keepNext w:val="0"/>
        <w:keepLines w:val="0"/>
        <w:widowControl w:val="0"/>
        <w:shd w:val="clear" w:color="auto" w:fill="auto"/>
        <w:tabs>
          <w:tab w:pos="655" w:val="left"/>
        </w:tabs>
        <w:bidi w:val="0"/>
        <w:spacing w:before="0" w:after="100" w:line="313" w:lineRule="exact"/>
        <w:ind w:left="0" w:right="0" w:firstLine="380"/>
        <w:jc w:val="both"/>
      </w:pPr>
      <w:bookmarkStart w:id="268" w:name="bookmark268"/>
      <w:r>
        <w:rPr>
          <w:rFonts w:ascii="Times New Roman" w:eastAsia="Times New Roman" w:hAnsi="Times New Roman" w:cs="Times New Roman"/>
          <w:color w:val="000000"/>
          <w:spacing w:val="0"/>
          <w:w w:val="100"/>
          <w:position w:val="0"/>
          <w:sz w:val="18"/>
          <w:szCs w:val="18"/>
        </w:rPr>
        <w:t>1</w:t>
      </w:r>
      <w:bookmarkEnd w:id="268"/>
      <w:r>
        <w:rPr>
          <w:color w:val="000000"/>
          <w:spacing w:val="0"/>
          <w:w w:val="100"/>
          <w:position w:val="0"/>
        </w:rPr>
        <w:t>、</w:t>
        <w:tab/>
        <w:t>关于股东和股东大会</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股东大会公司严格按照《公司法》《深圳证券交易所创业板上市公司规范运作指引》等法律、法规、规范性文件以及《公 司章程》的规定召集、召开股东大会。除现场会议投票外，公司按规定向股东提供股东大会网络投票服务，为广大股东参加 股东大会行使权利提供便利。股东大会审议影响中小投资者利益的重大事项时，公司均对中小投资者的表决单独计票，并及 时公开披露单独计票结果，充分保障广大投资者尤其是中小投资者的合法权益。对于需要股东大会以特别决议通过的重大事 项，公司均严格按照规定，经出席股东大会的股东（包括股东代理人）所持表决权的三分之二以上通过。</w:t>
      </w:r>
    </w:p>
    <w:p>
      <w:pPr>
        <w:pStyle w:val="Style21"/>
        <w:keepNext w:val="0"/>
        <w:keepLines w:val="0"/>
        <w:widowControl w:val="0"/>
        <w:shd w:val="clear" w:color="auto" w:fill="auto"/>
        <w:tabs>
          <w:tab w:pos="674" w:val="left"/>
        </w:tabs>
        <w:bidi w:val="0"/>
        <w:spacing w:before="0" w:after="100" w:line="313" w:lineRule="exact"/>
        <w:ind w:left="0" w:right="0" w:firstLine="380"/>
        <w:jc w:val="both"/>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w:t>
        <w:tab/>
        <w:t>关于控股股东与上市公司</w:t>
      </w:r>
    </w:p>
    <w:p>
      <w:pPr>
        <w:pStyle w:val="Style2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公司与控股股东人员、资产、财务分开，机构、业务独立，公司的业务独立于公司的控股股东、实际控制人及其控制的 其他企业，公司具有独立完整的业务和自主经营的能力。公司董事会、监事会和内部机构独立运作。公司的高级管理人员无 在控股股东、实际控制人及其控制的企业担任董事、监事之外的其他职务或领薪的情形。报告期内，公司控股股东能够严格 规范行为，能够依法行使权力，并承担相应义务，没有违反相关的法律法规及公司章程的规定，没有超越公司股东大会直接 或间接干预公司的决策和生产经营活动的行为，不存在控股股东占用资金及违规担保等情形。</w:t>
      </w:r>
    </w:p>
    <w:p>
      <w:pPr>
        <w:pStyle w:val="Style21"/>
        <w:keepNext w:val="0"/>
        <w:keepLines w:val="0"/>
        <w:widowControl w:val="0"/>
        <w:shd w:val="clear" w:color="auto" w:fill="auto"/>
        <w:tabs>
          <w:tab w:pos="674" w:val="left"/>
        </w:tabs>
        <w:bidi w:val="0"/>
        <w:spacing w:before="0" w:after="100" w:line="313" w:lineRule="exact"/>
        <w:ind w:left="0" w:right="0" w:firstLine="380"/>
        <w:jc w:val="both"/>
      </w:pPr>
      <w:bookmarkStart w:id="270" w:name="bookmark270"/>
      <w:r>
        <w:rPr>
          <w:rFonts w:ascii="Times New Roman" w:eastAsia="Times New Roman" w:hAnsi="Times New Roman" w:cs="Times New Roman"/>
          <w:color w:val="000000"/>
          <w:spacing w:val="0"/>
          <w:w w:val="100"/>
          <w:position w:val="0"/>
          <w:sz w:val="18"/>
          <w:szCs w:val="18"/>
        </w:rPr>
        <w:t>3</w:t>
      </w:r>
      <w:bookmarkEnd w:id="270"/>
      <w:r>
        <w:rPr>
          <w:color w:val="000000"/>
          <w:spacing w:val="0"/>
          <w:w w:val="100"/>
          <w:position w:val="0"/>
        </w:rPr>
        <w:t>、</w:t>
        <w:tab/>
        <w:t>关于董事与董事会</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董事会公司董事会严格按照《公司法》《公司章程》的规定行使职权，坚持规范运作，确保董事会规范、高效运作和审 慎、科学决策。董事会的人数及人员构成符合有关法律、行政法规、部门规章、规范性文件、公司章程等的要求，独立董事 具备相应的任职资格。对影响中小投资者利益的重大事项，独立董事均按规定在认真审核后发表独立意见。公司每次董事会 会议均严格按照规定召集和召开，董事会会议决议与记录真实、准确、完整。</w:t>
      </w:r>
    </w:p>
    <w:p>
      <w:pPr>
        <w:pStyle w:val="Style21"/>
        <w:keepNext w:val="0"/>
        <w:keepLines w:val="0"/>
        <w:widowControl w:val="0"/>
        <w:shd w:val="clear" w:color="auto" w:fill="auto"/>
        <w:tabs>
          <w:tab w:pos="674" w:val="left"/>
        </w:tabs>
        <w:bidi w:val="0"/>
        <w:spacing w:before="0" w:after="100" w:line="313" w:lineRule="exact"/>
        <w:ind w:left="0" w:right="0" w:firstLine="380"/>
        <w:jc w:val="both"/>
      </w:pPr>
      <w:bookmarkStart w:id="271" w:name="bookmark271"/>
      <w:r>
        <w:rPr>
          <w:rFonts w:ascii="Times New Roman" w:eastAsia="Times New Roman" w:hAnsi="Times New Roman" w:cs="Times New Roman"/>
          <w:color w:val="000000"/>
          <w:spacing w:val="0"/>
          <w:w w:val="100"/>
          <w:position w:val="0"/>
          <w:sz w:val="18"/>
          <w:szCs w:val="18"/>
        </w:rPr>
        <w:t>4</w:t>
      </w:r>
      <w:bookmarkEnd w:id="271"/>
      <w:r>
        <w:rPr>
          <w:color w:val="000000"/>
          <w:spacing w:val="0"/>
          <w:w w:val="100"/>
          <w:position w:val="0"/>
        </w:rPr>
        <w:t>、</w:t>
        <w:tab/>
        <w:t>关于监事与监事会</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监事会公司监事会严格按照《公司法》《公司章程》的规定行使职权，对董事、高级管理人员执行公司职务的行为进行 监督，依法对董事会编制的公司定期报告进行审核并提出书面审核意见，对于按规定需要由监事会发表意见的事项（如发行 证券，重大资产重组，收购、出售资产，对外担保，关联交易，对外投资，债务重组等），均基于审慎原则在仔细审核后发 表意见。公司监事会的召开符合有关法律、法规、规范性文件的规定，会议决议均合法有效。</w:t>
      </w:r>
    </w:p>
    <w:p>
      <w:pPr>
        <w:pStyle w:val="Style21"/>
        <w:keepNext w:val="0"/>
        <w:keepLines w:val="0"/>
        <w:widowControl w:val="0"/>
        <w:shd w:val="clear" w:color="auto" w:fill="auto"/>
        <w:tabs>
          <w:tab w:pos="674" w:val="left"/>
        </w:tabs>
        <w:bidi w:val="0"/>
        <w:spacing w:before="0" w:after="100" w:line="313" w:lineRule="exact"/>
        <w:ind w:left="0" w:right="0" w:firstLine="380"/>
        <w:jc w:val="both"/>
      </w:pPr>
      <w:bookmarkStart w:id="272" w:name="bookmark272"/>
      <w:r>
        <w:rPr>
          <w:rFonts w:ascii="Times New Roman" w:eastAsia="Times New Roman" w:hAnsi="Times New Roman" w:cs="Times New Roman"/>
          <w:color w:val="000000"/>
          <w:spacing w:val="0"/>
          <w:w w:val="100"/>
          <w:position w:val="0"/>
          <w:sz w:val="18"/>
          <w:szCs w:val="18"/>
        </w:rPr>
        <w:t>5</w:t>
      </w:r>
      <w:bookmarkEnd w:id="272"/>
      <w:r>
        <w:rPr>
          <w:color w:val="000000"/>
          <w:spacing w:val="0"/>
          <w:w w:val="100"/>
          <w:position w:val="0"/>
        </w:rPr>
        <w:t>、</w:t>
        <w:tab/>
        <w:t>内部审计制度的建立与执行</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公司建立了健全的内部控制制度，严格执行《深圳证券交易所创业板上市公司规范运作指引》《企业内部控制基本规范》 和《企业内部控制配套指引》等有关规定。对于关联交易事项，公司严格按照规定的权限履行审批义务，关联人均回避表决， 确保关联交易的必要性与公允性;报告期内，公司无对外担保事项发生。公司内部审计部对公司内部控制制度的建立和实施、 公司财务信息的真实性和完整性等情况进行检查监督。</w:t>
      </w:r>
    </w:p>
    <w:p>
      <w:pPr>
        <w:pStyle w:val="Style21"/>
        <w:keepNext w:val="0"/>
        <w:keepLines w:val="0"/>
        <w:widowControl w:val="0"/>
        <w:shd w:val="clear" w:color="auto" w:fill="auto"/>
        <w:tabs>
          <w:tab w:pos="674" w:val="left"/>
        </w:tabs>
        <w:bidi w:val="0"/>
        <w:spacing w:before="0" w:after="100" w:line="313" w:lineRule="exact"/>
        <w:ind w:left="0" w:right="0" w:firstLine="380"/>
        <w:jc w:val="both"/>
      </w:pPr>
      <w:bookmarkStart w:id="273" w:name="bookmark273"/>
      <w:r>
        <w:rPr>
          <w:rFonts w:ascii="Times New Roman" w:eastAsia="Times New Roman" w:hAnsi="Times New Roman" w:cs="Times New Roman"/>
          <w:color w:val="000000"/>
          <w:spacing w:val="0"/>
          <w:w w:val="100"/>
          <w:position w:val="0"/>
          <w:sz w:val="18"/>
          <w:szCs w:val="18"/>
        </w:rPr>
        <w:t>6</w:t>
      </w:r>
      <w:bookmarkEnd w:id="273"/>
      <w:r>
        <w:rPr>
          <w:color w:val="000000"/>
          <w:spacing w:val="0"/>
          <w:w w:val="100"/>
          <w:position w:val="0"/>
        </w:rPr>
        <w:t>、</w:t>
        <w:tab/>
        <w:t>关于信息披露与投资者交流</w:t>
      </w:r>
    </w:p>
    <w:p>
      <w:pPr>
        <w:pStyle w:val="Style21"/>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公司根据《深圳证券交易所股票上市规则》《公司章程》《信息披露管理制度》等规定，认真履行信息披露义务，真实、 准确、及时、完整地披露信息。公司指定《中国证券报》《证券时报》《上海证券报》《证券日报》、巨潮资讯网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为公司信息披露的报纸和网站，同时还通过互动易、投资者来访接待、公司网站信息发布、电话咨询 等方式保持与投资者的良好沟通和信息透明度。充分保证广大投资者的知情权，切实保护投资者特别是中小投资者的合法权 益。</w:t>
      </w:r>
    </w:p>
    <w:p>
      <w:pPr>
        <w:pStyle w:val="Style21"/>
        <w:keepNext w:val="0"/>
        <w:keepLines w:val="0"/>
        <w:widowControl w:val="0"/>
        <w:shd w:val="clear" w:color="auto" w:fill="auto"/>
        <w:bidi w:val="0"/>
        <w:spacing w:before="0" w:after="0" w:line="360" w:lineRule="auto"/>
        <w:ind w:left="0" w:right="0" w:firstLine="380"/>
        <w:jc w:val="both"/>
      </w:pPr>
      <w:bookmarkStart w:id="274" w:name="bookmark274"/>
      <w:r>
        <w:rPr>
          <w:rFonts w:ascii="Times New Roman" w:eastAsia="Times New Roman" w:hAnsi="Times New Roman" w:cs="Times New Roman"/>
          <w:color w:val="000000"/>
          <w:spacing w:val="0"/>
          <w:w w:val="100"/>
          <w:position w:val="0"/>
          <w:sz w:val="18"/>
          <w:szCs w:val="18"/>
        </w:rPr>
        <w:t>7</w:t>
      </w:r>
      <w:bookmarkEnd w:id="274"/>
      <w:r>
        <w:rPr>
          <w:color w:val="000000"/>
          <w:spacing w:val="0"/>
          <w:w w:val="100"/>
          <w:position w:val="0"/>
        </w:rPr>
        <w:t>、关于相关利益者</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公司充分尊重和维护利益相关者的合法权益，实现股东、职工和社会等各方面利益的协调平衡，重视并积极履行公司的 社会责任，与利益相关者积极沟通、合作，共同推动公司持续、健康地发展。</w:t>
      </w:r>
    </w:p>
    <w:p>
      <w:pPr>
        <w:pStyle w:val="Style21"/>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21"/>
        <w:keepNext w:val="0"/>
        <w:keepLines w:val="0"/>
        <w:widowControl w:val="0"/>
        <w:shd w:val="clear" w:color="auto" w:fill="auto"/>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bidi w:val="0"/>
        <w:spacing w:before="0" w:after="240" w:line="331"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二</w:t>
      </w:r>
      <w:bookmarkEnd w:id="277"/>
      <w:r>
        <w:rPr>
          <w:color w:val="000000"/>
          <w:spacing w:val="0"/>
          <w:w w:val="100"/>
          <w:position w:val="0"/>
        </w:rPr>
        <w:t>、公司相对于控股股东、实际控制人在保证公司资产、人员、财务、机构、业务等方面的 独立情况</w:t>
      </w:r>
      <w:bookmarkEnd w:id="275"/>
      <w:bookmarkEnd w:id="276"/>
      <w:bookmarkEnd w:id="278"/>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公司严格按照《公司法》《证券法》等有关法律、法规和《公司章程》的要求规范运作，逐步建立健全了股份公司的法 人治理结构，在资产、人员、财务、机构和业务等方面与各股东及关联方完全独立，具有完整的业务体系和独立持续经营能 力。</w:t>
      </w:r>
    </w:p>
    <w:p>
      <w:pPr>
        <w:pStyle w:val="Style21"/>
        <w:keepNext w:val="0"/>
        <w:keepLines w:val="0"/>
        <w:widowControl w:val="0"/>
        <w:shd w:val="clear" w:color="auto" w:fill="auto"/>
        <w:tabs>
          <w:tab w:pos="993" w:val="left"/>
        </w:tabs>
        <w:bidi w:val="0"/>
        <w:spacing w:before="0" w:after="100" w:line="313" w:lineRule="exact"/>
        <w:ind w:left="0" w:right="0" w:firstLine="500"/>
        <w:jc w:val="both"/>
      </w:pPr>
      <w:bookmarkStart w:id="279" w:name="bookmark279"/>
      <w:r>
        <w:rPr>
          <w:b/>
          <w:bCs/>
          <w:color w:val="000000"/>
          <w:spacing w:val="0"/>
          <w:w w:val="100"/>
          <w:position w:val="0"/>
        </w:rPr>
        <w:t>（</w:t>
      </w:r>
      <w:bookmarkEnd w:id="279"/>
      <w:r>
        <w:rPr>
          <w:b/>
          <w:bCs/>
          <w:color w:val="000000"/>
          <w:spacing w:val="0"/>
          <w:w w:val="100"/>
          <w:position w:val="0"/>
        </w:rPr>
        <w:t>一）</w:t>
        <w:tab/>
        <w:t>资产完整情况</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公司系由普联有限整体变更设立，全部资产由公司依法承继，与各股东和其他关联方的资产严格分开，产权明晰，并完 全独立运营。发行人拥有独立完整的采购、软件开发、销售系统，公司对与其业务相关的生产经营设备、软件著作权、商标、 域名等无形资产具有完全的控制支配权，不存在资产、资金被控股股东、实际控制人占用而损害公司利益的情况。</w:t>
      </w:r>
    </w:p>
    <w:p>
      <w:pPr>
        <w:pStyle w:val="Style21"/>
        <w:keepNext w:val="0"/>
        <w:keepLines w:val="0"/>
        <w:widowControl w:val="0"/>
        <w:shd w:val="clear" w:color="auto" w:fill="auto"/>
        <w:tabs>
          <w:tab w:pos="993" w:val="left"/>
        </w:tabs>
        <w:bidi w:val="0"/>
        <w:spacing w:before="0" w:after="100" w:line="313" w:lineRule="exact"/>
        <w:ind w:left="0" w:right="0" w:firstLine="500"/>
        <w:jc w:val="both"/>
      </w:pPr>
      <w:bookmarkStart w:id="280" w:name="bookmark280"/>
      <w:r>
        <w:rPr>
          <w:b/>
          <w:bCs/>
          <w:color w:val="000000"/>
          <w:spacing w:val="0"/>
          <w:w w:val="100"/>
          <w:position w:val="0"/>
        </w:rPr>
        <w:t>（</w:t>
      </w:r>
      <w:bookmarkEnd w:id="280"/>
      <w:r>
        <w:rPr>
          <w:b/>
          <w:bCs/>
          <w:color w:val="000000"/>
          <w:spacing w:val="0"/>
          <w:w w:val="100"/>
          <w:position w:val="0"/>
        </w:rPr>
        <w:t>二）</w:t>
        <w:tab/>
        <w:t>人员独立情况</w:t>
      </w:r>
    </w:p>
    <w:p>
      <w:pPr>
        <w:pStyle w:val="Style2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公司与全体员工均签订了劳动合同，拥有独立的人事、工资、福利制度，员工的劳动、人事、工资关系与控股股东、实 际控制人及其控制的其他企业等其他关联方完全分离；公司董事、监事、高级管理人员均严格按照《公司法》《公司章程》 等相关规定产生和任免；公司总经理、副总经理、财务负责人及董事会秘书等高级管理人员，均专职在公司工作并领取薪酬， 未在控股股东、实际控制人及其控制的其他企业中担任除董事、监事以外的其他职务及领取薪酬；公司财务人员未在控股股 东、实际控制人及其控制的其他企业中兼职。</w:t>
      </w:r>
    </w:p>
    <w:p>
      <w:pPr>
        <w:pStyle w:val="Style21"/>
        <w:keepNext w:val="0"/>
        <w:keepLines w:val="0"/>
        <w:widowControl w:val="0"/>
        <w:shd w:val="clear" w:color="auto" w:fill="auto"/>
        <w:tabs>
          <w:tab w:pos="993" w:val="left"/>
        </w:tabs>
        <w:bidi w:val="0"/>
        <w:spacing w:before="0" w:after="100" w:line="313" w:lineRule="exact"/>
        <w:ind w:left="0" w:right="0" w:firstLine="500"/>
        <w:jc w:val="both"/>
      </w:pPr>
      <w:bookmarkStart w:id="281" w:name="bookmark281"/>
      <w:r>
        <w:rPr>
          <w:b/>
          <w:bCs/>
          <w:color w:val="000000"/>
          <w:spacing w:val="0"/>
          <w:w w:val="100"/>
          <w:position w:val="0"/>
        </w:rPr>
        <w:t>（</w:t>
      </w:r>
      <w:bookmarkEnd w:id="281"/>
      <w:r>
        <w:rPr>
          <w:b/>
          <w:bCs/>
          <w:color w:val="000000"/>
          <w:spacing w:val="0"/>
          <w:w w:val="100"/>
          <w:position w:val="0"/>
        </w:rPr>
        <w:t>三）</w:t>
        <w:tab/>
        <w:t>财务独立情况</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公司设立独立的财务部门，配备了专门的财务人员，按照企业会计准则的要求建立了一套独立、完整、规范的财务会计 核算体系、财务管理制度，符合《会计法》等有关会计法规的规定；公司根据法律法规及《公司章程》的相关规定并结合自 身实际情况独立做出财务决策，独立对外签订合同；公司在银行单独开立账户，拥有独立的银行账号，不存在与股东及其控 制的其他企业共用银行账户的情形；公司作为独立的纳税人，依法独立纳税。</w:t>
      </w:r>
    </w:p>
    <w:p>
      <w:pPr>
        <w:pStyle w:val="Style21"/>
        <w:keepNext w:val="0"/>
        <w:keepLines w:val="0"/>
        <w:widowControl w:val="0"/>
        <w:shd w:val="clear" w:color="auto" w:fill="auto"/>
        <w:tabs>
          <w:tab w:pos="993" w:val="left"/>
        </w:tabs>
        <w:bidi w:val="0"/>
        <w:spacing w:before="0" w:after="100" w:line="313" w:lineRule="exact"/>
        <w:ind w:left="0" w:right="0" w:firstLine="500"/>
        <w:jc w:val="both"/>
      </w:pPr>
      <w:bookmarkStart w:id="282" w:name="bookmark282"/>
      <w:r>
        <w:rPr>
          <w:b/>
          <w:bCs/>
          <w:color w:val="000000"/>
          <w:spacing w:val="0"/>
          <w:w w:val="100"/>
          <w:position w:val="0"/>
        </w:rPr>
        <w:t>（</w:t>
      </w:r>
      <w:bookmarkEnd w:id="282"/>
      <w:r>
        <w:rPr>
          <w:b/>
          <w:bCs/>
          <w:color w:val="000000"/>
          <w:spacing w:val="0"/>
          <w:w w:val="100"/>
          <w:position w:val="0"/>
        </w:rPr>
        <w:t>四）</w:t>
        <w:tab/>
        <w:t>机构独立情况</w:t>
      </w:r>
    </w:p>
    <w:p>
      <w:pPr>
        <w:pStyle w:val="Style21"/>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公司建立健全了股东大会、董事会、监事会及总经理负责的经理层等机构，各机构均独立于公司控股股东、实际控制人 及其控制的其他企业，并依照《公司章程》《股东大会议事规则》《董事会议事规则》《监事会议事规则》《总经理工作细 则》等规定规范运行，形成了完善的法人治理结构和规范化的运作体系。公司建立了符合自身经营需要的组织机构，各部门 独立履行其职能，负责公司的经营活动且运行良好。公司的经营和办公场所与控股股东、实际控制人及其控制的其他企业严 格分开，不存在与控股股东、实际控制人及其控制的其他企业混合经营、合署办公的情形。</w:t>
      </w:r>
    </w:p>
    <w:p>
      <w:pPr>
        <w:pStyle w:val="Style21"/>
        <w:keepNext w:val="0"/>
        <w:keepLines w:val="0"/>
        <w:widowControl w:val="0"/>
        <w:shd w:val="clear" w:color="auto" w:fill="auto"/>
        <w:tabs>
          <w:tab w:pos="993" w:val="left"/>
        </w:tabs>
        <w:bidi w:val="0"/>
        <w:spacing w:before="0" w:after="100" w:line="313" w:lineRule="exact"/>
        <w:ind w:left="0" w:right="0" w:firstLine="500"/>
        <w:jc w:val="both"/>
      </w:pPr>
      <w:bookmarkStart w:id="283" w:name="bookmark283"/>
      <w:r>
        <w:rPr>
          <w:b/>
          <w:bCs/>
          <w:color w:val="000000"/>
          <w:spacing w:val="0"/>
          <w:w w:val="100"/>
          <w:position w:val="0"/>
        </w:rPr>
        <w:t>（</w:t>
      </w:r>
      <w:bookmarkEnd w:id="283"/>
      <w:r>
        <w:rPr>
          <w:b/>
          <w:bCs/>
          <w:color w:val="000000"/>
          <w:spacing w:val="0"/>
          <w:w w:val="100"/>
          <w:position w:val="0"/>
        </w:rPr>
        <w:t>五）</w:t>
        <w:tab/>
        <w:t>业务独立情况</w:t>
      </w:r>
    </w:p>
    <w:p>
      <w:pPr>
        <w:pStyle w:val="Style21"/>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公司主营业务是为大型集团企业提供管理信息化方案及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综合服务。公司拥有独立完整的采购、软件开发和销售业务体 系，能独立对外从事采购、软件开发、销售业务并签署相关协议，并拥有独立的业务部门和渠道，在业务上独立于各股东和 其他关联方，不存在依赖股东和其他关联方的情况。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三</w:t>
      </w:r>
      <w:bookmarkEnd w:id="286"/>
      <w:r>
        <w:rPr>
          <w:color w:val="000000"/>
          <w:spacing w:val="0"/>
          <w:w w:val="100"/>
          <w:position w:val="0"/>
        </w:rPr>
        <w:t>、</w:t>
        <w:tab/>
        <w:t>同业竞争情况</w:t>
      </w:r>
      <w:bookmarkEnd w:id="284"/>
      <w:bookmarkEnd w:id="285"/>
      <w:bookmarkEnd w:id="287"/>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rPr>
        <w:t>四</w:t>
      </w:r>
      <w:bookmarkEnd w:id="290"/>
      <w:r>
        <w:rPr>
          <w:color w:val="000000"/>
          <w:spacing w:val="0"/>
          <w:w w:val="100"/>
          <w:position w:val="0"/>
        </w:rPr>
        <w:t>、</w:t>
        <w:tab/>
        <w:t>报告期内召开的年度股东大会和临时股东大会的有关情况</w:t>
      </w:r>
      <w:bookmarkEnd w:id="288"/>
      <w:bookmarkEnd w:id="289"/>
      <w:bookmarkEnd w:id="291"/>
    </w:p>
    <w:p>
      <w:pPr>
        <w:pStyle w:val="Style31"/>
        <w:keepNext/>
        <w:keepLines/>
        <w:widowControl w:val="0"/>
        <w:shd w:val="clear" w:color="auto" w:fill="auto"/>
        <w:bidi w:val="0"/>
        <w:spacing w:before="0" w:after="320" w:line="240" w:lineRule="auto"/>
        <w:ind w:left="0" w:right="0" w:firstLine="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1</w:t>
      </w:r>
      <w:bookmarkEnd w:id="294"/>
      <w:r>
        <w:rPr>
          <w:color w:val="000000"/>
          <w:spacing w:val="0"/>
          <w:w w:val="100"/>
          <w:position w:val="0"/>
        </w:rPr>
        <w:t>、本报告期股东大会情况</w:t>
      </w:r>
      <w:bookmarkEnd w:id="292"/>
      <w:bookmarkEnd w:id="293"/>
      <w:bookmarkEnd w:id="295"/>
    </w:p>
    <w:tbl>
      <w:tblPr>
        <w:tblOverlap w:val="never"/>
        <w:jc w:val="center"/>
        <w:tblLayout w:type="fixed"/>
      </w:tblPr>
      <w:tblGrid>
        <w:gridCol w:w="1603"/>
        <w:gridCol w:w="1349"/>
        <w:gridCol w:w="1421"/>
        <w:gridCol w:w="1699"/>
        <w:gridCol w:w="1699"/>
        <w:gridCol w:w="18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具体请见公司于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 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 xml:space="preserve">) 的公告(公告编号： </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具体请见公司于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日披露于巨 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 xml:space="preserve">) 的公告(公告编号： </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296" w:name="bookmark296"/>
      <w:bookmarkStart w:id="297" w:name="bookmark297"/>
      <w:bookmarkStart w:id="298" w:name="bookmark298"/>
      <w:bookmarkStart w:id="299" w:name="bookmark299"/>
      <w:r>
        <w:rPr>
          <w:rFonts w:ascii="Times New Roman" w:eastAsia="Times New Roman" w:hAnsi="Times New Roman" w:cs="Times New Roman"/>
          <w:color w:val="000000"/>
          <w:spacing w:val="0"/>
          <w:w w:val="100"/>
          <w:position w:val="0"/>
        </w:rPr>
        <w:t>2</w:t>
      </w:r>
      <w:bookmarkEnd w:id="298"/>
      <w:r>
        <w:rPr>
          <w:color w:val="000000"/>
          <w:spacing w:val="0"/>
          <w:w w:val="100"/>
          <w:position w:val="0"/>
        </w:rPr>
        <w:t>、表决权恢复的优先股股东请求召开临时股东大会</w:t>
      </w:r>
      <w:bookmarkEnd w:id="296"/>
      <w:bookmarkEnd w:id="297"/>
      <w:bookmarkEnd w:id="299"/>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both"/>
      </w:pPr>
      <w:bookmarkStart w:id="300" w:name="bookmark300"/>
      <w:bookmarkStart w:id="301" w:name="bookmark301"/>
      <w:bookmarkStart w:id="302" w:name="bookmark302"/>
      <w:bookmarkStart w:id="303" w:name="bookmark303"/>
      <w:r>
        <w:rPr>
          <w:color w:val="000000"/>
          <w:spacing w:val="0"/>
          <w:w w:val="100"/>
          <w:position w:val="0"/>
        </w:rPr>
        <w:t>五</w:t>
      </w:r>
      <w:bookmarkEnd w:id="302"/>
      <w:r>
        <w:rPr>
          <w:color w:val="000000"/>
          <w:spacing w:val="0"/>
          <w:w w:val="100"/>
          <w:position w:val="0"/>
        </w:rPr>
        <w:t>、</w:t>
        <w:tab/>
        <w:t>公司具有表决权差异安排</w:t>
      </w:r>
      <w:bookmarkEnd w:id="300"/>
      <w:bookmarkEnd w:id="301"/>
      <w:bookmarkEnd w:id="303"/>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rPr>
        <w:t>六</w:t>
      </w:r>
      <w:bookmarkEnd w:id="306"/>
      <w:r>
        <w:rPr>
          <w:color w:val="000000"/>
          <w:spacing w:val="0"/>
          <w:w w:val="100"/>
          <w:position w:val="0"/>
        </w:rPr>
        <w:t>、</w:t>
        <w:tab/>
        <w:t>红筹架构公司治理情况</w:t>
      </w:r>
      <w:bookmarkEnd w:id="304"/>
      <w:bookmarkEnd w:id="305"/>
      <w:bookmarkEnd w:id="307"/>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5"/>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七</w:t>
      </w:r>
      <w:bookmarkEnd w:id="310"/>
      <w:r>
        <w:rPr>
          <w:color w:val="000000"/>
          <w:spacing w:val="0"/>
          <w:w w:val="100"/>
          <w:position w:val="0"/>
        </w:rPr>
        <w:t>、董事、监事和高级管理人员情况</w:t>
      </w:r>
      <w:bookmarkEnd w:id="308"/>
      <w:bookmarkEnd w:id="309"/>
      <w:bookmarkEnd w:id="311"/>
    </w:p>
    <w:p>
      <w:pPr>
        <w:pStyle w:val="Style31"/>
        <w:keepNext/>
        <w:keepLines/>
        <w:widowControl w:val="0"/>
        <w:shd w:val="clear" w:color="auto" w:fill="auto"/>
        <w:bidi w:val="0"/>
        <w:spacing w:before="0" w:after="30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、基本情况</w:t>
      </w:r>
      <w:bookmarkEnd w:id="312"/>
      <w:bookmarkEnd w:id="313"/>
      <w:bookmarkEnd w:id="315"/>
    </w:p>
    <w:tbl>
      <w:tblPr>
        <w:tblOverlap w:val="never"/>
        <w:jc w:val="center"/>
        <w:tblLayout w:type="fixed"/>
      </w:tblPr>
      <w:tblGrid>
        <w:gridCol w:w="739"/>
        <w:gridCol w:w="739"/>
        <w:gridCol w:w="480"/>
        <w:gridCol w:w="571"/>
        <w:gridCol w:w="566"/>
        <w:gridCol w:w="706"/>
        <w:gridCol w:w="710"/>
        <w:gridCol w:w="994"/>
        <w:gridCol w:w="850"/>
        <w:gridCol w:w="850"/>
        <w:gridCol w:w="898"/>
        <w:gridCol w:w="946"/>
        <w:gridCol w:w="85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本期增持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本期减持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股份数量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变动的原</w:t>
            </w:r>
          </w:p>
          <w:p>
            <w:pPr>
              <w:pStyle w:val="Style2"/>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9,427,323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15,083,717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副董事 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15,105,525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冯学伟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550,811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1,468,829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资本公积 金转增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张廷兵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任迎春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石连山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2,527,858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路前程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199,774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r>
    </w:tbl>
    <w:p>
      <w:pPr>
        <w:spacing w:lineRule="exact" w:line="1"/>
        <w:rPr>
          <w:sz w:val="2"/>
          <w:szCs w:val="2"/>
        </w:rPr>
      </w:pPr>
      <w:r>
        <w:br w:type="page"/>
      </w:r>
    </w:p>
    <w:tbl>
      <w:tblPr>
        <w:tblOverlap w:val="never"/>
        <w:jc w:val="center"/>
        <w:tblLayout w:type="fixed"/>
      </w:tblPr>
      <w:tblGrid>
        <w:gridCol w:w="739"/>
        <w:gridCol w:w="739"/>
        <w:gridCol w:w="480"/>
        <w:gridCol w:w="571"/>
        <w:gridCol w:w="566"/>
        <w:gridCol w:w="706"/>
        <w:gridCol w:w="710"/>
        <w:gridCol w:w="994"/>
        <w:gridCol w:w="850"/>
        <w:gridCol w:w="850"/>
        <w:gridCol w:w="898"/>
        <w:gridCol w:w="946"/>
        <w:gridCol w:w="85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任炳章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相洪伟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副总经 理、董事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聂玉涛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财务总 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资本公积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金转增</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28,874,626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17,324,779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46,199,405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报告期是否存在任期内董事、监事离任和高级管理人员解聘的情况</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公司董事、监事、高级管理人员变动情况</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646"/>
        <w:gridCol w:w="3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因个人原因，辞去职工代表监事。仍在公司担任其 他职务。</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路前程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因个人原因，辞去职工代表监事。仍在公司担任其 他职务。</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、任职情况</w:t>
      </w:r>
      <w:bookmarkEnd w:id="316"/>
      <w:bookmarkEnd w:id="317"/>
      <w:bookmarkEnd w:id="319"/>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line="312" w:lineRule="exact"/>
        <w:ind w:left="0" w:right="0" w:firstLine="380"/>
        <w:jc w:val="left"/>
      </w:pPr>
      <w:bookmarkStart w:id="320" w:name="bookmark320"/>
      <w:r>
        <w:rPr>
          <w:color w:val="000000"/>
          <w:spacing w:val="0"/>
          <w:w w:val="100"/>
          <w:position w:val="0"/>
        </w:rPr>
        <w:t>一</w:t>
      </w:r>
      <w:bookmarkEnd w:id="320"/>
      <w:r>
        <w:rPr>
          <w:color w:val="000000"/>
          <w:spacing w:val="0"/>
          <w:w w:val="100"/>
          <w:position w:val="0"/>
        </w:rPr>
        <w:t>、董事会成员情况</w:t>
      </w:r>
    </w:p>
    <w:p>
      <w:pPr>
        <w:pStyle w:val="Style21"/>
        <w:keepNext w:val="0"/>
        <w:keepLines w:val="0"/>
        <w:widowControl w:val="0"/>
        <w:shd w:val="clear" w:color="auto" w:fill="auto"/>
        <w:tabs>
          <w:tab w:pos="880" w:val="left"/>
        </w:tabs>
        <w:bidi w:val="0"/>
        <w:spacing w:before="0" w:line="312" w:lineRule="exact"/>
        <w:ind w:left="0" w:right="0" w:firstLine="440"/>
        <w:jc w:val="left"/>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蔺国强</w:t>
      </w:r>
    </w:p>
    <w:p>
      <w:pPr>
        <w:pStyle w:val="Style21"/>
        <w:keepNext w:val="0"/>
        <w:keepLines w:val="0"/>
        <w:widowControl w:val="0"/>
        <w:shd w:val="clear" w:color="auto" w:fill="auto"/>
        <w:bidi w:val="0"/>
        <w:spacing w:before="0" w:line="312" w:lineRule="exact"/>
        <w:ind w:left="0" w:right="0" w:firstLine="380"/>
        <w:jc w:val="left"/>
      </w:pPr>
      <w:r>
        <w:rPr>
          <w:color w:val="000000"/>
          <w:spacing w:val="0"/>
          <w:w w:val="100"/>
          <w:position w:val="0"/>
        </w:rPr>
        <w:t>蔺国强先生，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月出生，汉族，中国国籍，无永久境外居留权。蔺国强先生毕业于山东师范大学计算机科学专业， 本科学历。</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月，任山东医药工业学校教师；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月，任浪潮通软副经理。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月以 来，蔺国强先生一直任职于本公司，曾任公司执行董事、总经理等职务。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月至今，蔺国强先生任公司董事长、总经 理。</w:t>
      </w:r>
    </w:p>
    <w:p>
      <w:pPr>
        <w:pStyle w:val="Style21"/>
        <w:keepNext w:val="0"/>
        <w:keepLines w:val="0"/>
        <w:widowControl w:val="0"/>
        <w:shd w:val="clear" w:color="auto" w:fill="auto"/>
        <w:tabs>
          <w:tab w:pos="880" w:val="left"/>
        </w:tabs>
        <w:bidi w:val="0"/>
        <w:spacing w:before="0" w:line="312" w:lineRule="exact"/>
        <w:ind w:left="0" w:right="0" w:firstLine="440"/>
        <w:jc w:val="left"/>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王虎</w:t>
      </w:r>
    </w:p>
    <w:p>
      <w:pPr>
        <w:pStyle w:val="Style21"/>
        <w:keepNext w:val="0"/>
        <w:keepLines w:val="0"/>
        <w:widowControl w:val="0"/>
        <w:shd w:val="clear" w:color="auto" w:fill="auto"/>
        <w:bidi w:val="0"/>
        <w:spacing w:before="0" w:line="312" w:lineRule="exact"/>
        <w:ind w:left="0" w:right="0" w:firstLine="380"/>
        <w:jc w:val="left"/>
      </w:pPr>
      <w:r>
        <w:rPr>
          <w:color w:val="000000"/>
          <w:spacing w:val="0"/>
          <w:w w:val="100"/>
          <w:position w:val="0"/>
        </w:rPr>
        <w:t>王虎先生，</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月出生，汉族，中国国籍，无永久境外居留权。王虎先生</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 xml:space="preserve">年毕业于清华大学计算机系，获硕士 </w:t>
      </w:r>
      <w:r>
        <w:rPr>
          <w:color w:val="000000"/>
          <w:spacing w:val="0"/>
          <w:w w:val="100"/>
          <w:position w:val="0"/>
        </w:rPr>
        <w:t>研究生学历。</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月，任济南铁路局电子计算所软件室主任；</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月，清华大学计算机科学 与工程系研究生班学生；</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月，任山东师范大学计算机科学系研究室副主任；</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 职于浪潮集团，曾任浪潮集团分管软件业务的副总裁兼总工程师，期间参与创办浪潮通软并任该公司董事长兼总经理；自</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月以来，王虎先生一直任职于本公司，曾任公司董事长及总经理等职务。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月至今，王虎先生任本公司副董事长。</w:t>
      </w:r>
    </w:p>
    <w:p>
      <w:pPr>
        <w:pStyle w:val="Style21"/>
        <w:keepNext w:val="0"/>
        <w:keepLines w:val="0"/>
        <w:widowControl w:val="0"/>
        <w:shd w:val="clear" w:color="auto" w:fill="auto"/>
        <w:bidi w:val="0"/>
        <w:spacing w:before="0" w:line="307" w:lineRule="exact"/>
        <w:ind w:left="0" w:right="0" w:firstLine="380"/>
        <w:jc w:val="both"/>
      </w:pPr>
      <w:r>
        <w:rPr>
          <w:color w:val="000000"/>
          <w:spacing w:val="0"/>
          <w:w w:val="100"/>
          <w:position w:val="0"/>
        </w:rPr>
        <w:t>王虎先生曾任教育部第一届管理科学与工程学科委员会委员，并曾先后被聘为合肥工业大学管理学院兼职教授，山东大 学管理学院、山东师范大学信息技术学院和山东财经大学兼职教授、硕士研究生导师。</w:t>
      </w:r>
    </w:p>
    <w:p>
      <w:pPr>
        <w:pStyle w:val="Style21"/>
        <w:keepNext w:val="0"/>
        <w:keepLines w:val="0"/>
        <w:widowControl w:val="0"/>
        <w:shd w:val="clear" w:color="auto" w:fill="auto"/>
        <w:tabs>
          <w:tab w:pos="820" w:val="left"/>
        </w:tabs>
        <w:bidi w:val="0"/>
        <w:spacing w:before="0" w:line="312" w:lineRule="exact"/>
        <w:ind w:left="0" w:right="0" w:firstLine="440"/>
        <w:jc w:val="left"/>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张廷兵</w:t>
      </w:r>
    </w:p>
    <w:p>
      <w:pPr>
        <w:pStyle w:val="Style21"/>
        <w:keepNext w:val="0"/>
        <w:keepLines w:val="0"/>
        <w:widowControl w:val="0"/>
        <w:shd w:val="clear" w:color="auto" w:fill="auto"/>
        <w:bidi w:val="0"/>
        <w:spacing w:before="0" w:line="316" w:lineRule="exact"/>
        <w:ind w:left="0" w:right="0" w:firstLine="380"/>
        <w:jc w:val="left"/>
      </w:pPr>
      <w:r>
        <w:rPr>
          <w:color w:val="000000"/>
          <w:spacing w:val="0"/>
          <w:w w:val="100"/>
          <w:position w:val="0"/>
        </w:rPr>
        <w:t>张廷兵先生，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月出生，中国国籍，无永久境外居留权，计算机应用专业，本科学历。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张廷兵先生任浪潮通软大客户事业部经理。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月至今任职于本公司，历任石油事业部总经理、公司副总经理兼普联外 包总经理等职务。张廷兵先生主持开发了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普联财务集中核算系统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普联集中资金管理系统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等多项公司产品。主持了山东 省自主创新及成果转化专项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面向智能移动终端的支撑软件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、山东省信息产业发展专项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核高基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“PanGIS</w:t>
      </w:r>
      <w:r>
        <w:rPr>
          <w:color w:val="000000"/>
          <w:spacing w:val="0"/>
          <w:w w:val="100"/>
          <w:position w:val="0"/>
        </w:rPr>
        <w:t>极速地理空间 信息支撑软件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等重点科技项目建设。张廷兵先生现任公司董事、副总经理。</w:t>
      </w:r>
    </w:p>
    <w:p>
      <w:pPr>
        <w:pStyle w:val="Style21"/>
        <w:keepNext w:val="0"/>
        <w:keepLines w:val="0"/>
        <w:widowControl w:val="0"/>
        <w:shd w:val="clear" w:color="auto" w:fill="auto"/>
        <w:tabs>
          <w:tab w:pos="820" w:val="left"/>
        </w:tabs>
        <w:bidi w:val="0"/>
        <w:spacing w:before="0" w:line="312" w:lineRule="exact"/>
        <w:ind w:left="0" w:right="0" w:firstLine="440"/>
        <w:jc w:val="left"/>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冯学伟</w:t>
      </w:r>
    </w:p>
    <w:p>
      <w:pPr>
        <w:pStyle w:val="Style21"/>
        <w:keepNext w:val="0"/>
        <w:keepLines w:val="0"/>
        <w:widowControl w:val="0"/>
        <w:shd w:val="clear" w:color="auto" w:fill="auto"/>
        <w:bidi w:val="0"/>
        <w:spacing w:before="0" w:line="312" w:lineRule="exact"/>
        <w:ind w:left="0" w:right="0" w:firstLine="380"/>
        <w:jc w:val="both"/>
      </w:pPr>
      <w:r>
        <w:rPr>
          <w:color w:val="000000"/>
          <w:spacing w:val="0"/>
          <w:w w:val="100"/>
          <w:position w:val="0"/>
        </w:rPr>
        <w:t>冯学伟先生，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月出生，中国国籍，无永久境外居留权，山东大学硕士学位。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月至今任职于本公司，曾担 任公司大客户事业部副经理、油田事业部总经理、公司副总经理等职务，主要负责公司业务拓展及公司区域市场建设等工作， 参与了集团会计集中核算、集团资金集中管理等系统的设计与研发。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月至今，冯学伟先生任公司董事、常务副总经 理。</w:t>
      </w:r>
    </w:p>
    <w:p>
      <w:pPr>
        <w:pStyle w:val="Style21"/>
        <w:keepNext w:val="0"/>
        <w:keepLines w:val="0"/>
        <w:widowControl w:val="0"/>
        <w:shd w:val="clear" w:color="auto" w:fill="auto"/>
        <w:tabs>
          <w:tab w:pos="820" w:val="left"/>
        </w:tabs>
        <w:bidi w:val="0"/>
        <w:spacing w:before="0" w:line="312" w:lineRule="exact"/>
        <w:ind w:left="0" w:right="0" w:firstLine="44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张善良</w:t>
      </w:r>
    </w:p>
    <w:p>
      <w:pPr>
        <w:pStyle w:val="Style21"/>
        <w:keepNext w:val="0"/>
        <w:keepLines w:val="0"/>
        <w:widowControl w:val="0"/>
        <w:shd w:val="clear" w:color="auto" w:fill="auto"/>
        <w:bidi w:val="0"/>
        <w:spacing w:before="0" w:line="312" w:lineRule="exact"/>
        <w:ind w:left="0" w:right="0" w:firstLine="380"/>
        <w:jc w:val="both"/>
      </w:pPr>
      <w:r>
        <w:rPr>
          <w:color w:val="000000"/>
          <w:spacing w:val="0"/>
          <w:w w:val="100"/>
          <w:position w:val="0"/>
        </w:rPr>
        <w:t>张善良先生，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月出生，中国国籍，无永久境外居留权，硕士学历。</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年，张善良先生任职于国家计 划委员会市场物价司；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年，张善良先生任职于海通证券投资银行北京总部总经理助理、副总经理；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年，张善良先生筹备中国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比利时直接股权投资基金，并入职该基金管理人</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海富产业投资基金管理公司；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 张善良先生任西班牙</w:t>
      </w:r>
      <w:r>
        <w:rPr>
          <w:rFonts w:ascii="Times New Roman" w:eastAsia="Times New Roman" w:hAnsi="Times New Roman" w:cs="Times New Roman"/>
          <w:color w:val="000000"/>
          <w:spacing w:val="0"/>
          <w:w w:val="100"/>
          <w:position w:val="0"/>
          <w:sz w:val="18"/>
          <w:szCs w:val="18"/>
        </w:rPr>
        <w:t xml:space="preserve">IBERDROLA </w:t>
      </w:r>
      <w:r>
        <w:rPr>
          <w:color w:val="000000"/>
          <w:spacing w:val="0"/>
          <w:w w:val="100"/>
          <w:position w:val="0"/>
        </w:rPr>
        <w:t>（世界</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强）中国首席代表；</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月，张善良先生任金石投资公司战略 发展总监；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月至今，张善良先生任杭州金灿股权投资管理有限公司董事。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月至今，任公司董事。</w:t>
      </w:r>
    </w:p>
    <w:p>
      <w:pPr>
        <w:pStyle w:val="Style21"/>
        <w:keepNext w:val="0"/>
        <w:keepLines w:val="0"/>
        <w:widowControl w:val="0"/>
        <w:shd w:val="clear" w:color="auto" w:fill="auto"/>
        <w:tabs>
          <w:tab w:pos="820" w:val="left"/>
        </w:tabs>
        <w:bidi w:val="0"/>
        <w:spacing w:before="0" w:line="312" w:lineRule="exact"/>
        <w:ind w:left="0" w:right="0" w:firstLine="44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王凯</w:t>
      </w:r>
    </w:p>
    <w:p>
      <w:pPr>
        <w:pStyle w:val="Style21"/>
        <w:keepNext w:val="0"/>
        <w:keepLines w:val="0"/>
        <w:widowControl w:val="0"/>
        <w:shd w:val="clear" w:color="auto" w:fill="auto"/>
        <w:bidi w:val="0"/>
        <w:spacing w:before="0" w:line="312" w:lineRule="exact"/>
        <w:ind w:left="0" w:right="0" w:firstLine="380"/>
        <w:jc w:val="both"/>
      </w:pPr>
      <w:r>
        <w:rPr>
          <w:color w:val="000000"/>
          <w:spacing w:val="0"/>
          <w:w w:val="100"/>
          <w:position w:val="0"/>
        </w:rPr>
        <w:t>王凯先生，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月出生，中国国籍，无永久境外居留权，工学专业，硕士学历。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月，任北京 赛伯管理咨询有限公司投资经理；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月，任上海天泽源投资有限公司业务董事；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 任重庆星光投资有限公司投资总监；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月，任重庆锦道股权投资管理有限公司常务副总；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 任重庆鼎恺执行事务合伙人；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月至今，任重庆中冶泊达股权投资基金管理有限公司经理。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月至今，任公司董 事。</w:t>
      </w:r>
    </w:p>
    <w:p>
      <w:pPr>
        <w:pStyle w:val="Style21"/>
        <w:keepNext w:val="0"/>
        <w:keepLines w:val="0"/>
        <w:widowControl w:val="0"/>
        <w:shd w:val="clear" w:color="auto" w:fill="auto"/>
        <w:tabs>
          <w:tab w:pos="820" w:val="left"/>
        </w:tabs>
        <w:bidi w:val="0"/>
        <w:spacing w:before="0" w:line="312" w:lineRule="exact"/>
        <w:ind w:left="0" w:right="0" w:firstLine="44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司潮</w:t>
      </w:r>
    </w:p>
    <w:p>
      <w:pPr>
        <w:pStyle w:val="Style21"/>
        <w:keepNext w:val="0"/>
        <w:keepLines w:val="0"/>
        <w:widowControl w:val="0"/>
        <w:shd w:val="clear" w:color="auto" w:fill="auto"/>
        <w:bidi w:val="0"/>
        <w:spacing w:before="0" w:line="310" w:lineRule="exact"/>
        <w:ind w:left="0" w:right="0" w:firstLine="380"/>
        <w:jc w:val="both"/>
      </w:pPr>
      <w:r>
        <w:rPr>
          <w:color w:val="000000"/>
          <w:spacing w:val="0"/>
          <w:w w:val="100"/>
          <w:position w:val="0"/>
        </w:rPr>
        <w:t>司潮女士，</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月出生，中国国籍，无永久境外居留权，国际贸易专业，硕士学历，高级会计师、中国注册会计师、 资产评估师、税务师。</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月，任胜利油田职工大学教师、团委副书记；</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月，任东营 中庆会计师事务所、东营中胜资产评估事务所评估部主任；</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月，任山东同盛会计师事务所副总经理；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月至今，任职于东营元盛资产评估有限公司执行董事兼总经理。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月至今，任公司独立董事。</w:t>
      </w:r>
    </w:p>
    <w:p>
      <w:pPr>
        <w:pStyle w:val="Style21"/>
        <w:keepNext w:val="0"/>
        <w:keepLines w:val="0"/>
        <w:widowControl w:val="0"/>
        <w:shd w:val="clear" w:color="auto" w:fill="auto"/>
        <w:tabs>
          <w:tab w:pos="820" w:val="left"/>
        </w:tabs>
        <w:bidi w:val="0"/>
        <w:spacing w:before="0" w:line="312" w:lineRule="exact"/>
        <w:ind w:left="0" w:right="0" w:firstLine="44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王瑞金</w:t>
      </w:r>
    </w:p>
    <w:p>
      <w:pPr>
        <w:pStyle w:val="Style21"/>
        <w:keepNext w:val="0"/>
        <w:keepLines w:val="0"/>
        <w:widowControl w:val="0"/>
        <w:shd w:val="clear" w:color="auto" w:fill="auto"/>
        <w:bidi w:val="0"/>
        <w:spacing w:before="0" w:line="312" w:lineRule="exact"/>
        <w:ind w:left="0" w:right="0" w:firstLine="380"/>
        <w:jc w:val="both"/>
      </w:pPr>
      <w:r>
        <w:rPr>
          <w:color w:val="000000"/>
          <w:spacing w:val="0"/>
          <w:w w:val="100"/>
          <w:position w:val="0"/>
        </w:rPr>
        <w:t>王瑞金先生，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月出生，中国国籍，无永久境外居留权，工学专业，博士学位，德国不莱梅大学计算机系访问学 者。</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月，任烟台开发区科技发展公司项目经理；</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月，任烟台开发区泰德电子公司技 术部经理；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月至今，任职于山东大学管理学院，曾先后担任山东大学管理学院信息管理系支部书记、系副主任、电 子商务研究所所长，现任山东大学管理学院副教授。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月至今，任公司独立董事。</w:t>
      </w:r>
    </w:p>
    <w:p>
      <w:pPr>
        <w:pStyle w:val="Style21"/>
        <w:keepNext w:val="0"/>
        <w:keepLines w:val="0"/>
        <w:widowControl w:val="0"/>
        <w:shd w:val="clear" w:color="auto" w:fill="auto"/>
        <w:bidi w:val="0"/>
        <w:spacing w:before="0" w:line="312" w:lineRule="exact"/>
        <w:ind w:left="0" w:right="0" w:firstLine="440"/>
        <w:jc w:val="both"/>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）任迎春</w:t>
      </w:r>
    </w:p>
    <w:p>
      <w:pPr>
        <w:pStyle w:val="Style21"/>
        <w:keepNext w:val="0"/>
        <w:keepLines w:val="0"/>
        <w:widowControl w:val="0"/>
        <w:shd w:val="clear" w:color="auto" w:fill="auto"/>
        <w:bidi w:val="0"/>
        <w:spacing w:before="0" w:line="312" w:lineRule="exact"/>
        <w:ind w:left="0" w:right="0" w:firstLine="380"/>
        <w:jc w:val="both"/>
      </w:pPr>
      <w:r>
        <w:rPr>
          <w:color w:val="000000"/>
          <w:spacing w:val="0"/>
          <w:w w:val="100"/>
          <w:position w:val="0"/>
        </w:rPr>
        <w:t>任迎春女士，</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月出生，中国国籍，无永久境外居留权，本科学历，律师。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月，任济南东风 锅炉厂厂办主任；</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月于山东政法学院学习；</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月，任山东高信律师事务所实习律师；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月，任山东安邦顺意律师事务所专职律师；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月至今，任山东盈德律师事务所执行主任。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日至今，任公司独立董事。</w:t>
      </w:r>
    </w:p>
    <w:p>
      <w:pPr>
        <w:pStyle w:val="Style21"/>
        <w:keepNext w:val="0"/>
        <w:keepLines w:val="0"/>
        <w:widowControl w:val="0"/>
        <w:shd w:val="clear" w:color="auto" w:fill="auto"/>
        <w:tabs>
          <w:tab w:pos="762" w:val="left"/>
        </w:tabs>
        <w:bidi w:val="0"/>
        <w:spacing w:before="0" w:line="312" w:lineRule="exact"/>
        <w:ind w:left="0" w:right="0" w:firstLine="380"/>
        <w:jc w:val="both"/>
      </w:pPr>
      <w:bookmarkStart w:id="330" w:name="bookmark330"/>
      <w:r>
        <w:rPr>
          <w:color w:val="000000"/>
          <w:spacing w:val="0"/>
          <w:w w:val="100"/>
          <w:position w:val="0"/>
        </w:rPr>
        <w:t>二</w:t>
      </w:r>
      <w:bookmarkEnd w:id="330"/>
      <w:r>
        <w:rPr>
          <w:color w:val="000000"/>
          <w:spacing w:val="0"/>
          <w:w w:val="100"/>
          <w:position w:val="0"/>
        </w:rPr>
        <w:t>、</w:t>
        <w:tab/>
        <w:t>监事会成员情况</w:t>
      </w:r>
    </w:p>
    <w:p>
      <w:pPr>
        <w:pStyle w:val="Style21"/>
        <w:keepNext w:val="0"/>
        <w:keepLines w:val="0"/>
        <w:widowControl w:val="0"/>
        <w:shd w:val="clear" w:color="auto" w:fill="auto"/>
        <w:bidi w:val="0"/>
        <w:spacing w:before="0" w:line="312" w:lineRule="exact"/>
        <w:ind w:left="0" w:right="0" w:firstLine="440"/>
        <w:jc w:val="both"/>
      </w:pPr>
      <w:bookmarkStart w:id="331" w:name="bookmark331"/>
      <w:r>
        <w:rPr>
          <w:color w:val="000000"/>
          <w:spacing w:val="0"/>
          <w:w w:val="100"/>
          <w:position w:val="0"/>
        </w:rPr>
        <w:t>（</w:t>
      </w:r>
      <w:bookmarkEnd w:id="3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）石连山</w:t>
      </w:r>
    </w:p>
    <w:p>
      <w:pPr>
        <w:pStyle w:val="Style21"/>
        <w:keepNext w:val="0"/>
        <w:keepLines w:val="0"/>
        <w:widowControl w:val="0"/>
        <w:shd w:val="clear" w:color="auto" w:fill="auto"/>
        <w:bidi w:val="0"/>
        <w:spacing w:before="0" w:line="315" w:lineRule="exact"/>
        <w:ind w:left="0" w:right="0" w:firstLine="380"/>
        <w:jc w:val="both"/>
      </w:pPr>
      <w:r>
        <w:rPr>
          <w:color w:val="000000"/>
          <w:spacing w:val="0"/>
          <w:w w:val="100"/>
          <w:position w:val="0"/>
        </w:rPr>
        <w:t>石连山先生，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月出生，中国国籍，无永久境外居留权，香港理工大学工商管理硕士。</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就职于山东工业大学华天公司系统管理员；</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月，就职于浪潮通软，历任程序员、项目经理、事业部副 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月至今任职于本公司。石连山先生组织并参与了中国石化财务管理信息系统、中国石化境外资金管理系统等 大型管理软件系统的设计、开发、项目管理和系统推广工作；</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年通过香港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引入内地人才计划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安排到香港工作，组织 筹建了普联香港和深圳分公司，负责石油石化行业境外企业的信息系统推广和市场拓展工作。石连山先生现任公司监事会主 席，普联香港总经理、深圳分公司总经理。</w:t>
      </w:r>
    </w:p>
    <w:p>
      <w:pPr>
        <w:pStyle w:val="Style21"/>
        <w:keepNext w:val="0"/>
        <w:keepLines w:val="0"/>
        <w:widowControl w:val="0"/>
        <w:shd w:val="clear" w:color="auto" w:fill="auto"/>
        <w:bidi w:val="0"/>
        <w:spacing w:before="0" w:line="312" w:lineRule="exact"/>
        <w:ind w:left="0" w:right="0" w:firstLine="380"/>
        <w:jc w:val="both"/>
      </w:pPr>
      <w:bookmarkStart w:id="332" w:name="bookmark332"/>
      <w:r>
        <w:rPr>
          <w:color w:val="000000"/>
          <w:spacing w:val="0"/>
          <w:w w:val="100"/>
          <w:position w:val="0"/>
        </w:rPr>
        <w:t>（</w:t>
      </w:r>
      <w:bookmarkEnd w:id="3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）邹方平</w:t>
      </w:r>
    </w:p>
    <w:p>
      <w:pPr>
        <w:pStyle w:val="Style21"/>
        <w:keepNext w:val="0"/>
        <w:keepLines w:val="0"/>
        <w:widowControl w:val="0"/>
        <w:shd w:val="clear" w:color="auto" w:fill="auto"/>
        <w:bidi w:val="0"/>
        <w:spacing w:before="0" w:line="312" w:lineRule="exact"/>
        <w:ind w:left="0" w:right="0" w:firstLine="380"/>
        <w:jc w:val="both"/>
      </w:pPr>
      <w:r>
        <w:rPr>
          <w:color w:val="000000"/>
          <w:spacing w:val="0"/>
          <w:w w:val="100"/>
          <w:position w:val="0"/>
        </w:rPr>
        <w:t>邹方平先生，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月出生，中国国籍，无永久境外居留权，本科学历。主要任职经历如下：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月至今，任天津 多盈股权投资基金合伙企业（有限合伙）执行事务合伙人；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月至今，任山东多盈股权投资管理有限公司董事长；</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月至今，任中兴盛世投资有限公司执行董事兼经理；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月至今，任山东中兴盛世资本管理有限公司执行董事兼总 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月至今，任山东宏信化工股份有限公司董事长。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月至今，任公司监事。</w:t>
      </w:r>
    </w:p>
    <w:p>
      <w:pPr>
        <w:pStyle w:val="Style21"/>
        <w:keepNext w:val="0"/>
        <w:keepLines w:val="0"/>
        <w:widowControl w:val="0"/>
        <w:shd w:val="clear" w:color="auto" w:fill="auto"/>
        <w:tabs>
          <w:tab w:pos="832" w:val="left"/>
        </w:tabs>
        <w:bidi w:val="0"/>
        <w:spacing w:before="0" w:line="312" w:lineRule="exact"/>
        <w:ind w:left="0" w:right="0" w:firstLine="440"/>
        <w:jc w:val="both"/>
      </w:pPr>
      <w:bookmarkStart w:id="333" w:name="bookmark333"/>
      <w:r>
        <w:rPr>
          <w:color w:val="000000"/>
          <w:spacing w:val="0"/>
          <w:w w:val="100"/>
          <w:position w:val="0"/>
        </w:rPr>
        <w:t>（</w:t>
      </w:r>
      <w:bookmarkEnd w:id="3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路前程</w:t>
      </w:r>
    </w:p>
    <w:p>
      <w:pPr>
        <w:pStyle w:val="Style21"/>
        <w:keepNext w:val="0"/>
        <w:keepLines w:val="0"/>
        <w:widowControl w:val="0"/>
        <w:shd w:val="clear" w:color="auto" w:fill="auto"/>
        <w:bidi w:val="0"/>
        <w:spacing w:before="0" w:line="312" w:lineRule="exact"/>
        <w:ind w:left="0" w:right="0" w:firstLine="380"/>
        <w:jc w:val="both"/>
      </w:pPr>
      <w:r>
        <w:rPr>
          <w:color w:val="000000"/>
          <w:spacing w:val="0"/>
          <w:w w:val="100"/>
          <w:position w:val="0"/>
        </w:rPr>
        <w:t>路前程，男，中国国籍，无永久境外居留权，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月入职公司，主要从事市场销售及 市场支持工作。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月，任市场部副经理，自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月至今，任市场支持部经理。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日，任公司职工代表监事。</w:t>
      </w:r>
    </w:p>
    <w:p>
      <w:pPr>
        <w:pStyle w:val="Style21"/>
        <w:keepNext w:val="0"/>
        <w:keepLines w:val="0"/>
        <w:widowControl w:val="0"/>
        <w:shd w:val="clear" w:color="auto" w:fill="auto"/>
        <w:tabs>
          <w:tab w:pos="832" w:val="left"/>
        </w:tabs>
        <w:bidi w:val="0"/>
        <w:spacing w:before="0" w:line="312" w:lineRule="exact"/>
        <w:ind w:left="0" w:right="0" w:firstLine="440"/>
        <w:jc w:val="both"/>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高峰信</w:t>
      </w:r>
    </w:p>
    <w:p>
      <w:pPr>
        <w:pStyle w:val="Style21"/>
        <w:keepNext w:val="0"/>
        <w:keepLines w:val="0"/>
        <w:widowControl w:val="0"/>
        <w:shd w:val="clear" w:color="auto" w:fill="auto"/>
        <w:bidi w:val="0"/>
        <w:spacing w:before="0" w:line="307" w:lineRule="exact"/>
        <w:ind w:left="0" w:right="0" w:firstLine="380"/>
        <w:jc w:val="both"/>
      </w:pPr>
      <w:r>
        <w:rPr>
          <w:color w:val="000000"/>
          <w:spacing w:val="0"/>
          <w:w w:val="100"/>
          <w:position w:val="0"/>
        </w:rPr>
        <w:t>高峰信，男，中国国籍，无永久境外居留权，</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年出生，大学学历。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月入职公司，主要从事软件研发工作。 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w:t>
      </w: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事业部副经理。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日至今，任公司职工代表监事。</w:t>
      </w:r>
    </w:p>
    <w:p>
      <w:pPr>
        <w:pStyle w:val="Style21"/>
        <w:keepNext w:val="0"/>
        <w:keepLines w:val="0"/>
        <w:widowControl w:val="0"/>
        <w:shd w:val="clear" w:color="auto" w:fill="auto"/>
        <w:tabs>
          <w:tab w:pos="762" w:val="left"/>
        </w:tabs>
        <w:bidi w:val="0"/>
        <w:spacing w:before="0" w:line="312" w:lineRule="exact"/>
        <w:ind w:left="0" w:right="0" w:firstLine="380"/>
        <w:jc w:val="both"/>
      </w:pPr>
      <w:bookmarkStart w:id="335" w:name="bookmark335"/>
      <w:r>
        <w:rPr>
          <w:color w:val="000000"/>
          <w:spacing w:val="0"/>
          <w:w w:val="100"/>
          <w:position w:val="0"/>
        </w:rPr>
        <w:t>三</w:t>
      </w:r>
      <w:bookmarkEnd w:id="335"/>
      <w:r>
        <w:rPr>
          <w:color w:val="000000"/>
          <w:spacing w:val="0"/>
          <w:w w:val="100"/>
          <w:position w:val="0"/>
        </w:rPr>
        <w:t>、</w:t>
        <w:tab/>
        <w:t>高级管理人员情况</w:t>
      </w:r>
    </w:p>
    <w:p>
      <w:pPr>
        <w:pStyle w:val="Style21"/>
        <w:keepNext w:val="0"/>
        <w:keepLines w:val="0"/>
        <w:widowControl w:val="0"/>
        <w:shd w:val="clear" w:color="auto" w:fill="auto"/>
        <w:tabs>
          <w:tab w:pos="772" w:val="left"/>
        </w:tabs>
        <w:bidi w:val="0"/>
        <w:spacing w:before="0" w:line="312" w:lineRule="exact"/>
        <w:ind w:left="0" w:right="0" w:firstLine="380"/>
        <w:jc w:val="both"/>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蔺国强，公司董事长、总经理。蔺国强先生简历参见董事部分。</w:t>
      </w:r>
    </w:p>
    <w:p>
      <w:pPr>
        <w:pStyle w:val="Style21"/>
        <w:keepNext w:val="0"/>
        <w:keepLines w:val="0"/>
        <w:widowControl w:val="0"/>
        <w:shd w:val="clear" w:color="auto" w:fill="auto"/>
        <w:tabs>
          <w:tab w:pos="772" w:val="left"/>
        </w:tabs>
        <w:bidi w:val="0"/>
        <w:spacing w:before="0" w:line="312" w:lineRule="exact"/>
        <w:ind w:left="0" w:right="0" w:firstLine="380"/>
        <w:jc w:val="both"/>
      </w:pPr>
      <w:bookmarkStart w:id="337" w:name="bookmark337"/>
      <w:r>
        <w:rPr>
          <w:color w:val="000000"/>
          <w:spacing w:val="0"/>
          <w:w w:val="100"/>
          <w:position w:val="0"/>
        </w:rPr>
        <w:t>（</w:t>
      </w:r>
      <w:bookmarkEnd w:id="3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冯学伟，公司董事、副总经理。冯学伟先生简历参见董事部分。</w:t>
      </w:r>
    </w:p>
    <w:p>
      <w:pPr>
        <w:pStyle w:val="Style21"/>
        <w:keepNext w:val="0"/>
        <w:keepLines w:val="0"/>
        <w:widowControl w:val="0"/>
        <w:shd w:val="clear" w:color="auto" w:fill="auto"/>
        <w:tabs>
          <w:tab w:pos="772" w:val="left"/>
        </w:tabs>
        <w:bidi w:val="0"/>
        <w:spacing w:before="0" w:line="312" w:lineRule="exact"/>
        <w:ind w:left="0" w:right="0" w:firstLine="380"/>
        <w:jc w:val="both"/>
      </w:pPr>
      <w:bookmarkStart w:id="338" w:name="bookmark338"/>
      <w:r>
        <w:rPr>
          <w:color w:val="000000"/>
          <w:spacing w:val="0"/>
          <w:w w:val="100"/>
          <w:position w:val="0"/>
        </w:rPr>
        <w:t>（</w:t>
      </w:r>
      <w:bookmarkEnd w:id="33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张廷兵，公司董事、副总经理。张廷兵先生简历参见董事部分。</w:t>
      </w:r>
    </w:p>
    <w:p>
      <w:pPr>
        <w:pStyle w:val="Style21"/>
        <w:keepNext w:val="0"/>
        <w:keepLines w:val="0"/>
        <w:widowControl w:val="0"/>
        <w:shd w:val="clear" w:color="auto" w:fill="auto"/>
        <w:tabs>
          <w:tab w:pos="772" w:val="left"/>
        </w:tabs>
        <w:bidi w:val="0"/>
        <w:spacing w:before="0" w:line="312" w:lineRule="exact"/>
        <w:ind w:left="0" w:right="0" w:firstLine="380"/>
        <w:jc w:val="both"/>
      </w:pPr>
      <w:bookmarkStart w:id="339" w:name="bookmark339"/>
      <w:r>
        <w:rPr>
          <w:color w:val="000000"/>
          <w:spacing w:val="0"/>
          <w:w w:val="100"/>
          <w:position w:val="0"/>
        </w:rPr>
        <w:t>（</w:t>
      </w:r>
      <w:bookmarkEnd w:id="33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任炳章</w:t>
      </w:r>
    </w:p>
    <w:p>
      <w:pPr>
        <w:pStyle w:val="Style21"/>
        <w:keepNext w:val="0"/>
        <w:keepLines w:val="0"/>
        <w:widowControl w:val="0"/>
        <w:shd w:val="clear" w:color="auto" w:fill="auto"/>
        <w:bidi w:val="0"/>
        <w:spacing w:before="0" w:after="240" w:line="310" w:lineRule="exact"/>
        <w:ind w:left="0" w:right="0" w:firstLine="380"/>
        <w:jc w:val="both"/>
      </w:pPr>
      <w:r>
        <w:rPr>
          <w:color w:val="000000"/>
          <w:spacing w:val="0"/>
          <w:w w:val="100"/>
          <w:position w:val="0"/>
        </w:rPr>
        <w:t>任炳章先生，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月出生，中国国籍，无永久境外居留权，会计专业，专科学历。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月，任山东 智星计算机总公司程序员；</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月，任浪潮通软项目经理；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月至今任职于本公司，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月，任石化事业部总经理。任炳章作为顾问或项目经理先后参与了中石化股份下属的镇海炼化、仪征化纤、燕山石化、 齐鲁石化等十几家企业及中国石油国际事业有限公司、中国石化财务有限责任公司等多家单位</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系统的实施工作。先后主 持和参与中国石化集团会计集中核算、中国石化资产集中管理、中国石化关联交易平台、中石化股份</w:t>
      </w:r>
      <w:r>
        <w:rPr>
          <w:rFonts w:ascii="Times New Roman" w:eastAsia="Times New Roman" w:hAnsi="Times New Roman" w:cs="Times New Roman"/>
          <w:color w:val="000000"/>
          <w:spacing w:val="0"/>
          <w:w w:val="100"/>
          <w:position w:val="0"/>
          <w:sz w:val="18"/>
          <w:szCs w:val="18"/>
        </w:rPr>
        <w:t>BW</w:t>
      </w:r>
      <w:r>
        <w:rPr>
          <w:color w:val="000000"/>
          <w:spacing w:val="0"/>
          <w:w w:val="100"/>
          <w:position w:val="0"/>
        </w:rPr>
        <w:t>报表、中国建筑财 务一体化平台、中国海油资金系统等多项集团化信息系统项目的建设，对特大型集团财务管理、资金管理等业务领域有深入 研究，具有丰富的大型集团企业信息化需求分析、系统建设经验。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日至今，任炳章先生任公司副总经理。</w:t>
      </w:r>
    </w:p>
    <w:p>
      <w:pPr>
        <w:pStyle w:val="Style21"/>
        <w:keepNext w:val="0"/>
        <w:keepLines w:val="0"/>
        <w:widowControl w:val="0"/>
        <w:shd w:val="clear" w:color="auto" w:fill="auto"/>
        <w:bidi w:val="0"/>
        <w:spacing w:before="0" w:line="240" w:lineRule="auto"/>
        <w:ind w:left="0" w:right="0" w:firstLine="440"/>
        <w:jc w:val="both"/>
      </w:pPr>
      <w:bookmarkStart w:id="340" w:name="bookmark340"/>
      <w:r>
        <w:rPr>
          <w:color w:val="000000"/>
          <w:spacing w:val="0"/>
          <w:w w:val="100"/>
          <w:position w:val="0"/>
        </w:rPr>
        <w:t>（</w:t>
      </w:r>
      <w:bookmarkEnd w:id="340"/>
      <w:r>
        <w:rPr>
          <w:rFonts w:ascii="Times New Roman" w:eastAsia="Times New Roman" w:hAnsi="Times New Roman" w:cs="Times New Roman"/>
          <w:color w:val="000000"/>
          <w:spacing w:val="0"/>
          <w:w w:val="100"/>
          <w:position w:val="0"/>
          <w:sz w:val="18"/>
          <w:szCs w:val="18"/>
        </w:rPr>
        <w:t>5</w:t>
      </w:r>
      <w:r>
        <w:rPr>
          <w:color w:val="000000"/>
          <w:spacing w:val="0"/>
          <w:w w:val="100"/>
          <w:position w:val="0"/>
        </w:rPr>
        <w:t>）相洪伟</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相洪伟先生，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月出生，中国国籍，无永久境外居留权，会计专业，专科学历，高级会计师，经济师。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月，任职于浪潮通软；</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月至今任职于本公司，</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年任石油事业部副经理，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年至今任石油 事业部总经理。相洪伟先生负责组织了中国石油财务管理信息系统项目的实施和推广，作为主要成员参加了中国石油资金管 理平台、中国石油大司库营运资金系统的设计与推广，主持参加了亿利资源集团有限公司、大连万达集团股份有限公司和中 国石油湖北销售分公司等财务共享服务系统的建设工作。相洪伟先生对特大型集团财务管理、资金管理等业务领域有深入研 究，熟悉石油石化行业会计核算和财务管理流程，具有丰富的石油石化行业需求分析、系统实施经验。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日至今， 相洪伟先生任公司副总经理兼石油事业部经理。</w:t>
      </w:r>
    </w:p>
    <w:p>
      <w:pPr>
        <w:pStyle w:val="Style21"/>
        <w:keepNext w:val="0"/>
        <w:keepLines w:val="0"/>
        <w:widowControl w:val="0"/>
        <w:shd w:val="clear" w:color="auto" w:fill="auto"/>
        <w:tabs>
          <w:tab w:pos="820" w:val="left"/>
        </w:tabs>
        <w:bidi w:val="0"/>
        <w:spacing w:before="0" w:after="100" w:line="312" w:lineRule="exact"/>
        <w:ind w:left="0" w:right="0" w:firstLine="440"/>
        <w:jc w:val="both"/>
      </w:pPr>
      <w:bookmarkStart w:id="341" w:name="bookmark341"/>
      <w:r>
        <w:rPr>
          <w:color w:val="000000"/>
          <w:spacing w:val="0"/>
          <w:w w:val="100"/>
          <w:position w:val="0"/>
        </w:rPr>
        <w:t>（</w:t>
      </w:r>
      <w:bookmarkEnd w:id="34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李燕冬</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李燕冬先生，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月出生，中国国籍，无永久境外居留权，物理专业，本科学历，高级工程师。</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月，任职于济南市新技术研究所研发部经理；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月，任职于浪潮通软事业部总经理；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月开始 任职于本公司，历任市场部副总经理，人力资源及行政办公室主任，</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事业部经理。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月，任公司董事 会秘书。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月至今，任公司副总经理、董事会秘书。</w:t>
      </w:r>
    </w:p>
    <w:p>
      <w:pPr>
        <w:pStyle w:val="Style21"/>
        <w:keepNext w:val="0"/>
        <w:keepLines w:val="0"/>
        <w:widowControl w:val="0"/>
        <w:shd w:val="clear" w:color="auto" w:fill="auto"/>
        <w:tabs>
          <w:tab w:pos="820" w:val="left"/>
        </w:tabs>
        <w:bidi w:val="0"/>
        <w:spacing w:before="0" w:after="100" w:line="312" w:lineRule="exact"/>
        <w:ind w:left="0" w:right="0" w:firstLine="440"/>
        <w:jc w:val="both"/>
      </w:pPr>
      <w:bookmarkStart w:id="342" w:name="bookmark342"/>
      <w:r>
        <w:rPr>
          <w:color w:val="000000"/>
          <w:spacing w:val="0"/>
          <w:w w:val="100"/>
          <w:position w:val="0"/>
        </w:rPr>
        <w:t>（</w:t>
      </w:r>
      <w:bookmarkEnd w:id="342"/>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聂玉涛</w:t>
      </w:r>
    </w:p>
    <w:p>
      <w:pPr>
        <w:pStyle w:val="Style21"/>
        <w:keepNext w:val="0"/>
        <w:keepLines w:val="0"/>
        <w:widowControl w:val="0"/>
        <w:shd w:val="clear" w:color="auto" w:fill="auto"/>
        <w:bidi w:val="0"/>
        <w:spacing w:before="0" w:after="560" w:line="312" w:lineRule="exact"/>
        <w:ind w:left="0" w:right="0" w:firstLine="380"/>
        <w:jc w:val="both"/>
      </w:pPr>
      <w:r>
        <w:rPr>
          <w:color w:val="000000"/>
          <w:spacing w:val="0"/>
          <w:w w:val="100"/>
          <w:position w:val="0"/>
        </w:rPr>
        <w:t>聂玉涛先生，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月出生，中国国籍，无永久境外居留权，会计学专业，本科学历。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 浪潮通软员工；</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月起任职于本公司。聂玉涛先生参与了中石化股份财务集中管理、数据仓库、</w:t>
      </w: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等项目， 及中石油股份会计一级集中核算、中国石油集团公司资金管理、中国石油</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FMIS</w:t>
      </w:r>
      <w:r>
        <w:rPr>
          <w:color w:val="000000"/>
          <w:spacing w:val="0"/>
          <w:w w:val="100"/>
          <w:position w:val="0"/>
        </w:rPr>
        <w:t>融合、中国石油经济活动分析等多个 大型项目的建设实施工作，历任实施顾问、高级顾问、项目经理、事业部副经理等职，具有丰富的特大型集团企业信息化需 求分析、管理咨询、项目管理经验。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月，任公司监事。自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月起，任人力资源部经理。自</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日起，聂玉涛先生任公司财务总监，兼任人力资源部经理。</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在股东单位任职情况</w:t>
      </w:r>
    </w:p>
    <w:p>
      <w:pPr>
        <w:pStyle w:val="Style21"/>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在其他单位任职情况</w:t>
      </w:r>
    </w:p>
    <w:p>
      <w:pPr>
        <w:pStyle w:val="Style21"/>
        <w:keepNext w:val="0"/>
        <w:keepLines w:val="0"/>
        <w:widowControl w:val="0"/>
        <w:shd w:val="clear" w:color="auto" w:fill="auto"/>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594"/>
        <w:gridCol w:w="994"/>
        <w:gridCol w:w="138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杭州荷清投资管理有限公司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北京荷塘国际健康创业投资管理有限公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北京荷清投资咨询有限公司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北京荷塘清健生物科技有限公司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内蒙古宝亿投资咨询有限责任公司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荷塘创业投资管理（北京）有限公司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杭州金灿股权投资管理有限公司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北京万国华皓信息系统有限公司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杭州荷钰投资管理合伙企业（有限合伙）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594"/>
        <w:gridCol w:w="994"/>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北京清分稳同科技有限公司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江苏耀海生物制药有限公司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北京爱思益普生物科技股份有限公司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荷塘创业咨询服务（重庆）有限公司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北京荷塘汇智生物科技有限公司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重庆中冶泊达股权投资基金管理有限公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重庆鼎恺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重庆恒亦明物联网科技有限公司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两江新区技可嘉计算机信息技术中心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东营元盛资产评估有限公司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任迎春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山东盈德律师事务所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主任、高级合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中兴盛世投资有限公司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天津多盈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山东百思特医药有限公司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山东中兴盛世资本管理有限公司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东莞市盛和化工有限公司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山东多盈股权投资管理有限公司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山东多润投资管理有限公司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淄博市周村区宏信小额贷款股份有限公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山东医科元多能干细胞生物工程有限公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董事长兼总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山东多盈领新创业投资管理有限公司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多盈投资管理股份有限公司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山东宏信化工股份有限公司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邹方平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山东星科智能科技股份有限公司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594"/>
        <w:gridCol w:w="994"/>
        <w:gridCol w:w="138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中兵航联科技股份有限公司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山东盛世华臻创业投资有限公司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经理、执行董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山东铂润生物科技有限公司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任炳章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山东益友德能源有限公司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both"/>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80" w:line="240" w:lineRule="auto"/>
        <w:ind w:left="0" w:right="0" w:firstLine="0"/>
        <w:jc w:val="both"/>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3</w:t>
      </w:r>
      <w:bookmarkEnd w:id="345"/>
      <w:r>
        <w:rPr>
          <w:color w:val="000000"/>
          <w:spacing w:val="0"/>
          <w:w w:val="100"/>
          <w:position w:val="0"/>
        </w:rPr>
        <w:t>、董事、监事、高级管理人员报酬情况</w:t>
      </w:r>
      <w:bookmarkEnd w:id="343"/>
      <w:bookmarkEnd w:id="344"/>
      <w:bookmarkEnd w:id="346"/>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tabs>
          <w:tab w:pos="795" w:val="left"/>
        </w:tabs>
        <w:bidi w:val="0"/>
        <w:spacing w:before="0" w:after="0" w:line="315" w:lineRule="exact"/>
        <w:ind w:left="0" w:right="0" w:firstLine="380"/>
        <w:jc w:val="both"/>
      </w:pPr>
      <w:bookmarkStart w:id="347" w:name="bookmark347"/>
      <w:r>
        <w:rPr>
          <w:color w:val="000000"/>
          <w:spacing w:val="0"/>
          <w:w w:val="100"/>
          <w:position w:val="0"/>
        </w:rPr>
        <w:t>一</w:t>
      </w:r>
      <w:bookmarkEnd w:id="347"/>
      <w:r>
        <w:rPr>
          <w:color w:val="000000"/>
          <w:spacing w:val="0"/>
          <w:w w:val="100"/>
          <w:position w:val="0"/>
        </w:rPr>
        <w:t>、</w:t>
        <w:tab/>
        <w:t>公司董事、监事、高级管理人员薪酬方案，经公司第二届董事会第</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次会议并经公司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年第二次股东大会审议通 过，公司独立董事发表了独立意见。第三届董事、监事薪酬方案主要内容如下：</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董事长：董事长同时兼任总经理，按照其所担任的总经理职务的薪酬标准领取薪酬，不再另外领取董事长职务薪酬。</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外部董事（指不在公司担任除董事外的其他职务的非独立董事）：不在公司领取董事薪酬。</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内部董事（指在公司担任除董事外的其他职务的非独立董事）：不单独领取董事职务薪酬，按照其所担任的除董事外的 其他职务的薪酬标准领取薪酬。</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独立董事：津贴标准为每年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万元人民币（税前）。</w:t>
      </w:r>
    </w:p>
    <w:p>
      <w:pPr>
        <w:pStyle w:val="Style21"/>
        <w:keepNext w:val="0"/>
        <w:keepLines w:val="0"/>
        <w:widowControl w:val="0"/>
        <w:shd w:val="clear" w:color="auto" w:fill="auto"/>
        <w:bidi w:val="0"/>
        <w:spacing w:before="0" w:after="0" w:line="315" w:lineRule="exact"/>
        <w:ind w:left="0" w:right="0" w:firstLine="380"/>
        <w:jc w:val="both"/>
      </w:pPr>
      <w:r>
        <w:rPr>
          <w:color w:val="000000"/>
          <w:spacing w:val="0"/>
          <w:w w:val="100"/>
          <w:position w:val="0"/>
        </w:rPr>
        <w:t>监事：在公司或公司关联公司领取薪酬的监事，不再单独领取薪酬；不在公司担任除监事外其他职务的监事，不在公司 领取监事薪酬。</w:t>
      </w:r>
    </w:p>
    <w:p>
      <w:pPr>
        <w:pStyle w:val="Style21"/>
        <w:keepNext w:val="0"/>
        <w:keepLines w:val="0"/>
        <w:widowControl w:val="0"/>
        <w:shd w:val="clear" w:color="auto" w:fill="auto"/>
        <w:tabs>
          <w:tab w:pos="795" w:val="left"/>
        </w:tabs>
        <w:bidi w:val="0"/>
        <w:spacing w:before="0" w:after="0" w:line="315" w:lineRule="exact"/>
        <w:ind w:left="0" w:right="0" w:firstLine="380"/>
        <w:jc w:val="both"/>
      </w:pPr>
      <w:bookmarkStart w:id="348" w:name="bookmark348"/>
      <w:r>
        <w:rPr>
          <w:color w:val="000000"/>
          <w:spacing w:val="0"/>
          <w:w w:val="100"/>
          <w:position w:val="0"/>
        </w:rPr>
        <w:t>二</w:t>
      </w:r>
      <w:bookmarkEnd w:id="348"/>
      <w:r>
        <w:rPr>
          <w:color w:val="000000"/>
          <w:spacing w:val="0"/>
          <w:w w:val="100"/>
          <w:position w:val="0"/>
        </w:rPr>
        <w:t>、</w:t>
        <w:tab/>
        <w:t>在公司领取报酬的董事（不含独立董事、外部董事）、监事（在公司任职的监事）、高级管理人员的收入均为其从 事管理及其他工作的获得的收入。每年年终根据公司经营业绩及个人绩效情况执行考核评定程序，并据此确定年度奖金的发 放。</w:t>
      </w:r>
    </w:p>
    <w:p>
      <w:pPr>
        <w:pStyle w:val="Style21"/>
        <w:keepNext w:val="0"/>
        <w:keepLines w:val="0"/>
        <w:widowControl w:val="0"/>
        <w:shd w:val="clear" w:color="auto" w:fill="auto"/>
        <w:bidi w:val="0"/>
        <w:spacing w:before="0" w:line="315" w:lineRule="exact"/>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冯学伟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张廷兵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任迎春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石连山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邹方平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路前程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相洪伟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任炳章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李燕冬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董事会秘书、副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聂玉涛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bookmarkStart w:id="352" w:name="bookmark352"/>
      <w:r>
        <w:rPr>
          <w:color w:val="000000"/>
          <w:spacing w:val="0"/>
          <w:w w:val="100"/>
          <w:position w:val="0"/>
        </w:rPr>
        <w:t>八</w:t>
      </w:r>
      <w:bookmarkEnd w:id="351"/>
      <w:r>
        <w:rPr>
          <w:color w:val="000000"/>
          <w:spacing w:val="0"/>
          <w:w w:val="100"/>
          <w:position w:val="0"/>
        </w:rPr>
        <w:t>、报告期内董事履行职责的情况</w:t>
      </w:r>
      <w:bookmarkEnd w:id="349"/>
      <w:bookmarkEnd w:id="350"/>
      <w:bookmarkEnd w:id="352"/>
    </w:p>
    <w:p>
      <w:pPr>
        <w:pStyle w:val="Style31"/>
        <w:keepNext/>
        <w:keepLines/>
        <w:widowControl w:val="0"/>
        <w:shd w:val="clear" w:color="auto" w:fill="auto"/>
        <w:bidi w:val="0"/>
        <w:spacing w:before="0" w:after="32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1</w:t>
      </w:r>
      <w:bookmarkEnd w:id="355"/>
      <w:r>
        <w:rPr>
          <w:color w:val="000000"/>
          <w:spacing w:val="0"/>
          <w:w w:val="100"/>
          <w:position w:val="0"/>
        </w:rPr>
        <w:t>、本报告期董事会情况</w:t>
      </w:r>
      <w:bookmarkEnd w:id="353"/>
      <w:bookmarkEnd w:id="354"/>
      <w:bookmarkEnd w:id="356"/>
    </w:p>
    <w:tbl>
      <w:tblPr>
        <w:tblOverlap w:val="never"/>
        <w:jc w:val="center"/>
        <w:tblLayout w:type="fixed"/>
      </w:tblPr>
      <w:tblGrid>
        <w:gridCol w:w="2400"/>
        <w:gridCol w:w="1685"/>
        <w:gridCol w:w="1704"/>
        <w:gridCol w:w="37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日披露于巨潮 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日披露于巨潮 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日披露于巨潮 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日披露于巨潮 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日披露于巨潮 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 资讯网(</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)的相关公告。</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日披露于巨 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的相关公告。</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普联董事会三届</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具体内容详见公司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日披露于巨 潮资讯网(</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的相关公告。</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2</w:t>
      </w:r>
      <w:bookmarkEnd w:id="359"/>
      <w:r>
        <w:rPr>
          <w:color w:val="000000"/>
          <w:spacing w:val="0"/>
          <w:w w:val="100"/>
          <w:position w:val="0"/>
        </w:rPr>
        <w:t>、董事出席董事会及股东大会的情况</w:t>
      </w:r>
      <w:bookmarkEnd w:id="357"/>
      <w:bookmarkEnd w:id="358"/>
      <w:bookmarkEnd w:id="360"/>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本报告期应参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现场出席董事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以通讯方式参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委托出席董事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缺席董事会次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是否连续两次</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出席股东大会</w:t>
            </w:r>
          </w:p>
        </w:tc>
      </w:tr>
    </w:tbl>
    <w:p>
      <w:pPr>
        <w:spacing w:lineRule="exact" w:line="1"/>
        <w:rPr>
          <w:sz w:val="2"/>
          <w:szCs w:val="2"/>
        </w:rPr>
      </w:pPr>
      <w:r>
        <w:br w:type="page"/>
      </w:r>
    </w:p>
    <w:tbl>
      <w:tblPr>
        <w:tblOverlap w:val="never"/>
        <w:jc w:val="center"/>
        <w:tblLayout w:type="fixed"/>
      </w:tblPr>
      <w:tblGrid>
        <w:gridCol w:w="1435"/>
        <w:gridCol w:w="1166"/>
        <w:gridCol w:w="1162"/>
        <w:gridCol w:w="1162"/>
        <w:gridCol w:w="1166"/>
        <w:gridCol w:w="1162"/>
        <w:gridCol w:w="1162"/>
        <w:gridCol w:w="117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会次数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张廷兵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冯学伟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张善良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王瑞金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任迎春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bidi w:val="0"/>
        <w:spacing w:before="0" w:after="280" w:line="240" w:lineRule="auto"/>
        <w:ind w:left="0" w:right="0" w:firstLine="0"/>
        <w:jc w:val="both"/>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3</w:t>
      </w:r>
      <w:bookmarkEnd w:id="363"/>
      <w:r>
        <w:rPr>
          <w:color w:val="000000"/>
          <w:spacing w:val="0"/>
          <w:w w:val="100"/>
          <w:position w:val="0"/>
        </w:rPr>
        <w:t>、董事对公司有关事项提出异议的情况</w:t>
      </w:r>
      <w:bookmarkEnd w:id="361"/>
      <w:bookmarkEnd w:id="362"/>
      <w:bookmarkEnd w:id="364"/>
    </w:p>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董事对公司有关事项是否提出异议</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报告期内董事对公司有关事项未提出异议。</w:t>
      </w:r>
    </w:p>
    <w:p>
      <w:pPr>
        <w:pStyle w:val="Style31"/>
        <w:keepNext/>
        <w:keepLines/>
        <w:widowControl w:val="0"/>
        <w:shd w:val="clear" w:color="auto" w:fill="auto"/>
        <w:bidi w:val="0"/>
        <w:spacing w:before="0" w:after="280" w:line="240" w:lineRule="auto"/>
        <w:ind w:left="0" w:right="0" w:firstLine="0"/>
        <w:jc w:val="both"/>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4</w:t>
      </w:r>
      <w:bookmarkEnd w:id="367"/>
      <w:r>
        <w:rPr>
          <w:color w:val="000000"/>
          <w:spacing w:val="0"/>
          <w:w w:val="100"/>
          <w:position w:val="0"/>
        </w:rPr>
        <w:t>、董事履行职责的其他说明</w:t>
      </w:r>
      <w:bookmarkEnd w:id="365"/>
      <w:bookmarkEnd w:id="366"/>
      <w:bookmarkEnd w:id="368"/>
    </w:p>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董事对公司有关建议是否被采纳</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董事对公司有关建议被采纳或未被采纳的说明</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报告期内，董事严格按照《公司章程》《董事会议事规则》等相关规定勤勉履行职责，忠实履行职务，积极参加历次董事会， 审议各项议案。对公司高级管理人员的考核选聘、公司重大生产经营决策、公司主要管理制度的制定等重大事宜作出了有效 决议，确保了董事会的工作效率和科学决策。符合公司和全体股东的利益，不存在损害公司、股东，尤其是中小股东利益的 情形。</w:t>
      </w:r>
    </w:p>
    <w:p>
      <w:pPr>
        <w:pStyle w:val="Style25"/>
        <w:keepNext/>
        <w:keepLines/>
        <w:widowControl w:val="0"/>
        <w:shd w:val="clear" w:color="auto" w:fill="auto"/>
        <w:bidi w:val="0"/>
        <w:spacing w:before="0" w:after="280" w:line="240" w:lineRule="auto"/>
        <w:ind w:left="0" w:right="0" w:firstLine="0"/>
        <w:jc w:val="both"/>
      </w:pPr>
      <w:bookmarkStart w:id="369" w:name="bookmark369"/>
      <w:bookmarkStart w:id="370" w:name="bookmark370"/>
      <w:bookmarkStart w:id="371" w:name="bookmark371"/>
      <w:bookmarkStart w:id="372" w:name="bookmark372"/>
      <w:r>
        <w:rPr>
          <w:color w:val="000000"/>
          <w:spacing w:val="0"/>
          <w:w w:val="100"/>
          <w:position w:val="0"/>
        </w:rPr>
        <w:t>九</w:t>
      </w:r>
      <w:bookmarkEnd w:id="371"/>
      <w:r>
        <w:rPr>
          <w:color w:val="000000"/>
          <w:spacing w:val="0"/>
          <w:w w:val="100"/>
          <w:position w:val="0"/>
        </w:rPr>
        <w:t>、董事会下设专门委员会在报告期内的情况</w:t>
      </w:r>
      <w:bookmarkEnd w:id="369"/>
      <w:bookmarkEnd w:id="370"/>
      <w:bookmarkEnd w:id="372"/>
    </w:p>
    <w:tbl>
      <w:tblPr>
        <w:tblOverlap w:val="never"/>
        <w:jc w:val="center"/>
        <w:tblLayout w:type="fixed"/>
      </w:tblPr>
      <w:tblGrid>
        <w:gridCol w:w="1205"/>
        <w:gridCol w:w="1195"/>
        <w:gridCol w:w="1195"/>
        <w:gridCol w:w="1195"/>
        <w:gridCol w:w="1565"/>
        <w:gridCol w:w="994"/>
        <w:gridCol w:w="1032"/>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异议事项具体 情况（如有）</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司潮、张善良、 王凯、王瑞金、 任迎春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关于审阅公司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年度财务报告的议 案、关于审阅公司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 自我评价报告的议 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565"/>
        <w:gridCol w:w="994"/>
        <w:gridCol w:w="1032"/>
        <w:gridCol w:w="1205"/>
      </w:tblGrid>
      <w:tr>
        <w:trPr>
          <w:trHeight w:val="71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关于续聘会计师事 务所的议案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上半年 财务审计情况报 告》的议案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 度财务审计情况的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 审计部门工作报告 的议案、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 内部审计工作计划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蔺国强、张善 良、王虎、王 凯、任迎春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关于拟投资设立面 向建筑行业控股子 公司的议案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第三届董事会 薪酬与考核委 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任迎春、张善 良、王凯、司 潮、王瑞金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关于公司管理层</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年度薪酬情况 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限制性股票激励计 划（草案）》及其摘 要的议案、关于公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 股票激励计划实施 考核管理办法》的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第三届董事会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王瑞金、张善 良、王凯、司 潮、任迎春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73" w:name="bookmark373"/>
      <w:bookmarkStart w:id="374" w:name="bookmark374"/>
      <w:bookmarkStart w:id="375" w:name="bookmark375"/>
      <w:r>
        <w:rPr>
          <w:color w:val="000000"/>
          <w:spacing w:val="0"/>
          <w:w w:val="100"/>
          <w:position w:val="0"/>
        </w:rPr>
        <w:t>十、监事会工作情况</w:t>
      </w:r>
      <w:bookmarkEnd w:id="373"/>
      <w:bookmarkEnd w:id="374"/>
      <w:bookmarkEnd w:id="37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r>
        <w:rPr>
          <w:color w:val="000000"/>
          <w:spacing w:val="0"/>
          <w:w w:val="100"/>
          <w:position w:val="0"/>
        </w:rPr>
        <w:t>十^一、公司员工情况</w:t>
      </w:r>
      <w:bookmarkEnd w:id="376"/>
      <w:bookmarkEnd w:id="377"/>
      <w:bookmarkEnd w:id="378"/>
    </w:p>
    <w:p>
      <w:pPr>
        <w:pStyle w:val="Style31"/>
        <w:keepNext/>
        <w:keepLines/>
        <w:widowControl w:val="0"/>
        <w:shd w:val="clear" w:color="auto" w:fill="auto"/>
        <w:bidi w:val="0"/>
        <w:spacing w:before="0" w:after="32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1</w:t>
      </w:r>
      <w:bookmarkEnd w:id="381"/>
      <w:r>
        <w:rPr>
          <w:color w:val="000000"/>
          <w:spacing w:val="0"/>
          <w:w w:val="100"/>
          <w:position w:val="0"/>
        </w:rPr>
        <w:t>、员工数量、专业构成及教育程度</w:t>
      </w:r>
      <w:bookmarkEnd w:id="379"/>
      <w:bookmarkEnd w:id="380"/>
      <w:bookmarkEnd w:id="382"/>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w:t>
            </w:r>
          </w:p>
        </w:tc>
      </w:tr>
    </w:tbl>
    <w:p>
      <w:pPr>
        <w:widowControl w:val="0"/>
        <w:spacing w:after="319" w:line="1" w:lineRule="exact"/>
      </w:pPr>
    </w:p>
    <w:p>
      <w:pPr>
        <w:pStyle w:val="Style31"/>
        <w:keepNext/>
        <w:keepLines/>
        <w:widowControl w:val="0"/>
        <w:shd w:val="clear" w:color="auto" w:fill="auto"/>
        <w:tabs>
          <w:tab w:pos="378" w:val="left"/>
        </w:tabs>
        <w:bidi w:val="0"/>
        <w:spacing w:before="0" w:after="260" w:line="24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2</w:t>
      </w:r>
      <w:bookmarkEnd w:id="385"/>
      <w:r>
        <w:rPr>
          <w:color w:val="000000"/>
          <w:spacing w:val="0"/>
          <w:w w:val="100"/>
          <w:position w:val="0"/>
        </w:rPr>
        <w:t>、</w:t>
        <w:tab/>
        <w:t>薪酬政策</w:t>
      </w:r>
      <w:bookmarkEnd w:id="383"/>
      <w:bookmarkEnd w:id="384"/>
      <w:bookmarkEnd w:id="386"/>
    </w:p>
    <w:p>
      <w:pPr>
        <w:pStyle w:val="Style21"/>
        <w:keepNext w:val="0"/>
        <w:keepLines w:val="0"/>
        <w:widowControl w:val="0"/>
        <w:shd w:val="clear" w:color="auto" w:fill="auto"/>
        <w:bidi w:val="0"/>
        <w:spacing w:before="0" w:after="100" w:line="310" w:lineRule="exact"/>
        <w:ind w:left="0" w:right="0" w:firstLine="380"/>
        <w:jc w:val="both"/>
      </w:pPr>
      <w:r>
        <w:rPr>
          <w:color w:val="000000"/>
          <w:spacing w:val="0"/>
          <w:w w:val="100"/>
          <w:position w:val="0"/>
        </w:rPr>
        <w:t>公司制定了《人力资源管理制度》，形成了一套比较科学的聘用、培训、轮岗、考核、奖惩、晋升和淘汰等人事管理制 度。公司通过公开招聘、竞争上岗等多种方式选聘优秀人才，并建立了良好的人才激励约束机制。同时，建立了良好的人才 激励约束机制，设置业绩考核指标体系，对各级员工进行严格考核与评价，以此作为确定员工薪酬、职位调整和解除劳动合 同等的重要依据，使员工队伍处于持续优化状态。做到以事业、待遇、情感留人与有效的约束限制相结合。</w:t>
      </w:r>
    </w:p>
    <w:p>
      <w:pPr>
        <w:pStyle w:val="Style21"/>
        <w:keepNext w:val="0"/>
        <w:keepLines w:val="0"/>
        <w:widowControl w:val="0"/>
        <w:shd w:val="clear" w:color="auto" w:fill="auto"/>
        <w:bidi w:val="0"/>
        <w:spacing w:before="0" w:after="100" w:line="31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报告期内，计入营业成本部分的职工薪酬总额为</w:t>
      </w:r>
      <w:r>
        <w:rPr>
          <w:rFonts w:ascii="Times New Roman" w:eastAsia="Times New Roman" w:hAnsi="Times New Roman" w:cs="Times New Roman"/>
          <w:color w:val="000000"/>
          <w:spacing w:val="0"/>
          <w:w w:val="100"/>
          <w:position w:val="0"/>
          <w:sz w:val="18"/>
          <w:szCs w:val="18"/>
        </w:rPr>
        <w:t>20,419.08</w:t>
      </w:r>
      <w:r>
        <w:rPr>
          <w:color w:val="000000"/>
          <w:spacing w:val="0"/>
          <w:w w:val="100"/>
          <w:position w:val="0"/>
        </w:rPr>
        <w:t>万元，占公司营业成本总额的</w:t>
      </w:r>
      <w:r>
        <w:rPr>
          <w:rFonts w:ascii="Times New Roman" w:eastAsia="Times New Roman" w:hAnsi="Times New Roman" w:cs="Times New Roman"/>
          <w:color w:val="000000"/>
          <w:spacing w:val="0"/>
          <w:w w:val="100"/>
          <w:position w:val="0"/>
          <w:sz w:val="18"/>
          <w:szCs w:val="18"/>
        </w:rPr>
        <w:t>65.49%</w:t>
      </w:r>
      <w:r>
        <w:rPr>
          <w:color w:val="000000"/>
          <w:spacing w:val="0"/>
          <w:w w:val="100"/>
          <w:position w:val="0"/>
        </w:rPr>
        <w:t>；公司利润对职工薪酬 总额变化的敏感性强；核心技术人员数量占比约为</w:t>
      </w:r>
      <w:r>
        <w:rPr>
          <w:rFonts w:ascii="Times New Roman" w:eastAsia="Times New Roman" w:hAnsi="Times New Roman" w:cs="Times New Roman"/>
          <w:color w:val="000000"/>
          <w:spacing w:val="0"/>
          <w:w w:val="100"/>
          <w:position w:val="0"/>
          <w:sz w:val="18"/>
          <w:szCs w:val="18"/>
        </w:rPr>
        <w:t>0.63%</w:t>
      </w:r>
      <w:r>
        <w:rPr>
          <w:color w:val="000000"/>
          <w:spacing w:val="0"/>
          <w:w w:val="100"/>
          <w:position w:val="0"/>
        </w:rPr>
        <w:t>，薪酬总额占比为</w:t>
      </w:r>
      <w:r>
        <w:rPr>
          <w:rFonts w:ascii="Times New Roman" w:eastAsia="Times New Roman" w:hAnsi="Times New Roman" w:cs="Times New Roman"/>
          <w:color w:val="000000"/>
          <w:spacing w:val="0"/>
          <w:w w:val="100"/>
          <w:position w:val="0"/>
          <w:sz w:val="18"/>
          <w:szCs w:val="18"/>
        </w:rPr>
        <w:t>3.34%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年核心人员离职率为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31"/>
        <w:keepNext/>
        <w:keepLines/>
        <w:widowControl w:val="0"/>
        <w:shd w:val="clear" w:color="auto" w:fill="auto"/>
        <w:tabs>
          <w:tab w:pos="378" w:val="left"/>
        </w:tabs>
        <w:bidi w:val="0"/>
        <w:spacing w:before="0" w:after="260" w:line="240" w:lineRule="auto"/>
        <w:ind w:left="0" w:right="0" w:firstLine="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3</w:t>
      </w:r>
      <w:bookmarkEnd w:id="389"/>
      <w:r>
        <w:rPr>
          <w:color w:val="000000"/>
          <w:spacing w:val="0"/>
          <w:w w:val="100"/>
          <w:position w:val="0"/>
        </w:rPr>
        <w:t>、</w:t>
        <w:tab/>
        <w:t>培训计划</w:t>
      </w:r>
      <w:bookmarkEnd w:id="387"/>
      <w:bookmarkEnd w:id="388"/>
      <w:bookmarkEnd w:id="390"/>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公司重视人力资源工作，建立了长期有效的培训机制，公司定期开展新员工入职培训、在岗技术培训等，营造尊重知识、 尊重人才和关心员工职业发展的文化氛围，促进全体员工的知识、技能持续更新，从而组建一支高效的具有战斗力团队。</w:t>
      </w:r>
    </w:p>
    <w:p>
      <w:pPr>
        <w:pStyle w:val="Style31"/>
        <w:keepNext/>
        <w:keepLines/>
        <w:widowControl w:val="0"/>
        <w:shd w:val="clear" w:color="auto" w:fill="auto"/>
        <w:tabs>
          <w:tab w:pos="378" w:val="left"/>
        </w:tabs>
        <w:bidi w:val="0"/>
        <w:spacing w:before="0" w:after="260" w:line="240" w:lineRule="auto"/>
        <w:ind w:left="0" w:right="0" w:firstLine="0"/>
        <w:jc w:val="both"/>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劳务外包情况</w:t>
      </w:r>
      <w:bookmarkEnd w:id="391"/>
      <w:bookmarkEnd w:id="392"/>
      <w:bookmarkEnd w:id="394"/>
    </w:p>
    <w:p>
      <w:pPr>
        <w:pStyle w:val="Style21"/>
        <w:keepNext w:val="0"/>
        <w:keepLines w:val="0"/>
        <w:widowControl w:val="0"/>
        <w:shd w:val="clear" w:color="auto" w:fill="auto"/>
        <w:bidi w:val="0"/>
        <w:spacing w:before="0" w:after="26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395" w:name="bookmark395"/>
      <w:bookmarkStart w:id="396" w:name="bookmark396"/>
      <w:bookmarkStart w:id="397" w:name="bookmark397"/>
      <w:r>
        <w:rPr>
          <w:color w:val="000000"/>
          <w:spacing w:val="0"/>
          <w:w w:val="100"/>
          <w:position w:val="0"/>
        </w:rPr>
        <w:t>十二、公司利润分配及资本公积金转增股本情况</w:t>
      </w:r>
      <w:bookmarkEnd w:id="395"/>
      <w:bookmarkEnd w:id="396"/>
      <w:bookmarkEnd w:id="397"/>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报告期内利润分配政策，特别是现金分红政策的制定、执行或调整情况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根据《公司法》《上市公司监管指引第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上市公司现金分红》等相关规定要求，公司制定了《首次公开发行股票并在 创业板上市后前三年股东分红回报规划》，并经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日召开的公司第二届董事会第十四次会议和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 的公司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年年度股东大会审议通过。公司上市后前三年股东分红回报具体规划：</w:t>
      </w:r>
    </w:p>
    <w:p>
      <w:pPr>
        <w:pStyle w:val="Style21"/>
        <w:keepNext w:val="0"/>
        <w:keepLines w:val="0"/>
        <w:widowControl w:val="0"/>
        <w:shd w:val="clear" w:color="auto" w:fill="auto"/>
        <w:tabs>
          <w:tab w:pos="714" w:val="left"/>
        </w:tabs>
        <w:bidi w:val="0"/>
        <w:spacing w:before="0" w:after="0" w:line="360" w:lineRule="auto"/>
        <w:ind w:left="0" w:right="0" w:firstLine="380"/>
        <w:jc w:val="both"/>
      </w:pPr>
      <w:bookmarkStart w:id="398" w:name="bookmark398"/>
      <w:r>
        <w:rPr>
          <w:rFonts w:ascii="Times New Roman" w:eastAsia="Times New Roman" w:hAnsi="Times New Roman" w:cs="Times New Roman"/>
          <w:color w:val="000000"/>
          <w:spacing w:val="0"/>
          <w:w w:val="100"/>
          <w:position w:val="0"/>
          <w:sz w:val="18"/>
          <w:szCs w:val="18"/>
        </w:rPr>
        <w:t>1</w:t>
      </w:r>
      <w:bookmarkEnd w:id="398"/>
      <w:r>
        <w:rPr>
          <w:color w:val="000000"/>
          <w:spacing w:val="0"/>
          <w:w w:val="100"/>
          <w:position w:val="0"/>
        </w:rPr>
        <w:t>、</w:t>
        <w:tab/>
        <w:t>公司的利润分配原则</w:t>
      </w:r>
    </w:p>
    <w:p>
      <w:pPr>
        <w:pStyle w:val="Style21"/>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公司实行同股同利的股利分配政策，股东依照其所持有的股份份额获得股利和其他形式的利益分配。公司实施持续稳定 的利润分配政策，重视对投资者的合理投资回报，并兼顾公司的可持续发展。公司可以采取现金或者股票等方式分配利润， 利润分配不得超过累计可分配利润的范围，不得损害公司持续经营能力。公司董事会、监事会和股东大会对利润分配政策的 决策和论证过程中应当充分考虑独立董事、外部监事和公众投资者的意见。</w:t>
      </w:r>
    </w:p>
    <w:p>
      <w:pPr>
        <w:pStyle w:val="Style21"/>
        <w:keepNext w:val="0"/>
        <w:keepLines w:val="0"/>
        <w:widowControl w:val="0"/>
        <w:shd w:val="clear" w:color="auto" w:fill="auto"/>
        <w:tabs>
          <w:tab w:pos="733" w:val="left"/>
        </w:tabs>
        <w:bidi w:val="0"/>
        <w:spacing w:before="0" w:after="0" w:line="360" w:lineRule="auto"/>
        <w:ind w:left="0" w:right="0" w:firstLine="380"/>
        <w:jc w:val="both"/>
      </w:pPr>
      <w:bookmarkStart w:id="399" w:name="bookmark399"/>
      <w:r>
        <w:rPr>
          <w:rFonts w:ascii="Times New Roman" w:eastAsia="Times New Roman" w:hAnsi="Times New Roman" w:cs="Times New Roman"/>
          <w:color w:val="000000"/>
          <w:spacing w:val="0"/>
          <w:w w:val="100"/>
          <w:position w:val="0"/>
          <w:sz w:val="18"/>
          <w:szCs w:val="18"/>
        </w:rPr>
        <w:t>2</w:t>
      </w:r>
      <w:bookmarkEnd w:id="399"/>
      <w:r>
        <w:rPr>
          <w:color w:val="000000"/>
          <w:spacing w:val="0"/>
          <w:w w:val="100"/>
          <w:position w:val="0"/>
        </w:rPr>
        <w:t>、</w:t>
        <w:tab/>
        <w:t>公司的利润分配形式</w:t>
      </w:r>
    </w:p>
    <w:p>
      <w:pPr>
        <w:pStyle w:val="Style21"/>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采取现金、股票或二者相结合的方式分配股利，现金分红方式优先于股票股利的分配方式。</w:t>
      </w:r>
    </w:p>
    <w:p>
      <w:pPr>
        <w:pStyle w:val="Style21"/>
        <w:keepNext w:val="0"/>
        <w:keepLines w:val="0"/>
        <w:widowControl w:val="0"/>
        <w:shd w:val="clear" w:color="auto" w:fill="auto"/>
        <w:tabs>
          <w:tab w:pos="733" w:val="left"/>
        </w:tabs>
        <w:bidi w:val="0"/>
        <w:spacing w:before="0" w:after="0" w:line="360" w:lineRule="auto"/>
        <w:ind w:left="0" w:right="0" w:firstLine="380"/>
        <w:jc w:val="both"/>
      </w:pPr>
      <w:bookmarkStart w:id="400" w:name="bookmark400"/>
      <w:r>
        <w:rPr>
          <w:rFonts w:ascii="Times New Roman" w:eastAsia="Times New Roman" w:hAnsi="Times New Roman" w:cs="Times New Roman"/>
          <w:color w:val="000000"/>
          <w:spacing w:val="0"/>
          <w:w w:val="100"/>
          <w:position w:val="0"/>
          <w:sz w:val="18"/>
          <w:szCs w:val="18"/>
        </w:rPr>
        <w:t>3</w:t>
      </w:r>
      <w:bookmarkEnd w:id="400"/>
      <w:r>
        <w:rPr>
          <w:color w:val="000000"/>
          <w:spacing w:val="0"/>
          <w:w w:val="100"/>
          <w:position w:val="0"/>
        </w:rPr>
        <w:t>、</w:t>
        <w:tab/>
        <w:t>公司现金方式分红的具体条件和比例</w:t>
      </w:r>
    </w:p>
    <w:p>
      <w:pPr>
        <w:pStyle w:val="Style21"/>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公司主要采取现金分红的利润分配政策，即公司当年度实现盈利，在依法弥补亏损、提取法定公积金、盈余公积金后有 可分配利润的，则公司应当进行现金分红；公司利润分配不得超过累计可分配利润的范围，如无重大投资计划或重大现金支 出发生，单一年度以现金方式分配的利润不少于当年度实现的可分配利润的百分之十。</w:t>
      </w:r>
    </w:p>
    <w:p>
      <w:pPr>
        <w:pStyle w:val="Style21"/>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公司董事会应当综合考虑公司所处行业特点、发展阶段、经营模式、盈利水平以及是否有重大资金支出安排等因素，区 分下列情形，并按照公司章程规定的程序，提出差异化的现金分红政策：</w:t>
      </w:r>
    </w:p>
    <w:p>
      <w:pPr>
        <w:pStyle w:val="Style21"/>
        <w:keepNext w:val="0"/>
        <w:keepLines w:val="0"/>
        <w:widowControl w:val="0"/>
        <w:shd w:val="clear" w:color="auto" w:fill="auto"/>
        <w:tabs>
          <w:tab w:pos="901" w:val="left"/>
        </w:tabs>
        <w:bidi w:val="0"/>
        <w:spacing w:before="0" w:after="40" w:line="298" w:lineRule="exact"/>
        <w:ind w:left="0" w:right="0" w:firstLine="380"/>
        <w:jc w:val="both"/>
      </w:pPr>
      <w:bookmarkStart w:id="401" w:name="bookmark401"/>
      <w:r>
        <w:rPr>
          <w:color w:val="000000"/>
          <w:spacing w:val="0"/>
          <w:w w:val="100"/>
          <w:position w:val="0"/>
        </w:rPr>
        <w:t>（</w:t>
      </w:r>
      <w:bookmarkEnd w:id="4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公司发展阶段属成熟期且无重大资金支出安排的，进行利润分配时，现金分红在本次利润分配中所占比例最低应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1"/>
        <w:keepNext w:val="0"/>
        <w:keepLines w:val="0"/>
        <w:widowControl w:val="0"/>
        <w:shd w:val="clear" w:color="auto" w:fill="auto"/>
        <w:tabs>
          <w:tab w:pos="901" w:val="left"/>
        </w:tabs>
        <w:bidi w:val="0"/>
        <w:spacing w:before="0" w:after="40" w:line="312" w:lineRule="exact"/>
        <w:ind w:left="0" w:right="0" w:firstLine="380"/>
        <w:jc w:val="both"/>
      </w:pPr>
      <w:bookmarkStart w:id="402" w:name="bookmark402"/>
      <w:r>
        <w:rPr>
          <w:color w:val="000000"/>
          <w:spacing w:val="0"/>
          <w:w w:val="100"/>
          <w:position w:val="0"/>
        </w:rPr>
        <w:t>（</w:t>
      </w:r>
      <w:bookmarkEnd w:id="4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1"/>
        <w:keepNext w:val="0"/>
        <w:keepLines w:val="0"/>
        <w:widowControl w:val="0"/>
        <w:shd w:val="clear" w:color="auto" w:fill="auto"/>
        <w:tabs>
          <w:tab w:pos="901" w:val="left"/>
        </w:tabs>
        <w:bidi w:val="0"/>
        <w:spacing w:before="0" w:after="40" w:line="312" w:lineRule="exact"/>
        <w:ind w:left="0" w:right="0" w:firstLine="380"/>
        <w:jc w:val="both"/>
      </w:pPr>
      <w:bookmarkStart w:id="403" w:name="bookmark403"/>
      <w:r>
        <w:rPr>
          <w:color w:val="000000"/>
          <w:spacing w:val="0"/>
          <w:w w:val="100"/>
          <w:position w:val="0"/>
        </w:rPr>
        <w:t>（</w:t>
      </w:r>
      <w:bookmarkEnd w:id="40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公司发展阶段属成长期且有重大资金支出安排的，进行利润分配时，现金分红在本次利润分配中所占比例最低应 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1"/>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公司发展阶段不易区分但有重大资金支出安排的，可以按照前项规定处理。</w:t>
      </w:r>
    </w:p>
    <w:p>
      <w:pPr>
        <w:pStyle w:val="Style21"/>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重大资金支出安排指以下情形之一：</w:t>
      </w:r>
    </w:p>
    <w:p>
      <w:pPr>
        <w:pStyle w:val="Style21"/>
        <w:keepNext w:val="0"/>
        <w:keepLines w:val="0"/>
        <w:widowControl w:val="0"/>
        <w:shd w:val="clear" w:color="auto" w:fill="auto"/>
        <w:tabs>
          <w:tab w:pos="901" w:val="left"/>
        </w:tabs>
        <w:bidi w:val="0"/>
        <w:spacing w:before="0" w:after="40" w:line="302" w:lineRule="exact"/>
        <w:ind w:left="0" w:right="0" w:firstLine="380"/>
        <w:jc w:val="both"/>
      </w:pPr>
      <w:bookmarkStart w:id="404" w:name="bookmark404"/>
      <w:r>
        <w:rPr>
          <w:color w:val="000000"/>
          <w:spacing w:val="0"/>
          <w:w w:val="100"/>
          <w:position w:val="0"/>
        </w:rPr>
        <w:t>（</w:t>
      </w:r>
      <w:bookmarkEnd w:id="4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公司未来十二个月内拟对外投资、收购资产或者购买设备累计支出达到或超过公司最近一期经审计净资产的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且超过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p>
      <w:pPr>
        <w:pStyle w:val="Style21"/>
        <w:keepNext w:val="0"/>
        <w:keepLines w:val="0"/>
        <w:widowControl w:val="0"/>
        <w:shd w:val="clear" w:color="auto" w:fill="auto"/>
        <w:tabs>
          <w:tab w:pos="825" w:val="left"/>
        </w:tabs>
        <w:bidi w:val="0"/>
        <w:spacing w:before="0" w:after="40" w:line="312" w:lineRule="exact"/>
        <w:ind w:left="0" w:right="0" w:firstLine="380"/>
        <w:jc w:val="both"/>
      </w:pPr>
      <w:bookmarkStart w:id="405" w:name="bookmark405"/>
      <w:r>
        <w:rPr>
          <w:color w:val="000000"/>
          <w:spacing w:val="0"/>
          <w:w w:val="100"/>
          <w:position w:val="0"/>
        </w:rPr>
        <w:t>（</w:t>
      </w:r>
      <w:bookmarkEnd w:id="4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公司未来十二个月内拟对外投资、收购资产或者购买设备累计支出达到或超过公司最近一期经审计总资产的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21"/>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满足上述条件的重大资金支出安排须由董事会审议后提交股东大会审议批准。</w:t>
      </w:r>
    </w:p>
    <w:p>
      <w:pPr>
        <w:pStyle w:val="Style21"/>
        <w:keepNext w:val="0"/>
        <w:keepLines w:val="0"/>
        <w:widowControl w:val="0"/>
        <w:shd w:val="clear" w:color="auto" w:fill="auto"/>
        <w:tabs>
          <w:tab w:pos="733" w:val="left"/>
        </w:tabs>
        <w:bidi w:val="0"/>
        <w:spacing w:before="0" w:after="0" w:line="360" w:lineRule="auto"/>
        <w:ind w:left="0" w:right="0" w:firstLine="380"/>
        <w:jc w:val="both"/>
      </w:pPr>
      <w:bookmarkStart w:id="406" w:name="bookmark406"/>
      <w:r>
        <w:rPr>
          <w:rFonts w:ascii="Times New Roman" w:eastAsia="Times New Roman" w:hAnsi="Times New Roman" w:cs="Times New Roman"/>
          <w:color w:val="000000"/>
          <w:spacing w:val="0"/>
          <w:w w:val="100"/>
          <w:position w:val="0"/>
          <w:sz w:val="18"/>
          <w:szCs w:val="18"/>
        </w:rPr>
        <w:t>4</w:t>
      </w:r>
      <w:bookmarkEnd w:id="406"/>
      <w:r>
        <w:rPr>
          <w:color w:val="000000"/>
          <w:spacing w:val="0"/>
          <w:w w:val="100"/>
          <w:position w:val="0"/>
        </w:rPr>
        <w:t>、</w:t>
        <w:tab/>
        <w:t>发放股票股利的具体条件</w:t>
      </w:r>
    </w:p>
    <w:p>
      <w:pPr>
        <w:pStyle w:val="Style21"/>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若公司快速成长，并且董事会认为公司股票价格与公司股本规模不匹配时，可以在满足上述现金股利分配之余，提出实 施股票股利分配预案。公司的公积金用于弥补公司的亏损、扩大生产经营规模或者转增公司资本，法定公积金转为资本时， 所留存的该项公积金将不少于转增前公司注册资本的百分之二十五。</w:t>
      </w:r>
    </w:p>
    <w:p>
      <w:pPr>
        <w:pStyle w:val="Style21"/>
        <w:keepNext w:val="0"/>
        <w:keepLines w:val="0"/>
        <w:widowControl w:val="0"/>
        <w:shd w:val="clear" w:color="auto" w:fill="auto"/>
        <w:tabs>
          <w:tab w:pos="733" w:val="left"/>
        </w:tabs>
        <w:bidi w:val="0"/>
        <w:spacing w:before="0" w:after="0" w:line="360" w:lineRule="auto"/>
        <w:ind w:left="0" w:right="0" w:firstLine="380"/>
        <w:jc w:val="both"/>
      </w:pPr>
      <w:bookmarkStart w:id="407" w:name="bookmark407"/>
      <w:r>
        <w:rPr>
          <w:rFonts w:ascii="Times New Roman" w:eastAsia="Times New Roman" w:hAnsi="Times New Roman" w:cs="Times New Roman"/>
          <w:color w:val="000000"/>
          <w:spacing w:val="0"/>
          <w:w w:val="100"/>
          <w:position w:val="0"/>
          <w:sz w:val="18"/>
          <w:szCs w:val="18"/>
        </w:rPr>
        <w:t>5</w:t>
      </w:r>
      <w:bookmarkEnd w:id="407"/>
      <w:r>
        <w:rPr>
          <w:color w:val="000000"/>
          <w:spacing w:val="0"/>
          <w:w w:val="100"/>
          <w:position w:val="0"/>
        </w:rPr>
        <w:t>、</w:t>
        <w:tab/>
        <w:t>利润分配的期间间隔</w:t>
      </w:r>
    </w:p>
    <w:p>
      <w:pPr>
        <w:pStyle w:val="Style21"/>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一般进行年度分红，公司董事会也可以根据公司的资金需求状况提议进行中期分红。公司董事会应在定期报告中披露利 润分配方案及留存的未分配利润的使用计划安排或原则，公司当年利润分配完成后留存的未分配利润应用于发展公司主营业 务。</w:t>
      </w:r>
    </w:p>
    <w:p>
      <w:pPr>
        <w:pStyle w:val="Style21"/>
        <w:keepNext w:val="0"/>
        <w:keepLines w:val="0"/>
        <w:widowControl w:val="0"/>
        <w:shd w:val="clear" w:color="auto" w:fill="auto"/>
        <w:tabs>
          <w:tab w:pos="733" w:val="left"/>
        </w:tabs>
        <w:bidi w:val="0"/>
        <w:spacing w:before="0" w:after="80" w:line="360" w:lineRule="auto"/>
        <w:ind w:left="0" w:right="0" w:firstLine="380"/>
        <w:jc w:val="both"/>
      </w:pPr>
      <w:bookmarkStart w:id="408" w:name="bookmark408"/>
      <w:r>
        <w:rPr>
          <w:rFonts w:ascii="Times New Roman" w:eastAsia="Times New Roman" w:hAnsi="Times New Roman" w:cs="Times New Roman"/>
          <w:color w:val="000000"/>
          <w:spacing w:val="0"/>
          <w:w w:val="100"/>
          <w:position w:val="0"/>
          <w:sz w:val="18"/>
          <w:szCs w:val="18"/>
        </w:rPr>
        <w:t>6</w:t>
      </w:r>
      <w:bookmarkEnd w:id="408"/>
      <w:r>
        <w:rPr>
          <w:color w:val="000000"/>
          <w:spacing w:val="0"/>
          <w:w w:val="100"/>
          <w:position w:val="0"/>
        </w:rPr>
        <w:t>、</w:t>
        <w:tab/>
        <w:t>利润分配应履行的审议程序</w:t>
      </w:r>
      <w:r>
        <w:br w:type="page"/>
      </w:r>
    </w:p>
    <w:p>
      <w:pPr>
        <w:pStyle w:val="Style21"/>
        <w:keepNext w:val="0"/>
        <w:keepLines w:val="0"/>
        <w:widowControl w:val="0"/>
        <w:shd w:val="clear" w:color="auto" w:fill="auto"/>
        <w:bidi w:val="0"/>
        <w:spacing w:before="0" w:line="312" w:lineRule="exact"/>
        <w:ind w:left="0" w:right="0"/>
        <w:jc w:val="both"/>
      </w:pPr>
      <w:r>
        <w:rPr>
          <w:color w:val="000000"/>
          <w:spacing w:val="0"/>
          <w:w w:val="100"/>
          <w:position w:val="0"/>
        </w:rPr>
        <w:t>公司利润分配方案应由董事会审议通过后提交股东大会审议批准。公司董事会须在股东大会批准后两个月内完成股利 （或股份）的派发事项。公司将根据自身实际情况，并结合股东（特别是公众投资者）、独立董事和外部监事的意见，在上 述利润分配政策规定的范围内制定或调整股东回报计划。</w:t>
      </w:r>
    </w:p>
    <w:p>
      <w:pPr>
        <w:pStyle w:val="Style21"/>
        <w:keepNext w:val="0"/>
        <w:keepLines w:val="0"/>
        <w:widowControl w:val="0"/>
        <w:shd w:val="clear" w:color="auto" w:fill="auto"/>
        <w:bidi w:val="0"/>
        <w:spacing w:before="0" w:after="0" w:line="360" w:lineRule="auto"/>
        <w:ind w:left="0" w:right="0"/>
        <w:jc w:val="both"/>
      </w:pPr>
      <w:bookmarkStart w:id="409" w:name="bookmark409"/>
      <w:r>
        <w:rPr>
          <w:rFonts w:ascii="Times New Roman" w:eastAsia="Times New Roman" w:hAnsi="Times New Roman" w:cs="Times New Roman"/>
          <w:color w:val="000000"/>
          <w:spacing w:val="0"/>
          <w:w w:val="100"/>
          <w:position w:val="0"/>
          <w:sz w:val="18"/>
          <w:szCs w:val="18"/>
        </w:rPr>
        <w:t>7</w:t>
      </w:r>
      <w:bookmarkEnd w:id="409"/>
      <w:r>
        <w:rPr>
          <w:color w:val="000000"/>
          <w:spacing w:val="0"/>
          <w:w w:val="100"/>
          <w:position w:val="0"/>
        </w:rPr>
        <w:t>、利润分配政策的变更</w:t>
      </w:r>
    </w:p>
    <w:p>
      <w:pPr>
        <w:pStyle w:val="Style21"/>
        <w:keepNext w:val="0"/>
        <w:keepLines w:val="0"/>
        <w:widowControl w:val="0"/>
        <w:shd w:val="clear" w:color="auto" w:fill="auto"/>
        <w:bidi w:val="0"/>
        <w:spacing w:before="0" w:line="311" w:lineRule="exact"/>
        <w:ind w:left="0" w:right="0"/>
        <w:jc w:val="both"/>
      </w:pPr>
      <w:r>
        <w:rPr>
          <w:color w:val="000000"/>
          <w:spacing w:val="0"/>
          <w:w w:val="100"/>
          <w:position w:val="0"/>
        </w:rPr>
        <w:t>公司应当严格执行公司章程确定的利润分配政策以及股东大会审议批准的利润分配具体方案。确有必要对公司章程确定 的利润分配政策进行调整或者变更的，应当满足公司章程规定的条件，经过详细论证后，履行相应的决策程序，并经出席股 东大会的股东所持表决权的三分之二以上通过。公司应在提交股东大会的议案中详细说明修改的原因，独立董事应当就利润 分配方案修改的合理性发表独立意见。股东大会表决时，应安排网络投票。公司独立董事可在股东大会召开前向公司社会公 众股股东征集其在股东大会上的投票权，独立董事行使上述职权应当取得全体独立董事二分之一以上同意。</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现金分红政策进行调整或变更的，条件及程序是否合规、透 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141,010,659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42,303,197.70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42,303,197.70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315,360,183.07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994"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经致同会计师事务所（特殊普通合伙）审计，母公司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年度实现的净利润为</w:t>
            </w:r>
            <w:r>
              <w:rPr>
                <w:rFonts w:ascii="Times New Roman" w:eastAsia="Times New Roman" w:hAnsi="Times New Roman" w:cs="Times New Roman"/>
                <w:color w:val="000000"/>
                <w:spacing w:val="0"/>
                <w:w w:val="100"/>
                <w:position w:val="0"/>
                <w:sz w:val="18"/>
                <w:szCs w:val="18"/>
              </w:rPr>
              <w:t>134,348,684.61</w:t>
            </w:r>
            <w:r>
              <w:rPr>
                <w:color w:val="000000"/>
                <w:spacing w:val="0"/>
                <w:w w:val="100"/>
                <w:position w:val="0"/>
              </w:rPr>
              <w:t>元，加上年初母公司未分配 利润</w:t>
            </w:r>
            <w:r>
              <w:rPr>
                <w:rFonts w:ascii="Times New Roman" w:eastAsia="Times New Roman" w:hAnsi="Times New Roman" w:cs="Times New Roman"/>
                <w:color w:val="000000"/>
                <w:spacing w:val="0"/>
                <w:w w:val="100"/>
                <w:position w:val="0"/>
                <w:sz w:val="18"/>
                <w:szCs w:val="18"/>
              </w:rPr>
              <w:t>220,885,865.52</w:t>
            </w:r>
            <w:r>
              <w:rPr>
                <w:color w:val="000000"/>
                <w:spacing w:val="0"/>
                <w:w w:val="100"/>
                <w:position w:val="0"/>
              </w:rPr>
              <w:t>元，扣除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年已对股东分配利润</w:t>
            </w:r>
            <w:r>
              <w:rPr>
                <w:rFonts w:ascii="Times New Roman" w:eastAsia="Times New Roman" w:hAnsi="Times New Roman" w:cs="Times New Roman"/>
                <w:color w:val="000000"/>
                <w:spacing w:val="0"/>
                <w:w w:val="100"/>
                <w:position w:val="0"/>
                <w:sz w:val="18"/>
                <w:szCs w:val="18"/>
              </w:rPr>
              <w:t>26,439,498.60</w:t>
            </w:r>
            <w:r>
              <w:rPr>
                <w:color w:val="000000"/>
                <w:spacing w:val="0"/>
                <w:w w:val="100"/>
                <w:position w:val="0"/>
              </w:rPr>
              <w:t>元、提取盈余公积</w:t>
            </w:r>
            <w:r>
              <w:rPr>
                <w:rFonts w:ascii="Times New Roman" w:eastAsia="Times New Roman" w:hAnsi="Times New Roman" w:cs="Times New Roman"/>
                <w:color w:val="000000"/>
                <w:spacing w:val="0"/>
                <w:w w:val="100"/>
                <w:position w:val="0"/>
                <w:sz w:val="18"/>
                <w:szCs w:val="18"/>
              </w:rPr>
              <w:t>13,434,868.46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日，母公司可供分配的净利润为</w:t>
            </w:r>
            <w:r>
              <w:rPr>
                <w:rFonts w:ascii="Times New Roman" w:eastAsia="Times New Roman" w:hAnsi="Times New Roman" w:cs="Times New Roman"/>
                <w:color w:val="000000"/>
                <w:spacing w:val="0"/>
                <w:w w:val="100"/>
                <w:position w:val="0"/>
                <w:sz w:val="18"/>
                <w:szCs w:val="18"/>
              </w:rPr>
              <w:t>315,360,183.07</w:t>
            </w:r>
            <w:r>
              <w:rPr>
                <w:color w:val="000000"/>
                <w:spacing w:val="0"/>
                <w:w w:val="100"/>
                <w:position w:val="0"/>
              </w:rPr>
              <w:t>元，合并会计报表未分配利润为</w:t>
            </w:r>
            <w:r>
              <w:rPr>
                <w:rFonts w:ascii="Times New Roman" w:eastAsia="Times New Roman" w:hAnsi="Times New Roman" w:cs="Times New Roman"/>
                <w:color w:val="000000"/>
                <w:spacing w:val="0"/>
                <w:w w:val="100"/>
                <w:position w:val="0"/>
                <w:sz w:val="18"/>
                <w:szCs w:val="18"/>
              </w:rPr>
              <w:t>326,974,223.40</w:t>
            </w:r>
            <w:r>
              <w:rPr>
                <w:color w:val="000000"/>
                <w:spacing w:val="0"/>
                <w:w w:val="100"/>
                <w:position w:val="0"/>
              </w:rPr>
              <w:t>元。根据深圳证券</w:t>
            </w:r>
          </w:p>
        </w:tc>
      </w:tr>
    </w:tbl>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left"/>
      </w:pPr>
      <w:r>
        <w:rPr>
          <w:color w:val="000000"/>
          <w:spacing w:val="0"/>
          <w:w w:val="100"/>
          <w:position w:val="0"/>
        </w:rPr>
        <w:t>交易所的相关规定，以母公司的可供分配利润及合并财务报表的可供分配利润孰低原则作为分配的依据，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年末公司可 供分配的净利润为</w:t>
      </w:r>
      <w:r>
        <w:rPr>
          <w:rFonts w:ascii="Times New Roman" w:eastAsia="Times New Roman" w:hAnsi="Times New Roman" w:cs="Times New Roman"/>
          <w:color w:val="000000"/>
          <w:spacing w:val="0"/>
          <w:w w:val="100"/>
          <w:position w:val="0"/>
          <w:sz w:val="18"/>
          <w:szCs w:val="18"/>
        </w:rPr>
        <w:t>315,360,183.07</w:t>
      </w:r>
      <w:r>
        <w:rPr>
          <w:color w:val="000000"/>
          <w:spacing w:val="0"/>
          <w:w w:val="100"/>
          <w:position w:val="0"/>
        </w:rPr>
        <w:t>元。</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exact"/>
        <w:ind w:left="0" w:right="0" w:firstLine="0"/>
        <w:jc w:val="left"/>
      </w:pPr>
      <w:r>
        <w:rPr>
          <w:color w:val="000000"/>
          <w:spacing w:val="0"/>
          <w:w w:val="100"/>
          <w:position w:val="0"/>
        </w:rPr>
        <w:t>根据《上市公司监管指引第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上市公司现金分红》等相关规定及《公司章程》《公司首次公开发行股票并在创业板上市 后前三年股东分红回报规划》等要求，在保障公司健康经营及持续发展的前提下，公司拟定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年度利润分配预案为： 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141,010,659</w:t>
      </w:r>
      <w:r>
        <w:rPr>
          <w:color w:val="000000"/>
          <w:spacing w:val="0"/>
          <w:w w:val="100"/>
          <w:position w:val="0"/>
        </w:rPr>
        <w:t>股为基数，向公司全体股东每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元（含税），共计派发现 金红利</w:t>
      </w:r>
      <w:r>
        <w:rPr>
          <w:rFonts w:ascii="Times New Roman" w:eastAsia="Times New Roman" w:hAnsi="Times New Roman" w:cs="Times New Roman"/>
          <w:color w:val="000000"/>
          <w:spacing w:val="0"/>
          <w:w w:val="100"/>
          <w:position w:val="0"/>
          <w:sz w:val="18"/>
          <w:szCs w:val="18"/>
        </w:rPr>
        <w:t>42,303,197.70</w:t>
      </w:r>
      <w:r>
        <w:rPr>
          <w:color w:val="000000"/>
          <w:spacing w:val="0"/>
          <w:w w:val="100"/>
          <w:position w:val="0"/>
        </w:rPr>
        <w:t>元（含税），不送红股，不以资本公积金转增股本。公司剩余未分配利润结转以后年度。</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0" w:right="0" w:firstLine="0"/>
        <w:jc w:val="left"/>
      </w:pPr>
      <w:r>
        <w:rPr>
          <w:color w:val="000000"/>
          <w:spacing w:val="0"/>
          <w:w w:val="100"/>
          <w:position w:val="0"/>
        </w:rPr>
        <w:t>在利润分配预案披露日至实施权益分派股权登记日期间，公司股本总额若发生变动的，公司则以未来实施分配方案时股权 登记日的总股本为基数，按照分配总额不变的原则对分配比例进行调整。</w:t>
      </w:r>
    </w:p>
    <w:p>
      <w:pPr>
        <w:pStyle w:val="Style21"/>
        <w:keepNext w:val="0"/>
        <w:keepLines w:val="0"/>
        <w:widowControl w:val="0"/>
        <w:shd w:val="clear" w:color="auto" w:fill="auto"/>
        <w:bidi w:val="0"/>
        <w:spacing w:before="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r>
        <w:rPr>
          <w:color w:val="000000"/>
          <w:spacing w:val="0"/>
          <w:w w:val="100"/>
          <w:position w:val="0"/>
        </w:rPr>
        <w:t>十三、公司股权激励计划、员工持股计划或其他员工激励措施的实施情况</w:t>
      </w:r>
      <w:bookmarkEnd w:id="410"/>
      <w:bookmarkEnd w:id="411"/>
      <w:bookmarkEnd w:id="412"/>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、股权激励</w:t>
      </w:r>
      <w:bookmarkEnd w:id="413"/>
      <w:bookmarkEnd w:id="414"/>
      <w:bookmarkEnd w:id="416"/>
    </w:p>
    <w:p>
      <w:pPr>
        <w:pStyle w:val="Style21"/>
        <w:keepNext w:val="0"/>
        <w:keepLines w:val="0"/>
        <w:widowControl w:val="0"/>
        <w:shd w:val="clear" w:color="auto" w:fill="auto"/>
        <w:bidi w:val="0"/>
        <w:spacing w:before="0" w:line="312" w:lineRule="exact"/>
        <w:ind w:left="0" w:right="0" w:firstLine="380"/>
        <w:jc w:val="left"/>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年实施限制性股票（第二类限制性股票）的股权激励计划，具体内容及审议程序如下：</w:t>
      </w:r>
    </w:p>
    <w:p>
      <w:pPr>
        <w:pStyle w:val="Style21"/>
        <w:keepNext w:val="0"/>
        <w:keepLines w:val="0"/>
        <w:widowControl w:val="0"/>
        <w:shd w:val="clear" w:color="auto" w:fill="auto"/>
        <w:tabs>
          <w:tab w:pos="685" w:val="left"/>
        </w:tabs>
        <w:bidi w:val="0"/>
        <w:spacing w:before="0" w:line="298" w:lineRule="exact"/>
        <w:ind w:left="0" w:right="0" w:firstLine="380"/>
        <w:jc w:val="left"/>
      </w:pPr>
      <w:bookmarkStart w:id="417" w:name="bookmark417"/>
      <w:r>
        <w:rPr>
          <w:rFonts w:ascii="Times New Roman" w:eastAsia="Times New Roman" w:hAnsi="Times New Roman" w:cs="Times New Roman"/>
          <w:color w:val="000000"/>
          <w:spacing w:val="0"/>
          <w:w w:val="100"/>
          <w:position w:val="0"/>
          <w:sz w:val="18"/>
          <w:szCs w:val="18"/>
        </w:rPr>
        <w:t>1</w:t>
      </w:r>
      <w:bookmarkEnd w:id="417"/>
      <w:r>
        <w:rPr>
          <w:color w:val="000000"/>
          <w:spacing w:val="0"/>
          <w:w w:val="100"/>
          <w:position w:val="0"/>
        </w:rPr>
        <w:t>、</w:t>
        <w:tab/>
        <w:t>本激励计划采取的激励工具为限制性股票（第二类限制性股票）。股票来源为公司向激励对象定向发行普联软件股 份有限公司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p>
    <w:p>
      <w:pPr>
        <w:pStyle w:val="Style21"/>
        <w:keepNext w:val="0"/>
        <w:keepLines w:val="0"/>
        <w:widowControl w:val="0"/>
        <w:shd w:val="clear" w:color="auto" w:fill="auto"/>
        <w:tabs>
          <w:tab w:pos="685" w:val="left"/>
        </w:tabs>
        <w:bidi w:val="0"/>
        <w:spacing w:before="0" w:after="240" w:line="316" w:lineRule="exact"/>
        <w:ind w:left="0" w:right="0" w:firstLine="380"/>
        <w:jc w:val="left"/>
      </w:pPr>
      <w:bookmarkStart w:id="418" w:name="bookmark418"/>
      <w:r>
        <w:rPr>
          <w:rFonts w:ascii="Times New Roman" w:eastAsia="Times New Roman" w:hAnsi="Times New Roman" w:cs="Times New Roman"/>
          <w:color w:val="000000"/>
          <w:spacing w:val="0"/>
          <w:w w:val="100"/>
          <w:position w:val="0"/>
          <w:sz w:val="18"/>
          <w:szCs w:val="18"/>
        </w:rPr>
        <w:t>2</w:t>
      </w:r>
      <w:bookmarkEnd w:id="418"/>
      <w:r>
        <w:rPr>
          <w:color w:val="000000"/>
          <w:spacing w:val="0"/>
          <w:w w:val="100"/>
          <w:position w:val="0"/>
        </w:rPr>
        <w:t>、</w:t>
        <w:tab/>
        <w:t>本激励计划拟授予的限制性股票总量为</w:t>
      </w:r>
      <w:r>
        <w:rPr>
          <w:rFonts w:ascii="Times New Roman" w:eastAsia="Times New Roman" w:hAnsi="Times New Roman" w:cs="Times New Roman"/>
          <w:color w:val="000000"/>
          <w:spacing w:val="0"/>
          <w:w w:val="100"/>
          <w:position w:val="0"/>
          <w:sz w:val="18"/>
          <w:szCs w:val="18"/>
        </w:rPr>
        <w:t>360.00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sz w:val="18"/>
          <w:szCs w:val="18"/>
        </w:rPr>
        <w:t>14,101.0659</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 其中首次授予</w:t>
      </w:r>
      <w:r>
        <w:rPr>
          <w:rFonts w:ascii="Times New Roman" w:eastAsia="Times New Roman" w:hAnsi="Times New Roman" w:cs="Times New Roman"/>
          <w:color w:val="000000"/>
          <w:spacing w:val="0"/>
          <w:w w:val="100"/>
          <w:position w:val="0"/>
          <w:sz w:val="18"/>
          <w:szCs w:val="18"/>
        </w:rPr>
        <w:t>340.00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sz w:val="18"/>
          <w:szCs w:val="18"/>
        </w:rPr>
        <w:t>14,101.0659</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2.41%</w:t>
      </w:r>
      <w:r>
        <w:rPr>
          <w:color w:val="000000"/>
          <w:spacing w:val="0"/>
          <w:w w:val="100"/>
          <w:position w:val="0"/>
        </w:rPr>
        <w:t>，首次授予部分占本次授予权益 总额的</w:t>
      </w:r>
      <w:r>
        <w:rPr>
          <w:rFonts w:ascii="Times New Roman" w:eastAsia="Times New Roman" w:hAnsi="Times New Roman" w:cs="Times New Roman"/>
          <w:color w:val="000000"/>
          <w:spacing w:val="0"/>
          <w:w w:val="100"/>
          <w:position w:val="0"/>
          <w:sz w:val="18"/>
          <w:szCs w:val="18"/>
        </w:rPr>
        <w:t>94.44%</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万股，占本激励计划草案公告时公司股本总额</w:t>
      </w:r>
      <w:r>
        <w:rPr>
          <w:rFonts w:ascii="Times New Roman" w:eastAsia="Times New Roman" w:hAnsi="Times New Roman" w:cs="Times New Roman"/>
          <w:color w:val="000000"/>
          <w:spacing w:val="0"/>
          <w:w w:val="100"/>
          <w:position w:val="0"/>
          <w:sz w:val="18"/>
          <w:szCs w:val="18"/>
        </w:rPr>
        <w:t>14,101.0659</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0.14%</w:t>
      </w:r>
      <w:r>
        <w:rPr>
          <w:color w:val="000000"/>
          <w:spacing w:val="0"/>
          <w:w w:val="100"/>
          <w:position w:val="0"/>
        </w:rPr>
        <w:t>，预留部分占本次授予权益 总额的</w:t>
      </w:r>
      <w:r>
        <w:rPr>
          <w:rFonts w:ascii="Times New Roman" w:eastAsia="Times New Roman" w:hAnsi="Times New Roman" w:cs="Times New Roman"/>
          <w:color w:val="000000"/>
          <w:spacing w:val="0"/>
          <w:w w:val="100"/>
          <w:position w:val="0"/>
          <w:sz w:val="18"/>
          <w:szCs w:val="18"/>
        </w:rPr>
        <w:t>5.56%</w:t>
      </w:r>
      <w:r>
        <w:rPr>
          <w:color w:val="000000"/>
          <w:spacing w:val="0"/>
          <w:w w:val="100"/>
          <w:position w:val="0"/>
        </w:rPr>
        <w:t>。截至本激励计划实施前，公司没有正在执行的股权激励计划。本激励计划中任何一名激励对象通过全部有效 期内的股权激励计划获授的公司限制性股票数量，累计未超过公司股本总额的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1"/>
        <w:keepNext w:val="0"/>
        <w:keepLines w:val="0"/>
        <w:widowControl w:val="0"/>
        <w:shd w:val="clear" w:color="auto" w:fill="auto"/>
        <w:tabs>
          <w:tab w:pos="710" w:val="left"/>
        </w:tabs>
        <w:bidi w:val="0"/>
        <w:spacing w:before="0" w:after="0" w:line="360" w:lineRule="auto"/>
        <w:ind w:left="0" w:right="0" w:firstLine="380"/>
        <w:jc w:val="left"/>
      </w:pPr>
      <w:bookmarkStart w:id="419" w:name="bookmark419"/>
      <w:r>
        <w:rPr>
          <w:rFonts w:ascii="Times New Roman" w:eastAsia="Times New Roman" w:hAnsi="Times New Roman" w:cs="Times New Roman"/>
          <w:color w:val="000000"/>
          <w:spacing w:val="0"/>
          <w:w w:val="100"/>
          <w:position w:val="0"/>
          <w:sz w:val="18"/>
          <w:szCs w:val="18"/>
        </w:rPr>
        <w:t>3</w:t>
      </w:r>
      <w:bookmarkEnd w:id="419"/>
      <w:r>
        <w:rPr>
          <w:color w:val="000000"/>
          <w:spacing w:val="0"/>
          <w:w w:val="100"/>
          <w:position w:val="0"/>
        </w:rPr>
        <w:t>、</w:t>
        <w:tab/>
        <w:t>本激励计划首次授予限制性股票的授予价格为</w:t>
      </w:r>
      <w:r>
        <w:rPr>
          <w:rFonts w:ascii="Times New Roman" w:eastAsia="Times New Roman" w:hAnsi="Times New Roman" w:cs="Times New Roman"/>
          <w:color w:val="000000"/>
          <w:spacing w:val="0"/>
          <w:w w:val="100"/>
          <w:position w:val="0"/>
          <w:sz w:val="18"/>
          <w:szCs w:val="18"/>
        </w:rPr>
        <w:t>18.24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1"/>
        <w:keepNext w:val="0"/>
        <w:keepLines w:val="0"/>
        <w:widowControl w:val="0"/>
        <w:shd w:val="clear" w:color="auto" w:fill="auto"/>
        <w:bidi w:val="0"/>
        <w:spacing w:before="0" w:line="312" w:lineRule="exact"/>
        <w:ind w:left="0" w:right="0" w:firstLine="380"/>
        <w:jc w:val="left"/>
      </w:pPr>
      <w:r>
        <w:rPr>
          <w:color w:val="000000"/>
          <w:spacing w:val="0"/>
          <w:w w:val="100"/>
          <w:position w:val="0"/>
        </w:rPr>
        <w:t>在本激励计划公告当日至激励对象获授的限制性股票归属前，若公司发生资本公积转增股本、派发股票红利、股份拆细 或缩股、配股、派息等事宜，限制性股票的授予价格或授予数量将根据本激励计划予以相应的调整。</w:t>
      </w:r>
    </w:p>
    <w:p>
      <w:pPr>
        <w:pStyle w:val="Style21"/>
        <w:keepNext w:val="0"/>
        <w:keepLines w:val="0"/>
        <w:widowControl w:val="0"/>
        <w:shd w:val="clear" w:color="auto" w:fill="auto"/>
        <w:tabs>
          <w:tab w:pos="603" w:val="left"/>
        </w:tabs>
        <w:bidi w:val="0"/>
        <w:spacing w:before="0" w:after="0" w:line="307" w:lineRule="exact"/>
        <w:ind w:left="0" w:right="0" w:firstLine="380"/>
        <w:jc w:val="left"/>
      </w:pPr>
      <w:bookmarkStart w:id="420" w:name="bookmark420"/>
      <w:r>
        <w:rPr>
          <w:rFonts w:ascii="Times New Roman" w:eastAsia="Times New Roman" w:hAnsi="Times New Roman" w:cs="Times New Roman"/>
          <w:color w:val="000000"/>
          <w:spacing w:val="0"/>
          <w:w w:val="100"/>
          <w:position w:val="0"/>
          <w:sz w:val="18"/>
          <w:szCs w:val="18"/>
        </w:rPr>
        <w:t>4</w:t>
      </w:r>
      <w:bookmarkEnd w:id="420"/>
      <w:r>
        <w:rPr>
          <w:color w:val="000000"/>
          <w:spacing w:val="0"/>
          <w:w w:val="100"/>
          <w:position w:val="0"/>
        </w:rPr>
        <w:t>、</w:t>
        <w:tab/>
        <w:t>本激励计划首次授予的激励对象总人数为</w:t>
      </w:r>
      <w:r>
        <w:rPr>
          <w:rFonts w:ascii="Times New Roman" w:eastAsia="Times New Roman" w:hAnsi="Times New Roman" w:cs="Times New Roman"/>
          <w:color w:val="000000"/>
          <w:spacing w:val="0"/>
          <w:w w:val="100"/>
          <w:position w:val="0"/>
          <w:sz w:val="18"/>
          <w:szCs w:val="18"/>
        </w:rPr>
        <w:t>292</w:t>
      </w:r>
      <w:r>
        <w:rPr>
          <w:color w:val="000000"/>
          <w:spacing w:val="0"/>
          <w:w w:val="100"/>
          <w:position w:val="0"/>
        </w:rPr>
        <w:t>人，均为公司公告本计划时在公司（含控股子公司，下同）任职的技术 （业务）骨干。本激励计划的激励对象不包括独立董事、监事，也不包括单独或合计持有公司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以上股份的股东或实际控</w:t>
      </w:r>
    </w:p>
    <w:p>
      <w:pPr>
        <w:pStyle w:val="Style21"/>
        <w:keepNext w:val="0"/>
        <w:keepLines w:val="0"/>
        <w:widowControl w:val="0"/>
        <w:shd w:val="clear" w:color="auto" w:fill="auto"/>
        <w:bidi w:val="0"/>
        <w:spacing w:before="0" w:line="307" w:lineRule="exact"/>
        <w:ind w:left="0" w:right="0" w:firstLine="0"/>
        <w:jc w:val="left"/>
      </w:pPr>
      <w:r>
        <w:rPr>
          <w:color w:val="000000"/>
          <w:spacing w:val="0"/>
          <w:w w:val="100"/>
          <w:position w:val="0"/>
        </w:rPr>
        <w:t>制人及其配偶、父母、子女以及外籍员工。</w:t>
      </w:r>
    </w:p>
    <w:p>
      <w:pPr>
        <w:pStyle w:val="Style21"/>
        <w:keepNext w:val="0"/>
        <w:keepLines w:val="0"/>
        <w:widowControl w:val="0"/>
        <w:shd w:val="clear" w:color="auto" w:fill="auto"/>
        <w:bidi w:val="0"/>
        <w:spacing w:before="0" w:after="240" w:line="317" w:lineRule="exact"/>
        <w:ind w:left="0" w:right="0" w:firstLine="380"/>
        <w:jc w:val="both"/>
      </w:pPr>
      <w:r>
        <w:rPr>
          <w:color w:val="000000"/>
          <w:spacing w:val="0"/>
          <w:w w:val="100"/>
          <w:position w:val="0"/>
        </w:rPr>
        <w:t>预留授予部分的激励对象由本计划经股东大会审议通过后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个月内确定，经董事会提出、独立董事及监事会发表明确意 见、律师发表专业意见并出具法律意见书后，公司在指定网站按要求及时准确披露当次激励对象相关信息。超过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个月未明 确激励对象的，预留权益失效。预留激励对象的确定标准参照首次授予的标准确定。</w:t>
      </w:r>
    </w:p>
    <w:p>
      <w:pPr>
        <w:pStyle w:val="Style21"/>
        <w:keepNext w:val="0"/>
        <w:keepLines w:val="0"/>
        <w:widowControl w:val="0"/>
        <w:shd w:val="clear" w:color="auto" w:fill="auto"/>
        <w:tabs>
          <w:tab w:pos="710" w:val="left"/>
        </w:tabs>
        <w:bidi w:val="0"/>
        <w:spacing w:before="0" w:after="0" w:line="360" w:lineRule="auto"/>
        <w:ind w:left="0" w:right="0" w:firstLine="380"/>
        <w:jc w:val="both"/>
      </w:pPr>
      <w:bookmarkStart w:id="421" w:name="bookmark421"/>
      <w:r>
        <w:rPr>
          <w:rFonts w:ascii="Times New Roman" w:eastAsia="Times New Roman" w:hAnsi="Times New Roman" w:cs="Times New Roman"/>
          <w:color w:val="000000"/>
          <w:spacing w:val="0"/>
          <w:w w:val="100"/>
          <w:position w:val="0"/>
          <w:sz w:val="18"/>
          <w:szCs w:val="18"/>
        </w:rPr>
        <w:t>5</w:t>
      </w:r>
      <w:bookmarkEnd w:id="421"/>
      <w:r>
        <w:rPr>
          <w:color w:val="000000"/>
          <w:spacing w:val="0"/>
          <w:w w:val="100"/>
          <w:position w:val="0"/>
        </w:rPr>
        <w:t>、</w:t>
        <w:tab/>
        <w:t>具体审议情况及信息披露情况如下：</w:t>
      </w:r>
    </w:p>
    <w:p>
      <w:pPr>
        <w:pStyle w:val="Style21"/>
        <w:keepNext w:val="0"/>
        <w:keepLines w:val="0"/>
        <w:widowControl w:val="0"/>
        <w:shd w:val="clear" w:color="auto" w:fill="auto"/>
        <w:bidi w:val="0"/>
        <w:spacing w:before="0" w:line="317" w:lineRule="exact"/>
        <w:ind w:left="0" w:right="0" w:firstLine="380"/>
        <w:jc w:val="both"/>
      </w:pPr>
      <w:bookmarkStart w:id="422" w:name="bookmark422"/>
      <w:r>
        <w:rPr>
          <w:color w:val="000000"/>
          <w:spacing w:val="0"/>
          <w:w w:val="100"/>
          <w:position w:val="0"/>
        </w:rPr>
        <w:t>（</w:t>
      </w:r>
      <w:bookmarkEnd w:id="42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日，公司召开第三届董事会第十次会议，审议通过了《关于公司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的议案》《关于提请股东大会授权董事会办 理股权激励相关事宜的议案》，独立董事对此发表同意的独立意见，北京市中伦律师事务所出具了法律意见书。</w:t>
      </w:r>
    </w:p>
    <w:p>
      <w:pPr>
        <w:pStyle w:val="Style21"/>
        <w:keepNext w:val="0"/>
        <w:keepLines w:val="0"/>
        <w:widowControl w:val="0"/>
        <w:shd w:val="clear" w:color="auto" w:fill="auto"/>
        <w:bidi w:val="0"/>
        <w:spacing w:before="0" w:line="317" w:lineRule="exact"/>
        <w:ind w:left="0" w:right="0" w:firstLine="380"/>
        <w:jc w:val="both"/>
      </w:pPr>
      <w:bookmarkStart w:id="423" w:name="bookmark423"/>
      <w:r>
        <w:rPr>
          <w:color w:val="000000"/>
          <w:spacing w:val="0"/>
          <w:w w:val="100"/>
          <w:position w:val="0"/>
        </w:rPr>
        <w:t>（</w:t>
      </w:r>
      <w:bookmarkEnd w:id="42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日，公司第三届监事会第九次会议，审议通过了《关于公司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其摘要的议案》《关于公司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的议案》《关于核实公司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年限制性股票激 </w:t>
      </w:r>
      <w:r>
        <w:rPr>
          <w:color w:val="000000"/>
          <w:spacing w:val="0"/>
          <w:w w:val="100"/>
          <w:position w:val="0"/>
        </w:rPr>
        <w:t>励计划首次授予激励对象名单</w:t>
      </w:r>
      <w:r>
        <w:rPr>
          <w:color w:val="000000"/>
          <w:spacing w:val="0"/>
          <w:w w:val="100"/>
          <w:position w:val="0"/>
          <w:sz w:val="18"/>
          <w:szCs w:val="18"/>
        </w:rPr>
        <w:t>〉</w:t>
      </w:r>
      <w:r>
        <w:rPr>
          <w:color w:val="000000"/>
          <w:spacing w:val="0"/>
          <w:w w:val="100"/>
          <w:position w:val="0"/>
        </w:rPr>
        <w:t>的议案》。</w:t>
      </w:r>
    </w:p>
    <w:p>
      <w:pPr>
        <w:pStyle w:val="Style21"/>
        <w:keepNext w:val="0"/>
        <w:keepLines w:val="0"/>
        <w:widowControl w:val="0"/>
        <w:shd w:val="clear" w:color="auto" w:fill="auto"/>
        <w:tabs>
          <w:tab w:pos="904" w:val="left"/>
        </w:tabs>
        <w:bidi w:val="0"/>
        <w:spacing w:before="0" w:line="315" w:lineRule="exact"/>
        <w:ind w:left="0" w:right="0" w:firstLine="380"/>
        <w:jc w:val="both"/>
      </w:pPr>
      <w:bookmarkStart w:id="424" w:name="bookmark424"/>
      <w:r>
        <w:rPr>
          <w:color w:val="000000"/>
          <w:spacing w:val="0"/>
          <w:w w:val="100"/>
          <w:position w:val="0"/>
        </w:rPr>
        <w:t>（</w:t>
      </w:r>
      <w:bookmarkEnd w:id="42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日，公司对首次授予激励对象姓名及职务在公司网站公示，公示时间自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日，公司监事会对《</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年限制性股票激励计划首次授予激励对象名单》发表了审核意见及公示情况说明， 公司监事会认为，列入本次激励计划的激励对象均符合相关法律、法规及规范性文件所规定的条件，其作为本次激励计划的 激励对象合法、有效。</w:t>
      </w:r>
    </w:p>
    <w:p>
      <w:pPr>
        <w:pStyle w:val="Style21"/>
        <w:keepNext w:val="0"/>
        <w:keepLines w:val="0"/>
        <w:widowControl w:val="0"/>
        <w:shd w:val="clear" w:color="auto" w:fill="auto"/>
        <w:tabs>
          <w:tab w:pos="909" w:val="left"/>
        </w:tabs>
        <w:bidi w:val="0"/>
        <w:spacing w:before="0" w:line="317" w:lineRule="exact"/>
        <w:ind w:left="0" w:right="0" w:firstLine="380"/>
        <w:jc w:val="both"/>
      </w:pPr>
      <w:bookmarkStart w:id="425" w:name="bookmark425"/>
      <w:r>
        <w:rPr>
          <w:color w:val="000000"/>
          <w:spacing w:val="0"/>
          <w:w w:val="100"/>
          <w:position w:val="0"/>
        </w:rPr>
        <w:t>（</w:t>
      </w:r>
      <w:bookmarkEnd w:id="42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年限制性股票激励计划实施考核管理办法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的议案》《关于提请股东大会授权董事会办 理股权激励相关事宜的议案》，并公告了《关于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年限制性股票激励计划内幕信息知情人及激励对象买卖公司股票情况的 自查报告》，未发现利用内幕信息进行股票交易的情形。</w:t>
      </w:r>
    </w:p>
    <w:p>
      <w:pPr>
        <w:pStyle w:val="Style21"/>
        <w:keepNext w:val="0"/>
        <w:keepLines w:val="0"/>
        <w:widowControl w:val="0"/>
        <w:shd w:val="clear" w:color="auto" w:fill="auto"/>
        <w:bidi w:val="0"/>
        <w:spacing w:before="0" w:line="314" w:lineRule="exact"/>
        <w:ind w:left="0" w:right="0" w:firstLine="380"/>
        <w:jc w:val="both"/>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日，公司召开第三届董事会十一次会议、第三届监事会第十次会议，审议通过了《关于向激励对象首 次授予限制性股票的议案》，公司监事会出具了《关于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年限制性股票激励计划首次授予激励对象名单（授予日）的核查 意见》。公司独立董事就该议案发表了同意的独立意见。北京市中伦律师事务所出具了法律意见书。</w:t>
      </w:r>
    </w:p>
    <w:p>
      <w:pPr>
        <w:pStyle w:val="Style21"/>
        <w:keepNext w:val="0"/>
        <w:keepLines w:val="0"/>
        <w:widowControl w:val="0"/>
        <w:shd w:val="clear" w:color="auto" w:fill="auto"/>
        <w:bidi w:val="0"/>
        <w:spacing w:before="0" w:line="315" w:lineRule="exact"/>
        <w:ind w:left="0" w:right="0" w:firstLine="0"/>
        <w:jc w:val="left"/>
      </w:pPr>
      <w:r>
        <w:rPr>
          <w:color w:val="000000"/>
          <w:spacing w:val="0"/>
          <w:w w:val="100"/>
          <w:position w:val="0"/>
        </w:rPr>
        <w:t>董事、高级管理人员获得的股权激励情况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line="315" w:lineRule="exact"/>
        <w:ind w:left="0" w:right="0" w:firstLine="0"/>
        <w:jc w:val="left"/>
      </w:pPr>
      <w:r>
        <w:rPr>
          <w:color w:val="000000"/>
          <w:spacing w:val="0"/>
          <w:w w:val="100"/>
          <w:position w:val="0"/>
        </w:rPr>
        <w:t>高级管理人员的考评机制及激励情况</w:t>
      </w:r>
    </w:p>
    <w:p>
      <w:pPr>
        <w:pStyle w:val="Style21"/>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公司高级管理人员实行基本年薪和绩效年薪考核相结合的薪酬制度，其中基本年薪按月发放，绩效年薪根据公司年度经 营目标以及在公司担任的职务，按公司年初制定的经营目标任务，结合目标任务的实际完成情况，进行绩效考核与激励。</w:t>
      </w:r>
    </w:p>
    <w:p>
      <w:pPr>
        <w:pStyle w:val="Style31"/>
        <w:keepNext/>
        <w:keepLines/>
        <w:widowControl w:val="0"/>
        <w:shd w:val="clear" w:color="auto" w:fill="auto"/>
        <w:tabs>
          <w:tab w:pos="376"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w:t>
        <w:tab/>
        <w:t>员工持股计划的实施情况</w:t>
      </w:r>
      <w:bookmarkEnd w:id="427"/>
      <w:bookmarkEnd w:id="428"/>
      <w:bookmarkEnd w:id="430"/>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6"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3</w:t>
      </w:r>
      <w:bookmarkEnd w:id="433"/>
      <w:r>
        <w:rPr>
          <w:color w:val="000000"/>
          <w:spacing w:val="0"/>
          <w:w w:val="100"/>
          <w:position w:val="0"/>
        </w:rPr>
        <w:t>、</w:t>
        <w:tab/>
        <w:t>其他员工激励措施</w:t>
      </w:r>
      <w:bookmarkEnd w:id="431"/>
      <w:bookmarkEnd w:id="432"/>
      <w:bookmarkEnd w:id="434"/>
    </w:p>
    <w:p>
      <w:pPr>
        <w:pStyle w:val="Style21"/>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38"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公司在报告期内因实施股权激励计提的费用为</w:t>
      </w:r>
      <w:r>
        <w:rPr>
          <w:rFonts w:ascii="Times New Roman" w:eastAsia="Times New Roman" w:hAnsi="Times New Roman" w:cs="Times New Roman"/>
          <w:color w:val="000000"/>
          <w:spacing w:val="0"/>
          <w:w w:val="100"/>
          <w:position w:val="0"/>
          <w:sz w:val="18"/>
          <w:szCs w:val="18"/>
        </w:rPr>
        <w:t>6,929,726.5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元，对上市公司净利润影响金额为</w:t>
      </w:r>
      <w:r>
        <w:rPr>
          <w:rFonts w:ascii="Times New Roman" w:eastAsia="Times New Roman" w:hAnsi="Times New Roman" w:cs="Times New Roman"/>
          <w:color w:val="000000"/>
          <w:spacing w:val="0"/>
          <w:w w:val="100"/>
          <w:position w:val="0"/>
          <w:sz w:val="18"/>
          <w:szCs w:val="18"/>
        </w:rPr>
        <w:t>6,929,726.5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元。其中，核 心技术人员的股权激励费用为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元，占公司当期股权激励费用的比重为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435" w:name="bookmark435"/>
      <w:bookmarkStart w:id="436" w:name="bookmark436"/>
      <w:bookmarkStart w:id="437" w:name="bookmark437"/>
      <w:r>
        <w:rPr>
          <w:color w:val="000000"/>
          <w:spacing w:val="0"/>
          <w:w w:val="100"/>
          <w:position w:val="0"/>
        </w:rPr>
        <w:t>十四、报告期内的内部控制制度建设及实施情况</w:t>
      </w:r>
      <w:bookmarkEnd w:id="435"/>
      <w:bookmarkEnd w:id="436"/>
      <w:bookmarkEnd w:id="437"/>
    </w:p>
    <w:p>
      <w:pPr>
        <w:pStyle w:val="Style31"/>
        <w:keepNext/>
        <w:keepLines/>
        <w:widowControl w:val="0"/>
        <w:shd w:val="clear" w:color="auto" w:fill="auto"/>
        <w:tabs>
          <w:tab w:pos="367" w:val="left"/>
        </w:tabs>
        <w:bidi w:val="0"/>
        <w:spacing w:before="0" w:after="28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w:t>
        <w:tab/>
        <w:t>内部控制建设及实施情况</w:t>
      </w:r>
      <w:bookmarkEnd w:id="438"/>
      <w:bookmarkEnd w:id="439"/>
      <w:bookmarkEnd w:id="441"/>
    </w:p>
    <w:p>
      <w:pPr>
        <w:pStyle w:val="Style21"/>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报告期内，公司进一步完善内控制度建设，强化内部审计监督，提高公司的经营管理水平和风险防范水平。梳理完善董 事会审计委员会及内部审计部门的职能职责，强化在董事会领导下行使监督权，加强内审部门对公司内部控制制度执行情况 的监督力度，提高内部审计工作的深度和广度。持续强化董事会及关键岗位的内控意识和责任，强化合规经营意识，确保内 部控制制度得到有效执行，提升公司规范运作水平，促进公司健康可持续发展。</w:t>
      </w:r>
    </w:p>
    <w:p>
      <w:pPr>
        <w:pStyle w:val="Style31"/>
        <w:keepNext/>
        <w:keepLines/>
        <w:widowControl w:val="0"/>
        <w:shd w:val="clear" w:color="auto" w:fill="auto"/>
        <w:tabs>
          <w:tab w:pos="376" w:val="left"/>
        </w:tabs>
        <w:bidi w:val="0"/>
        <w:spacing w:before="0" w:after="38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报告期内发现的内部控制重大缺陷的具体情况</w:t>
      </w:r>
      <w:bookmarkEnd w:id="442"/>
      <w:bookmarkEnd w:id="443"/>
      <w:bookmarkEnd w:id="445"/>
    </w:p>
    <w:p>
      <w:pPr>
        <w:pStyle w:val="Style21"/>
        <w:keepNext w:val="0"/>
        <w:keepLines w:val="0"/>
        <w:widowControl w:val="0"/>
        <w:shd w:val="clear" w:color="auto" w:fill="auto"/>
        <w:bidi w:val="0"/>
        <w:spacing w:before="0" w:after="32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5"/>
        <w:keepNext/>
        <w:keepLines/>
        <w:widowControl w:val="0"/>
        <w:shd w:val="clear" w:color="auto" w:fill="auto"/>
        <w:bidi w:val="0"/>
        <w:spacing w:before="0" w:after="320" w:line="240" w:lineRule="auto"/>
        <w:ind w:left="0" w:right="0" w:firstLine="0"/>
        <w:jc w:val="left"/>
      </w:pPr>
      <w:bookmarkStart w:id="446" w:name="bookmark446"/>
      <w:bookmarkStart w:id="447" w:name="bookmark447"/>
      <w:bookmarkStart w:id="448" w:name="bookmark448"/>
      <w:r>
        <w:rPr>
          <w:color w:val="000000"/>
          <w:spacing w:val="0"/>
          <w:w w:val="100"/>
          <w:position w:val="0"/>
        </w:rPr>
        <w:t>十五、公司报告期内对子公司的管理控制情况</w:t>
      </w:r>
      <w:bookmarkEnd w:id="446"/>
      <w:bookmarkEnd w:id="447"/>
      <w:bookmarkEnd w:id="448"/>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49" w:name="bookmark449"/>
      <w:bookmarkStart w:id="450" w:name="bookmark450"/>
      <w:bookmarkStart w:id="451" w:name="bookmark451"/>
      <w:r>
        <w:rPr>
          <w:color w:val="000000"/>
          <w:spacing w:val="0"/>
          <w:w w:val="100"/>
          <w:position w:val="0"/>
        </w:rPr>
        <w:t>十六、内部控制自我评价报告或内部控制审计报告</w:t>
      </w:r>
      <w:bookmarkEnd w:id="449"/>
      <w:bookmarkEnd w:id="450"/>
      <w:bookmarkEnd w:id="451"/>
    </w:p>
    <w:p>
      <w:pPr>
        <w:pStyle w:val="Style31"/>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1</w:t>
      </w:r>
      <w:bookmarkEnd w:id="454"/>
      <w:r>
        <w:rPr>
          <w:color w:val="000000"/>
          <w:spacing w:val="0"/>
          <w:w w:val="100"/>
          <w:position w:val="0"/>
        </w:rPr>
        <w:t>、内控自我评价报告</w:t>
      </w:r>
      <w:bookmarkEnd w:id="452"/>
      <w:bookmarkEnd w:id="453"/>
      <w:bookmarkEnd w:id="45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巨潮资讯网</w:t>
            </w:r>
            <w:r>
              <w:rPr>
                <w:rFonts w:ascii="Times New Roman" w:eastAsia="Times New Roman" w:hAnsi="Times New Roman" w:cs="Times New Roman"/>
                <w:color w:val="000000"/>
                <w:spacing w:val="0"/>
                <w:w w:val="100"/>
                <w:position w:val="0"/>
                <w:sz w:val="18"/>
                <w:szCs w:val="18"/>
              </w:rPr>
              <w:t>(www. cninfo .com. cn)</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44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出现下列情形的，认定为存在财务报告内 部控制重大缺陷：</w:t>
            </w:r>
          </w:p>
          <w:p>
            <w:pPr>
              <w:pStyle w:val="Style2"/>
              <w:keepNext w:val="0"/>
              <w:keepLines w:val="0"/>
              <w:widowControl w:val="0"/>
              <w:shd w:val="clear" w:color="auto" w:fill="auto"/>
              <w:tabs>
                <w:tab w:pos="360"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公司控制环境无效</w:t>
            </w:r>
          </w:p>
          <w:p>
            <w:pPr>
              <w:pStyle w:val="Style2"/>
              <w:keepNext w:val="0"/>
              <w:keepLines w:val="0"/>
              <w:widowControl w:val="0"/>
              <w:shd w:val="clear" w:color="auto" w:fill="auto"/>
              <w:tabs>
                <w:tab w:pos="422"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公司董事、监事和高级管理人员的舞 弊行为并给企业造成重大损失和不利影响</w:t>
            </w:r>
          </w:p>
          <w:p>
            <w:pPr>
              <w:pStyle w:val="Style2"/>
              <w:keepNext w:val="0"/>
              <w:keepLines w:val="0"/>
              <w:widowControl w:val="0"/>
              <w:shd w:val="clear" w:color="auto" w:fill="auto"/>
              <w:tabs>
                <w:tab w:pos="384"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注册会计师发现当期财务报告存在重 大错报，而公司内部控制在运行过程中未 能发现该错报</w:t>
            </w:r>
          </w:p>
          <w:p>
            <w:pPr>
              <w:pStyle w:val="Style2"/>
              <w:keepNext w:val="0"/>
              <w:keepLines w:val="0"/>
              <w:widowControl w:val="0"/>
              <w:shd w:val="clear" w:color="auto" w:fill="auto"/>
              <w:tabs>
                <w:tab w:pos="413"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已经发现并报告给管理层的重要缺陷 在合理的时间内未加以改正</w:t>
            </w:r>
          </w:p>
          <w:p>
            <w:pPr>
              <w:pStyle w:val="Style2"/>
              <w:keepNext w:val="0"/>
              <w:keepLines w:val="0"/>
              <w:widowControl w:val="0"/>
              <w:shd w:val="clear" w:color="auto" w:fill="auto"/>
              <w:tabs>
                <w:tab w:pos="389" w:val="left"/>
              </w:tabs>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公司审计委员会和内部审计机构对内 部控制的监督无效</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出现下列情形的，认定为存在财务报告内 部控制重要缺陷：</w:t>
            </w:r>
          </w:p>
          <w:p>
            <w:pPr>
              <w:pStyle w:val="Style2"/>
              <w:keepNext w:val="0"/>
              <w:keepLines w:val="0"/>
              <w:widowControl w:val="0"/>
              <w:shd w:val="clear" w:color="auto" w:fill="auto"/>
              <w:tabs>
                <w:tab w:pos="398"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未依照公认会计准则选择和应用会计 政策</w:t>
            </w:r>
          </w:p>
          <w:p>
            <w:pPr>
              <w:pStyle w:val="Style2"/>
              <w:keepNext w:val="0"/>
              <w:keepLines w:val="0"/>
              <w:widowControl w:val="0"/>
              <w:shd w:val="clear" w:color="auto" w:fill="auto"/>
              <w:tabs>
                <w:tab w:pos="360"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未建立反舞弊程序和控制措施</w:t>
            </w:r>
          </w:p>
          <w:p>
            <w:pPr>
              <w:pStyle w:val="Style2"/>
              <w:keepNext w:val="0"/>
              <w:keepLines w:val="0"/>
              <w:widowControl w:val="0"/>
              <w:shd w:val="clear" w:color="auto" w:fill="auto"/>
              <w:tabs>
                <w:tab w:pos="384"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对于非常规或特殊交易的账务处理没 有建立相应的控制机制或没有实施且没有 应的控制性措施</w:t>
            </w:r>
          </w:p>
          <w:p>
            <w:pPr>
              <w:pStyle w:val="Style2"/>
              <w:keepNext w:val="0"/>
              <w:keepLines w:val="0"/>
              <w:widowControl w:val="0"/>
              <w:shd w:val="clear" w:color="auto" w:fill="auto"/>
              <w:tabs>
                <w:tab w:pos="442" w:val="left"/>
              </w:tabs>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财务报告过程中出现单独或多项缺 陷，虽然未达到重大缺陷认定标准，但影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重大缺陷：</w:t>
            </w:r>
          </w:p>
          <w:p>
            <w:pPr>
              <w:pStyle w:val="Style2"/>
              <w:keepNext w:val="0"/>
              <w:keepLines w:val="0"/>
              <w:widowControl w:val="0"/>
              <w:shd w:val="clear" w:color="auto" w:fill="auto"/>
              <w:tabs>
                <w:tab w:pos="456"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公司经营活动严重违反国家法律 法规</w:t>
            </w:r>
          </w:p>
          <w:p>
            <w:pPr>
              <w:pStyle w:val="Style2"/>
              <w:keepNext w:val="0"/>
              <w:keepLines w:val="0"/>
              <w:widowControl w:val="0"/>
              <w:shd w:val="clear" w:color="auto" w:fill="auto"/>
              <w:tabs>
                <w:tab w:pos="451"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媒体负面新闻频频曝光，对公司 声誉造成重大损害</w:t>
            </w:r>
          </w:p>
          <w:p>
            <w:pPr>
              <w:pStyle w:val="Style2"/>
              <w:keepNext w:val="0"/>
              <w:keepLines w:val="0"/>
              <w:widowControl w:val="0"/>
              <w:shd w:val="clear" w:color="auto" w:fill="auto"/>
              <w:tabs>
                <w:tab w:pos="451"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公司高级管理人员和核心技术人 员严重流失</w:t>
            </w:r>
          </w:p>
          <w:p>
            <w:pPr>
              <w:pStyle w:val="Style2"/>
              <w:keepNext w:val="0"/>
              <w:keepLines w:val="0"/>
              <w:widowControl w:val="0"/>
              <w:shd w:val="clear" w:color="auto" w:fill="auto"/>
              <w:tabs>
                <w:tab w:pos="446"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重要业务缺乏制度控制或制度系 统性失效</w:t>
            </w:r>
          </w:p>
          <w:p>
            <w:pPr>
              <w:pStyle w:val="Style2"/>
              <w:keepNext w:val="0"/>
              <w:keepLines w:val="0"/>
              <w:widowControl w:val="0"/>
              <w:shd w:val="clear" w:color="auto" w:fill="auto"/>
              <w:tabs>
                <w:tab w:pos="446"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内部控制评价的结果特别是重大 缺陷或重要缺陷未得到整改</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重要缺陷：</w:t>
            </w:r>
          </w:p>
          <w:p>
            <w:pPr>
              <w:pStyle w:val="Style2"/>
              <w:keepNext w:val="0"/>
              <w:keepLines w:val="0"/>
              <w:widowControl w:val="0"/>
              <w:shd w:val="clear" w:color="auto" w:fill="auto"/>
              <w:tabs>
                <w:tab w:pos="456" w:val="left"/>
              </w:tabs>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公司违反国家法律法规受到轻微 处罚</w:t>
            </w:r>
          </w:p>
          <w:p>
            <w:pPr>
              <w:pStyle w:val="Style2"/>
              <w:keepNext w:val="0"/>
              <w:keepLines w:val="0"/>
              <w:widowControl w:val="0"/>
              <w:shd w:val="clear" w:color="auto" w:fill="auto"/>
              <w:tabs>
                <w:tab w:pos="355"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关键岗位业务人员流失严重</w:t>
            </w:r>
          </w:p>
          <w:p>
            <w:pPr>
              <w:pStyle w:val="Style2"/>
              <w:keepNext w:val="0"/>
              <w:keepLines w:val="0"/>
              <w:widowControl w:val="0"/>
              <w:shd w:val="clear" w:color="auto" w:fill="auto"/>
              <w:tabs>
                <w:tab w:pos="451"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媒体出现负面新闻，波及局部区 域</w:t>
            </w:r>
          </w:p>
          <w:p>
            <w:pPr>
              <w:pStyle w:val="Style2"/>
              <w:keepNext w:val="0"/>
              <w:keepLines w:val="0"/>
              <w:widowControl w:val="0"/>
              <w:shd w:val="clear" w:color="auto" w:fill="auto"/>
              <w:tabs>
                <w:tab w:pos="442"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重要业务制度控制或系统存在缺 陷</w:t>
            </w:r>
          </w:p>
          <w:p>
            <w:pPr>
              <w:pStyle w:val="Style2"/>
              <w:keepNext w:val="0"/>
              <w:keepLines w:val="0"/>
              <w:widowControl w:val="0"/>
              <w:shd w:val="clear" w:color="auto" w:fill="auto"/>
              <w:tabs>
                <w:tab w:pos="374" w:val="left"/>
              </w:tabs>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内部控制重要缺陷未得到整改</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一般缺陷：</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）违反企业内部规章，但未形成损</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6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响到财务报告达到真实、准确的目标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一般缺陷是指除上述重大缺陷、重要缺陷 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失</w:t>
            </w:r>
          </w:p>
          <w:p>
            <w:pPr>
              <w:pStyle w:val="Style2"/>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一般岗位业务人员流失严重</w:t>
            </w:r>
          </w:p>
          <w:p>
            <w:pPr>
              <w:pStyle w:val="Style2"/>
              <w:keepNext w:val="0"/>
              <w:keepLines w:val="0"/>
              <w:widowControl w:val="0"/>
              <w:shd w:val="clear" w:color="auto" w:fill="auto"/>
              <w:tabs>
                <w:tab w:pos="355"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媒体出现一般负面新闻</w:t>
            </w:r>
          </w:p>
          <w:p>
            <w:pPr>
              <w:pStyle w:val="Style2"/>
              <w:keepNext w:val="0"/>
              <w:keepLines w:val="0"/>
              <w:widowControl w:val="0"/>
              <w:shd w:val="clear" w:color="auto" w:fill="auto"/>
              <w:tabs>
                <w:tab w:pos="336"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一般业务制度或系统存在缺陷</w:t>
            </w:r>
          </w:p>
          <w:p>
            <w:pPr>
              <w:pStyle w:val="Style2"/>
              <w:keepNext w:val="0"/>
              <w:keepLines w:val="0"/>
              <w:widowControl w:val="0"/>
              <w:shd w:val="clear" w:color="auto" w:fill="auto"/>
              <w:tabs>
                <w:tab w:pos="374" w:val="left"/>
              </w:tabs>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内部控制一般缺陷未得到整改</w:t>
            </w:r>
          </w:p>
        </w:tc>
      </w:tr>
      <w:tr>
        <w:trPr>
          <w:trHeight w:val="64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公司确定的财务报告内部控制缺陷评价的 定量标准如下：</w:t>
            </w:r>
          </w:p>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内部控制缺陷可能导致或导致的损失与 利润表相关的，以营业收入指标衡量。</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则认定为一般缺陷；如果等于或超过营业 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，则认定为重要缺陷； 如果等于或超过营业收入的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 为重大缺陷。</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内部控制缺陷可能导致或导致的损失与资 产管理相关的，以资产总额指标衡量。</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如果该缺陷单独或连同其他缺陷可能导致 的财务报告错报金额小于资产总额的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，则认定为一般缺陷；如果等于或超过 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，则认定为重 要缺陷；如果等于或超过资产总额的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评价的定量标准如下：</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内部控制缺陷可能导致或导致的损失 与利润表相关的，以营业收入指标衡 量。</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如果该缺陷单独或连同其他缺陷可能 导致的财务报告错报金额小于营业收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，则认定为一般缺陷；如果等 于或超过营业收入的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则认定为重要缺陷；如果等于或超过营 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，则认定为重大缺陷。</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内部控制缺陷可能导致或导致的损失 与资产管理相关的，以资产总额指标衡 量。如果该缺陷单独或连同其他缺陷可 能导致的财务报告错报金额小于资产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 等于或超过资产总额的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，则认定为重要缺陷；如果等于或 超过资产总额的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 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2</w:t>
      </w:r>
      <w:bookmarkEnd w:id="458"/>
      <w:r>
        <w:rPr>
          <w:color w:val="000000"/>
          <w:spacing w:val="0"/>
          <w:w w:val="100"/>
          <w:position w:val="0"/>
        </w:rPr>
        <w:t>、内部控制审计报告或鉴证报告</w:t>
      </w:r>
      <w:bookmarkEnd w:id="456"/>
      <w:bookmarkEnd w:id="457"/>
      <w:bookmarkEnd w:id="459"/>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r>
        <w:rPr>
          <w:color w:val="000000"/>
          <w:spacing w:val="0"/>
          <w:w w:val="100"/>
          <w:position w:val="0"/>
        </w:rPr>
        <w:t>十七、上市公司治理专项行动自查问题整改情况</w:t>
      </w:r>
      <w:bookmarkEnd w:id="460"/>
      <w:bookmarkEnd w:id="461"/>
      <w:bookmarkEnd w:id="46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13"/>
        <w:keepNext/>
        <w:keepLines/>
        <w:widowControl w:val="0"/>
        <w:shd w:val="clear" w:color="auto" w:fill="auto"/>
        <w:bidi w:val="0"/>
        <w:spacing w:before="0" w:line="240" w:lineRule="auto"/>
        <w:ind w:left="0" w:right="0" w:firstLine="0"/>
        <w:jc w:val="center"/>
      </w:pPr>
      <w:bookmarkStart w:id="463" w:name="bookmark463"/>
      <w:bookmarkStart w:id="464" w:name="bookmark464"/>
      <w:bookmarkStart w:id="465" w:name="bookmark465"/>
      <w:r>
        <w:rPr>
          <w:color w:val="000000"/>
          <w:spacing w:val="0"/>
          <w:w w:val="100"/>
          <w:position w:val="0"/>
        </w:rPr>
        <w:t>第五节环境和社会责任</w:t>
      </w:r>
      <w:bookmarkEnd w:id="463"/>
      <w:bookmarkEnd w:id="464"/>
      <w:bookmarkEnd w:id="465"/>
    </w:p>
    <w:p>
      <w:pPr>
        <w:pStyle w:val="Style25"/>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bookmarkStart w:id="470" w:name="bookmark470"/>
      <w:r>
        <w:rPr>
          <w:color w:val="000000"/>
          <w:spacing w:val="0"/>
          <w:w w:val="100"/>
          <w:position w:val="0"/>
        </w:rPr>
        <w:t>一</w:t>
      </w:r>
      <w:bookmarkEnd w:id="469"/>
      <w:r>
        <w:rPr>
          <w:color w:val="000000"/>
          <w:spacing w:val="0"/>
          <w:w w:val="100"/>
          <w:position w:val="0"/>
        </w:rPr>
        <w:t>、重大环保问题</w:t>
      </w:r>
      <w:bookmarkEnd w:id="467"/>
      <w:bookmarkEnd w:id="468"/>
      <w:bookmarkEnd w:id="470"/>
      <w:bookmarkEnd w:id="466"/>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参照重点排污单位披露的其他环境信息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不适用</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在报告期内为减少其碳排放所采取的措施及效果</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未披露其他环境信息的原因</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公司及子公司的主营业务为软件研发与实施，不属于环境保护部门公布的重点排污单位，不存在因环境问题受到行政处罚的 情况。</w:t>
      </w:r>
    </w:p>
    <w:p>
      <w:pPr>
        <w:pStyle w:val="Style25"/>
        <w:keepNext/>
        <w:keepLines/>
        <w:widowControl w:val="0"/>
        <w:shd w:val="clear" w:color="auto" w:fill="auto"/>
        <w:tabs>
          <w:tab w:pos="517" w:val="left"/>
        </w:tabs>
        <w:bidi w:val="0"/>
        <w:spacing w:before="0" w:after="260" w:line="240" w:lineRule="auto"/>
        <w:ind w:left="0" w:right="0" w:firstLine="0"/>
        <w:jc w:val="left"/>
      </w:pPr>
      <w:bookmarkStart w:id="471" w:name="bookmark471"/>
      <w:bookmarkStart w:id="472" w:name="bookmark472"/>
      <w:bookmarkStart w:id="473" w:name="bookmark473"/>
      <w:bookmarkStart w:id="474" w:name="bookmark474"/>
      <w:r>
        <w:rPr>
          <w:color w:val="000000"/>
          <w:spacing w:val="0"/>
          <w:w w:val="100"/>
          <w:position w:val="0"/>
        </w:rPr>
        <w:t>二</w:t>
      </w:r>
      <w:bookmarkEnd w:id="473"/>
      <w:r>
        <w:rPr>
          <w:color w:val="000000"/>
          <w:spacing w:val="0"/>
          <w:w w:val="100"/>
          <w:position w:val="0"/>
        </w:rPr>
        <w:t>、</w:t>
        <w:tab/>
        <w:t>社会责任情况</w:t>
      </w:r>
      <w:bookmarkEnd w:id="471"/>
      <w:bookmarkEnd w:id="472"/>
      <w:bookmarkEnd w:id="474"/>
    </w:p>
    <w:p>
      <w:pPr>
        <w:pStyle w:val="Style21"/>
        <w:keepNext w:val="0"/>
        <w:keepLines w:val="0"/>
        <w:widowControl w:val="0"/>
        <w:shd w:val="clear" w:color="auto" w:fill="auto"/>
        <w:bidi w:val="0"/>
        <w:spacing w:before="0" w:after="680" w:line="317" w:lineRule="exact"/>
        <w:ind w:left="0" w:right="0" w:firstLine="0"/>
        <w:jc w:val="left"/>
      </w:pPr>
      <w:r>
        <w:rPr>
          <w:color w:val="000000"/>
          <w:spacing w:val="0"/>
          <w:w w:val="100"/>
          <w:position w:val="0"/>
        </w:rPr>
        <w:t>无</w:t>
      </w:r>
    </w:p>
    <w:p>
      <w:pPr>
        <w:pStyle w:val="Style25"/>
        <w:keepNext/>
        <w:keepLines/>
        <w:widowControl w:val="0"/>
        <w:shd w:val="clear" w:color="auto" w:fill="auto"/>
        <w:tabs>
          <w:tab w:pos="522" w:val="left"/>
        </w:tabs>
        <w:bidi w:val="0"/>
        <w:spacing w:before="0" w:after="260" w:line="240" w:lineRule="auto"/>
        <w:ind w:left="0" w:right="0" w:firstLine="0"/>
        <w:jc w:val="left"/>
      </w:pPr>
      <w:bookmarkStart w:id="475" w:name="bookmark475"/>
      <w:bookmarkStart w:id="476" w:name="bookmark476"/>
      <w:bookmarkStart w:id="477" w:name="bookmark477"/>
      <w:bookmarkStart w:id="478" w:name="bookmark478"/>
      <w:r>
        <w:rPr>
          <w:color w:val="000000"/>
          <w:spacing w:val="0"/>
          <w:w w:val="100"/>
          <w:position w:val="0"/>
        </w:rPr>
        <w:t>三</w:t>
      </w:r>
      <w:bookmarkEnd w:id="477"/>
      <w:r>
        <w:rPr>
          <w:color w:val="000000"/>
          <w:spacing w:val="0"/>
          <w:w w:val="100"/>
          <w:position w:val="0"/>
        </w:rPr>
        <w:t>、</w:t>
        <w:tab/>
        <w:t>巩固拓展脱贫攻坚成果、乡村振兴的情况</w:t>
      </w:r>
      <w:bookmarkEnd w:id="475"/>
      <w:bookmarkEnd w:id="476"/>
      <w:bookmarkEnd w:id="478"/>
    </w:p>
    <w:p>
      <w:pPr>
        <w:pStyle w:val="Style21"/>
        <w:keepNext w:val="0"/>
        <w:keepLines w:val="0"/>
        <w:widowControl w:val="0"/>
        <w:shd w:val="clear" w:color="auto" w:fill="auto"/>
        <w:bidi w:val="0"/>
        <w:spacing w:before="0" w:after="200" w:line="317" w:lineRule="exact"/>
        <w:ind w:left="0" w:right="0" w:firstLine="0"/>
        <w:jc w:val="left"/>
        <w:sectPr>
          <w:footnotePr>
            <w:pos w:val="pageBottom"/>
            <w:numFmt w:val="decimal"/>
            <w:numRestart w:val="continuous"/>
          </w:footnotePr>
          <w:pgSz w:w="11900" w:h="16840"/>
          <w:pgMar w:top="1383" w:right="973" w:bottom="1436" w:left="1009" w:header="0" w:footer="3" w:gutter="0"/>
          <w:cols w:space="720"/>
          <w:noEndnote/>
          <w:rtlGutter w:val="0"/>
          <w:docGrid w:linePitch="360"/>
        </w:sectPr>
      </w:pPr>
      <w:r>
        <w:rPr>
          <w:color w:val="000000"/>
          <w:spacing w:val="0"/>
          <w:w w:val="100"/>
          <w:position w:val="0"/>
        </w:rPr>
        <w:t>报告期内，公司暂未开展巩固拓展脱贫攻坚成果、乡村振兴工作。</w:t>
      </w:r>
    </w:p>
    <w:p>
      <w:pPr>
        <w:pStyle w:val="Style13"/>
        <w:keepNext/>
        <w:keepLines/>
        <w:widowControl w:val="0"/>
        <w:shd w:val="clear" w:color="auto" w:fill="auto"/>
        <w:bidi w:val="0"/>
        <w:spacing w:before="180" w:after="580" w:line="240" w:lineRule="auto"/>
        <w:ind w:left="0" w:right="0" w:firstLine="0"/>
        <w:jc w:val="center"/>
      </w:pPr>
      <w:bookmarkStart w:id="479" w:name="bookmark479"/>
      <w:bookmarkStart w:id="480" w:name="bookmark480"/>
      <w:bookmarkStart w:id="481" w:name="bookmark481"/>
      <w:r>
        <w:rPr>
          <w:color w:val="000000"/>
          <w:spacing w:val="0"/>
          <w:w w:val="100"/>
          <w:position w:val="0"/>
        </w:rPr>
        <w:t>第六节重要事项</w:t>
      </w:r>
      <w:bookmarkEnd w:id="479"/>
      <w:bookmarkEnd w:id="480"/>
      <w:bookmarkEnd w:id="481"/>
    </w:p>
    <w:p>
      <w:pPr>
        <w:pStyle w:val="Style25"/>
        <w:keepNext/>
        <w:keepLines/>
        <w:widowControl w:val="0"/>
        <w:shd w:val="clear" w:color="auto" w:fill="auto"/>
        <w:bidi w:val="0"/>
        <w:spacing w:before="0" w:after="340" w:line="240" w:lineRule="auto"/>
        <w:ind w:left="0" w:right="0" w:firstLine="880"/>
        <w:jc w:val="left"/>
      </w:pPr>
      <w:bookmarkStart w:id="482" w:name="bookmark482"/>
      <w:bookmarkStart w:id="483" w:name="bookmark483"/>
      <w:bookmarkStart w:id="484" w:name="bookmark484"/>
      <w:bookmarkStart w:id="485" w:name="bookmark485"/>
      <w:r>
        <w:rPr>
          <w:color w:val="000000"/>
          <w:spacing w:val="0"/>
          <w:w w:val="100"/>
          <w:position w:val="0"/>
        </w:rPr>
        <w:t>一</w:t>
      </w:r>
      <w:bookmarkEnd w:id="484"/>
      <w:r>
        <w:rPr>
          <w:color w:val="000000"/>
          <w:spacing w:val="0"/>
          <w:w w:val="100"/>
          <w:position w:val="0"/>
        </w:rPr>
        <w:t>、承诺事项履行情况</w:t>
      </w:r>
      <w:bookmarkEnd w:id="482"/>
      <w:bookmarkEnd w:id="483"/>
      <w:bookmarkEnd w:id="485"/>
    </w:p>
    <w:p>
      <w:pPr>
        <w:pStyle w:val="Style31"/>
        <w:keepNext/>
        <w:keepLines/>
        <w:widowControl w:val="0"/>
        <w:shd w:val="clear" w:color="auto" w:fill="auto"/>
        <w:bidi w:val="0"/>
        <w:spacing w:before="0" w:after="340" w:line="240" w:lineRule="auto"/>
        <w:ind w:left="0" w:right="0" w:firstLine="88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、公司实际控制人、股东、关联方、收购人以及公司等承诺相关方在报告期内履行完毕及截至报告期末尚未履行完毕的承诺事项</w:t>
      </w:r>
      <w:bookmarkEnd w:id="486"/>
      <w:bookmarkEnd w:id="487"/>
      <w:bookmarkEnd w:id="489"/>
    </w:p>
    <w:p>
      <w:pPr>
        <w:pStyle w:val="Style27"/>
        <w:keepNext w:val="0"/>
        <w:keepLines w:val="0"/>
        <w:widowControl w:val="0"/>
        <w:shd w:val="clear" w:color="auto" w:fill="auto"/>
        <w:bidi w:val="0"/>
        <w:spacing w:before="0" w:after="0" w:line="240" w:lineRule="auto"/>
        <w:ind w:left="86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408"/>
        <w:gridCol w:w="2549"/>
        <w:gridCol w:w="850"/>
        <w:gridCol w:w="5957"/>
        <w:gridCol w:w="989"/>
        <w:gridCol w:w="1138"/>
        <w:gridCol w:w="8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收购报告书或权益变动报告书中所作承诺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公司控股股东、实际控制人：王 虎、蔺国强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、自公司股票上市之日起三十六个月内，不转让或者委托他人管理其已直 接或间接持有的本次公开发行股票前已发行的股份，也不由公司回购该部分 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、其所持公司股票在锁定期满后两年内减持的，其减持价格不低于 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 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个月期末收盘价低于发行价，持有公司股票的锁定期 限自动延长至少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个月（上述发行价指公司首次公开发行股票时的发行价格， 如果公司上市后因派发现金红利、送股、转增股本、增发新股等原因进行除 权、除息的，则按照证券交易所的有关规定作除权除息处理）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自公司股票 上市之日起 三十六个月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控股股东及实际控制人的一致 行动人：公司股东冯学伟、张廷 兵、石连山、聂玉涛、李燕冬、 杨华茂、任炳章、相洪伟、李守 强、高峰信、李守林、许彦明、 胡东映、陈徐亚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自公司股票上市之日起三十六个月内，不转让或者委托他人管理其已直接或 间接持有的本次公开发行股票前已发行的股份，也不由公司回购该部分股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 上市之日起 三十六个月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0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自然人股东林子、李琳、魏善勇、 李磊、隋新华、刘忠海、李学森、 曹玉江、李行、刘士永、路前程、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自公司股票上市之日起十二个月内，不转让或者委托他人管理其已直接或间 接持有的本次公开发行股票前已发行的股份，也不由公司回购该部分股份。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自公司股票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上市之日起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十二个月内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408"/>
        <w:gridCol w:w="2549"/>
        <w:gridCol w:w="850"/>
        <w:gridCol w:w="5957"/>
        <w:gridCol w:w="989"/>
        <w:gridCol w:w="1138"/>
        <w:gridCol w:w="85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29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张永辉、郝明升、李科兵、李强、 尚庆富、王华彬、王俊、肖法涛、 于仁海、张恒、张云剑、赵斐生、 赵炜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机构股东济南实信、天津多盈、 重庆鼎恺、深圳恒洲信、重庆潜 龙、杭州金灿、潍坊鲁信、山西 同仁、杭州金道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股份限售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自公司股票上市之日起十二个月内，不转让或者委托他人管理其已直接或间 接持有的本次公开发行股票前已发行的股份，也不由公司回购该部分股份。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自公司股票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上市之日起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十二个月内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担任公司董事、监事和高级管理 人员的股东王虎、蔺国强、冯学 伟、张廷兵、石连山、聂玉涛、 李燕冬、相洪伟、任炳章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在其担任公司董事、监事和高级管理人员期间每年转让的股份不超过其直接 或间接持有的公司股份总数的百分之二十五，离职后半年内，不转让其直接 或间接持有的公司的股份。任期届满前离职的，其在就职时确定的任期及任 期届满之日起六个月内，每年转让的股份不超过其所持有公司股份总数的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；如本人在买入后六个月内卖出或者在卖出后六个月内买入发行人股份 的，则由此所得收益归发行人所有。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担任公司董</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事、监事和高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级管理人员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5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公司控股股东及实际控制人王 虎、蔺国强与其他持股董事、监 事及高级管理人员、部分其他股 东（冯学伟、张廷兵、石连山、 聂玉涛、李燕冬、杨华茂、任炳 章、相洪伟、李守强、高峰信、 李守林、许彦明、胡东映、陈徐 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股东一致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行动承诺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确认其历史上的一致行动关系并承诺在发行人日常生产经营及其他重大事 宣决策等诸方面保持一致行动，对发行人生产经营及其他重大决策事项依法 行使提案权、提名权、投票权及决策权保持一致，期限为协议签署日至发行 人上市之日起三年。同时在《一致行动协议》中约定，如各方进行充分沟通 协商后，对相关重大事项行使何种表决权及如何行使表决权达不成一致意 见，则各方同意无条件地按照王虎的意见进行表决。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自公司股票 上市之日起 三十六个月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9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王虎、蔺国强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截至本承诺函出具之日，本人除控制普联软件及其子公司外，无实际控制的 其他企业、机构或其他经济组织；本人未在与普联软件存在同业竞争的其他 企业、机构或其他经济组织中担任董事、高级管理人员或核心技术人员；未 以任何其他方式直接或间接从事与普联软件相竞争的业务。本人在作为普联 软件的实际控制人期间，不会以任何形式从事对普联软件的生产经营构成或 可能构成同业竞争的业务和经营活动，也不会以任何方式为与普联软件相竞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408"/>
        <w:gridCol w:w="2549"/>
        <w:gridCol w:w="850"/>
        <w:gridCol w:w="5957"/>
        <w:gridCol w:w="989"/>
        <w:gridCol w:w="1138"/>
        <w:gridCol w:w="85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23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争的企业、机构或其他经济组织提供任何资金、业务、技术和管理等方面的 帮助。本人在作为普联软件的实际控制人期间，凡本人及本人所控制的其他 企业或经济组织有任何商业机会可从事、参与或入股任何可能会与普联软件 生产经营构成竞争的业务，本人将按照普联软件的要求，将该等商业机会让 与普联软件，由普联软件在同等条件下优先收购有关业务所涉及的资产或股 权，以避免与普联软件存在同业竞争。如果本人违反上述声明与承诺并造成 普联软件经济损失的，本人将赔偿普联软件因此受到的全部损失。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关于虚假 陈述、欺 诈发行回 购股份和 赔偿投资 者损失的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本公司保证本次发行的招股说明书不存在虚假记载、误导性陈述或者重大遗 漏，并对其所载内容的真实性、准确性、完整性承担相应的法律责任。本公 司招股说明书如有虚假记载、误导性陈述或者重大遗漏，对判断本公司是否 符合法律规定的发行条件构成重大、实质影响的，本公司将回购本次发行的 全部新股；本公司承诺在上述违法违规行为在中国证监会等有权部门确认后 三十个工作日内启动股票回购程序。如本公司招股说明书及其他信息披露资 料存在虚假记载、误导性陈述或者重大遗漏，致使投资者在证券交易中遭受 损失的，本公司将在该等违法事实被相关证券监管部门认定后，依法赔偿投 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8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控股股东、实际控制人：王虎、 蔺国强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关于虚假 陈述、欺 诈发行回 购股份和 赔偿投资 者损失的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）本人承诺普联软件在首次公开发行过程中提交的招股说明书真实、准 确、完整，不存在虚假记载、误导性陈述或者重大遗漏，不存在任何欺诈发 行的情形。本人对普联软件招股说明书的真实性、准确性和完整性承担相应 的法律责任。（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）如普联软件的发行申请文件中存在虚假记载、误导性陈述 或重大遗漏，且对判断普联软件是否符合法律规定的发行条件构成重大、实 质影响的，在中国证监会等有权部门确认后三十个工作日内，本人承诺将督 促普联软件履行股份回购事宜的决策程序，并在普联软件召开董事会、股东 大会对回购股份作出决议时，本人承诺就该等回购事宜投赞成票。对普联软 件未能回购的公开发行的新股，本人将予以回购，且本人将购回已转让的原 限售股份。（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）如普联软件的发行申请文件中存在虚假记载、误导性陈述或 者重大遗漏，致使投资者在证券交易中遭受损失的，本人将在该等违法事实 被相关证券监管部门认定后，依法赔偿投资者的损失。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408"/>
        <w:gridCol w:w="2549"/>
        <w:gridCol w:w="850"/>
        <w:gridCol w:w="5957"/>
        <w:gridCol w:w="989"/>
        <w:gridCol w:w="1138"/>
        <w:gridCol w:w="85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2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公司董事、监事、高级管理人员： 蔺国强、王虎、冯学伟、张廷兵、 张善良、王凯、王瑞金、司潮、 任迎春、石连山、邹方平、王勇、 任炳章、相洪伟、聂玉涛、李燕 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关于虚假 陈述、欺 诈发行回 购股份和 赔偿投资 者损失的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）本人承诺普联软件在首次公开发行过程中提交的招股说明书真实、准 确、完整，不存在虚假记载、误导性陈述或者重大遗漏，不存在任何欺诈发 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）如普联软件的发行申请文件中存在虚假记载、误导性陈述或 者重大遗漏，致使投资者在证券交易中遭受损失的，本人将在该等违法事实 被相关证券监管部门认定后，依法赔偿投资者损失。（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）本人不因职务变更、 离职等原因而放弃履行上述承诺。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发行前持股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以上股东的持股意向及减持意向承诺：在本人所持普联软件 股票锁定期满后二年内，在不违反本人已作出的相关承诺的前提下，本人存 在减持普联软件股票的可能性，届时本人减持普联软件股票的数量和价格将 遵循以下原则：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、本人在所持普联软件股票锁定期满后二年内，减持数量 不违反有关法律、法规的规定；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、本人通过证券交易所集中竞价交易系统 减持普联软件股票的价格按减持时的市场价格确定；通过证券交易所大宗交 易系统、协议转让股份的，转让价格由转让双方协商确定，并符合有关法律、 法规的规定。如违反上述承诺，本人将遵守如下约束措施：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、在监管机构 指定媒体上公开说明未履行承诺的原因，并向投资者道歉；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、如因非不可 抗力事件引起违反承诺事项，且无法提供正当且合理的理由的，因此取得收 益归公司所有，公司有权要求本人于取得收益之日起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个工作日内将违反 承诺所得支付到公司指定账户；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、本人暂不领取现金分红，公司有权将应 付本人的现金分红部分予以暂时扣留，直至本人实际履行承诺或违反承诺事 项消除。同时，所持股票在锁定期满后实施减持时，如证监会、证券交易所 对股票减持存在新增规则和要求的，本人将同时遵守该等规则和要求。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所持普联软 件股票锁定 期满后二年 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杭州金灿及其一致行动人杭州 金道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发行前持股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以上股东的持股意向及减持意向承诺：在本公司所持普联软 件股票锁定期满后二年内，在不违反本公司已作出的相关承诺的前提下，本 公司存在减持普联软件股票的可能性，届时本公司减持普联软件股票的数量 和价格将遵循以下原则：（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）本公司在所持普联软件股票锁定期满后二年内， 可减持全部普联软件股票；（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）本公司通过证券交易所集中竞价交易系统减 持普联软件股票的价格按减持时的市场价格确定；通过证券交易所大宗交易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所持普联软 件股票锁定 期满后二年 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408"/>
        <w:gridCol w:w="2549"/>
        <w:gridCol w:w="850"/>
        <w:gridCol w:w="5957"/>
        <w:gridCol w:w="989"/>
        <w:gridCol w:w="1138"/>
        <w:gridCol w:w="85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316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系统、协议转让股份的，转让价格由转让双方协商确定，并符合有关法律、 法规的规定。如违反上述承诺，本公司将遵守如下约束措施：（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）在普联软 件股东大会及监管机构指定媒体上公开说明未履行承诺的原因，并向股东及 社会公众投资者道歉；（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）如因非不可抗力事件引起违反承诺事项，且无法 提供正当且合理的理由的，因此取得收益归公司所有，普联软件有权要求本 公司于取得收益之日起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个工作日内将违反承诺所得支付到普联软件指定 账户；（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）本公司暂不领取现金分红，普联软件有权将应付本公司的现金分 红部分予以暂时扣留，直至本公司实际履行承诺或违反承诺事项消除。同时， 所持股票在锁定期满后实施减持时，如证监会、证券交易所对股票减持存在 新增规则和要求的，本人将同时遵守该等规则和要求。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普联软件股份有限公司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填补被摊薄即期回报的措施及承诺：公司拟公开发行股票并在创业板上市， 本次发行完成后，公司的净资产将随着募集资金到位而大幅增加，由于募集 资金项目从开始实施至投产并产生效益需要一定时间，在上述时间内，公司 的每股收益、加权平均净资产收益率等指标将可能在短期内出现一定幅度的 下降。为降低本次公开发行摊薄即期回报的影响，公司拟通过大力拓展现有 业务，开拓新市场和新领域，尽量缩短募集资金投资项目实现收益的时间。 同时，公司将加大研发投入和技术创新，通过引进人才、研发新产品等方式， 提高公司的综合竞争力，提升公司盈利能力，以填补因本次公开发行被推薄 的股东回报。公司将尽最大努力促使上述措施的有效实施，尽可能降低本次 发行对即期回报的影响，保护公司股东权益。如公司未能实施上述措施且无 正当理由的，公司及相关负责人将公开说明原因并向股东致歉。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公司董事、高级管理人员：蔺国 强、王虎、冯学伟、张廷兵、张 善良、王凯、王瑞金、司潮、任 迎春、任炳章、相洪伟、聂玉涛、 李燕冬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董事、高级管理人员关于填补被摊薄即期回报的措施及承诺：（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 偿或以不公平条件向其他单位或者个人输送利益，也不采用其他方式损害公 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）承诺对本人职务消费行为进行约束；（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）承诺不动用公司资产 从事与其履行职责无关的投资、消费活动；（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）承诺由董事会或薪酬委员会 制定的薪酬制度与公司填补回报措施的执行情况相挂钩；（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）承诺拟公布的 公司股权激励的行权条件与公司填补回报措施的执行情况相挂钩。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控股股东、实际控制人：王虎、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控股股东、实际控制人关于填补被摊薄即期回报的措施及承诺：（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408"/>
        <w:gridCol w:w="2549"/>
        <w:gridCol w:w="850"/>
        <w:gridCol w:w="5957"/>
        <w:gridCol w:w="989"/>
        <w:gridCol w:w="1138"/>
        <w:gridCol w:w="85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98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干预公司经营管理活动，不侵占公司利益；（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）将切实履行公司制定的有关 填补回报措施；（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）若违反该等承诺并给公司或者投资者造成损失的，愿意 依法承担对公司、投资者的补偿责任。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关于未能履行公开承诺的约束措施的承诺：（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）如非因不可抗力原因导致未 能履行公开承诺事项的，需提出新的承诺（相关承诺需按法律、法规、《公 司章程》的规定履行相关审批程序）并接受如下约束措施，直至新的承诺履 行完毕或相应补救措施实施完毕：①公司应当在股东大会及中国证监会指定 的信息披露媒体上及时、充分披露承诺未能履行、无法履行或无法按期履行 的具体原因并向股东和社会公众投资者道歉；②对公司该等未履行承诺的行 为负有个人责任的董事、监事、高级管理人员调减或停发薪酬或津贴；③不 得批准未履行承诺的董事、监事、高级管理人员的主动离职申请，但可以进 行职务变更；④公司违反相关承诺给投资者造成损失的，公司将依法承担赔 偿责任。（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）如公司因相关法律法规、政策的变化、自然灾害及其他不可抗 力等公司无法控制的客观原因导致未能履行、确已无法履行或无法按期履行 公开承诺事项的，公司将采取以下措施：①在公司股东大会及证券监管部门 指定的披露媒体上及时、充分、公开说明未能履行、无法履行或无法按期履 行的具体原因；②向股东和投资者提出补充承诺或替代承诺（相关承诺需按 法律、法规、《公司章程》的规定履行相关审批程序），以尽可能保护公司股 东、投资者的权益。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8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控股股东、实际控制人：王虎、 蔺国强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关于未能履行公开承诺的约束措施的承诺：（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）如本人非因不可抗力原因导 致未能履行公开承诺事项的，需提出新的承诺并接受如下约束措施，直至新 的承诺履行完毕或相应补救措施实施完毕：①本人将在公司股东大会及中国 证监会指定的信息披露媒体上公开说明未能履行、无法履行或无法按期履行 的具体原因并向股东和社会公众投资者道歉；②如果因未履行相关承诺事项 而获得所得收益的，所得收益归公司所有，并在获得收益的五个工作日内将 所获收益支付到公司指定账户；③给投资者造成损失的，依法赔偿投资者损 失；④如果未承担前述赔偿责任，公司有权扣减本人所获分配的现金分红用 于承担前述赔偿责任。同时，本人不得以任何方式要求公司增加薪资或津贴，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408"/>
        <w:gridCol w:w="2549"/>
        <w:gridCol w:w="850"/>
        <w:gridCol w:w="5957"/>
        <w:gridCol w:w="989"/>
        <w:gridCol w:w="1138"/>
        <w:gridCol w:w="85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285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亦不得以任何形式接受公司增加支付的薪资或津贴，且其持有的公司股份锁 定期除被强制执行、上市公司重组、为履行保护投资者利益承诺等必须转让 的情形外，自动延长至其完全消除因未履行相关承诺事项所导致的所有不利 影响之日。（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）如本人因相关法律法规、政策的变化、自然灾害及其他不可 抗力等本人无法控制的客观原因导致未能履行、确已无法履行或无法按期履 行公开承诺事项的，本人将采取以下措施：①在公司股东大会及证券监管部 门指定的披露媒体上及时、充分、公开说明未能履行、无法履行或无法按期 履行的具体原因；②向股东和投资者提出补充承诺或替代承诺，以尽可能保 护公司股东、投资者的权益。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董事、监事、高级管理人员：蔺 国强、王虎、冯学伟、张廷兵、 张善良、王凯、王瑞金、司潮、 任迎春、石连山、邹方平、王勇、 任炳章、相洪伟、聂玉涛、李燕 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关于未能履行公开承诺的约束措施的承诺：（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）如本人非因不可抗力原因导 致未能履行公开承诺事项的，需提出新的承诺并接受如下约束措施，直至新 的承诺履行完毕或相应补救措施实施完毕：①在公司股东大会及中国证监会 指定的信息披露媒体上公开说明未能履行、无法履行或无法按期履行的具体 原因并向股东和社会公众投资者道歉；②如果因未履行相关承诺事项而获得 所得收益的，所得收益归公司所有，并在获得收益的五个工作日内将前述所 得收益支付到公司账户；③可以职务变更但不得主动要求离职；④给投资者 造成损失的，依法赔偿投资者损失；⑤如果未承担前述赔偿责任，公司有权 扣减本人所获分配的现金分红用于承担前述赔偿责任。同时，本人不得以任 何方式要求公司增加薪资或津贴，亦不得以任何形式接受公司增加支付的薪 资或津贴，且其持有的公司股份锁定期除被强制执行、上市公司重组、为履 行保护投资者利益承诺等必须转让的情形外，自动延长至其完全消除因未履 行相关承诺事项所导致的所有不利影响之日。（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）如本人因相关法律法规、 政策的变化、自然灾害及其他不可抗力等本人无法控制的客观原因导致未能 履行、确已无法履行或无法按期履行公开承诺事项的，本人将采取以下措施： ①在公司股东大会及证券监管部门指定的披露媒体上及时、充分、公开说明 未能履行、无法履行或无法按期履行的具体原因；②向股东和投资者提出补 充承诺或替代承诺，以尽可能保护公司股东、投资者的权益。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控股股东、实际控制人：王虎、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为保证关联交易的公平、公正，本公司实际控制人王虎和蔺国强向本公司出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3408"/>
        <w:gridCol w:w="2549"/>
        <w:gridCol w:w="850"/>
        <w:gridCol w:w="5957"/>
        <w:gridCol w:w="989"/>
        <w:gridCol w:w="1138"/>
        <w:gridCol w:w="859"/>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285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竞争、关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具声明与承诺如下：本人将尽量避免与普联软件之间产生关联交易事项，对 于不可避免发生的关联业务往来或交易，将在平等、自愿的基础上，按照公 平、公允和等价有偿的原则进行，交易价格将按照市场公认的合理价格确定。 本人将严格遵守《普联软件公司章程》、《关联交易管理办法》等规范性文件 中关于关联交易事项的回避规定，所涉及的关联交易均将按照规定的决策程 序进行，并将履行合法程序，及时对关联交易事项进行信息披露。本人承诺 不会利用关联交易转移、输送利润，不会通过普联软件的经营决策权损害公 司及其他股东的合法权益。如果本人违反上述声明与承诺并造成普联软件经 济损失的，本人将赔偿普联软件因此受到的全部损失。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如承诺超期未履行完毕的，应当详细说明未 完成履行的具体原因及下一步的工作计划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00" w:right="539" w:bottom="1210" w:left="553" w:header="0" w:footer="3" w:gutter="0"/>
          <w:cols w:space="720"/>
          <w:noEndnote/>
          <w:rtlGutter w:val="0"/>
          <w:docGrid w:linePitch="360"/>
        </w:sectPr>
      </w:pPr>
    </w:p>
    <w:p>
      <w:pPr>
        <w:pStyle w:val="Style31"/>
        <w:keepNext/>
        <w:keepLines/>
        <w:widowControl w:val="0"/>
        <w:shd w:val="clear" w:color="auto" w:fill="auto"/>
        <w:bidi w:val="0"/>
        <w:spacing w:before="0" w:after="380" w:line="322" w:lineRule="exact"/>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、公司资产或项目存在盈利预测，且报告期仍处在盈利预测期间，公司就资产或项目达到原盈利预测及 其原因做出说明</w:t>
      </w:r>
      <w:bookmarkEnd w:id="490"/>
      <w:bookmarkEnd w:id="491"/>
      <w:bookmarkEnd w:id="493"/>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二</w:t>
      </w:r>
      <w:bookmarkEnd w:id="496"/>
      <w:r>
        <w:rPr>
          <w:color w:val="000000"/>
          <w:spacing w:val="0"/>
          <w:w w:val="100"/>
          <w:position w:val="0"/>
        </w:rPr>
        <w:t>、</w:t>
        <w:tab/>
        <w:t>控股股东及其他关联方对上市公司的非经营性占用资金情况</w:t>
      </w:r>
      <w:bookmarkEnd w:id="494"/>
      <w:bookmarkEnd w:id="495"/>
      <w:bookmarkEnd w:id="497"/>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三</w:t>
      </w:r>
      <w:bookmarkEnd w:id="500"/>
      <w:r>
        <w:rPr>
          <w:color w:val="000000"/>
          <w:spacing w:val="0"/>
          <w:w w:val="100"/>
          <w:position w:val="0"/>
        </w:rPr>
        <w:t>、</w:t>
        <w:tab/>
        <w:t>违规对外担保情况</w:t>
      </w:r>
      <w:bookmarkEnd w:id="498"/>
      <w:bookmarkEnd w:id="499"/>
      <w:bookmarkEnd w:id="501"/>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四</w:t>
      </w:r>
      <w:bookmarkEnd w:id="504"/>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502"/>
      <w:bookmarkEnd w:id="503"/>
      <w:bookmarkEnd w:id="505"/>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五</w:t>
      </w:r>
      <w:bookmarkEnd w:id="508"/>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506"/>
      <w:bookmarkEnd w:id="507"/>
      <w:bookmarkEnd w:id="509"/>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tabs>
          <w:tab w:pos="522" w:val="left"/>
        </w:tabs>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六</w:t>
      </w:r>
      <w:bookmarkEnd w:id="512"/>
      <w:r>
        <w:rPr>
          <w:color w:val="000000"/>
          <w:spacing w:val="0"/>
          <w:w w:val="100"/>
          <w:position w:val="0"/>
        </w:rPr>
        <w:t>、</w:t>
        <w:tab/>
        <w:t>董事会关于报告期会计政策、会计估计变更或重大会计差错更正的说明</w:t>
      </w:r>
      <w:bookmarkEnd w:id="510"/>
      <w:bookmarkEnd w:id="511"/>
      <w:bookmarkEnd w:id="513"/>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48"/>
        <w:keepNext w:val="0"/>
        <w:keepLines w:val="0"/>
        <w:widowControl w:val="0"/>
        <w:shd w:val="clear" w:color="auto" w:fill="auto"/>
        <w:bidi w:val="0"/>
        <w:spacing w:before="0"/>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月发布《关于修订印发〈企业会计准则第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租赁〉的通知》（财会〔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35 </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），要求在境内外同时上市的企业以及在境外上市并采用国际财务报告准则 或企业会计准则编制财务报表的企业，自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48"/>
        <w:keepNext w:val="0"/>
        <w:keepLines w:val="0"/>
        <w:widowControl w:val="0"/>
        <w:shd w:val="clear" w:color="auto" w:fill="auto"/>
        <w:bidi w:val="0"/>
        <w:spacing w:before="0"/>
        <w:ind w:left="0" w:right="0"/>
        <w:jc w:val="both"/>
      </w:pPr>
      <w:r>
        <w:rPr>
          <w:color w:val="000000"/>
          <w:spacing w:val="0"/>
          <w:w w:val="100"/>
          <w:position w:val="0"/>
        </w:rPr>
        <w:t>根据新租赁准则的要求，公司自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日起执行新租赁准则。本次会计政策变更是公司根据财政 部发布的相关规定和要求进行，变更后会计政策能够客观、公允地反映公司的财务状况和经营成果，符合 相关法律、法规的规定和公司的实际情况。本次会计政策变更不会对公司财务状况、经营成果和现金流量 产生重大影响，不存在损害公司及股东利益的情形。</w:t>
      </w:r>
    </w:p>
    <w:p>
      <w:pPr>
        <w:pStyle w:val="Style48"/>
        <w:keepNext w:val="0"/>
        <w:keepLines w:val="0"/>
        <w:widowControl w:val="0"/>
        <w:shd w:val="clear" w:color="auto" w:fill="auto"/>
        <w:bidi w:val="0"/>
        <w:spacing w:before="0" w:after="800" w:line="312" w:lineRule="exact"/>
        <w:ind w:left="0" w:right="0"/>
        <w:jc w:val="both"/>
      </w:pPr>
      <w:r>
        <w:rPr>
          <w:color w:val="000000"/>
          <w:spacing w:val="0"/>
          <w:w w:val="100"/>
          <w:position w:val="0"/>
        </w:rPr>
        <w:t>具体内容详见公司在巨潮资讯网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日披露的《关于公司会计政策变 更的公告》（公告编号：</w:t>
      </w:r>
      <w:r>
        <w:rPr>
          <w:rFonts w:ascii="Times New Roman" w:eastAsia="Times New Roman" w:hAnsi="Times New Roman" w:cs="Times New Roman"/>
          <w:color w:val="000000"/>
          <w:spacing w:val="0"/>
          <w:w w:val="100"/>
          <w:position w:val="0"/>
        </w:rPr>
        <w:t>2021-028</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七</w:t>
      </w:r>
      <w:bookmarkEnd w:id="516"/>
      <w:r>
        <w:rPr>
          <w:color w:val="000000"/>
          <w:spacing w:val="0"/>
          <w:w w:val="100"/>
          <w:position w:val="0"/>
        </w:rPr>
        <w:t>、与上年度财务报告相比，合并报表范围发生变化的情况说明</w:t>
      </w:r>
      <w:bookmarkEnd w:id="514"/>
      <w:bookmarkEnd w:id="515"/>
      <w:bookmarkEnd w:id="517"/>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报告期内新增合并控股子公司：普联智能数建科技（北京）有限公司，具体内容详见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第六节重要事项十七、公司子公司 重大事项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八</w:t>
      </w:r>
      <w:bookmarkEnd w:id="520"/>
      <w:r>
        <w:rPr>
          <w:color w:val="000000"/>
          <w:spacing w:val="0"/>
          <w:w w:val="100"/>
          <w:position w:val="0"/>
        </w:rPr>
        <w:t>、聘任、解聘会计师事务所情况</w:t>
      </w:r>
      <w:bookmarkEnd w:id="518"/>
      <w:bookmarkEnd w:id="519"/>
      <w:bookmarkEnd w:id="52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致同会计师事务所（特殊普通合伙）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江涛、郭冬梅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无</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是否改聘会计师事务所</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九</w:t>
      </w:r>
      <w:bookmarkEnd w:id="524"/>
      <w:r>
        <w:rPr>
          <w:color w:val="000000"/>
          <w:spacing w:val="0"/>
          <w:w w:val="100"/>
          <w:position w:val="0"/>
        </w:rPr>
        <w:t>、年度报告披露后面临退市情况</w:t>
      </w:r>
      <w:bookmarkEnd w:id="522"/>
      <w:bookmarkEnd w:id="523"/>
      <w:bookmarkEnd w:id="525"/>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526" w:name="bookmark526"/>
      <w:bookmarkStart w:id="527" w:name="bookmark527"/>
      <w:bookmarkStart w:id="528" w:name="bookmark528"/>
      <w:r>
        <w:rPr>
          <w:color w:val="000000"/>
          <w:spacing w:val="0"/>
          <w:w w:val="100"/>
          <w:position w:val="0"/>
        </w:rPr>
        <w:t>十、破产重整相关事项</w:t>
      </w:r>
      <w:bookmarkEnd w:id="526"/>
      <w:bookmarkEnd w:id="527"/>
      <w:bookmarkEnd w:id="528"/>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r>
        <w:rPr>
          <w:color w:val="000000"/>
          <w:spacing w:val="0"/>
          <w:w w:val="100"/>
          <w:position w:val="0"/>
        </w:rPr>
        <w:t>十一、重大诉讼、仲裁事项</w:t>
      </w:r>
      <w:bookmarkEnd w:id="529"/>
      <w:bookmarkEnd w:id="530"/>
      <w:bookmarkEnd w:id="531"/>
    </w:p>
    <w:p>
      <w:pPr>
        <w:pStyle w:val="Style21"/>
        <w:keepNext w:val="0"/>
        <w:keepLines w:val="0"/>
        <w:widowControl w:val="0"/>
        <w:numPr>
          <w:ilvl w:val="0"/>
          <w:numId w:val="3"/>
        </w:numPr>
        <w:shd w:val="clear" w:color="auto" w:fill="auto"/>
        <w:tabs>
          <w:tab w:pos="282" w:val="left"/>
        </w:tabs>
        <w:bidi w:val="0"/>
        <w:spacing w:before="0" w:after="0" w:line="360" w:lineRule="auto"/>
        <w:ind w:left="0" w:right="0" w:firstLine="0"/>
        <w:jc w:val="left"/>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r>
        <w:rPr>
          <w:color w:val="000000"/>
          <w:spacing w:val="0"/>
          <w:w w:val="100"/>
          <w:position w:val="0"/>
        </w:rPr>
        <w:t>十二、处罚及整改情况</w:t>
      </w:r>
      <w:bookmarkEnd w:id="533"/>
      <w:bookmarkEnd w:id="534"/>
      <w:bookmarkEnd w:id="535"/>
    </w:p>
    <w:p>
      <w:pPr>
        <w:pStyle w:val="Style21"/>
        <w:keepNext w:val="0"/>
        <w:keepLines w:val="0"/>
        <w:widowControl w:val="0"/>
        <w:numPr>
          <w:ilvl w:val="0"/>
          <w:numId w:val="3"/>
        </w:numPr>
        <w:shd w:val="clear" w:color="auto" w:fill="auto"/>
        <w:tabs>
          <w:tab w:pos="282" w:val="left"/>
        </w:tabs>
        <w:bidi w:val="0"/>
        <w:spacing w:before="0" w:after="0" w:line="360" w:lineRule="auto"/>
        <w:ind w:left="0" w:right="0" w:firstLine="0"/>
        <w:jc w:val="left"/>
      </w:pPr>
      <w:bookmarkStart w:id="536" w:name="bookmark536"/>
      <w:bookmarkEnd w:id="536"/>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r>
        <w:rPr>
          <w:color w:val="000000"/>
          <w:spacing w:val="0"/>
          <w:w w:val="100"/>
          <w:position w:val="0"/>
        </w:rPr>
        <w:t>十三、公司及其控股股东、实际控制人的诚信状况</w:t>
      </w:r>
      <w:bookmarkEnd w:id="537"/>
      <w:bookmarkEnd w:id="538"/>
      <w:bookmarkEnd w:id="539"/>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380" w:line="317" w:lineRule="exact"/>
        <w:ind w:left="0" w:right="0"/>
        <w:jc w:val="left"/>
      </w:pPr>
      <w:r>
        <w:rPr>
          <w:color w:val="000000"/>
          <w:spacing w:val="0"/>
          <w:w w:val="100"/>
          <w:position w:val="0"/>
        </w:rPr>
        <w:t>报告期内，公司及其控股股东、实际控制人诚信状况良好，不存在未履行法院生效判决，不存在所负数额较大的债务到 期未清偿，不存在重大诉讼或仲裁事项等情况，不属于失信被执行人。</w:t>
      </w:r>
    </w:p>
    <w:p>
      <w:pPr>
        <w:pStyle w:val="Style25"/>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r>
        <w:rPr>
          <w:color w:val="000000"/>
          <w:spacing w:val="0"/>
          <w:w w:val="100"/>
          <w:position w:val="0"/>
        </w:rPr>
        <w:t>十四、重大关联交易</w:t>
      </w:r>
      <w:bookmarkEnd w:id="540"/>
      <w:bookmarkEnd w:id="541"/>
      <w:bookmarkEnd w:id="542"/>
    </w:p>
    <w:p>
      <w:pPr>
        <w:pStyle w:val="Style31"/>
        <w:keepNext/>
        <w:keepLines/>
        <w:widowControl w:val="0"/>
        <w:shd w:val="clear" w:color="auto" w:fill="auto"/>
        <w:tabs>
          <w:tab w:pos="368" w:val="left"/>
        </w:tabs>
        <w:bidi w:val="0"/>
        <w:spacing w:before="0" w:after="38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w:t>
        <w:tab/>
        <w:t>与日常经营相关的关联交易</w:t>
      </w:r>
      <w:bookmarkEnd w:id="543"/>
      <w:bookmarkEnd w:id="544"/>
      <w:bookmarkEnd w:id="546"/>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2</w:t>
      </w:r>
      <w:bookmarkEnd w:id="549"/>
      <w:r>
        <w:rPr>
          <w:color w:val="000000"/>
          <w:spacing w:val="0"/>
          <w:w w:val="100"/>
          <w:position w:val="0"/>
        </w:rPr>
        <w:t>、</w:t>
        <w:tab/>
        <w:t>资产或股权收购、出售发生的关联交易</w:t>
      </w:r>
      <w:bookmarkEnd w:id="547"/>
      <w:bookmarkEnd w:id="548"/>
      <w:bookmarkEnd w:id="550"/>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3</w:t>
      </w:r>
      <w:bookmarkEnd w:id="553"/>
      <w:r>
        <w:rPr>
          <w:color w:val="000000"/>
          <w:spacing w:val="0"/>
          <w:w w:val="100"/>
          <w:position w:val="0"/>
        </w:rPr>
        <w:t>、</w:t>
        <w:tab/>
        <w:t>共同对外投资的关联交易</w:t>
      </w:r>
      <w:bookmarkEnd w:id="551"/>
      <w:bookmarkEnd w:id="552"/>
      <w:bookmarkEnd w:id="55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4</w:t>
      </w:r>
      <w:bookmarkEnd w:id="557"/>
      <w:r>
        <w:rPr>
          <w:color w:val="000000"/>
          <w:spacing w:val="0"/>
          <w:w w:val="100"/>
          <w:position w:val="0"/>
        </w:rPr>
        <w:t>、</w:t>
        <w:tab/>
        <w:t>关联债权债务往来</w:t>
      </w:r>
      <w:bookmarkEnd w:id="555"/>
      <w:bookmarkEnd w:id="556"/>
      <w:bookmarkEnd w:id="558"/>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5</w:t>
      </w:r>
      <w:bookmarkEnd w:id="561"/>
      <w:r>
        <w:rPr>
          <w:color w:val="000000"/>
          <w:spacing w:val="0"/>
          <w:w w:val="100"/>
          <w:position w:val="0"/>
        </w:rPr>
        <w:t>、</w:t>
        <w:tab/>
        <w:t>与存在关联关系的财务公司的往来情况</w:t>
      </w:r>
      <w:bookmarkEnd w:id="559"/>
      <w:bookmarkEnd w:id="560"/>
      <w:bookmarkEnd w:id="562"/>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563" w:name="bookmark563"/>
      <w:bookmarkEnd w:id="5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378" w:val="left"/>
        </w:tabs>
        <w:bidi w:val="0"/>
        <w:spacing w:before="0" w:after="380" w:line="240" w:lineRule="auto"/>
        <w:ind w:left="0" w:right="0" w:firstLine="0"/>
        <w:jc w:val="both"/>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6</w:t>
      </w:r>
      <w:bookmarkEnd w:id="566"/>
      <w:r>
        <w:rPr>
          <w:color w:val="000000"/>
          <w:spacing w:val="0"/>
          <w:w w:val="100"/>
          <w:position w:val="0"/>
        </w:rPr>
        <w:t>、</w:t>
        <w:tab/>
        <w:t>公司控股的财务公司与关联方的往来情况</w:t>
      </w:r>
      <w:bookmarkEnd w:id="564"/>
      <w:bookmarkEnd w:id="565"/>
      <w:bookmarkEnd w:id="567"/>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568" w:name="bookmark568"/>
      <w:bookmarkEnd w:id="56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3" w:val="left"/>
        </w:tabs>
        <w:bidi w:val="0"/>
        <w:spacing w:before="0" w:after="38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7</w:t>
      </w:r>
      <w:bookmarkEnd w:id="571"/>
      <w:r>
        <w:rPr>
          <w:color w:val="000000"/>
          <w:spacing w:val="0"/>
          <w:w w:val="100"/>
          <w:position w:val="0"/>
        </w:rPr>
        <w:t>、</w:t>
        <w:tab/>
        <w:t>其他重大关联交易</w:t>
      </w:r>
      <w:bookmarkEnd w:id="569"/>
      <w:bookmarkEnd w:id="570"/>
      <w:bookmarkEnd w:id="572"/>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both"/>
      </w:pPr>
      <w:bookmarkStart w:id="573" w:name="bookmark573"/>
      <w:bookmarkEnd w:id="57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both"/>
      </w:pPr>
      <w:bookmarkStart w:id="574" w:name="bookmark574"/>
      <w:bookmarkStart w:id="575" w:name="bookmark575"/>
      <w:bookmarkStart w:id="576" w:name="bookmark576"/>
      <w:r>
        <w:rPr>
          <w:color w:val="000000"/>
          <w:spacing w:val="0"/>
          <w:w w:val="100"/>
          <w:position w:val="0"/>
        </w:rPr>
        <w:t>十五、重大合同及其履行情况</w:t>
      </w:r>
      <w:bookmarkEnd w:id="574"/>
      <w:bookmarkEnd w:id="575"/>
      <w:bookmarkEnd w:id="576"/>
    </w:p>
    <w:p>
      <w:pPr>
        <w:pStyle w:val="Style31"/>
        <w:keepNext/>
        <w:keepLines/>
        <w:widowControl w:val="0"/>
        <w:shd w:val="clear" w:color="auto" w:fill="auto"/>
        <w:bidi w:val="0"/>
        <w:spacing w:before="0" w:after="380" w:line="240" w:lineRule="auto"/>
        <w:ind w:left="0" w:right="0" w:firstLine="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、托管、承包、租赁事项情况</w:t>
      </w:r>
      <w:bookmarkEnd w:id="577"/>
      <w:bookmarkEnd w:id="578"/>
      <w:bookmarkEnd w:id="580"/>
    </w:p>
    <w:p>
      <w:pPr>
        <w:pStyle w:val="Style40"/>
        <w:keepNext/>
        <w:keepLines/>
        <w:widowControl w:val="0"/>
        <w:shd w:val="clear" w:color="auto" w:fill="auto"/>
        <w:bidi w:val="0"/>
        <w:spacing w:before="0" w:line="240" w:lineRule="auto"/>
        <w:ind w:left="0" w:right="0" w:firstLine="0"/>
        <w:jc w:val="both"/>
      </w:pPr>
      <w:bookmarkStart w:id="581" w:name="bookmark581"/>
      <w:bookmarkStart w:id="582" w:name="bookmark582"/>
      <w:bookmarkStart w:id="583" w:name="bookmark583"/>
      <w:bookmarkStart w:id="584" w:name="bookmark584"/>
      <w:r>
        <w:rPr>
          <w:color w:val="000000"/>
          <w:spacing w:val="0"/>
          <w:w w:val="100"/>
          <w:position w:val="0"/>
        </w:rPr>
        <w:t>（</w:t>
      </w:r>
      <w:bookmarkEnd w:id="583"/>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81"/>
      <w:bookmarkEnd w:id="582"/>
      <w:bookmarkEnd w:id="584"/>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40"/>
        <w:keepNext/>
        <w:keepLines/>
        <w:widowControl w:val="0"/>
        <w:shd w:val="clear" w:color="auto" w:fill="auto"/>
        <w:tabs>
          <w:tab w:pos="493" w:val="left"/>
        </w:tabs>
        <w:bidi w:val="0"/>
        <w:spacing w:before="0" w:line="240" w:lineRule="auto"/>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85"/>
      <w:bookmarkEnd w:id="586"/>
      <w:bookmarkEnd w:id="58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40"/>
        <w:keepNext/>
        <w:keepLines/>
        <w:widowControl w:val="0"/>
        <w:shd w:val="clear" w:color="auto" w:fill="auto"/>
        <w:tabs>
          <w:tab w:pos="493" w:val="left"/>
        </w:tabs>
        <w:bidi w:val="0"/>
        <w:spacing w:before="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w:t>
      </w:r>
      <w:bookmarkEnd w:id="59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89"/>
      <w:bookmarkEnd w:id="590"/>
      <w:bookmarkEnd w:id="59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重大担保</w:t>
      </w:r>
      <w:bookmarkEnd w:id="593"/>
      <w:bookmarkEnd w:id="594"/>
      <w:bookmarkEnd w:id="596"/>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3</w:t>
      </w:r>
      <w:bookmarkEnd w:id="599"/>
      <w:r>
        <w:rPr>
          <w:color w:val="000000"/>
          <w:spacing w:val="0"/>
          <w:w w:val="100"/>
          <w:position w:val="0"/>
        </w:rPr>
        <w:t>、</w:t>
        <w:tab/>
        <w:t>委托他人进行现金资产管理情况</w:t>
      </w:r>
      <w:bookmarkEnd w:id="597"/>
      <w:bookmarkEnd w:id="598"/>
      <w:bookmarkEnd w:id="600"/>
    </w:p>
    <w:p>
      <w:pPr>
        <w:pStyle w:val="Style40"/>
        <w:keepNext/>
        <w:keepLines/>
        <w:widowControl w:val="0"/>
        <w:shd w:val="clear" w:color="auto" w:fill="auto"/>
        <w:bidi w:val="0"/>
        <w:spacing w:before="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w:t>
      </w:r>
      <w:bookmarkEnd w:id="603"/>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601"/>
      <w:bookmarkEnd w:id="602"/>
      <w:bookmarkEnd w:id="60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逾期未收回理财己 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165,467,551.97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116,620,243.14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30,054,640.35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信托理财产品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22,005,607.27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531,250,000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354,210,042.73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21"/>
        <w:keepNext w:val="0"/>
        <w:keepLines w:val="0"/>
        <w:widowControl w:val="0"/>
        <w:numPr>
          <w:ilvl w:val="0"/>
          <w:numId w:val="3"/>
        </w:numPr>
        <w:shd w:val="clear" w:color="auto" w:fill="auto"/>
        <w:tabs>
          <w:tab w:pos="289" w:val="left"/>
        </w:tabs>
        <w:bidi w:val="0"/>
        <w:spacing w:before="0" w:after="140" w:line="240" w:lineRule="auto"/>
        <w:ind w:left="0" w:right="0" w:firstLine="0"/>
        <w:jc w:val="left"/>
      </w:pPr>
      <w:bookmarkStart w:id="605" w:name="bookmark605"/>
      <w:bookmarkEnd w:id="60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21"/>
        <w:keepNext w:val="0"/>
        <w:keepLines w:val="0"/>
        <w:widowControl w:val="0"/>
        <w:numPr>
          <w:ilvl w:val="0"/>
          <w:numId w:val="3"/>
        </w:numPr>
        <w:shd w:val="clear" w:color="auto" w:fill="auto"/>
        <w:tabs>
          <w:tab w:pos="289" w:val="left"/>
          <w:tab w:pos="728" w:val="left"/>
        </w:tabs>
        <w:bidi w:val="0"/>
        <w:spacing w:before="0" w:after="380" w:line="240" w:lineRule="auto"/>
        <w:ind w:left="0" w:right="0" w:firstLine="0"/>
        <w:jc w:val="left"/>
      </w:pPr>
      <w:bookmarkStart w:id="606" w:name="bookmark606"/>
      <w:bookmarkEnd w:id="606"/>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w:t>
      </w:r>
      <w:bookmarkEnd w:id="60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607"/>
      <w:bookmarkEnd w:id="608"/>
      <w:bookmarkEnd w:id="610"/>
    </w:p>
    <w:p>
      <w:pPr>
        <w:pStyle w:val="Style21"/>
        <w:keepNext w:val="0"/>
        <w:keepLines w:val="0"/>
        <w:widowControl w:val="0"/>
        <w:numPr>
          <w:ilvl w:val="0"/>
          <w:numId w:val="3"/>
        </w:numPr>
        <w:shd w:val="clear" w:color="auto" w:fill="auto"/>
        <w:tabs>
          <w:tab w:pos="289" w:val="left"/>
          <w:tab w:pos="728" w:val="left"/>
        </w:tabs>
        <w:bidi w:val="0"/>
        <w:spacing w:before="0" w:after="140" w:line="240" w:lineRule="auto"/>
        <w:ind w:left="0" w:right="0" w:firstLine="0"/>
        <w:jc w:val="left"/>
      </w:pPr>
      <w:bookmarkStart w:id="611" w:name="bookmark611"/>
      <w:bookmarkEnd w:id="611"/>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bidi w:val="0"/>
        <w:spacing w:before="0" w:after="280" w:line="240" w:lineRule="auto"/>
        <w:ind w:left="0" w:right="0" w:firstLine="0"/>
        <w:jc w:val="left"/>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4</w:t>
      </w:r>
      <w:bookmarkEnd w:id="614"/>
      <w:r>
        <w:rPr>
          <w:color w:val="000000"/>
          <w:spacing w:val="0"/>
          <w:w w:val="100"/>
          <w:position w:val="0"/>
        </w:rPr>
        <w:t>、其他重大合同</w:t>
      </w:r>
      <w:bookmarkEnd w:id="612"/>
      <w:bookmarkEnd w:id="613"/>
      <w:bookmarkEnd w:id="615"/>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280" w:line="240" w:lineRule="auto"/>
        <w:ind w:left="0" w:right="0" w:firstLine="0"/>
        <w:jc w:val="left"/>
      </w:pPr>
      <w:bookmarkStart w:id="616" w:name="bookmark616"/>
      <w:bookmarkStart w:id="617" w:name="bookmark617"/>
      <w:bookmarkStart w:id="618" w:name="bookmark618"/>
      <w:r>
        <w:rPr>
          <w:color w:val="000000"/>
          <w:spacing w:val="0"/>
          <w:w w:val="100"/>
          <w:position w:val="0"/>
        </w:rPr>
        <w:t>十六、其他重大事项的说明</w:t>
      </w:r>
      <w:bookmarkEnd w:id="616"/>
      <w:bookmarkEnd w:id="617"/>
      <w:bookmarkEnd w:id="618"/>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80" w:line="240" w:lineRule="auto"/>
        <w:ind w:left="0" w:right="0" w:firstLine="0"/>
        <w:jc w:val="left"/>
      </w:pPr>
      <w:bookmarkStart w:id="619" w:name="bookmark619"/>
      <w:bookmarkStart w:id="620" w:name="bookmark620"/>
      <w:bookmarkStart w:id="621" w:name="bookmark621"/>
      <w:r>
        <w:rPr>
          <w:color w:val="000000"/>
          <w:spacing w:val="0"/>
          <w:w w:val="100"/>
          <w:position w:val="0"/>
        </w:rPr>
        <w:t>十七、公司子公司重大事项</w:t>
      </w:r>
      <w:bookmarkEnd w:id="619"/>
      <w:bookmarkEnd w:id="620"/>
      <w:bookmarkEnd w:id="621"/>
    </w:p>
    <w:p>
      <w:pPr>
        <w:pStyle w:val="Style21"/>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日，公司召开第三届董事会第七次会议，审议通过《关于拟投资设立面向建筑行业控股子公司的议案》。公 司与拟设立公司的骨干员工共同成立控股子公司，公司名称暂定：北京普联数建科技有限公司（简称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普联数建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日，普联数建完成工商登记注册，取得了营业执照，控股子公司名称核定为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普联智能数建科技（北京）有限公司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以上具体内容详见公司在巨潮资讯网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日披露的《关于投资设立面向建筑行业控股 子公司的公告》（公告编号：</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日披露的《关于面向建筑行业控股子公司完成工商注册登记的公 告》（公告编号：</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rPr>
        <w:t>）。</w:t>
      </w:r>
      <w:r>
        <w:br w:type="page"/>
      </w:r>
    </w:p>
    <w:p>
      <w:pPr>
        <w:pStyle w:val="Style13"/>
        <w:keepNext/>
        <w:keepLines/>
        <w:widowControl w:val="0"/>
        <w:shd w:val="clear" w:color="auto" w:fill="auto"/>
        <w:bidi w:val="0"/>
        <w:spacing w:before="0" w:line="240" w:lineRule="auto"/>
        <w:ind w:left="0" w:right="0" w:firstLine="0"/>
        <w:jc w:val="center"/>
      </w:pPr>
      <w:bookmarkStart w:id="622" w:name="bookmark622"/>
      <w:bookmarkStart w:id="623" w:name="bookmark623"/>
      <w:bookmarkStart w:id="624" w:name="bookmark624"/>
      <w:r>
        <w:rPr>
          <w:color w:val="000000"/>
          <w:spacing w:val="0"/>
          <w:w w:val="100"/>
          <w:position w:val="0"/>
        </w:rPr>
        <w:t>第七节股份变动及股东情况</w:t>
      </w:r>
      <w:bookmarkEnd w:id="622"/>
      <w:bookmarkEnd w:id="623"/>
      <w:bookmarkEnd w:id="624"/>
    </w:p>
    <w:p>
      <w:pPr>
        <w:pStyle w:val="Style25"/>
        <w:keepNext/>
        <w:keepLines/>
        <w:widowControl w:val="0"/>
        <w:shd w:val="clear" w:color="auto" w:fill="auto"/>
        <w:bidi w:val="0"/>
        <w:spacing w:before="0" w:line="240" w:lineRule="auto"/>
        <w:ind w:left="0" w:right="0" w:firstLine="0"/>
        <w:jc w:val="both"/>
      </w:pPr>
      <w:bookmarkStart w:id="625" w:name="bookmark625"/>
      <w:bookmarkStart w:id="626" w:name="bookmark626"/>
      <w:bookmarkStart w:id="627" w:name="bookmark627"/>
      <w:bookmarkStart w:id="628" w:name="bookmark628"/>
      <w:bookmarkStart w:id="629" w:name="bookmark629"/>
      <w:r>
        <w:rPr>
          <w:color w:val="000000"/>
          <w:spacing w:val="0"/>
          <w:w w:val="100"/>
          <w:position w:val="0"/>
        </w:rPr>
        <w:t>一</w:t>
      </w:r>
      <w:bookmarkEnd w:id="628"/>
      <w:r>
        <w:rPr>
          <w:color w:val="000000"/>
          <w:spacing w:val="0"/>
          <w:w w:val="100"/>
          <w:position w:val="0"/>
        </w:rPr>
        <w:t>、股份变动情况</w:t>
      </w:r>
      <w:bookmarkEnd w:id="626"/>
      <w:bookmarkEnd w:id="627"/>
      <w:bookmarkEnd w:id="629"/>
      <w:bookmarkEnd w:id="625"/>
    </w:p>
    <w:p>
      <w:pPr>
        <w:pStyle w:val="Style31"/>
        <w:keepNext/>
        <w:keepLines/>
        <w:widowControl w:val="0"/>
        <w:shd w:val="clear" w:color="auto" w:fill="auto"/>
        <w:bidi w:val="0"/>
        <w:spacing w:before="0" w:line="240" w:lineRule="auto"/>
        <w:ind w:left="0" w:right="0" w:firstLine="0"/>
        <w:jc w:val="both"/>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、股份变动情况</w:t>
      </w:r>
      <w:bookmarkEnd w:id="630"/>
      <w:bookmarkEnd w:id="631"/>
      <w:bookmarkEnd w:id="63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2237"/>
        <w:gridCol w:w="998"/>
        <w:gridCol w:w="994"/>
        <w:gridCol w:w="994"/>
        <w:gridCol w:w="566"/>
        <w:gridCol w:w="989"/>
        <w:gridCol w:w="571"/>
        <w:gridCol w:w="989"/>
        <w:gridCol w:w="994"/>
        <w:gridCol w:w="859"/>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66,031,662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66,031,662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105,650,659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21,658,046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34,652,870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44,373,616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26,624,173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70,997,789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66,031,662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52,878,997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74,978,997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141,010,659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349" w:val="left"/>
        </w:tabs>
        <w:bidi w:val="0"/>
        <w:spacing w:before="0" w:after="0" w:line="310" w:lineRule="exact"/>
        <w:ind w:left="0" w:right="0" w:firstLine="0"/>
        <w:jc w:val="both"/>
      </w:pPr>
      <w:bookmarkStart w:id="634" w:name="bookmark634"/>
      <w:r>
        <w:rPr>
          <w:rFonts w:ascii="Times New Roman" w:eastAsia="Times New Roman" w:hAnsi="Times New Roman" w:cs="Times New Roman"/>
          <w:color w:val="000000"/>
          <w:spacing w:val="0"/>
          <w:w w:val="100"/>
          <w:position w:val="0"/>
          <w:sz w:val="18"/>
          <w:szCs w:val="18"/>
        </w:rPr>
        <w:t>1</w:t>
      </w:r>
      <w:bookmarkEnd w:id="634"/>
      <w:r>
        <w:rPr>
          <w:color w:val="000000"/>
          <w:spacing w:val="0"/>
          <w:w w:val="100"/>
          <w:position w:val="0"/>
        </w:rPr>
        <w:t>、</w:t>
        <w:tab/>
        <w:t>普联软件股份有限公司经中国证券监督管理委员会《关于同意普联软件股份有限公司首次公开发行股票注册的批复》（证 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1358</w:t>
      </w:r>
      <w:r>
        <w:rPr>
          <w:color w:val="000000"/>
          <w:spacing w:val="0"/>
          <w:w w:val="100"/>
          <w:position w:val="0"/>
        </w:rPr>
        <w:t>号）同意注册，首次公开发行人民币普通股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2,210</w:t>
      </w:r>
      <w:r>
        <w:rPr>
          <w:color w:val="000000"/>
          <w:spacing w:val="0"/>
          <w:w w:val="100"/>
          <w:position w:val="0"/>
        </w:rPr>
        <w:t>万股。经深圳证券交易所《关于普联软 件股份有限公司人民币普通股股票在创业板上市的通知》（深证上【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号）同意，本公司公开发行的人民币普通股 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日在深圳证券交易所创业板上市。本次发行完毕后公司总股本由</w:t>
      </w:r>
      <w:r>
        <w:rPr>
          <w:rFonts w:ascii="Times New Roman" w:eastAsia="Times New Roman" w:hAnsi="Times New Roman" w:cs="Times New Roman"/>
          <w:color w:val="000000"/>
          <w:spacing w:val="0"/>
          <w:w w:val="100"/>
          <w:position w:val="0"/>
          <w:sz w:val="18"/>
          <w:szCs w:val="18"/>
        </w:rPr>
        <w:t>6603.1662</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8,813.166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w:t>
      </w:r>
    </w:p>
    <w:p>
      <w:pPr>
        <w:pStyle w:val="Style21"/>
        <w:keepNext w:val="0"/>
        <w:keepLines w:val="0"/>
        <w:widowControl w:val="0"/>
        <w:shd w:val="clear" w:color="auto" w:fill="auto"/>
        <w:tabs>
          <w:tab w:pos="354" w:val="left"/>
        </w:tabs>
        <w:bidi w:val="0"/>
        <w:spacing w:before="0" w:after="240" w:line="310" w:lineRule="exact"/>
        <w:ind w:left="0" w:right="0" w:firstLine="0"/>
        <w:jc w:val="both"/>
      </w:pPr>
      <w:bookmarkStart w:id="635" w:name="bookmark635"/>
      <w:r>
        <w:rPr>
          <w:rFonts w:ascii="Times New Roman" w:eastAsia="Times New Roman" w:hAnsi="Times New Roman" w:cs="Times New Roman"/>
          <w:color w:val="000000"/>
          <w:spacing w:val="0"/>
          <w:w w:val="100"/>
          <w:position w:val="0"/>
          <w:sz w:val="18"/>
          <w:szCs w:val="18"/>
        </w:rPr>
        <w:t>2</w:t>
      </w:r>
      <w:bookmarkEnd w:id="6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年年度股东大会决议通过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年度利润分配及资本公积金转增股本方案，决议以实施利润分配 股权登记日的公司总股本为基数，以现金股利方式向全体股东派发红利</w:t>
      </w:r>
      <w:r>
        <w:rPr>
          <w:rFonts w:ascii="Times New Roman" w:eastAsia="Times New Roman" w:hAnsi="Times New Roman" w:cs="Times New Roman"/>
          <w:color w:val="000000"/>
          <w:spacing w:val="0"/>
          <w:w w:val="100"/>
          <w:position w:val="0"/>
          <w:sz w:val="18"/>
          <w:szCs w:val="18"/>
        </w:rPr>
        <w:t>26,439,498.60</w:t>
      </w:r>
      <w:r>
        <w:rPr>
          <w:color w:val="000000"/>
          <w:spacing w:val="0"/>
          <w:w w:val="100"/>
          <w:position w:val="0"/>
        </w:rPr>
        <w:t>元（含税），以资本公积金向公司全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52,878,997</w:t>
      </w:r>
      <w:r>
        <w:rPr>
          <w:color w:val="000000"/>
          <w:spacing w:val="0"/>
          <w:w w:val="100"/>
          <w:position w:val="0"/>
        </w:rPr>
        <w:t>股，除权日是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年度股东大会决议的规定，公 司增加注册资本人民币</w:t>
      </w:r>
      <w:r>
        <w:rPr>
          <w:rFonts w:ascii="Times New Roman" w:eastAsia="Times New Roman" w:hAnsi="Times New Roman" w:cs="Times New Roman"/>
          <w:color w:val="000000"/>
          <w:spacing w:val="0"/>
          <w:w w:val="100"/>
          <w:position w:val="0"/>
          <w:sz w:val="18"/>
          <w:szCs w:val="18"/>
        </w:rPr>
        <w:t>52,878,997.00</w:t>
      </w:r>
      <w:r>
        <w:rPr>
          <w:color w:val="000000"/>
          <w:spacing w:val="0"/>
          <w:w w:val="100"/>
          <w:position w:val="0"/>
        </w:rPr>
        <w:t>元，变更后注册资本人民币</w:t>
      </w:r>
      <w:r>
        <w:rPr>
          <w:rFonts w:ascii="Times New Roman" w:eastAsia="Times New Roman" w:hAnsi="Times New Roman" w:cs="Times New Roman"/>
          <w:color w:val="000000"/>
          <w:spacing w:val="0"/>
          <w:w w:val="100"/>
          <w:position w:val="0"/>
          <w:sz w:val="18"/>
          <w:szCs w:val="18"/>
        </w:rPr>
        <w:t>141,010,659</w:t>
      </w:r>
      <w:r>
        <w:rPr>
          <w:color w:val="000000"/>
          <w:spacing w:val="0"/>
          <w:w w:val="100"/>
          <w:position w:val="0"/>
        </w:rPr>
        <w:t>元。</w:t>
      </w:r>
    </w:p>
    <w:p>
      <w:pPr>
        <w:pStyle w:val="Style2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股份变动的批准情况</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3" w:lineRule="exact"/>
        <w:ind w:left="0" w:right="0" w:firstLine="0"/>
        <w:jc w:val="both"/>
      </w:pPr>
      <w:bookmarkStart w:id="636" w:name="bookmark636"/>
      <w:r>
        <w:rPr>
          <w:rFonts w:ascii="Times New Roman" w:eastAsia="Times New Roman" w:hAnsi="Times New Roman" w:cs="Times New Roman"/>
          <w:color w:val="000000"/>
          <w:spacing w:val="0"/>
          <w:w w:val="100"/>
          <w:position w:val="0"/>
          <w:sz w:val="18"/>
          <w:szCs w:val="18"/>
        </w:rPr>
        <w:t>1</w:t>
      </w:r>
      <w:bookmarkEnd w:id="636"/>
      <w:r>
        <w:rPr>
          <w:color w:val="000000"/>
          <w:spacing w:val="0"/>
          <w:w w:val="100"/>
          <w:position w:val="0"/>
        </w:rPr>
        <w:t>、 经中国证券监督管理委员会《关于同意普联软件股份有限公司首次公开发行股票注册的批复》（证监许可【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1358 </w:t>
      </w:r>
      <w:r>
        <w:rPr>
          <w:color w:val="000000"/>
          <w:spacing w:val="0"/>
          <w:w w:val="100"/>
          <w:position w:val="0"/>
        </w:rPr>
        <w:t>号）同意注册，首次公开发行人民币普通股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2,210</w:t>
      </w:r>
      <w:r>
        <w:rPr>
          <w:color w:val="000000"/>
          <w:spacing w:val="0"/>
          <w:w w:val="100"/>
          <w:position w:val="0"/>
        </w:rPr>
        <w:t>万股。</w:t>
      </w:r>
    </w:p>
    <w:p>
      <w:pPr>
        <w:pStyle w:val="Style21"/>
        <w:keepNext w:val="0"/>
        <w:keepLines w:val="0"/>
        <w:widowControl w:val="0"/>
        <w:shd w:val="clear" w:color="auto" w:fill="auto"/>
        <w:bidi w:val="0"/>
        <w:spacing w:before="0" w:after="0" w:line="313" w:lineRule="exact"/>
        <w:ind w:left="0" w:right="0" w:firstLine="0"/>
        <w:jc w:val="both"/>
      </w:pPr>
      <w:bookmarkStart w:id="637" w:name="bookmark637"/>
      <w:r>
        <w:rPr>
          <w:rFonts w:ascii="Times New Roman" w:eastAsia="Times New Roman" w:hAnsi="Times New Roman" w:cs="Times New Roman"/>
          <w:color w:val="000000"/>
          <w:spacing w:val="0"/>
          <w:w w:val="100"/>
          <w:position w:val="0"/>
          <w:sz w:val="18"/>
          <w:szCs w:val="18"/>
        </w:rPr>
        <w:t>2</w:t>
      </w:r>
      <w:bookmarkEnd w:id="637"/>
      <w:r>
        <w:rPr>
          <w:color w:val="000000"/>
          <w:spacing w:val="0"/>
          <w:w w:val="100"/>
          <w:position w:val="0"/>
        </w:rPr>
        <w:t>、 经深圳证券交易所《关于普联软件股份有限公司人民币普通股股票在创业板上市的通知》（深证上【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号）同意， 本公司公开发行的人民币普通股股票于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日在深圳证券交易所创业板上市。</w:t>
      </w:r>
    </w:p>
    <w:p>
      <w:pPr>
        <w:pStyle w:val="Style21"/>
        <w:keepNext w:val="0"/>
        <w:keepLines w:val="0"/>
        <w:widowControl w:val="0"/>
        <w:shd w:val="clear" w:color="auto" w:fill="auto"/>
        <w:tabs>
          <w:tab w:pos="358" w:val="left"/>
        </w:tabs>
        <w:bidi w:val="0"/>
        <w:spacing w:before="0" w:after="0" w:line="313" w:lineRule="exact"/>
        <w:ind w:left="0" w:right="0" w:firstLine="0"/>
        <w:jc w:val="both"/>
        <w:rPr>
          <w:sz w:val="18"/>
          <w:szCs w:val="18"/>
        </w:rPr>
      </w:pPr>
      <w:bookmarkStart w:id="638" w:name="bookmark638"/>
      <w:r>
        <w:rPr>
          <w:rFonts w:ascii="Times New Roman" w:eastAsia="Times New Roman" w:hAnsi="Times New Roman" w:cs="Times New Roman"/>
          <w:color w:val="000000"/>
          <w:spacing w:val="0"/>
          <w:w w:val="100"/>
          <w:position w:val="0"/>
          <w:sz w:val="18"/>
          <w:szCs w:val="18"/>
        </w:rPr>
        <w:t>3</w:t>
      </w:r>
      <w:bookmarkEnd w:id="638"/>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年年度股东大会决议通过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年度利润分配及资本公积金转增股本方案。相关决议及权益分派 实施详细情况请见公司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日披露在巨潮资讯网的《第三届董事会第七次会议决议公告》《关于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年度利润分配 及资本公积金转增股本预案的公告》，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日披露在巨潮资讯网的《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年年度股东大会决议公告》，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p>
    <w:p>
      <w:pPr>
        <w:pStyle w:val="Style21"/>
        <w:keepNext w:val="0"/>
        <w:keepLines w:val="0"/>
        <w:widowControl w:val="0"/>
        <w:shd w:val="clear" w:color="auto" w:fill="auto"/>
        <w:bidi w:val="0"/>
        <w:spacing w:before="0" w:after="340" w:line="313" w:lineRule="exact"/>
        <w:ind w:left="0" w:right="0" w:firstLine="0"/>
        <w:jc w:val="both"/>
      </w:pPr>
      <w:r>
        <w:rPr>
          <w:color w:val="000000"/>
          <w:spacing w:val="0"/>
          <w:w w:val="100"/>
          <w:position w:val="0"/>
        </w:rPr>
        <w:t>日披露在巨潮资讯网的《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w:t>
      </w:r>
    </w:p>
    <w:p>
      <w:pPr>
        <w:pStyle w:val="Style2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股份变动的过户情况</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firstLine="0"/>
        <w:jc w:val="both"/>
      </w:pPr>
      <w:bookmarkStart w:id="639" w:name="bookmark639"/>
      <w:r>
        <w:rPr>
          <w:rFonts w:ascii="Times New Roman" w:eastAsia="Times New Roman" w:hAnsi="Times New Roman" w:cs="Times New Roman"/>
          <w:color w:val="000000"/>
          <w:spacing w:val="0"/>
          <w:w w:val="100"/>
          <w:position w:val="0"/>
          <w:sz w:val="18"/>
          <w:szCs w:val="18"/>
        </w:rPr>
        <w:t>1</w:t>
      </w:r>
      <w:bookmarkEnd w:id="639"/>
      <w:r>
        <w:rPr>
          <w:color w:val="000000"/>
          <w:spacing w:val="0"/>
          <w:w w:val="100"/>
          <w:position w:val="0"/>
        </w:rPr>
        <w:t>、 公司已于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日在中国证券登记结算有限责任公司深圳分公司办理完成了新股初始登记，登记数量为</w:t>
      </w:r>
      <w:r>
        <w:rPr>
          <w:rFonts w:ascii="Times New Roman" w:eastAsia="Times New Roman" w:hAnsi="Times New Roman" w:cs="Times New Roman"/>
          <w:color w:val="000000"/>
          <w:spacing w:val="0"/>
          <w:w w:val="100"/>
          <w:position w:val="0"/>
          <w:sz w:val="18"/>
          <w:szCs w:val="18"/>
        </w:rPr>
        <w:t xml:space="preserve">88,131,662 </w:t>
      </w:r>
      <w:r>
        <w:rPr>
          <w:color w:val="000000"/>
          <w:spacing w:val="0"/>
          <w:w w:val="100"/>
          <w:position w:val="0"/>
        </w:rPr>
        <w:t>股，其中，无限售条件的股份为</w:t>
      </w:r>
      <w:r>
        <w:rPr>
          <w:rFonts w:ascii="Times New Roman" w:eastAsia="Times New Roman" w:hAnsi="Times New Roman" w:cs="Times New Roman"/>
          <w:color w:val="000000"/>
          <w:spacing w:val="0"/>
          <w:w w:val="100"/>
          <w:position w:val="0"/>
          <w:sz w:val="18"/>
          <w:szCs w:val="18"/>
        </w:rPr>
        <w:t>20,960,165</w:t>
      </w:r>
      <w:r>
        <w:rPr>
          <w:color w:val="000000"/>
          <w:spacing w:val="0"/>
          <w:w w:val="100"/>
          <w:position w:val="0"/>
        </w:rPr>
        <w:t>股，有限售条件的股份为</w:t>
      </w:r>
      <w:r>
        <w:rPr>
          <w:rFonts w:ascii="Times New Roman" w:eastAsia="Times New Roman" w:hAnsi="Times New Roman" w:cs="Times New Roman"/>
          <w:color w:val="000000"/>
          <w:spacing w:val="0"/>
          <w:w w:val="100"/>
          <w:position w:val="0"/>
          <w:sz w:val="18"/>
          <w:szCs w:val="18"/>
        </w:rPr>
        <w:t>67,171,497</w:t>
      </w:r>
      <w:r>
        <w:rPr>
          <w:color w:val="000000"/>
          <w:spacing w:val="0"/>
          <w:w w:val="100"/>
          <w:position w:val="0"/>
        </w:rPr>
        <w:t>股。</w:t>
      </w:r>
    </w:p>
    <w:p>
      <w:pPr>
        <w:pStyle w:val="Style21"/>
        <w:keepNext w:val="0"/>
        <w:keepLines w:val="0"/>
        <w:widowControl w:val="0"/>
        <w:shd w:val="clear" w:color="auto" w:fill="auto"/>
        <w:tabs>
          <w:tab w:pos="354" w:val="left"/>
        </w:tabs>
        <w:bidi w:val="0"/>
        <w:spacing w:before="0" w:after="340" w:line="314" w:lineRule="exact"/>
        <w:ind w:left="0" w:right="0" w:firstLine="0"/>
        <w:jc w:val="both"/>
      </w:pPr>
      <w:bookmarkStart w:id="640" w:name="bookmark640"/>
      <w:r>
        <w:rPr>
          <w:rFonts w:ascii="Times New Roman" w:eastAsia="Times New Roman" w:hAnsi="Times New Roman" w:cs="Times New Roman"/>
          <w:color w:val="000000"/>
          <w:spacing w:val="0"/>
          <w:w w:val="100"/>
          <w:position w:val="0"/>
          <w:sz w:val="18"/>
          <w:szCs w:val="18"/>
        </w:rPr>
        <w:t>2</w:t>
      </w:r>
      <w:bookmarkEnd w:id="640"/>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日在中国证券登记结算有限责任公司深圳分公司办理完成了利润分配及资本公积金转增股本，转增股 本</w:t>
      </w:r>
      <w:r>
        <w:rPr>
          <w:rFonts w:ascii="Times New Roman" w:eastAsia="Times New Roman" w:hAnsi="Times New Roman" w:cs="Times New Roman"/>
          <w:color w:val="000000"/>
          <w:spacing w:val="0"/>
          <w:w w:val="100"/>
          <w:position w:val="0"/>
          <w:sz w:val="18"/>
          <w:szCs w:val="18"/>
        </w:rPr>
        <w:t>52,878,997</w:t>
      </w:r>
      <w:r>
        <w:rPr>
          <w:color w:val="000000"/>
          <w:spacing w:val="0"/>
          <w:w w:val="100"/>
          <w:position w:val="0"/>
        </w:rPr>
        <w:t>股，本次变动后公司总股本为</w:t>
      </w:r>
      <w:r>
        <w:rPr>
          <w:rFonts w:ascii="Times New Roman" w:eastAsia="Times New Roman" w:hAnsi="Times New Roman" w:cs="Times New Roman"/>
          <w:color w:val="000000"/>
          <w:spacing w:val="0"/>
          <w:w w:val="100"/>
          <w:position w:val="0"/>
          <w:sz w:val="18"/>
          <w:szCs w:val="18"/>
        </w:rPr>
        <w:t>141,010,659</w:t>
      </w:r>
      <w:r>
        <w:rPr>
          <w:color w:val="000000"/>
          <w:spacing w:val="0"/>
          <w:w w:val="100"/>
          <w:position w:val="0"/>
        </w:rPr>
        <w:t>股。</w:t>
      </w:r>
    </w:p>
    <w:p>
      <w:pPr>
        <w:pStyle w:val="Style2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报告期内，公司发行新股并上市、实施资本公积转增股本，致使公司每股收益及每股净资产等指标被摊薄。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年年度基本 每股收益和稀释每股收益、归属于公司普通股股东的每股净资产等财务指标参见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第二节公司简介和主要财务指标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 主要会计数据和财务指标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、限售股份变动情况</w:t>
      </w:r>
      <w:bookmarkEnd w:id="641"/>
      <w:bookmarkEnd w:id="642"/>
      <w:bookmarkEnd w:id="644"/>
    </w:p>
    <w:p>
      <w:pPr>
        <w:pStyle w:val="Style21"/>
        <w:keepNext w:val="0"/>
        <w:keepLines w:val="0"/>
        <w:widowControl w:val="0"/>
        <w:shd w:val="clear" w:color="auto" w:fill="auto"/>
        <w:bidi w:val="0"/>
        <w:spacing w:before="0" w:after="6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520" w:firstLine="0"/>
        <w:jc w:val="right"/>
      </w:pPr>
      <w:r>
        <w:rPr>
          <w:color w:val="000000"/>
          <w:spacing w:val="0"/>
          <w:w w:val="100"/>
          <w:position w:val="0"/>
        </w:rPr>
        <w:t>单位：股</w:t>
      </w:r>
    </w:p>
    <w:tbl>
      <w:tblPr>
        <w:tblOverlap w:val="never"/>
        <w:jc w:val="center"/>
        <w:tblLayout w:type="fixed"/>
      </w:tblPr>
      <w:tblGrid>
        <w:gridCol w:w="2102"/>
        <w:gridCol w:w="994"/>
        <w:gridCol w:w="989"/>
        <w:gridCol w:w="994"/>
        <w:gridCol w:w="994"/>
        <w:gridCol w:w="1416"/>
        <w:gridCol w:w="20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拟解除限售日期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9,440,953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5,664,572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首发前限售股，高 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日，每年解 锁其持有公司股份总数的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9,427,323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5,656,394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首发前限售股，高 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日，每年解 锁其持有公司股份总数的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杭州金灿金道股权投资合 伙企业（有限合伙）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4,776,527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2,865,916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2102"/>
        <w:gridCol w:w="994"/>
        <w:gridCol w:w="989"/>
        <w:gridCol w:w="994"/>
        <w:gridCol w:w="994"/>
        <w:gridCol w:w="1416"/>
        <w:gridCol w:w="20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潍坊鲁信康大创业投资中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2,868,596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1,721,157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重庆中冶泊达股权投资基 金管理有限公司一重庆鼎 恺投资中心（有限合伙）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2,865,916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1,719,549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山西同仁股权投资合伙企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2,744,091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济南实信投资合伙企业</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2,455,491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1,473,294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天津多盈股权投资基金合 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2,388,264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上海联卡企业管理服务有 限公司一重庆潜龙一号投 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1,866,985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1,120,191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张廷兵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首发前限售股，高 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日，每年解 锁其持有公司股份总数的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相洪伟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首发前限售股，高 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日，每年解 锁其持有公司股份总数的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任炳章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1,679,911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首发前限售股，高 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日，每年解 锁其持有公司股份总数的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其他首发前限售股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22,157,783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35,452,454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首发前限售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首次公开发行网下配售限 售股股东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1,139,835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1,823,736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67,171,497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40,302,898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1,823,736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105,650,659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二</w:t>
      </w:r>
      <w:bookmarkEnd w:id="647"/>
      <w:r>
        <w:rPr>
          <w:color w:val="000000"/>
          <w:spacing w:val="0"/>
          <w:w w:val="100"/>
          <w:position w:val="0"/>
        </w:rPr>
        <w:t>、证券发行与上市情况</w:t>
      </w:r>
      <w:bookmarkEnd w:id="645"/>
      <w:bookmarkEnd w:id="646"/>
      <w:bookmarkEnd w:id="648"/>
    </w:p>
    <w:p>
      <w:pPr>
        <w:pStyle w:val="Style31"/>
        <w:keepNext/>
        <w:keepLines/>
        <w:widowControl w:val="0"/>
        <w:shd w:val="clear" w:color="auto" w:fill="auto"/>
        <w:bidi w:val="0"/>
        <w:spacing w:before="0" w:after="34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1</w:t>
      </w:r>
      <w:bookmarkEnd w:id="651"/>
      <w:r>
        <w:rPr>
          <w:color w:val="000000"/>
          <w:spacing w:val="0"/>
          <w:w w:val="100"/>
          <w:position w:val="0"/>
        </w:rPr>
        <w:t>、报告期内证券发行（不含优先股）情况</w:t>
      </w:r>
      <w:bookmarkEnd w:id="649"/>
      <w:bookmarkEnd w:id="650"/>
      <w:bookmarkEnd w:id="652"/>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888"/>
        <w:gridCol w:w="994"/>
        <w:gridCol w:w="994"/>
        <w:gridCol w:w="994"/>
        <w:gridCol w:w="989"/>
        <w:gridCol w:w="710"/>
        <w:gridCol w:w="1877"/>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交易终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20,960,165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070"/>
        <w:gridCol w:w="888"/>
        <w:gridCol w:w="994"/>
        <w:gridCol w:w="994"/>
        <w:gridCol w:w="994"/>
        <w:gridCol w:w="989"/>
        <w:gridCol w:w="710"/>
        <w:gridCol w:w="1877"/>
        <w:gridCol w:w="1070"/>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日在巨潮资讯网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 xml:space="preserve">） </w:t>
            </w:r>
            <w:r>
              <w:rPr>
                <w:color w:val="000000"/>
                <w:spacing w:val="0"/>
                <w:w w:val="100"/>
                <w:position w:val="0"/>
              </w:rPr>
              <w:t>发布的《公司首次公开 发行股票并在创业板上 市新股发行公告》，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日在巨潮资讯 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 xml:space="preserve">） </w:t>
            </w:r>
            <w:r>
              <w:rPr>
                <w:color w:val="000000"/>
                <w:spacing w:val="0"/>
                <w:w w:val="100"/>
                <w:position w:val="0"/>
              </w:rPr>
              <w:t>发布的《首次公开发行 股票并在创业板上市之 上市公告书》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1"/>
        <w:keepNext w:val="0"/>
        <w:keepLines w:val="0"/>
        <w:widowControl w:val="0"/>
        <w:shd w:val="clear" w:color="auto" w:fill="auto"/>
        <w:bidi w:val="0"/>
        <w:spacing w:before="0" w:after="40" w:line="307" w:lineRule="exact"/>
        <w:ind w:left="0" w:right="0" w:firstLine="0"/>
        <w:jc w:val="left"/>
      </w:pPr>
      <w:r>
        <w:rPr>
          <w:color w:val="000000"/>
          <w:spacing w:val="0"/>
          <w:w w:val="100"/>
          <w:position w:val="0"/>
        </w:rPr>
        <w:t>报告期内证券发行（不含优先股）情况的说明</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普联软件股份有限公司经中国证券监督管理委员会《关于同意普联软件股份有限公司首次公开发行股票注册的批复》（证监 许可【</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1358</w:t>
      </w:r>
      <w:r>
        <w:rPr>
          <w:color w:val="000000"/>
          <w:spacing w:val="0"/>
          <w:w w:val="100"/>
          <w:position w:val="0"/>
        </w:rPr>
        <w:t>号）同意注册，首次公开发行人民币普通股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2,210</w:t>
      </w:r>
      <w:r>
        <w:rPr>
          <w:color w:val="000000"/>
          <w:spacing w:val="0"/>
          <w:w w:val="100"/>
          <w:position w:val="0"/>
        </w:rPr>
        <w:t>万股。经深圳证券交易所《关于普联软件 股份有限公司人民币普通股股票在创业板上市的通知》（深证上【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号）同意，本公司公开发行的人民币普通股股 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日在深圳证券交易所创业板上市。本次发行完毕后公司总股本由</w:t>
      </w:r>
      <w:r>
        <w:rPr>
          <w:rFonts w:ascii="Times New Roman" w:eastAsia="Times New Roman" w:hAnsi="Times New Roman" w:cs="Times New Roman"/>
          <w:color w:val="000000"/>
          <w:spacing w:val="0"/>
          <w:w w:val="100"/>
          <w:position w:val="0"/>
          <w:sz w:val="18"/>
          <w:szCs w:val="18"/>
        </w:rPr>
        <w:t>6603.166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8,813.1662</w:t>
      </w:r>
      <w:r>
        <w:rPr>
          <w:color w:val="000000"/>
          <w:spacing w:val="0"/>
          <w:w w:val="100"/>
          <w:position w:val="0"/>
        </w:rPr>
        <w:t>万股。</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2</w:t>
      </w:r>
      <w:bookmarkEnd w:id="655"/>
      <w:r>
        <w:rPr>
          <w:color w:val="000000"/>
          <w:spacing w:val="0"/>
          <w:w w:val="100"/>
          <w:position w:val="0"/>
        </w:rPr>
        <w:t>、</w:t>
        <w:tab/>
        <w:t>公司股份总数及股东结构的变动、公司资产和负债结构的变动情况说明</w:t>
      </w:r>
      <w:bookmarkEnd w:id="653"/>
      <w:bookmarkEnd w:id="654"/>
      <w:bookmarkEnd w:id="656"/>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第七节股份变动及股东情况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相关部分。</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3</w:t>
      </w:r>
      <w:bookmarkEnd w:id="659"/>
      <w:r>
        <w:rPr>
          <w:color w:val="000000"/>
          <w:spacing w:val="0"/>
          <w:w w:val="100"/>
          <w:position w:val="0"/>
        </w:rPr>
        <w:t>、</w:t>
        <w:tab/>
        <w:t>现存的内部职工股情况</w:t>
      </w:r>
      <w:bookmarkEnd w:id="657"/>
      <w:bookmarkEnd w:id="658"/>
      <w:bookmarkEnd w:id="660"/>
    </w:p>
    <w:p>
      <w:pPr>
        <w:pStyle w:val="Style2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color w:val="000000"/>
          <w:spacing w:val="0"/>
          <w:w w:val="100"/>
          <w:position w:val="0"/>
        </w:rPr>
        <w:t>三</w:t>
      </w:r>
      <w:bookmarkEnd w:id="663"/>
      <w:r>
        <w:rPr>
          <w:color w:val="000000"/>
          <w:spacing w:val="0"/>
          <w:w w:val="100"/>
          <w:position w:val="0"/>
        </w:rPr>
        <w:t>、股东和实际控制人情况</w:t>
      </w:r>
      <w:bookmarkEnd w:id="661"/>
      <w:bookmarkEnd w:id="662"/>
      <w:bookmarkEnd w:id="664"/>
    </w:p>
    <w:p>
      <w:pPr>
        <w:pStyle w:val="Style31"/>
        <w:keepNext/>
        <w:keepLines/>
        <w:widowControl w:val="0"/>
        <w:shd w:val="clear" w:color="auto" w:fill="auto"/>
        <w:bidi w:val="0"/>
        <w:spacing w:before="0" w:after="38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1</w:t>
      </w:r>
      <w:bookmarkEnd w:id="667"/>
      <w:r>
        <w:rPr>
          <w:color w:val="000000"/>
          <w:spacing w:val="0"/>
          <w:w w:val="100"/>
          <w:position w:val="0"/>
        </w:rPr>
        <w:t>、公司股东数量及持股情况</w:t>
      </w:r>
      <w:bookmarkEnd w:id="665"/>
      <w:bookmarkEnd w:id="666"/>
      <w:bookmarkEnd w:id="668"/>
    </w:p>
    <w:p>
      <w:pPr>
        <w:pStyle w:val="Style21"/>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单位：股</w:t>
      </w:r>
    </w:p>
    <w:tbl>
      <w:tblPr>
        <w:tblOverlap w:val="never"/>
        <w:jc w:val="center"/>
        <w:tblLayout w:type="fixed"/>
      </w:tblPr>
      <w:tblGrid>
        <w:gridCol w:w="1253"/>
        <w:gridCol w:w="989"/>
        <w:gridCol w:w="710"/>
        <w:gridCol w:w="994"/>
        <w:gridCol w:w="1133"/>
        <w:gridCol w:w="1277"/>
        <w:gridCol w:w="850"/>
        <w:gridCol w:w="1277"/>
        <w:gridCol w:w="850"/>
        <w:gridCol w:w="254"/>
      </w:tblGrid>
      <w:tr>
        <w:trPr>
          <w:trHeight w:val="290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表决权恢 复的优先 股股东总 数（如有）</w:t>
            </w:r>
          </w:p>
          <w:p>
            <w:pPr>
              <w:pStyle w:val="Style2"/>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持有特别 表决权股 份的股东 总数（如 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pBdr>
          <w:top w:val="single" w:sz="0" w:space="0" w:color="D3D3D3"/>
          <w:left w:val="single" w:sz="0" w:space="31" w:color="D3D3D3"/>
          <w:bottom w:val="single" w:sz="0" w:space="7" w:color="D3D3D3"/>
          <w:right w:val="single" w:sz="0" w:space="31" w:color="D3D3D3"/>
        </w:pBdr>
        <w:shd w:val="clear" w:color="auto" w:fill="D3D3D3"/>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r>
        <w:br w:type="page"/>
      </w:r>
    </w:p>
    <w:tbl>
      <w:tblPr>
        <w:tblOverlap w:val="never"/>
        <w:jc w:val="center"/>
        <w:tblLayout w:type="fixed"/>
      </w:tblPr>
      <w:tblGrid>
        <w:gridCol w:w="1253"/>
        <w:gridCol w:w="989"/>
        <w:gridCol w:w="710"/>
        <w:gridCol w:w="994"/>
        <w:gridCol w:w="1133"/>
        <w:gridCol w:w="1277"/>
        <w:gridCol w:w="850"/>
        <w:gridCol w:w="1277"/>
        <w:gridCol w:w="110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件的股份数量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15,105,525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5,664,572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15,105,525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15,083,717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5,656,394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15,083,717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杭州金灿金道 股权投资合伙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7,642,443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7,642,443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潍坊鲁信康大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创业投资中心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4,589,753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4,589,753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重庆中冶泊达 股权投资基金 管理有限公司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一重庆鼎恺投 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4,585,465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1,719,549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4,585,465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山西同仁股权 投资合伙企业 （有限合伙）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4,390,545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4,390,545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济南实信投资 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 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3,928,785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3,928,785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天津多盈股权 投资基金合伙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3,821,222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1,432,958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3,821,222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上海联卡企业 管理服务有限 公司一重庆潜 龙一号投资中 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2,987,176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2,987,176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张廷兵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相洪伟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任炳章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1,007,947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2,687,858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 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 情况（如有）（参见注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上述股东中，王虎、蔺国强、张廷兵、相洪伟、任炳章为一致行动人</w:t>
            </w:r>
          </w:p>
        </w:tc>
      </w:tr>
    </w:tbl>
    <w:p>
      <w:pPr>
        <w:spacing w:lineRule="exact" w:line="1"/>
        <w:rPr>
          <w:sz w:val="2"/>
          <w:szCs w:val="2"/>
        </w:rPr>
      </w:pPr>
      <w:r>
        <w:br w:type="page"/>
      </w:r>
    </w:p>
    <w:tbl>
      <w:tblPr>
        <w:tblOverlap w:val="never"/>
        <w:jc w:val="center"/>
        <w:tblLayout w:type="fixed"/>
      </w:tblPr>
      <w:tblGrid>
        <w:gridCol w:w="2242"/>
        <w:gridCol w:w="4963"/>
        <w:gridCol w:w="1277"/>
        <w:gridCol w:w="110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动的说明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 决权、放弃表决权情况的说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 户的特别说明（如有）（参见 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中国国际金融香港资产管理 有限公司一客户资金</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543,800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543,800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331,500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齐兴刚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307,206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307,206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华泰证券股份有限公司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273,995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袁莉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265,100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265,100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曾惠文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234,200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232,911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刘桐麟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193,140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193,140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182,099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182,099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崔斌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173,390</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间关联关系或一致行动的说 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上述股东中，公司未知其他股东之间是否存在关联关系，也未知其他股东之间是否属于一致 行动人。</w:t>
            </w:r>
          </w:p>
        </w:tc>
      </w:tr>
      <w:tr>
        <w:trPr>
          <w:trHeight w:val="3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0" w:val="left"/>
              </w:tabs>
              <w:bidi w:val="0"/>
              <w:spacing w:before="0" w:after="4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股东袁莉通过普通证券账户持有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股，通过投资者信用证券账户持有</w:t>
            </w:r>
            <w:r>
              <w:rPr>
                <w:rFonts w:ascii="Times New Roman" w:eastAsia="Times New Roman" w:hAnsi="Times New Roman" w:cs="Times New Roman"/>
                <w:color w:val="000000"/>
                <w:spacing w:val="0"/>
                <w:w w:val="100"/>
                <w:position w:val="0"/>
                <w:sz w:val="18"/>
                <w:szCs w:val="18"/>
              </w:rPr>
              <w:t>265,100</w:t>
            </w:r>
            <w:r>
              <w:rPr>
                <w:color w:val="000000"/>
                <w:spacing w:val="0"/>
                <w:w w:val="100"/>
                <w:position w:val="0"/>
              </w:rPr>
              <w:t xml:space="preserve">股，合计持 有 </w:t>
            </w:r>
            <w:r>
              <w:rPr>
                <w:rFonts w:ascii="Times New Roman" w:eastAsia="Times New Roman" w:hAnsi="Times New Roman" w:cs="Times New Roman"/>
                <w:color w:val="000000"/>
                <w:spacing w:val="0"/>
                <w:w w:val="100"/>
                <w:position w:val="0"/>
                <w:sz w:val="18"/>
                <w:szCs w:val="18"/>
              </w:rPr>
              <w:t xml:space="preserve">265,100 </w:t>
            </w:r>
            <w:r>
              <w:rPr>
                <w:color w:val="000000"/>
                <w:spacing w:val="0"/>
                <w:w w:val="100"/>
                <w:position w:val="0"/>
              </w:rPr>
              <w:t>股。</w:t>
            </w:r>
          </w:p>
          <w:p>
            <w:pPr>
              <w:pStyle w:val="Style2"/>
              <w:keepNext w:val="0"/>
              <w:keepLines w:val="0"/>
              <w:widowControl w:val="0"/>
              <w:shd w:val="clear" w:color="auto" w:fill="auto"/>
              <w:tabs>
                <w:tab w:pos="25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股东曾惠文通过普通证券账户持有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股，通过投资者信用证券账户持有</w:t>
            </w:r>
            <w:r>
              <w:rPr>
                <w:rFonts w:ascii="Times New Roman" w:eastAsia="Times New Roman" w:hAnsi="Times New Roman" w:cs="Times New Roman"/>
                <w:color w:val="000000"/>
                <w:spacing w:val="0"/>
                <w:w w:val="100"/>
                <w:position w:val="0"/>
                <w:sz w:val="18"/>
                <w:szCs w:val="18"/>
              </w:rPr>
              <w:t>234,200</w:t>
            </w:r>
            <w:r>
              <w:rPr>
                <w:color w:val="000000"/>
                <w:spacing w:val="0"/>
                <w:w w:val="100"/>
                <w:position w:val="0"/>
              </w:rPr>
              <w:t>股，合计 持有</w:t>
            </w:r>
            <w:r>
              <w:rPr>
                <w:rFonts w:ascii="Times New Roman" w:eastAsia="Times New Roman" w:hAnsi="Times New Roman" w:cs="Times New Roman"/>
                <w:color w:val="000000"/>
                <w:spacing w:val="0"/>
                <w:w w:val="100"/>
                <w:position w:val="0"/>
                <w:sz w:val="18"/>
                <w:szCs w:val="18"/>
              </w:rPr>
              <w:t>234,200</w:t>
            </w:r>
            <w:r>
              <w:rPr>
                <w:color w:val="000000"/>
                <w:spacing w:val="0"/>
                <w:w w:val="100"/>
                <w:position w:val="0"/>
              </w:rPr>
              <w:t>股。</w:t>
            </w:r>
          </w:p>
          <w:p>
            <w:pPr>
              <w:pStyle w:val="Style2"/>
              <w:keepNext w:val="0"/>
              <w:keepLines w:val="0"/>
              <w:widowControl w:val="0"/>
              <w:shd w:val="clear" w:color="auto" w:fill="auto"/>
              <w:tabs>
                <w:tab w:pos="26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股东任长东通过普通证券账户持有</w:t>
            </w:r>
            <w:r>
              <w:rPr>
                <w:rFonts w:ascii="Times New Roman" w:eastAsia="Times New Roman" w:hAnsi="Times New Roman" w:cs="Times New Roman"/>
                <w:color w:val="000000"/>
                <w:spacing w:val="0"/>
                <w:w w:val="100"/>
                <w:position w:val="0"/>
                <w:sz w:val="18"/>
                <w:szCs w:val="18"/>
              </w:rPr>
              <w:t>30,600</w:t>
            </w:r>
            <w:r>
              <w:rPr>
                <w:color w:val="000000"/>
                <w:spacing w:val="0"/>
                <w:w w:val="100"/>
                <w:position w:val="0"/>
              </w:rPr>
              <w:t>股，通过投资者信用证券账户持有</w:t>
            </w:r>
            <w:r>
              <w:rPr>
                <w:rFonts w:ascii="Times New Roman" w:eastAsia="Times New Roman" w:hAnsi="Times New Roman" w:cs="Times New Roman"/>
                <w:color w:val="000000"/>
                <w:spacing w:val="0"/>
                <w:w w:val="100"/>
                <w:position w:val="0"/>
                <w:sz w:val="18"/>
                <w:szCs w:val="18"/>
              </w:rPr>
              <w:t>202,311</w:t>
            </w:r>
            <w:r>
              <w:rPr>
                <w:color w:val="000000"/>
                <w:spacing w:val="0"/>
                <w:w w:val="100"/>
                <w:position w:val="0"/>
              </w:rPr>
              <w:t>股， 合计持有</w:t>
            </w:r>
            <w:r>
              <w:rPr>
                <w:rFonts w:ascii="Times New Roman" w:eastAsia="Times New Roman" w:hAnsi="Times New Roman" w:cs="Times New Roman"/>
                <w:color w:val="000000"/>
                <w:spacing w:val="0"/>
                <w:w w:val="100"/>
                <w:position w:val="0"/>
                <w:sz w:val="18"/>
                <w:szCs w:val="18"/>
              </w:rPr>
              <w:t>232,911</w:t>
            </w:r>
            <w:r>
              <w:rPr>
                <w:color w:val="000000"/>
                <w:spacing w:val="0"/>
                <w:w w:val="100"/>
                <w:position w:val="0"/>
              </w:rPr>
              <w:t>股。</w:t>
            </w:r>
          </w:p>
          <w:p>
            <w:pPr>
              <w:pStyle w:val="Style2"/>
              <w:keepNext w:val="0"/>
              <w:keepLines w:val="0"/>
              <w:widowControl w:val="0"/>
              <w:shd w:val="clear" w:color="auto" w:fill="auto"/>
              <w:tabs>
                <w:tab w:pos="25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股东刘桐麟通过普通证券账户持有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股，通过投资者信用证券账户持有</w:t>
            </w:r>
            <w:r>
              <w:rPr>
                <w:rFonts w:ascii="Times New Roman" w:eastAsia="Times New Roman" w:hAnsi="Times New Roman" w:cs="Times New Roman"/>
                <w:color w:val="000000"/>
                <w:spacing w:val="0"/>
                <w:w w:val="100"/>
                <w:position w:val="0"/>
                <w:sz w:val="18"/>
                <w:szCs w:val="18"/>
              </w:rPr>
              <w:t>193,140</w:t>
            </w:r>
            <w:r>
              <w:rPr>
                <w:color w:val="000000"/>
                <w:spacing w:val="0"/>
                <w:w w:val="100"/>
                <w:position w:val="0"/>
              </w:rPr>
              <w:t>股，合计 持有</w:t>
            </w:r>
            <w:r>
              <w:rPr>
                <w:rFonts w:ascii="Times New Roman" w:eastAsia="Times New Roman" w:hAnsi="Times New Roman" w:cs="Times New Roman"/>
                <w:color w:val="000000"/>
                <w:spacing w:val="0"/>
                <w:w w:val="100"/>
                <w:position w:val="0"/>
                <w:sz w:val="18"/>
                <w:szCs w:val="18"/>
              </w:rPr>
              <w:t>193,140</w:t>
            </w:r>
            <w:r>
              <w:rPr>
                <w:color w:val="000000"/>
                <w:spacing w:val="0"/>
                <w:w w:val="100"/>
                <w:position w:val="0"/>
              </w:rPr>
              <w:t>股。</w:t>
            </w:r>
          </w:p>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股东崔斌通过普通证券账户持有</w:t>
            </w:r>
            <w:r>
              <w:rPr>
                <w:rFonts w:ascii="Times New Roman" w:eastAsia="Times New Roman" w:hAnsi="Times New Roman" w:cs="Times New Roman"/>
                <w:color w:val="000000"/>
                <w:spacing w:val="0"/>
                <w:w w:val="100"/>
                <w:position w:val="0"/>
                <w:sz w:val="18"/>
                <w:szCs w:val="18"/>
              </w:rPr>
              <w:t>17,500</w:t>
            </w:r>
            <w:r>
              <w:rPr>
                <w:color w:val="000000"/>
                <w:spacing w:val="0"/>
                <w:w w:val="100"/>
                <w:position w:val="0"/>
              </w:rPr>
              <w:t>股，通过投资者信用证券账户持有</w:t>
            </w:r>
            <w:r>
              <w:rPr>
                <w:rFonts w:ascii="Times New Roman" w:eastAsia="Times New Roman" w:hAnsi="Times New Roman" w:cs="Times New Roman"/>
                <w:color w:val="000000"/>
                <w:spacing w:val="0"/>
                <w:w w:val="100"/>
                <w:position w:val="0"/>
                <w:sz w:val="18"/>
                <w:szCs w:val="18"/>
              </w:rPr>
              <w:t>155,890</w:t>
            </w:r>
            <w:r>
              <w:rPr>
                <w:color w:val="000000"/>
                <w:spacing w:val="0"/>
                <w:w w:val="100"/>
                <w:position w:val="0"/>
              </w:rPr>
              <w:t>股， 合计持有</w:t>
            </w:r>
            <w:r>
              <w:rPr>
                <w:rFonts w:ascii="Times New Roman" w:eastAsia="Times New Roman" w:hAnsi="Times New Roman" w:cs="Times New Roman"/>
                <w:color w:val="000000"/>
                <w:spacing w:val="0"/>
                <w:w w:val="100"/>
                <w:position w:val="0"/>
                <w:sz w:val="18"/>
                <w:szCs w:val="18"/>
              </w:rPr>
              <w:t>173,390</w:t>
            </w:r>
            <w:r>
              <w:rPr>
                <w:color w:val="000000"/>
                <w:spacing w:val="0"/>
                <w:w w:val="100"/>
                <w:position w:val="0"/>
              </w:rPr>
              <w:t>股。</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公司是否具有表决权差异安排</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2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2</w:t>
      </w:r>
      <w:bookmarkEnd w:id="671"/>
      <w:r>
        <w:rPr>
          <w:color w:val="000000"/>
          <w:spacing w:val="0"/>
          <w:w w:val="100"/>
          <w:position w:val="0"/>
        </w:rPr>
        <w:t>、公司控股股东情况</w:t>
      </w:r>
      <w:bookmarkEnd w:id="669"/>
      <w:bookmarkEnd w:id="670"/>
      <w:bookmarkEnd w:id="672"/>
    </w:p>
    <w:p>
      <w:pPr>
        <w:pStyle w:val="Style21"/>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蔺国强先生任公司法定代表人、董事长、总经理，王虎先生任副董事长，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位 为一致行动人关系。</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after="22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3</w:t>
      </w:r>
      <w:bookmarkEnd w:id="675"/>
      <w:r>
        <w:rPr>
          <w:color w:val="000000"/>
          <w:spacing w:val="0"/>
          <w:w w:val="100"/>
          <w:position w:val="0"/>
        </w:rPr>
        <w:t>、公司实际控制人及其一致行动人</w:t>
      </w:r>
      <w:bookmarkEnd w:id="673"/>
      <w:bookmarkEnd w:id="674"/>
      <w:bookmarkEnd w:id="676"/>
    </w:p>
    <w:p>
      <w:pPr>
        <w:pStyle w:val="Style21"/>
        <w:keepNext w:val="0"/>
        <w:keepLines w:val="0"/>
        <w:widowControl w:val="0"/>
        <w:shd w:val="clear" w:color="auto" w:fill="auto"/>
        <w:bidi w:val="0"/>
        <w:spacing w:before="0" w:after="80" w:line="355"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蔺国强先生任公司法定代表人、董事长、总经理，王虎先生任副董事长。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6415" cy="18961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066415" cy="1896110"/>
                    </a:xfrm>
                    <a:prstGeom prst="rect"/>
                  </pic:spPr>
                </pic:pic>
              </a:graphicData>
            </a:graphic>
          </wp:inline>
        </w:drawing>
      </w:r>
    </w:p>
    <w:p>
      <w:pPr>
        <w:widowControl w:val="0"/>
        <w:spacing w:after="31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4</w:t>
      </w:r>
      <w:bookmarkEnd w:id="67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7"/>
      <w:bookmarkEnd w:id="678"/>
      <w:bookmarkEnd w:id="680"/>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5</w:t>
      </w:r>
      <w:bookmarkEnd w:id="68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81"/>
      <w:bookmarkEnd w:id="682"/>
      <w:bookmarkEnd w:id="684"/>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6</w:t>
      </w:r>
      <w:bookmarkEnd w:id="687"/>
      <w:r>
        <w:rPr>
          <w:color w:val="000000"/>
          <w:spacing w:val="0"/>
          <w:w w:val="100"/>
          <w:position w:val="0"/>
        </w:rPr>
        <w:t>、</w:t>
        <w:tab/>
        <w:t>控股股东、实际控制人、重组方及其他承诺主体股份限制减持情况</w:t>
      </w:r>
      <w:bookmarkEnd w:id="685"/>
      <w:bookmarkEnd w:id="686"/>
      <w:bookmarkEnd w:id="688"/>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四</w:t>
      </w:r>
      <w:bookmarkEnd w:id="691"/>
      <w:r>
        <w:rPr>
          <w:color w:val="000000"/>
          <w:spacing w:val="0"/>
          <w:w w:val="100"/>
          <w:position w:val="0"/>
        </w:rPr>
        <w:t>、股份回购在报告期的具体实施情况</w:t>
      </w:r>
      <w:bookmarkEnd w:id="689"/>
      <w:bookmarkEnd w:id="690"/>
      <w:bookmarkEnd w:id="69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1"/>
        <w:keepNext w:val="0"/>
        <w:keepLines w:val="0"/>
        <w:widowControl w:val="0"/>
        <w:numPr>
          <w:ilvl w:val="0"/>
          <w:numId w:val="3"/>
        </w:numPr>
        <w:shd w:val="clear" w:color="auto" w:fill="auto"/>
        <w:tabs>
          <w:tab w:pos="282" w:val="left"/>
        </w:tabs>
        <w:bidi w:val="0"/>
        <w:spacing w:before="0" w:after="140" w:line="240" w:lineRule="auto"/>
        <w:ind w:left="0" w:right="0" w:firstLine="0"/>
        <w:jc w:val="left"/>
      </w:pPr>
      <w:bookmarkStart w:id="693" w:name="bookmark693"/>
      <w:bookmarkEnd w:id="69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1"/>
        <w:keepNext w:val="0"/>
        <w:keepLines w:val="0"/>
        <w:widowControl w:val="0"/>
        <w:numPr>
          <w:ilvl w:val="0"/>
          <w:numId w:val="3"/>
        </w:numPr>
        <w:shd w:val="clear" w:color="auto" w:fill="auto"/>
        <w:tabs>
          <w:tab w:pos="282" w:val="left"/>
        </w:tabs>
        <w:bidi w:val="0"/>
        <w:spacing w:before="0" w:after="380" w:line="240" w:lineRule="auto"/>
        <w:ind w:left="0" w:right="0" w:firstLine="0"/>
        <w:jc w:val="left"/>
        <w:sectPr>
          <w:footnotePr>
            <w:pos w:val="pageBottom"/>
            <w:numFmt w:val="decimal"/>
            <w:numRestart w:val="continuous"/>
          </w:footnotePr>
          <w:pgSz w:w="11900" w:h="16840"/>
          <w:pgMar w:top="1374" w:right="744" w:bottom="1451" w:left="947" w:header="0" w:footer="3" w:gutter="0"/>
          <w:cols w:space="720"/>
          <w:noEndnote/>
          <w:rtlGutter w:val="0"/>
          <w:docGrid w:linePitch="360"/>
        </w:sectPr>
      </w:pPr>
      <w:bookmarkStart w:id="694" w:name="bookmark694"/>
      <w:bookmarkEnd w:id="69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r>
                              <w:rPr>
                                <w:color w:val="000000"/>
                                <w:spacing w:val="0"/>
                                <w:w w:val="100"/>
                                <w:position w:val="0"/>
                              </w:rPr>
                              <w:t>第八节优先股相关情况</w:t>
                            </w:r>
                            <w:bookmarkEnd w:id="695"/>
                            <w:bookmarkEnd w:id="696"/>
                            <w:bookmarkEnd w:id="697"/>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695" w:name="bookmark695"/>
                      <w:bookmarkStart w:id="696" w:name="bookmark696"/>
                      <w:bookmarkStart w:id="697" w:name="bookmark697"/>
                      <w:r>
                        <w:rPr>
                          <w:color w:val="000000"/>
                          <w:spacing w:val="0"/>
                          <w:w w:val="100"/>
                          <w:position w:val="0"/>
                        </w:rPr>
                        <w:t>第八节优先股相关情况</w:t>
                      </w:r>
                      <w:bookmarkEnd w:id="695"/>
                      <w:bookmarkEnd w:id="696"/>
                      <w:bookmarkEnd w:id="697"/>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bookmarkStart w:id="698" w:name="bookmark698"/>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98"/>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2281" w:right="1315" w:bottom="2281"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62" w:left="1114" w:header="0" w:footer="3" w:gutter="0"/>
          <w:cols w:space="720"/>
          <w:noEndnote/>
          <w:rtlGutter w:val="0"/>
          <w:docGrid w:linePitch="360"/>
        </w:sectPr>
      </w:pPr>
    </w:p>
    <w:p>
      <w:pPr>
        <w:pStyle w:val="Style21"/>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99" w:name="bookmark69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99"/>
    </w:p>
    <w:p>
      <w:pPr>
        <w:pStyle w:val="Style13"/>
        <w:keepNext/>
        <w:keepLines/>
        <w:framePr w:w="3091" w:h="389" w:wrap="none" w:vAnchor="text" w:hAnchor="page" w:x="4403" w:y="21"/>
        <w:widowControl w:val="0"/>
        <w:shd w:val="clear" w:color="auto" w:fill="auto"/>
        <w:bidi w:val="0"/>
        <w:spacing w:before="0" w:after="0" w:line="240" w:lineRule="auto"/>
        <w:ind w:left="0" w:right="0" w:firstLine="0"/>
        <w:jc w:val="center"/>
      </w:pPr>
      <w:bookmarkStart w:id="700" w:name="bookmark700"/>
      <w:bookmarkStart w:id="701" w:name="bookmark701"/>
      <w:bookmarkStart w:id="702" w:name="bookmark702"/>
      <w:r>
        <w:rPr>
          <w:color w:val="000000"/>
          <w:spacing w:val="0"/>
          <w:w w:val="100"/>
          <w:position w:val="0"/>
        </w:rPr>
        <w:t>第九节债券相关情况</w:t>
      </w:r>
      <w:bookmarkEnd w:id="700"/>
      <w:bookmarkEnd w:id="701"/>
      <w:bookmarkEnd w:id="702"/>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62" w:left="1114" w:header="0" w:footer="3" w:gutter="0"/>
          <w:cols w:space="720"/>
          <w:noEndnote/>
          <w:rtlGutter w:val="0"/>
          <w:docGrid w:linePitch="360"/>
        </w:sectPr>
      </w:pPr>
    </w:p>
    <w:p>
      <w:pPr>
        <w:pStyle w:val="Style13"/>
        <w:keepNext/>
        <w:keepLines/>
        <w:widowControl w:val="0"/>
        <w:shd w:val="clear" w:color="auto" w:fill="auto"/>
        <w:bidi w:val="0"/>
        <w:spacing w:before="900" w:after="540" w:line="240" w:lineRule="auto"/>
        <w:ind w:left="0" w:right="0" w:firstLine="0"/>
        <w:jc w:val="center"/>
      </w:pPr>
      <w:bookmarkStart w:id="703" w:name="bookmark703"/>
      <w:bookmarkStart w:id="704" w:name="bookmark704"/>
      <w:bookmarkStart w:id="705" w:name="bookmark705"/>
      <w:r>
        <w:rPr>
          <w:color w:val="000000"/>
          <w:spacing w:val="0"/>
          <w:w w:val="100"/>
          <w:position w:val="0"/>
        </w:rPr>
        <w:t>第十节财务报告</w:t>
      </w:r>
      <w:bookmarkEnd w:id="703"/>
      <w:bookmarkEnd w:id="704"/>
      <w:bookmarkEnd w:id="705"/>
    </w:p>
    <w:p>
      <w:pPr>
        <w:pStyle w:val="Style25"/>
        <w:keepNext/>
        <w:keepLines/>
        <w:widowControl w:val="0"/>
        <w:shd w:val="clear" w:color="auto" w:fill="auto"/>
        <w:bidi w:val="0"/>
        <w:spacing w:before="0" w:after="320" w:line="240" w:lineRule="auto"/>
        <w:ind w:left="0" w:right="0" w:firstLine="0"/>
        <w:jc w:val="left"/>
      </w:pPr>
      <w:bookmarkStart w:id="706" w:name="bookmark706"/>
      <w:bookmarkStart w:id="707" w:name="bookmark707"/>
      <w:bookmarkStart w:id="708" w:name="bookmark708"/>
      <w:bookmarkStart w:id="709" w:name="bookmark709"/>
      <w:bookmarkStart w:id="710" w:name="bookmark710"/>
      <w:r>
        <w:rPr>
          <w:color w:val="000000"/>
          <w:spacing w:val="0"/>
          <w:w w:val="100"/>
          <w:position w:val="0"/>
        </w:rPr>
        <w:t>一</w:t>
      </w:r>
      <w:bookmarkEnd w:id="709"/>
      <w:r>
        <w:rPr>
          <w:color w:val="000000"/>
          <w:spacing w:val="0"/>
          <w:w w:val="100"/>
          <w:position w:val="0"/>
        </w:rPr>
        <w:t>、审计报告</w:t>
      </w:r>
      <w:bookmarkEnd w:id="707"/>
      <w:bookmarkEnd w:id="708"/>
      <w:bookmarkEnd w:id="710"/>
      <w:bookmarkEnd w:id="706"/>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致同致同审字</w:t>
            </w:r>
            <w:r>
              <w:rPr>
                <w:color w:val="000000"/>
                <w:spacing w:val="0"/>
                <w:w w:val="100"/>
                <w:position w:val="0"/>
                <w:sz w:val="17"/>
                <w:szCs w:val="17"/>
              </w:rPr>
              <w:t>（</w:t>
            </w:r>
            <w:r>
              <w:rPr>
                <w:rFonts w:ascii="Courier New" w:eastAsia="Courier New" w:hAnsi="Courier New" w:cs="Courier New"/>
                <w:color w:val="000000"/>
                <w:spacing w:val="0"/>
                <w:w w:val="100"/>
                <w:position w:val="0"/>
                <w:sz w:val="18"/>
                <w:szCs w:val="18"/>
              </w:rPr>
              <w:t>2022</w:t>
            </w:r>
            <w:r>
              <w:rPr>
                <w:color w:val="000000"/>
                <w:spacing w:val="0"/>
                <w:w w:val="100"/>
                <w:position w:val="0"/>
                <w:sz w:val="17"/>
                <w:szCs w:val="17"/>
              </w:rPr>
              <w:t>）</w:t>
            </w:r>
            <w:r>
              <w:rPr>
                <w:color w:val="000000"/>
                <w:spacing w:val="0"/>
                <w:w w:val="100"/>
                <w:position w:val="0"/>
              </w:rPr>
              <w:t>第</w:t>
            </w:r>
            <w:r>
              <w:rPr>
                <w:rFonts w:ascii="Courier New" w:eastAsia="Courier New" w:hAnsi="Courier New" w:cs="Courier New"/>
                <w:color w:val="000000"/>
                <w:spacing w:val="0"/>
                <w:w w:val="100"/>
                <w:position w:val="0"/>
                <w:sz w:val="18"/>
                <w:szCs w:val="18"/>
              </w:rPr>
              <w:t>371A005748</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江涛郭冬梅</w:t>
            </w:r>
          </w:p>
        </w:tc>
      </w:tr>
    </w:tbl>
    <w:p>
      <w:pPr>
        <w:pStyle w:val="Style2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99" w:line="1" w:lineRule="exact"/>
      </w:pPr>
    </w:p>
    <w:p>
      <w:pPr>
        <w:pStyle w:val="Style54"/>
        <w:keepNext w:val="0"/>
        <w:keepLines w:val="0"/>
        <w:widowControl w:val="0"/>
        <w:shd w:val="clear" w:color="auto" w:fill="auto"/>
        <w:bidi w:val="0"/>
        <w:spacing w:before="0" w:line="240" w:lineRule="auto"/>
        <w:ind w:left="0" w:right="0" w:firstLine="0"/>
        <w:jc w:val="right"/>
        <w:rPr>
          <w:sz w:val="17"/>
          <w:szCs w:val="17"/>
        </w:rPr>
      </w:pPr>
      <w:r>
        <w:rPr>
          <w:rFonts w:ascii="SimSun" w:eastAsia="SimSun" w:hAnsi="SimSun" w:cs="SimSun"/>
          <w:color w:val="000000"/>
          <w:spacing w:val="0"/>
          <w:w w:val="100"/>
          <w:position w:val="0"/>
          <w:sz w:val="17"/>
          <w:szCs w:val="17"/>
        </w:rPr>
        <w:t>致同致同审字</w:t>
      </w:r>
      <w:r>
        <w:rPr>
          <w:rFonts w:ascii="SimSun" w:eastAsia="SimSun" w:hAnsi="SimSun" w:cs="SimSun"/>
          <w:color w:val="000000"/>
          <w:spacing w:val="0"/>
          <w:w w:val="100"/>
          <w:position w:val="0"/>
          <w:sz w:val="17"/>
          <w:szCs w:val="17"/>
        </w:rPr>
        <w:t>（</w:t>
      </w:r>
      <w:r>
        <w:rPr>
          <w:rFonts w:ascii="Courier New" w:eastAsia="Courier New" w:hAnsi="Courier New" w:cs="Courier New"/>
          <w:color w:val="000000"/>
          <w:spacing w:val="0"/>
          <w:w w:val="100"/>
          <w:position w:val="0"/>
          <w:sz w:val="18"/>
          <w:szCs w:val="18"/>
        </w:rPr>
        <w:t>2022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第</w:t>
      </w:r>
      <w:r>
        <w:rPr>
          <w:rFonts w:ascii="Courier New" w:eastAsia="Courier New" w:hAnsi="Courier New" w:cs="Courier New"/>
          <w:color w:val="000000"/>
          <w:spacing w:val="0"/>
          <w:w w:val="100"/>
          <w:position w:val="0"/>
          <w:sz w:val="18"/>
          <w:szCs w:val="18"/>
        </w:rPr>
        <w:t>371A005748</w:t>
      </w:r>
      <w:r>
        <w:rPr>
          <w:rFonts w:ascii="SimSun" w:eastAsia="SimSun" w:hAnsi="SimSun" w:cs="SimSun"/>
          <w:color w:val="000000"/>
          <w:spacing w:val="0"/>
          <w:w w:val="100"/>
          <w:position w:val="0"/>
          <w:sz w:val="17"/>
          <w:szCs w:val="17"/>
        </w:rPr>
        <w:t>号</w:t>
      </w:r>
    </w:p>
    <w:p>
      <w:pPr>
        <w:pStyle w:val="Style21"/>
        <w:keepNext w:val="0"/>
        <w:keepLines w:val="0"/>
        <w:widowControl w:val="0"/>
        <w:shd w:val="clear" w:color="auto" w:fill="auto"/>
        <w:bidi w:val="0"/>
        <w:spacing w:before="0" w:after="100" w:line="312" w:lineRule="exact"/>
        <w:ind w:left="0" w:right="0" w:firstLine="0"/>
        <w:jc w:val="both"/>
      </w:pPr>
      <w:r>
        <w:rPr>
          <w:b/>
          <w:bCs/>
          <w:color w:val="000000"/>
          <w:spacing w:val="0"/>
          <w:w w:val="100"/>
          <w:position w:val="0"/>
        </w:rPr>
        <w:t>普联软件股份有限公司全体股东:</w:t>
      </w:r>
    </w:p>
    <w:p>
      <w:pPr>
        <w:pStyle w:val="Style21"/>
        <w:keepNext w:val="0"/>
        <w:keepLines w:val="0"/>
        <w:widowControl w:val="0"/>
        <w:shd w:val="clear" w:color="auto" w:fill="auto"/>
        <w:tabs>
          <w:tab w:pos="840" w:val="left"/>
        </w:tabs>
        <w:bidi w:val="0"/>
        <w:spacing w:before="0" w:after="100" w:line="312" w:lineRule="exact"/>
        <w:ind w:left="0" w:right="0" w:firstLine="400"/>
        <w:jc w:val="both"/>
      </w:pPr>
      <w:bookmarkStart w:id="711" w:name="bookmark711"/>
      <w:r>
        <w:rPr>
          <w:b/>
          <w:bCs/>
          <w:color w:val="000000"/>
          <w:spacing w:val="0"/>
          <w:w w:val="100"/>
          <w:position w:val="0"/>
        </w:rPr>
        <w:t>一</w:t>
      </w:r>
      <w:bookmarkEnd w:id="711"/>
      <w:r>
        <w:rPr>
          <w:b/>
          <w:bCs/>
          <w:color w:val="000000"/>
          <w:spacing w:val="0"/>
          <w:w w:val="100"/>
          <w:position w:val="0"/>
        </w:rPr>
        <w:t>、</w:t>
        <w:tab/>
        <w:t>审计意见</w:t>
      </w:r>
    </w:p>
    <w:p>
      <w:pPr>
        <w:pStyle w:val="Style21"/>
        <w:keepNext w:val="0"/>
        <w:keepLines w:val="0"/>
        <w:widowControl w:val="0"/>
        <w:shd w:val="clear" w:color="auto" w:fill="auto"/>
        <w:bidi w:val="0"/>
        <w:spacing w:before="0" w:after="100" w:line="302" w:lineRule="exact"/>
        <w:ind w:left="0" w:right="0" w:firstLine="400"/>
        <w:jc w:val="both"/>
      </w:pPr>
      <w:r>
        <w:rPr>
          <w:color w:val="000000"/>
          <w:spacing w:val="0"/>
          <w:w w:val="100"/>
          <w:position w:val="0"/>
        </w:rPr>
        <w:t>我们审计了普联软件股份有限公司（以下简称普联软件公司）财务报表，包括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日的合并及公司资产负债表，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1"/>
        <w:keepNext w:val="0"/>
        <w:keepLines w:val="0"/>
        <w:widowControl w:val="0"/>
        <w:shd w:val="clear" w:color="auto" w:fill="auto"/>
        <w:bidi w:val="0"/>
        <w:spacing w:before="0" w:after="100" w:line="307" w:lineRule="exact"/>
        <w:ind w:left="0" w:right="0" w:firstLine="400"/>
        <w:jc w:val="both"/>
      </w:pPr>
      <w:r>
        <w:rPr>
          <w:color w:val="000000"/>
          <w:spacing w:val="0"/>
          <w:w w:val="100"/>
          <w:position w:val="0"/>
        </w:rPr>
        <w:t>我们认为，后附的财务报表在所有重大方面按照企业会计准则的规定编制，公允反映了普联软件公司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年度的合并及公司经营成果和现金流量。</w:t>
      </w:r>
    </w:p>
    <w:p>
      <w:pPr>
        <w:pStyle w:val="Style21"/>
        <w:keepNext w:val="0"/>
        <w:keepLines w:val="0"/>
        <w:widowControl w:val="0"/>
        <w:shd w:val="clear" w:color="auto" w:fill="auto"/>
        <w:tabs>
          <w:tab w:pos="840" w:val="left"/>
        </w:tabs>
        <w:bidi w:val="0"/>
        <w:spacing w:before="0" w:after="100" w:line="312" w:lineRule="exact"/>
        <w:ind w:left="0" w:right="0" w:firstLine="400"/>
        <w:jc w:val="both"/>
      </w:pPr>
      <w:bookmarkStart w:id="712" w:name="bookmark712"/>
      <w:r>
        <w:rPr>
          <w:b/>
          <w:bCs/>
          <w:color w:val="000000"/>
          <w:spacing w:val="0"/>
          <w:w w:val="100"/>
          <w:position w:val="0"/>
        </w:rPr>
        <w:t>二</w:t>
      </w:r>
      <w:bookmarkEnd w:id="712"/>
      <w:r>
        <w:rPr>
          <w:b/>
          <w:bCs/>
          <w:color w:val="000000"/>
          <w:spacing w:val="0"/>
          <w:w w:val="100"/>
          <w:position w:val="0"/>
        </w:rPr>
        <w:t>、</w:t>
        <w:tab/>
        <w:t>形成审计意见的基础</w:t>
      </w:r>
    </w:p>
    <w:p>
      <w:pPr>
        <w:pStyle w:val="Style21"/>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阐述了我们在这些准则下的责任。按照中国注册会计师职业道德守则，我们独立于普联软件公司，并履行了职业道德方面的 其他责任。我们相信，我们获取的审计证据是充分、适当的，为发表审计意见提供了基础。</w:t>
      </w:r>
    </w:p>
    <w:p>
      <w:pPr>
        <w:pStyle w:val="Style21"/>
        <w:keepNext w:val="0"/>
        <w:keepLines w:val="0"/>
        <w:widowControl w:val="0"/>
        <w:shd w:val="clear" w:color="auto" w:fill="auto"/>
        <w:tabs>
          <w:tab w:pos="845" w:val="left"/>
        </w:tabs>
        <w:bidi w:val="0"/>
        <w:spacing w:before="0" w:after="100" w:line="312" w:lineRule="exact"/>
        <w:ind w:left="0" w:right="0" w:firstLine="400"/>
        <w:jc w:val="both"/>
      </w:pPr>
      <w:bookmarkStart w:id="713" w:name="bookmark713"/>
      <w:r>
        <w:rPr>
          <w:b/>
          <w:bCs/>
          <w:color w:val="000000"/>
          <w:spacing w:val="0"/>
          <w:w w:val="100"/>
          <w:position w:val="0"/>
        </w:rPr>
        <w:t>三</w:t>
      </w:r>
      <w:bookmarkEnd w:id="713"/>
      <w:r>
        <w:rPr>
          <w:b/>
          <w:bCs/>
          <w:color w:val="000000"/>
          <w:spacing w:val="0"/>
          <w:w w:val="100"/>
          <w:position w:val="0"/>
        </w:rPr>
        <w:t>、</w:t>
        <w:tab/>
        <w:t>关键审计事项</w:t>
      </w:r>
    </w:p>
    <w:p>
      <w:pPr>
        <w:pStyle w:val="Style21"/>
        <w:keepNext w:val="0"/>
        <w:keepLines w:val="0"/>
        <w:widowControl w:val="0"/>
        <w:shd w:val="clear" w:color="auto" w:fill="auto"/>
        <w:bidi w:val="0"/>
        <w:spacing w:before="0" w:after="100" w:line="317" w:lineRule="exact"/>
        <w:ind w:left="0" w:right="0" w:firstLine="4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21"/>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（一）定制软件收入确认</w:t>
      </w:r>
    </w:p>
    <w:p>
      <w:pPr>
        <w:pStyle w:val="Style21"/>
        <w:keepNext w:val="0"/>
        <w:keepLines w:val="0"/>
        <w:widowControl w:val="0"/>
        <w:shd w:val="clear" w:color="auto" w:fill="auto"/>
        <w:bidi w:val="0"/>
        <w:spacing w:before="0" w:after="240" w:line="312" w:lineRule="exact"/>
        <w:ind w:left="0" w:right="0" w:firstLine="400"/>
        <w:jc w:val="both"/>
      </w:pPr>
      <w:r>
        <w:rPr>
          <w:color w:val="000000"/>
          <w:spacing w:val="0"/>
          <w:w w:val="100"/>
          <w:position w:val="0"/>
        </w:rPr>
        <w:t>相关信息披露详见财务报告附注五</w:t>
      </w:r>
      <w:r>
        <w:rPr>
          <w:rFonts w:ascii="Times New Roman" w:eastAsia="Times New Roman" w:hAnsi="Times New Roman" w:cs="Times New Roman"/>
          <w:color w:val="000000"/>
          <w:spacing w:val="0"/>
          <w:w w:val="100"/>
          <w:position w:val="0"/>
          <w:sz w:val="18"/>
          <w:szCs w:val="18"/>
        </w:rPr>
        <w:t>/39 .</w:t>
      </w:r>
      <w:r>
        <w:rPr>
          <w:color w:val="000000"/>
          <w:spacing w:val="0"/>
          <w:w w:val="100"/>
          <w:position w:val="0"/>
        </w:rPr>
        <w:t>收入及附注七</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营业收入和营业成本。</w:t>
      </w:r>
    </w:p>
    <w:p>
      <w:pPr>
        <w:pStyle w:val="Style21"/>
        <w:keepNext w:val="0"/>
        <w:keepLines w:val="0"/>
        <w:widowControl w:val="0"/>
        <w:shd w:val="clear" w:color="auto" w:fill="auto"/>
        <w:bidi w:val="0"/>
        <w:spacing w:before="0" w:after="0" w:line="360" w:lineRule="auto"/>
        <w:ind w:left="0" w:right="0" w:firstLine="4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21"/>
        <w:keepNext w:val="0"/>
        <w:keepLines w:val="0"/>
        <w:widowControl w:val="0"/>
        <w:shd w:val="clear" w:color="auto" w:fill="auto"/>
        <w:bidi w:val="0"/>
        <w:spacing w:before="0" w:after="100" w:line="302" w:lineRule="exact"/>
        <w:ind w:left="0" w:right="0" w:firstLine="400"/>
        <w:jc w:val="both"/>
      </w:pPr>
      <w:r>
        <w:rPr>
          <w:color w:val="000000"/>
          <w:spacing w:val="0"/>
          <w:w w:val="100"/>
          <w:position w:val="0"/>
        </w:rPr>
        <w:t>普联软件公司主要从事计算机软件产品及系统产品的开发、销售。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年度，普联软件公司确认的营业收入为 </w:t>
      </w:r>
      <w:r>
        <w:rPr>
          <w:rFonts w:ascii="Times New Roman" w:eastAsia="Times New Roman" w:hAnsi="Times New Roman" w:cs="Times New Roman"/>
          <w:color w:val="000000"/>
          <w:spacing w:val="0"/>
          <w:w w:val="100"/>
          <w:position w:val="0"/>
          <w:sz w:val="18"/>
          <w:szCs w:val="18"/>
        </w:rPr>
        <w:t>581,932,459.4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元，其中定制软件收入为</w:t>
      </w:r>
      <w:r>
        <w:rPr>
          <w:rFonts w:ascii="Times New Roman" w:eastAsia="Times New Roman" w:hAnsi="Times New Roman" w:cs="Times New Roman"/>
          <w:color w:val="000000"/>
          <w:spacing w:val="0"/>
          <w:w w:val="100"/>
          <w:position w:val="0"/>
          <w:sz w:val="18"/>
          <w:szCs w:val="18"/>
        </w:rPr>
        <w:t>379,852,969.17</w:t>
      </w:r>
      <w:r>
        <w:rPr>
          <w:color w:val="000000"/>
          <w:spacing w:val="0"/>
          <w:w w:val="100"/>
          <w:position w:val="0"/>
        </w:rPr>
        <w:t>元，占收入的</w:t>
      </w:r>
      <w:r>
        <w:rPr>
          <w:rFonts w:ascii="Times New Roman" w:eastAsia="Times New Roman" w:hAnsi="Times New Roman" w:cs="Times New Roman"/>
          <w:color w:val="000000"/>
          <w:spacing w:val="0"/>
          <w:w w:val="100"/>
          <w:position w:val="0"/>
          <w:sz w:val="18"/>
          <w:szCs w:val="18"/>
        </w:rPr>
        <w:t>65.27%</w:t>
      </w:r>
      <w:r>
        <w:rPr>
          <w:color w:val="000000"/>
          <w:spacing w:val="0"/>
          <w:w w:val="100"/>
          <w:position w:val="0"/>
        </w:rPr>
        <w:t>。</w:t>
      </w:r>
    </w:p>
    <w:p>
      <w:pPr>
        <w:pStyle w:val="Style21"/>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公司定制软件业务系根据用户的实际需求进行专门的软件开发或实施，由此开发出来的软件不具有通用性。其收入确 认原则及方法为：在项目开发或实施完成，取得客户的验收文件时确认相关收入。公司存在部分金额较大的定制软件跨期合 同，若这类合同集中完工，会造成收入、利润在不同报告期之间出现较大波动。</w:t>
      </w:r>
    </w:p>
    <w:p>
      <w:pPr>
        <w:pStyle w:val="Style21"/>
        <w:keepNext w:val="0"/>
        <w:keepLines w:val="0"/>
        <w:widowControl w:val="0"/>
        <w:shd w:val="clear" w:color="auto" w:fill="auto"/>
        <w:bidi w:val="0"/>
        <w:spacing w:before="0" w:after="220" w:line="314" w:lineRule="exact"/>
        <w:ind w:left="0" w:right="0" w:firstLine="400"/>
        <w:jc w:val="left"/>
      </w:pPr>
      <w:r>
        <w:rPr>
          <w:color w:val="000000"/>
          <w:spacing w:val="0"/>
          <w:w w:val="100"/>
          <w:position w:val="0"/>
        </w:rPr>
        <w:t>由于收入是公司的关键业绩指标之一，从而存在管理层为达到特定目标或期望而操纵收入确认时点的固有风险，为此 我们将定制软件销售收入的真实性和截止性的审计确定为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年度的关键审计事项。为此我们将定制软件收入的确认识别为 关键审计事项。</w:t>
      </w:r>
    </w:p>
    <w:p>
      <w:pPr>
        <w:pStyle w:val="Style21"/>
        <w:keepNext w:val="0"/>
        <w:keepLines w:val="0"/>
        <w:widowControl w:val="0"/>
        <w:shd w:val="clear" w:color="auto" w:fill="auto"/>
        <w:bidi w:val="0"/>
        <w:spacing w:before="0" w:after="0" w:line="374" w:lineRule="auto"/>
        <w:ind w:left="0" w:right="0" w:firstLine="4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、审计应对</w:t>
      </w:r>
    </w:p>
    <w:p>
      <w:pPr>
        <w:pStyle w:val="Style21"/>
        <w:keepNext w:val="0"/>
        <w:keepLines w:val="0"/>
        <w:widowControl w:val="0"/>
        <w:shd w:val="clear" w:color="auto" w:fill="auto"/>
        <w:tabs>
          <w:tab w:pos="910" w:val="left"/>
        </w:tabs>
        <w:bidi w:val="0"/>
        <w:spacing w:before="0" w:after="100" w:line="312" w:lineRule="exact"/>
        <w:ind w:left="0" w:right="0" w:firstLine="40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我们了解了普联软件公司定制软件业务开展过程中的关键节点，测试和评价与收入确认相关的内部控制，确认内 部控制设计和运行的有效性；</w:t>
      </w:r>
    </w:p>
    <w:p>
      <w:pPr>
        <w:pStyle w:val="Style21"/>
        <w:keepNext w:val="0"/>
        <w:keepLines w:val="0"/>
        <w:widowControl w:val="0"/>
        <w:shd w:val="clear" w:color="auto" w:fill="auto"/>
        <w:tabs>
          <w:tab w:pos="820" w:val="left"/>
        </w:tabs>
        <w:bidi w:val="0"/>
        <w:spacing w:before="0" w:after="100" w:line="322" w:lineRule="exact"/>
        <w:ind w:left="0" w:right="0" w:firstLine="380"/>
        <w:jc w:val="left"/>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我们向管理层、治理层进行询问，评价管理层诚信及舞弊风险；</w:t>
      </w:r>
    </w:p>
    <w:p>
      <w:pPr>
        <w:pStyle w:val="Style21"/>
        <w:keepNext w:val="0"/>
        <w:keepLines w:val="0"/>
        <w:widowControl w:val="0"/>
        <w:shd w:val="clear" w:color="auto" w:fill="auto"/>
        <w:tabs>
          <w:tab w:pos="910" w:val="left"/>
        </w:tabs>
        <w:bidi w:val="0"/>
        <w:spacing w:before="0" w:after="100" w:line="322" w:lineRule="exact"/>
        <w:ind w:left="0" w:right="0" w:firstLine="40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我们通过检查销售合同，识别与定制软件业务所有权、控制权上的风险和报酬转移相关的合同条款与条件，评价 公司的定制软件业务收入确认时点是否符合会计准则的要求；</w:t>
      </w:r>
    </w:p>
    <w:p>
      <w:pPr>
        <w:pStyle w:val="Style21"/>
        <w:keepNext w:val="0"/>
        <w:keepLines w:val="0"/>
        <w:widowControl w:val="0"/>
        <w:shd w:val="clear" w:color="auto" w:fill="auto"/>
        <w:bidi w:val="0"/>
        <w:spacing w:before="0" w:after="100" w:line="322" w:lineRule="exact"/>
        <w:ind w:left="0" w:right="0" w:firstLine="40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检查与收入确认相关的支持性文件，包括销售合同、销售发票、验收文件等及与管理层的访谈，对与销售收入确 认有关的重大风险及报酬转移时点进行了分析评估，评价公司定制软件收入确认是否与披露的会计政策一致；</w:t>
      </w:r>
    </w:p>
    <w:p>
      <w:pPr>
        <w:pStyle w:val="Style21"/>
        <w:keepNext w:val="0"/>
        <w:keepLines w:val="0"/>
        <w:widowControl w:val="0"/>
        <w:shd w:val="clear" w:color="auto" w:fill="auto"/>
        <w:tabs>
          <w:tab w:pos="840" w:val="left"/>
        </w:tabs>
        <w:bidi w:val="0"/>
        <w:spacing w:before="0" w:after="100" w:line="322" w:lineRule="exact"/>
        <w:ind w:left="0" w:right="0" w:firstLine="40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抽取足够的样本量对公司记录的收入交易、应收账款及合同负债的余额执行函证程序；</w:t>
      </w:r>
    </w:p>
    <w:p>
      <w:pPr>
        <w:pStyle w:val="Style21"/>
        <w:keepNext w:val="0"/>
        <w:keepLines w:val="0"/>
        <w:widowControl w:val="0"/>
        <w:shd w:val="clear" w:color="auto" w:fill="auto"/>
        <w:tabs>
          <w:tab w:pos="840" w:val="left"/>
        </w:tabs>
        <w:bidi w:val="0"/>
        <w:spacing w:before="0" w:after="100" w:line="322" w:lineRule="exact"/>
        <w:ind w:left="0" w:right="0" w:firstLine="40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检查销售收款凭证，核对货款来源与交易客户是否一致；</w:t>
      </w:r>
    </w:p>
    <w:p>
      <w:pPr>
        <w:pStyle w:val="Style21"/>
        <w:keepNext w:val="0"/>
        <w:keepLines w:val="0"/>
        <w:widowControl w:val="0"/>
        <w:shd w:val="clear" w:color="auto" w:fill="auto"/>
        <w:tabs>
          <w:tab w:pos="915" w:val="left"/>
        </w:tabs>
        <w:bidi w:val="0"/>
        <w:spacing w:before="0" w:after="540" w:line="322" w:lineRule="exact"/>
        <w:ind w:left="0" w:right="0" w:firstLine="40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针对资产负债表日前后记录的收入交易，选取样本，核对销售合同、验收文件等支持性文件，以评价收入是否被 记录于恰当的会计期间。</w:t>
      </w:r>
    </w:p>
    <w:p>
      <w:pPr>
        <w:pStyle w:val="Style21"/>
        <w:keepNext w:val="0"/>
        <w:keepLines w:val="0"/>
        <w:widowControl w:val="0"/>
        <w:shd w:val="clear" w:color="auto" w:fill="auto"/>
        <w:bidi w:val="0"/>
        <w:spacing w:before="0" w:after="100" w:line="322" w:lineRule="exact"/>
        <w:ind w:left="0" w:right="0" w:firstLine="400"/>
        <w:jc w:val="both"/>
      </w:pPr>
      <w:r>
        <w:rPr>
          <w:color w:val="000000"/>
          <w:spacing w:val="0"/>
          <w:w w:val="100"/>
          <w:position w:val="0"/>
        </w:rPr>
        <w:t>（二）货币资金的存在性及完整性</w:t>
      </w:r>
    </w:p>
    <w:p>
      <w:pPr>
        <w:pStyle w:val="Style21"/>
        <w:keepNext w:val="0"/>
        <w:keepLines w:val="0"/>
        <w:widowControl w:val="0"/>
        <w:shd w:val="clear" w:color="auto" w:fill="auto"/>
        <w:bidi w:val="0"/>
        <w:spacing w:before="0" w:after="220" w:line="322" w:lineRule="exact"/>
        <w:ind w:left="0" w:right="0" w:firstLine="400"/>
        <w:jc w:val="both"/>
      </w:pPr>
      <w:r>
        <w:rPr>
          <w:color w:val="000000"/>
          <w:spacing w:val="0"/>
          <w:w w:val="100"/>
          <w:position w:val="0"/>
        </w:rPr>
        <w:t>相关信息披露详见财务报告附注七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p>
      <w:pPr>
        <w:pStyle w:val="Style21"/>
        <w:keepNext w:val="0"/>
        <w:keepLines w:val="0"/>
        <w:widowControl w:val="0"/>
        <w:shd w:val="clear" w:color="auto" w:fill="auto"/>
        <w:tabs>
          <w:tab w:pos="752" w:val="left"/>
        </w:tabs>
        <w:bidi w:val="0"/>
        <w:spacing w:before="0" w:after="0" w:line="374" w:lineRule="auto"/>
        <w:ind w:left="0" w:right="0" w:firstLine="380"/>
        <w:jc w:val="left"/>
      </w:pPr>
      <w:bookmarkStart w:id="721" w:name="bookmark721"/>
      <w:r>
        <w:rPr>
          <w:rFonts w:ascii="Times New Roman" w:eastAsia="Times New Roman" w:hAnsi="Times New Roman" w:cs="Times New Roman"/>
          <w:color w:val="000000"/>
          <w:spacing w:val="0"/>
          <w:w w:val="100"/>
          <w:position w:val="0"/>
          <w:sz w:val="18"/>
          <w:szCs w:val="18"/>
        </w:rPr>
        <w:t>1</w:t>
      </w:r>
      <w:bookmarkEnd w:id="721"/>
      <w:r>
        <w:rPr>
          <w:color w:val="000000"/>
          <w:spacing w:val="0"/>
          <w:w w:val="100"/>
          <w:position w:val="0"/>
        </w:rPr>
        <w:t>、</w:t>
        <w:tab/>
        <w:t>事项描述</w:t>
      </w:r>
    </w:p>
    <w:p>
      <w:pPr>
        <w:pStyle w:val="Style21"/>
        <w:keepNext w:val="0"/>
        <w:keepLines w:val="0"/>
        <w:widowControl w:val="0"/>
        <w:shd w:val="clear" w:color="auto" w:fill="auto"/>
        <w:bidi w:val="0"/>
        <w:spacing w:before="0" w:after="220" w:line="326" w:lineRule="exact"/>
        <w:ind w:left="0" w:right="0" w:firstLine="4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日，普联软件公司货币资金余额</w:t>
      </w:r>
      <w:r>
        <w:rPr>
          <w:rFonts w:ascii="Times New Roman" w:eastAsia="Times New Roman" w:hAnsi="Times New Roman" w:cs="Times New Roman"/>
          <w:color w:val="000000"/>
          <w:spacing w:val="0"/>
          <w:w w:val="100"/>
          <w:position w:val="0"/>
          <w:sz w:val="18"/>
          <w:szCs w:val="18"/>
        </w:rPr>
        <w:t>371,558,814.99</w:t>
      </w:r>
      <w:r>
        <w:rPr>
          <w:color w:val="000000"/>
          <w:spacing w:val="0"/>
          <w:w w:val="100"/>
          <w:position w:val="0"/>
        </w:rPr>
        <w:t>元，占公司资产总额的比例为</w:t>
      </w:r>
      <w:r>
        <w:rPr>
          <w:rFonts w:ascii="Times New Roman" w:eastAsia="Times New Roman" w:hAnsi="Times New Roman" w:cs="Times New Roman"/>
          <w:color w:val="000000"/>
          <w:spacing w:val="0"/>
          <w:w w:val="100"/>
          <w:position w:val="0"/>
          <w:sz w:val="18"/>
          <w:szCs w:val="18"/>
        </w:rPr>
        <w:t>33.01%</w:t>
      </w:r>
      <w:r>
        <w:rPr>
          <w:color w:val="000000"/>
          <w:spacing w:val="0"/>
          <w:w w:val="100"/>
          <w:position w:val="0"/>
        </w:rPr>
        <w:t>。货币资金存 管的安全性、余额的准确性及完整性对财务报表产生重大影响，因此我们将货币资金的存在性及完整性作为关键审计事项。</w:t>
      </w:r>
    </w:p>
    <w:p>
      <w:pPr>
        <w:pStyle w:val="Style21"/>
        <w:keepNext w:val="0"/>
        <w:keepLines w:val="0"/>
        <w:widowControl w:val="0"/>
        <w:shd w:val="clear" w:color="auto" w:fill="auto"/>
        <w:tabs>
          <w:tab w:pos="752" w:val="left"/>
        </w:tabs>
        <w:bidi w:val="0"/>
        <w:spacing w:before="0" w:after="0" w:line="374" w:lineRule="auto"/>
        <w:ind w:left="0" w:right="0" w:firstLine="380"/>
        <w:jc w:val="both"/>
      </w:pPr>
      <w:bookmarkStart w:id="722" w:name="bookmark722"/>
      <w:r>
        <w:rPr>
          <w:rFonts w:ascii="Times New Roman" w:eastAsia="Times New Roman" w:hAnsi="Times New Roman" w:cs="Times New Roman"/>
          <w:color w:val="000000"/>
          <w:spacing w:val="0"/>
          <w:w w:val="100"/>
          <w:position w:val="0"/>
          <w:sz w:val="18"/>
          <w:szCs w:val="18"/>
        </w:rPr>
        <w:t>2</w:t>
      </w:r>
      <w:bookmarkEnd w:id="722"/>
      <w:r>
        <w:rPr>
          <w:color w:val="000000"/>
          <w:spacing w:val="0"/>
          <w:w w:val="100"/>
          <w:position w:val="0"/>
        </w:rPr>
        <w:t>、</w:t>
        <w:tab/>
        <w:t>审计应对</w:t>
      </w:r>
    </w:p>
    <w:p>
      <w:pPr>
        <w:pStyle w:val="Style21"/>
        <w:keepNext w:val="0"/>
        <w:keepLines w:val="0"/>
        <w:widowControl w:val="0"/>
        <w:shd w:val="clear" w:color="auto" w:fill="auto"/>
        <w:tabs>
          <w:tab w:pos="820" w:val="left"/>
        </w:tabs>
        <w:bidi w:val="0"/>
        <w:spacing w:before="0" w:after="100" w:line="322" w:lineRule="exact"/>
        <w:ind w:left="0" w:right="0" w:firstLine="380"/>
        <w:jc w:val="left"/>
      </w:pPr>
      <w:bookmarkStart w:id="723" w:name="bookmark723"/>
      <w:r>
        <w:rPr>
          <w:color w:val="000000"/>
          <w:spacing w:val="0"/>
          <w:w w:val="100"/>
          <w:position w:val="0"/>
        </w:rPr>
        <w:t>（</w:t>
      </w:r>
      <w:bookmarkEnd w:id="7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了解、评估并测试了与货币资金收支、管理相关的内部控制设计和运行的有效性；</w:t>
      </w:r>
    </w:p>
    <w:p>
      <w:pPr>
        <w:pStyle w:val="Style21"/>
        <w:keepNext w:val="0"/>
        <w:keepLines w:val="0"/>
        <w:widowControl w:val="0"/>
        <w:shd w:val="clear" w:color="auto" w:fill="auto"/>
        <w:tabs>
          <w:tab w:pos="820" w:val="left"/>
        </w:tabs>
        <w:bidi w:val="0"/>
        <w:spacing w:before="0" w:after="100" w:line="322" w:lineRule="exact"/>
        <w:ind w:left="0" w:right="0" w:firstLine="380"/>
        <w:jc w:val="left"/>
      </w:pPr>
      <w:bookmarkStart w:id="724" w:name="bookmark724"/>
      <w:r>
        <w:rPr>
          <w:color w:val="000000"/>
          <w:spacing w:val="0"/>
          <w:w w:val="100"/>
          <w:position w:val="0"/>
        </w:rPr>
        <w:t>（</w:t>
      </w:r>
      <w:bookmarkEnd w:id="7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获取了已开立银行账户清单，并与普联软件账面记录的银行账户信息进行核对，检查银行账户的完整性；</w:t>
      </w:r>
    </w:p>
    <w:p>
      <w:pPr>
        <w:pStyle w:val="Style21"/>
        <w:keepNext w:val="0"/>
        <w:keepLines w:val="0"/>
        <w:widowControl w:val="0"/>
        <w:shd w:val="clear" w:color="auto" w:fill="auto"/>
        <w:tabs>
          <w:tab w:pos="901" w:val="left"/>
        </w:tabs>
        <w:bidi w:val="0"/>
        <w:spacing w:before="0" w:after="100" w:line="322" w:lineRule="exact"/>
        <w:ind w:left="0" w:right="0" w:firstLine="400"/>
        <w:jc w:val="both"/>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获取银行对账单及银行存款余额调节表，与银行存款账面余额进行核对，并将银行流水与账面记录进行双向核对， 同时对银行账户执行了函证程序；</w:t>
      </w:r>
    </w:p>
    <w:p>
      <w:pPr>
        <w:pStyle w:val="Style21"/>
        <w:keepNext w:val="0"/>
        <w:keepLines w:val="0"/>
        <w:widowControl w:val="0"/>
        <w:shd w:val="clear" w:color="auto" w:fill="auto"/>
        <w:tabs>
          <w:tab w:pos="901" w:val="left"/>
        </w:tabs>
        <w:bidi w:val="0"/>
        <w:spacing w:before="0" w:after="100" w:line="322" w:lineRule="exact"/>
        <w:ind w:left="0" w:right="0" w:firstLine="400"/>
        <w:jc w:val="both"/>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获取了企业信用报告，检查货币资金是否存在抵押、质押或冻结等情况，并复核了受限货币资金在财务报表附注 中的披露是否充分、恰当；</w:t>
      </w:r>
    </w:p>
    <w:p>
      <w:pPr>
        <w:pStyle w:val="Style21"/>
        <w:keepNext w:val="0"/>
        <w:keepLines w:val="0"/>
        <w:widowControl w:val="0"/>
        <w:shd w:val="clear" w:color="auto" w:fill="auto"/>
        <w:tabs>
          <w:tab w:pos="820" w:val="left"/>
        </w:tabs>
        <w:bidi w:val="0"/>
        <w:spacing w:before="0" w:after="100" w:line="322" w:lineRule="exact"/>
        <w:ind w:left="0" w:right="0" w:firstLine="38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向普联软件管理层访谈，确认是否存在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资金池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业务等方式形成的资金归集和占用。</w:t>
      </w:r>
    </w:p>
    <w:p>
      <w:pPr>
        <w:pStyle w:val="Style21"/>
        <w:keepNext w:val="0"/>
        <w:keepLines w:val="0"/>
        <w:widowControl w:val="0"/>
        <w:shd w:val="clear" w:color="auto" w:fill="auto"/>
        <w:bidi w:val="0"/>
        <w:spacing w:before="0" w:after="100" w:line="322" w:lineRule="exact"/>
        <w:ind w:left="0" w:right="0" w:firstLine="380"/>
        <w:jc w:val="left"/>
      </w:pPr>
      <w:bookmarkStart w:id="728" w:name="bookmark728"/>
      <w:r>
        <w:rPr>
          <w:b/>
          <w:bCs/>
          <w:color w:val="000000"/>
          <w:spacing w:val="0"/>
          <w:w w:val="100"/>
          <w:position w:val="0"/>
        </w:rPr>
        <w:t>四</w:t>
      </w:r>
      <w:bookmarkEnd w:id="728"/>
      <w:r>
        <w:rPr>
          <w:b/>
          <w:bCs/>
          <w:color w:val="000000"/>
          <w:spacing w:val="0"/>
          <w:w w:val="100"/>
          <w:position w:val="0"/>
        </w:rPr>
        <w:t>、其他信息</w:t>
      </w:r>
    </w:p>
    <w:p>
      <w:pPr>
        <w:pStyle w:val="Style21"/>
        <w:keepNext w:val="0"/>
        <w:keepLines w:val="0"/>
        <w:widowControl w:val="0"/>
        <w:shd w:val="clear" w:color="auto" w:fill="auto"/>
        <w:bidi w:val="0"/>
        <w:spacing w:before="0" w:after="100" w:line="312" w:lineRule="exact"/>
        <w:ind w:left="0" w:right="0" w:firstLine="400"/>
        <w:jc w:val="both"/>
      </w:pPr>
      <w:r>
        <w:rPr>
          <w:color w:val="000000"/>
          <w:spacing w:val="0"/>
          <w:w w:val="100"/>
          <w:position w:val="0"/>
        </w:rPr>
        <w:t>普联软件公司管理层（以下简称管理层）对其他信息负责。其他信息包括普联软件公司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 但不包括财务报表和我们的审计报告。</w:t>
      </w:r>
    </w:p>
    <w:p>
      <w:pPr>
        <w:pStyle w:val="Style21"/>
        <w:keepNext w:val="0"/>
        <w:keepLines w:val="0"/>
        <w:widowControl w:val="0"/>
        <w:shd w:val="clear" w:color="auto" w:fill="auto"/>
        <w:bidi w:val="0"/>
        <w:spacing w:before="0" w:after="100" w:line="322" w:lineRule="exact"/>
        <w:ind w:left="0" w:right="0" w:firstLine="400"/>
        <w:jc w:val="left"/>
      </w:pPr>
      <w:r>
        <w:rPr>
          <w:color w:val="000000"/>
          <w:spacing w:val="0"/>
          <w:w w:val="100"/>
          <w:position w:val="0"/>
        </w:rPr>
        <w:t>我们对财务报表发表的审计意见不涵盖其他信息，我们也不对其他信息发表任何形式的鉴证结论。</w:t>
      </w:r>
    </w:p>
    <w:p>
      <w:pPr>
        <w:pStyle w:val="Style21"/>
        <w:keepNext w:val="0"/>
        <w:keepLines w:val="0"/>
        <w:widowControl w:val="0"/>
        <w:shd w:val="clear" w:color="auto" w:fill="auto"/>
        <w:bidi w:val="0"/>
        <w:spacing w:before="0" w:after="100" w:line="312" w:lineRule="exact"/>
        <w:ind w:left="0" w:right="0" w:firstLine="400"/>
        <w:jc w:val="left"/>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21"/>
        <w:keepNext w:val="0"/>
        <w:keepLines w:val="0"/>
        <w:widowControl w:val="0"/>
        <w:shd w:val="clear" w:color="auto" w:fill="auto"/>
        <w:tabs>
          <w:tab w:pos="802" w:val="left"/>
        </w:tabs>
        <w:bidi w:val="0"/>
        <w:spacing w:before="0" w:after="100" w:line="314" w:lineRule="exact"/>
        <w:ind w:left="0" w:right="0" w:firstLine="380"/>
        <w:jc w:val="both"/>
      </w:pPr>
      <w:bookmarkStart w:id="729" w:name="bookmark729"/>
      <w:r>
        <w:rPr>
          <w:b/>
          <w:bCs/>
          <w:color w:val="000000"/>
          <w:spacing w:val="0"/>
          <w:w w:val="100"/>
          <w:position w:val="0"/>
        </w:rPr>
        <w:t>五</w:t>
      </w:r>
      <w:bookmarkEnd w:id="729"/>
      <w:r>
        <w:rPr>
          <w:b/>
          <w:bCs/>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普联软件公司管理层负责按照企业会计准则的规定编制财务报表，使其实现公允反映，并设计、执行和维护必要的内 部控制，以使财务报表不存在由于舞弊或错误导致的重大错报。</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在编制财务报表时，管理层负责评估普联软件公司的持续经营能力，披露与持续经营相关的事项（如适用），并运用 持续经营假设，除非管理层计划清算普联软件公司、终止运营或别无其他现实的选择。</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治理层负责监督普联软件公司的财务报告过程。</w:t>
      </w:r>
    </w:p>
    <w:p>
      <w:pPr>
        <w:pStyle w:val="Style21"/>
        <w:keepNext w:val="0"/>
        <w:keepLines w:val="0"/>
        <w:widowControl w:val="0"/>
        <w:shd w:val="clear" w:color="auto" w:fill="auto"/>
        <w:tabs>
          <w:tab w:pos="807" w:val="left"/>
        </w:tabs>
        <w:bidi w:val="0"/>
        <w:spacing w:before="0" w:after="100" w:line="314" w:lineRule="exact"/>
        <w:ind w:left="0" w:right="0" w:firstLine="380"/>
        <w:jc w:val="both"/>
      </w:pPr>
      <w:bookmarkStart w:id="730" w:name="bookmark730"/>
      <w:r>
        <w:rPr>
          <w:b/>
          <w:bCs/>
          <w:color w:val="000000"/>
          <w:spacing w:val="0"/>
          <w:w w:val="100"/>
          <w:position w:val="0"/>
        </w:rPr>
        <w:t>六</w:t>
      </w:r>
      <w:bookmarkEnd w:id="730"/>
      <w:r>
        <w:rPr>
          <w:b/>
          <w:bCs/>
          <w:color w:val="000000"/>
          <w:spacing w:val="0"/>
          <w:w w:val="100"/>
          <w:position w:val="0"/>
        </w:rPr>
        <w:t>、</w:t>
        <w:tab/>
        <w:t>注册会计师对财务报表审计的责任</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1"/>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bidi w:val="0"/>
        <w:spacing w:before="0" w:after="100" w:line="314" w:lineRule="exact"/>
        <w:ind w:left="0" w:right="0" w:firstLine="380"/>
        <w:jc w:val="both"/>
      </w:pPr>
      <w:bookmarkStart w:id="731" w:name="bookmark731"/>
      <w:r>
        <w:rPr>
          <w:color w:val="000000"/>
          <w:spacing w:val="0"/>
          <w:w w:val="100"/>
          <w:position w:val="0"/>
        </w:rPr>
        <w:t>（</w:t>
      </w:r>
      <w:bookmarkEnd w:id="7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807" w:val="left"/>
        </w:tabs>
        <w:bidi w:val="0"/>
        <w:spacing w:before="0" w:after="100" w:line="314" w:lineRule="exact"/>
        <w:ind w:left="0" w:right="0" w:firstLine="38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21"/>
        <w:keepNext w:val="0"/>
        <w:keepLines w:val="0"/>
        <w:widowControl w:val="0"/>
        <w:shd w:val="clear" w:color="auto" w:fill="auto"/>
        <w:tabs>
          <w:tab w:pos="807" w:val="left"/>
        </w:tabs>
        <w:bidi w:val="0"/>
        <w:spacing w:before="0" w:after="100" w:line="314" w:lineRule="exact"/>
        <w:ind w:left="0" w:right="0" w:firstLine="38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1"/>
        <w:keepNext w:val="0"/>
        <w:keepLines w:val="0"/>
        <w:widowControl w:val="0"/>
        <w:shd w:val="clear" w:color="auto" w:fill="auto"/>
        <w:bidi w:val="0"/>
        <w:spacing w:before="0" w:after="100" w:line="315" w:lineRule="exact"/>
        <w:ind w:left="0" w:right="0" w:firstLine="38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对管理层使用持续经营假设的恰当性得出结论。同时，根据获取的审计证据，就可能导致对普联软件公司的持续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结论基于截至审计报告日可获得的信息。然而，未来的事项或情况可能导致普联软件公司不能持续经营。</w:t>
      </w:r>
    </w:p>
    <w:p>
      <w:pPr>
        <w:pStyle w:val="Style21"/>
        <w:keepNext w:val="0"/>
        <w:keepLines w:val="0"/>
        <w:widowControl w:val="0"/>
        <w:shd w:val="clear" w:color="auto" w:fill="auto"/>
        <w:tabs>
          <w:tab w:pos="807" w:val="left"/>
        </w:tabs>
        <w:bidi w:val="0"/>
        <w:spacing w:before="0" w:after="100" w:line="314" w:lineRule="exact"/>
        <w:ind w:left="0" w:right="0" w:firstLine="38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21"/>
        <w:keepNext w:val="0"/>
        <w:keepLines w:val="0"/>
        <w:widowControl w:val="0"/>
        <w:shd w:val="clear" w:color="auto" w:fill="auto"/>
        <w:tabs>
          <w:tab w:pos="897" w:val="left"/>
        </w:tabs>
        <w:bidi w:val="0"/>
        <w:spacing w:before="0" w:after="100" w:line="322" w:lineRule="exact"/>
        <w:ind w:left="0" w:right="0" w:firstLine="38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就普联软件公司中实体或业务活动的财务信息获取充分、适当的审计证据，以对财务报表发表意见。我们负责指 导、监督和执行集团审计，并对审计意见承担全部责任。</w:t>
      </w:r>
    </w:p>
    <w:p>
      <w:pPr>
        <w:pStyle w:val="Style21"/>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1"/>
        <w:keepNext w:val="0"/>
        <w:keepLines w:val="0"/>
        <w:widowControl w:val="0"/>
        <w:shd w:val="clear" w:color="auto" w:fill="auto"/>
        <w:bidi w:val="0"/>
        <w:spacing w:before="0" w:after="100" w:line="317"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1"/>
        <w:keepNext w:val="0"/>
        <w:keepLines w:val="0"/>
        <w:widowControl w:val="0"/>
        <w:shd w:val="clear" w:color="auto" w:fill="auto"/>
        <w:bidi w:val="0"/>
        <w:spacing w:before="0" w:after="980" w:line="310"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1"/>
        <w:keepNext w:val="0"/>
        <w:keepLines w:val="0"/>
        <w:widowControl w:val="0"/>
        <w:shd w:val="clear" w:color="auto" w:fill="auto"/>
        <w:tabs>
          <w:tab w:pos="4968" w:val="left"/>
        </w:tabs>
        <w:bidi w:val="0"/>
        <w:spacing w:before="0" w:after="100" w:line="240" w:lineRule="auto"/>
        <w:ind w:left="0" w:right="0" w:firstLine="0"/>
        <w:jc w:val="both"/>
      </w:pPr>
      <w:r>
        <w:rPr>
          <w:color w:val="000000"/>
          <w:spacing w:val="0"/>
          <w:w w:val="100"/>
          <w:position w:val="0"/>
        </w:rPr>
        <w:t>致同会计师事务所</w:t>
        <w:tab/>
        <w:t>中国注册会计师：江涛</w:t>
      </w:r>
    </w:p>
    <w:p>
      <w:pPr>
        <w:pStyle w:val="Style21"/>
        <w:keepNext w:val="0"/>
        <w:keepLines w:val="0"/>
        <w:widowControl w:val="0"/>
        <w:shd w:val="clear" w:color="auto" w:fill="auto"/>
        <w:tabs>
          <w:tab w:pos="4968" w:val="left"/>
        </w:tabs>
        <w:bidi w:val="0"/>
        <w:spacing w:before="0" w:after="100" w:line="240" w:lineRule="auto"/>
        <w:ind w:left="0" w:right="0" w:firstLine="0"/>
        <w:jc w:val="both"/>
      </w:pPr>
      <w:r>
        <w:rPr>
          <w:color w:val="000000"/>
          <w:spacing w:val="0"/>
          <w:w w:val="100"/>
          <w:position w:val="0"/>
        </w:rPr>
        <w:t>（特殊普通合伙）</w:t>
        <w:tab/>
        <w:t>（项目合伙人）</w:t>
      </w:r>
      <w:r>
        <w:br w:type="page"/>
      </w:r>
    </w:p>
    <w:p>
      <w:pPr>
        <w:widowControl w:val="0"/>
        <w:spacing w:line="1" w:lineRule="exact"/>
      </w:pPr>
      <w:r>
        <mc:AlternateContent>
          <mc:Choice Requires="wps">
            <w:drawing>
              <wp:anchor distT="0" distB="1709420" distL="0" distR="0" simplePos="0" relativeHeight="125829380" behindDoc="0" locked="0" layoutInCell="1" allowOverlap="1">
                <wp:simplePos x="0" y="0"/>
                <wp:positionH relativeFrom="page">
                  <wp:posOffset>3464560</wp:posOffset>
                </wp:positionH>
                <wp:positionV relativeFrom="paragraph">
                  <wp:posOffset>0</wp:posOffset>
                </wp:positionV>
                <wp:extent cx="1273810" cy="146050"/>
                <wp:wrapTopAndBottom/>
                <wp:docPr id="4" name="Shape 4"/>
                <a:graphic xmlns:a="http://schemas.openxmlformats.org/drawingml/2006/main">
                  <a:graphicData uri="http://schemas.microsoft.com/office/word/2010/wordprocessingShape">
                    <wps:wsp>
                      <wps:cNvSpPr txBox="1"/>
                      <wps:spPr>
                        <a:xfrm>
                          <a:ext cx="127381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中国注册会计师：郭冬梅</w:t>
                            </w:r>
                          </w:p>
                        </w:txbxContent>
                      </wps:txbx>
                      <wps:bodyPr wrap="none" lIns="0" tIns="0" rIns="0" bIns="0">
                        <a:noAutoFit/>
                      </wps:bodyPr>
                    </wps:wsp>
                  </a:graphicData>
                </a:graphic>
              </wp:anchor>
            </w:drawing>
          </mc:Choice>
          <mc:Fallback>
            <w:pict>
              <v:shape id="_x0000_s1030" type="#_x0000_t202" style="position:absolute;margin-left:272.80000000000001pt;margin-top:0;width:100.3pt;height:11.5pt;z-index:-125829373;mso-wrap-distance-left:0;mso-wrap-distance-right:0;mso-wrap-distance-bottom:134.5999999999999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中国注册会计师：郭冬梅</w:t>
                      </w:r>
                    </w:p>
                  </w:txbxContent>
                </v:textbox>
                <w10:wrap type="topAndBottom" anchorx="page"/>
              </v:shape>
            </w:pict>
          </mc:Fallback>
        </mc:AlternateContent>
      </w:r>
      <w:r>
        <mc:AlternateContent>
          <mc:Choice Requires="wps">
            <w:drawing>
              <wp:anchor distT="804545" distB="892175" distL="0" distR="0" simplePos="0" relativeHeight="125829382" behindDoc="0" locked="0" layoutInCell="1" allowOverlap="1">
                <wp:simplePos x="0" y="0"/>
                <wp:positionH relativeFrom="page">
                  <wp:posOffset>702945</wp:posOffset>
                </wp:positionH>
                <wp:positionV relativeFrom="paragraph">
                  <wp:posOffset>804545</wp:posOffset>
                </wp:positionV>
                <wp:extent cx="514985" cy="158750"/>
                <wp:wrapTopAndBottom/>
                <wp:docPr id="6" name="Shape 6"/>
                <a:graphic xmlns:a="http://schemas.openxmlformats.org/drawingml/2006/main">
                  <a:graphicData uri="http://schemas.microsoft.com/office/word/2010/wordprocessingShape">
                    <wps:wsp>
                      <wps:cNvSpPr txBox="1"/>
                      <wps:spPr>
                        <a:xfrm>
                          <a:ext cx="514985" cy="1587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32" type="#_x0000_t202" style="position:absolute;margin-left:55.350000000000001pt;margin-top:63.350000000000001pt;width:40.550000000000004pt;height:12.5pt;z-index:-125829371;mso-wrap-distance-left:0;mso-wrap-distance-top:63.350000000000001pt;mso-wrap-distance-right:0;mso-wrap-distance-bottom:70.25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p>
                  </w:txbxContent>
                </v:textbox>
                <w10:wrap type="topAndBottom" anchorx="page"/>
              </v:shape>
            </w:pict>
          </mc:Fallback>
        </mc:AlternateContent>
      </w:r>
      <w:r>
        <mc:AlternateContent>
          <mc:Choice Requires="wps">
            <w:drawing>
              <wp:anchor distT="804545" distB="889635" distL="0" distR="0" simplePos="0" relativeHeight="125829384" behindDoc="0" locked="0" layoutInCell="1" allowOverlap="1">
                <wp:simplePos x="0" y="0"/>
                <wp:positionH relativeFrom="page">
                  <wp:posOffset>3300095</wp:posOffset>
                </wp:positionH>
                <wp:positionV relativeFrom="paragraph">
                  <wp:posOffset>804545</wp:posOffset>
                </wp:positionV>
                <wp:extent cx="1212850" cy="161290"/>
                <wp:wrapTopAndBottom/>
                <wp:docPr id="8" name="Shape 8"/>
                <a:graphic xmlns:a="http://schemas.openxmlformats.org/drawingml/2006/main">
                  <a:graphicData uri="http://schemas.microsoft.com/office/word/2010/wordprocessingShape">
                    <wps:wsp>
                      <wps:cNvSpPr txBox="1"/>
                      <wps:spPr>
                        <a:xfrm>
                          <a:ext cx="1212850" cy="16129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rFonts w:ascii="Courier New" w:eastAsia="Courier New" w:hAnsi="Courier New" w:cs="Courier New"/>
                                <w:color w:val="000000"/>
                                <w:spacing w:val="0"/>
                                <w:w w:val="100"/>
                                <w:position w:val="0"/>
                                <w:sz w:val="18"/>
                                <w:szCs w:val="18"/>
                              </w:rPr>
                              <w:t>O</w:t>
                            </w:r>
                            <w:r>
                              <w:rPr>
                                <w:color w:val="000000"/>
                                <w:spacing w:val="0"/>
                                <w:w w:val="100"/>
                                <w:position w:val="0"/>
                              </w:rPr>
                              <w:t>二二年三月三十日</w:t>
                            </w:r>
                          </w:p>
                        </w:txbxContent>
                      </wps:txbx>
                      <wps:bodyPr wrap="none" lIns="0" tIns="0" rIns="0" bIns="0">
                        <a:noAutoFit/>
                      </wps:bodyPr>
                    </wps:wsp>
                  </a:graphicData>
                </a:graphic>
              </wp:anchor>
            </w:drawing>
          </mc:Choice>
          <mc:Fallback>
            <w:pict>
              <v:shape id="_x0000_s1034" type="#_x0000_t202" style="position:absolute;margin-left:259.85000000000002pt;margin-top:63.350000000000001pt;width:95.5pt;height:12.700000000000001pt;z-index:-125829369;mso-wrap-distance-left:0;mso-wrap-distance-top:63.350000000000001pt;mso-wrap-distance-right:0;mso-wrap-distance-bottom:70.049999999999997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rFonts w:ascii="Courier New" w:eastAsia="Courier New" w:hAnsi="Courier New" w:cs="Courier New"/>
                          <w:color w:val="000000"/>
                          <w:spacing w:val="0"/>
                          <w:w w:val="100"/>
                          <w:position w:val="0"/>
                          <w:sz w:val="18"/>
                          <w:szCs w:val="18"/>
                        </w:rPr>
                        <w:t>O</w:t>
                      </w:r>
                      <w:r>
                        <w:rPr>
                          <w:color w:val="000000"/>
                          <w:spacing w:val="0"/>
                          <w:w w:val="100"/>
                          <w:position w:val="0"/>
                        </w:rPr>
                        <w:t>二二年三月三十日</w:t>
                      </w:r>
                    </w:p>
                  </w:txbxContent>
                </v:textbox>
                <w10:wrap type="topAndBottom" anchorx="page"/>
              </v:shape>
            </w:pict>
          </mc:Fallback>
        </mc:AlternateContent>
      </w:r>
    </w:p>
    <w:p>
      <w:pPr>
        <w:pStyle w:val="Style25"/>
        <w:keepNext/>
        <w:keepLines/>
        <w:widowControl w:val="0"/>
        <w:shd w:val="clear" w:color="auto" w:fill="auto"/>
        <w:bidi w:val="0"/>
        <w:spacing w:before="0" w:after="3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二</w:t>
      </w:r>
      <w:bookmarkEnd w:id="739"/>
      <w:r>
        <w:rPr>
          <w:color w:val="000000"/>
          <w:spacing w:val="0"/>
          <w:w w:val="100"/>
          <w:position w:val="0"/>
        </w:rPr>
        <w:t>、财务报表</w:t>
      </w:r>
      <w:bookmarkEnd w:id="737"/>
      <w:bookmarkEnd w:id="738"/>
      <w:bookmarkEnd w:id="74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after="38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、合并资产负债表</w:t>
      </w:r>
      <w:bookmarkEnd w:id="741"/>
      <w:bookmarkEnd w:id="742"/>
      <w:bookmarkEnd w:id="744"/>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编制单位：普联软件股份有限公司</w:t>
      </w:r>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371,558,814.99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84,050,580.36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354,210,042.73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13,033,597.67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7,083,386.71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228,472,120.74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203,245,374.13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8,522,467.66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5,068,144.38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42,973,061.28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42,256,585.46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6,586,301.14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8,258,930.51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1,025,373,082.81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485,901,915.75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8,864,516.71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8,024,715.41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7,683,787.01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5,605,834.84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10,189,424.73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3,815,877.99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401,312.84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7,332,107.01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7,332,107.01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1,006,190.63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1,657,481.75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3,708,451.31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2,679,116.97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57,728,724.30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100,329,079.69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55,700,568.82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1,125,702,162.50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541,602,484.57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55,503,776.39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8,806,302.31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13,370,316.79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15,400,477.01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83,498,524.75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67,776,465.38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32,449,325.23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21,428,520.76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2,246,446.06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18,450,870.88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187,726,158.90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133,966,644.07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10,064,726.53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10,297,893.63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198,024,052.53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133,984,512.82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141,010,659.00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66,031,662.00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411,469,072.50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81,173,143.50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-102,215.75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45,199,964.63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31,765,096.17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326,974,223.40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228,273,015.64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924,551,703.78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407,617,971.75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3,126,406.19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927,678,109.97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407,617,971.75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1,125,702,162.50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541,602,484.57</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6" behindDoc="0" locked="0" layoutInCell="1" allowOverlap="1">
                <wp:simplePos x="0" y="0"/>
                <wp:positionH relativeFrom="page">
                  <wp:posOffset>692150</wp:posOffset>
                </wp:positionH>
                <wp:positionV relativeFrom="margin">
                  <wp:posOffset>4093210</wp:posOffset>
                </wp:positionV>
                <wp:extent cx="1054735" cy="149225"/>
                <wp:wrapTopAndBottom/>
                <wp:docPr id="10" name="Shape 1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法定代表人：蔺国强</w:t>
                            </w:r>
                          </w:p>
                        </w:txbxContent>
                      </wps:txbx>
                      <wps:bodyPr wrap="none" lIns="0" tIns="0" rIns="0" bIns="0">
                        <a:noAutoFit/>
                      </wps:bodyPr>
                    </wps:wsp>
                  </a:graphicData>
                </a:graphic>
              </wp:anchor>
            </w:drawing>
          </mc:Choice>
          <mc:Fallback>
            <w:pict>
              <v:shape id="_x0000_s1036" type="#_x0000_t202" style="position:absolute;margin-left:54.5pt;margin-top:322.30000000000001pt;width:83.049999999999997pt;height:11.75pt;z-index:-125829367;mso-wrap-distance-left:9.pt;mso-wrap-distance-top:12.pt;mso-wrap-distance-right:405.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法定代表人：蔺国强</w:t>
                      </w:r>
                    </w:p>
                  </w:txbxContent>
                </v:textbox>
                <w10:wrap type="topAndBottom" anchorx="page" anchory="margin"/>
              </v:shape>
            </w:pict>
          </mc:Fallback>
        </mc:AlternateContent>
      </w:r>
      <w:r>
        <mc:AlternateContent>
          <mc:Choice Requires="wps">
            <w:drawing>
              <wp:anchor distT="152400" distB="3175" distL="2348230" distR="2458720" simplePos="0" relativeHeight="125829388" behindDoc="0" locked="0" layoutInCell="1" allowOverlap="1">
                <wp:simplePos x="0" y="0"/>
                <wp:positionH relativeFrom="page">
                  <wp:posOffset>2926080</wp:posOffset>
                </wp:positionH>
                <wp:positionV relativeFrom="margin">
                  <wp:posOffset>4093210</wp:posOffset>
                </wp:positionV>
                <wp:extent cx="1508760" cy="146050"/>
                <wp:wrapTopAndBottom/>
                <wp:docPr id="12" name="Shape 1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主管会计工作负责人：聂玉涛</w:t>
                            </w:r>
                          </w:p>
                        </w:txbxContent>
                      </wps:txbx>
                      <wps:bodyPr wrap="none" lIns="0" tIns="0" rIns="0" bIns="0">
                        <a:noAutoFit/>
                      </wps:bodyPr>
                    </wps:wsp>
                  </a:graphicData>
                </a:graphic>
              </wp:anchor>
            </w:drawing>
          </mc:Choice>
          <mc:Fallback>
            <w:pict>
              <v:shape id="_x0000_s1038" type="#_x0000_t202" style="position:absolute;margin-left:230.40000000000001pt;margin-top:322.30000000000001pt;width:118.8pt;height:11.5pt;z-index:-125829365;mso-wrap-distance-left:184.90000000000001pt;mso-wrap-distance-top:12.pt;mso-wrap-distance-right:193.59999999999999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主管会计工作负责人：聂玉涛</w:t>
                      </w:r>
                    </w:p>
                  </w:txbxContent>
                </v:textbox>
                <w10:wrap type="topAndBottom" anchorx="page" anchory="margin"/>
              </v:shape>
            </w:pict>
          </mc:Fallback>
        </mc:AlternateContent>
      </w:r>
      <w:r>
        <mc:AlternateContent>
          <mc:Choice Requires="wps">
            <w:drawing>
              <wp:anchor distT="152400" distB="0" distL="5030470" distR="114935" simplePos="0" relativeHeight="125829390" behindDoc="0" locked="0" layoutInCell="1" allowOverlap="1">
                <wp:simplePos x="0" y="0"/>
                <wp:positionH relativeFrom="page">
                  <wp:posOffset>5608320</wp:posOffset>
                </wp:positionH>
                <wp:positionV relativeFrom="margin">
                  <wp:posOffset>4093210</wp:posOffset>
                </wp:positionV>
                <wp:extent cx="1170305" cy="149225"/>
                <wp:wrapTopAndBottom/>
                <wp:docPr id="14" name="Shape 14"/>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会计机构负责人：赵炜</w:t>
                            </w:r>
                          </w:p>
                        </w:txbxContent>
                      </wps:txbx>
                      <wps:bodyPr wrap="none" lIns="0" tIns="0" rIns="0" bIns="0">
                        <a:noAutoFit/>
                      </wps:bodyPr>
                    </wps:wsp>
                  </a:graphicData>
                </a:graphic>
              </wp:anchor>
            </w:drawing>
          </mc:Choice>
          <mc:Fallback>
            <w:pict>
              <v:shape id="_x0000_s1040" type="#_x0000_t202" style="position:absolute;margin-left:441.60000000000002pt;margin-top:322.30000000000001pt;width:92.150000000000006pt;height:11.75pt;z-index:-125829363;mso-wrap-distance-left:396.10000000000002pt;mso-wrap-distance-top:12.pt;mso-wrap-distance-right:9.0500000000000007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会计机构负责人：赵炜</w:t>
                      </w:r>
                    </w:p>
                  </w:txbxContent>
                </v:textbox>
                <w10:wrap type="topAndBottom" anchorx="page" anchory="margin"/>
              </v:shape>
            </w:pict>
          </mc:Fallback>
        </mc:AlternateContent>
      </w: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、母公司资产负债表</w:t>
      </w:r>
      <w:bookmarkEnd w:id="745"/>
      <w:bookmarkEnd w:id="746"/>
      <w:bookmarkEnd w:id="74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329,067,264.71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69,752,369.73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347,166,786.19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12,635,067.53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5,726,863.25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229,641,952.71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198,171,512.25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8,024,764.19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11,444,828.34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38,072,558.86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43,090,204.02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4,522,168.03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6,078,835.66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969,147,238.82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468,803,527.45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82,628,160.64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41,439,559.44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6,936,003.10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5,188,278.69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8,442,708.12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3,805,009.25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1,274,553.38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2,872,889.39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1,869,535.42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57,728,724.30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163,168,733.35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80,032,840.95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1,132,315,972.17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548,836,368.40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101,464,236.32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47,132,319.65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11,892,686.95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14,868,547.77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67,302,378.42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50,754,983.27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29,612,841.64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18,552,286.68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2,174,428.46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17,920,696.07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1,068,442.42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213,053,016.07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151,297,275.86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8,302,680.05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226,678.62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8,529,358.67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221,582,374.74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151,297,275.86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141,010,659.00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66,031,662.00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409,162,790.73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78,856,468.85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45,199,964.63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31,765,096.17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315,360,183.07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220,885,865.52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910,733,597.43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397,539,092.54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1,132,315,972.17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548,836,368.40</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、合并利润表</w:t>
      </w:r>
      <w:bookmarkEnd w:id="749"/>
      <w:bookmarkEnd w:id="750"/>
      <w:bookmarkEnd w:id="75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422,103,866.51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422,103,866.51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450,482,465.25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336,728,798.79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311,794,844.68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239,064,787.15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rPr>
              <w:t>提取保险责任合同准备金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3,818,499.47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3,175,245.48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15,469,354.99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12,883,600.87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46,774,726.74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30,122,918.64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73,623,584.53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51,715,171.71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-998,545.16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-232,925.06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1,623,896.33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7,752,539.58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5,408,074.47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10,656,843.85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1,654,224.12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459,103.35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-3,172,553.45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-2,987,554.19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-188,574.77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148,279,313.22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89,258,412.03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114,627.54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148,218,978.58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89,147,334.49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11,826,997.57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5,757,428.24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136,391,981.01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83,389,906.25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136,391,981.01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83,389,906.25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138,575,574.82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83,389,906.25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-2,183,593.81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-477,270.19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-301,896.12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-477,270.19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-301,896.12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（二）将重分类进损益的其他综合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-477,270.19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-301,896.12</w:t>
            </w: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-477,270.19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-301,896.12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135,914,710.82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83,088,010.13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138,098,304.63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83,088,010.13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-2,183,593.81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0.7893</w:t>
            </w:r>
          </w:p>
        </w:tc>
      </w:tr>
    </w:tbl>
    <w:p>
      <w:pPr>
        <w:widowControl w:val="0"/>
        <w:spacing w:after="79" w:line="1" w:lineRule="exact"/>
      </w:pP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514" w:val="left"/>
          <w:tab w:pos="7738" w:val="left"/>
        </w:tabs>
        <w:bidi w:val="0"/>
        <w:spacing w:before="0" w:after="400" w:line="240" w:lineRule="auto"/>
        <w:ind w:left="0" w:right="0" w:firstLine="0"/>
        <w:jc w:val="left"/>
      </w:pPr>
      <w:r>
        <w:rPr>
          <w:color w:val="000000"/>
          <w:spacing w:val="0"/>
          <w:w w:val="100"/>
          <w:position w:val="0"/>
        </w:rPr>
        <w:t>法定代表人：蔺国强</w:t>
        <w:tab/>
        <w:t>主管会计工作负责人：聂玉涛</w:t>
        <w:tab/>
        <w:t>会计机构负责人：赵炜</w:t>
      </w:r>
    </w:p>
    <w:p>
      <w:pPr>
        <w:pStyle w:val="Style31"/>
        <w:keepNext/>
        <w:keepLines/>
        <w:widowControl w:val="0"/>
        <w:shd w:val="clear" w:color="auto" w:fill="auto"/>
        <w:bidi w:val="0"/>
        <w:spacing w:before="0" w:after="40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、母公司利润表</w:t>
      </w:r>
      <w:bookmarkEnd w:id="753"/>
      <w:bookmarkEnd w:id="754"/>
      <w:bookmarkEnd w:id="75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560,611,449.26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405,446,649.80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312,099,749.35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239,998,228.04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3,167,608.11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2,769,518.40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12,289,896.78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10,372,378.52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36,410,249.09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21,427,305.63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68,064,477.66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51,695,742.54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-907,305.75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-112,339.39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503,116.50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1,489,026.37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289,033.76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7,282,899.48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4,980,303.91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9,744,707.11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1,368,137.29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70,096.19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2,266,786.19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-3,241,049.72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-2,761,576.56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-188,574.77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144,822,563.43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82,693,706.73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86,413.28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144,740,538.55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82,610,843.45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10,391,853.94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5,318,346.25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134,348,684.61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134,348,684.61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134,348,684.61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、合并现金流量表</w:t>
      </w:r>
      <w:bookmarkEnd w:id="757"/>
      <w:bookmarkEnd w:id="758"/>
      <w:bookmarkEnd w:id="76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582,420,899.50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398,856,019.39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3,764,171.41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1,829,024.99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5,079,442.52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11,386,191.72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591,264,513.43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412,071,236.10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75,511,314.29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59,571,377.36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287,761,419.18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216,305,051.33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31,888,402.00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25,502,937.32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31,930,808.09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18,161,578.20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427,091,943.56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319,540,944.21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164,172,569.87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92,530,291.89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895,400,000.00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236,900,000.00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7,208,659.45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1,415,140.77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180,906.55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902,789,566.00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238,360,783.86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38,033,988.11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7,686,239.77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351,800,000.00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3,034.63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1,149,063,988.11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359,489,274.40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-246,274,422.11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-121,128,490.54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427,336,198.13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427,336,198.13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26,452,724.98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15,021,631.92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28,898,521.18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56,351,246.16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18,006,631.92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370,984,951.97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-17,006,631.92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288,349,479.94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-45,816,175.35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79,071,832.05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124,888,007.40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367,421,311.99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79,071,832.05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61" w:name="bookmark761"/>
      <w:bookmarkStart w:id="762" w:name="bookmark762"/>
      <w:bookmarkStart w:id="763" w:name="bookmark763"/>
      <w:bookmarkStart w:id="764" w:name="bookmark764"/>
      <w:r>
        <w:rPr>
          <w:rFonts w:ascii="Times New Roman" w:eastAsia="Times New Roman" w:hAnsi="Times New Roman" w:cs="Times New Roman"/>
          <w:color w:val="000000"/>
          <w:spacing w:val="0"/>
          <w:w w:val="100"/>
          <w:position w:val="0"/>
        </w:rPr>
        <w:t>6</w:t>
      </w:r>
      <w:bookmarkEnd w:id="763"/>
      <w:r>
        <w:rPr>
          <w:color w:val="000000"/>
          <w:spacing w:val="0"/>
          <w:w w:val="100"/>
          <w:position w:val="0"/>
        </w:rPr>
        <w:t>、母公司现金流量表</w:t>
      </w:r>
      <w:bookmarkEnd w:id="761"/>
      <w:bookmarkEnd w:id="762"/>
      <w:bookmarkEnd w:id="76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552,604,958.02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384,098,354.65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3,383,582.69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1,609,272.97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4,906,928.32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11,169,233.49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560,895,469.03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396,876,861.11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128,915,964.86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86,521,971.79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196,332,902.94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174,026,766.23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24,030,112.10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21,751,961.49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37,681,223.93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24,514,857.08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386,960,203.83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306,815,556.59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173,935,265.20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90,061,304.52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237,721,484.31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6,978,756.63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1,400,521.10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482,795.87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45,643.09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845,961,552.50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239,167,648.50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37,611,080.10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7,542,509.00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1,088,546,120.00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349,800,000.00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1,126,157,200.10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357,345,543.63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-280,195,647.60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-118,177,895.13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421,796,198.13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421,796,198.13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26,452,724.98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15,021,631.92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27,926,950.46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55,379,675.44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18,006,631.92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366,416,522.69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-17,006,631.92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260,156,140.29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-45,125,926.52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64,773,621.42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109,899,547.94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324,929,761.71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64,773,621.42</w:t>
            </w:r>
          </w:p>
        </w:tc>
      </w:tr>
    </w:tbl>
    <w:p>
      <w:pPr>
        <w:sectPr>
          <w:footnotePr>
            <w:pos w:val="pageBottom"/>
            <w:numFmt w:val="decimal"/>
            <w:numRestart w:val="continuous"/>
          </w:footnotePr>
          <w:pgSz w:w="11900" w:h="16840"/>
          <w:pgMar w:top="1378" w:right="1087" w:bottom="1436" w:left="1044" w:header="0" w:footer="3" w:gutter="0"/>
          <w:cols w:space="720"/>
          <w:noEndnote/>
          <w:rtlGutter w:val="0"/>
          <w:docGrid w:linePitch="360"/>
        </w:sectPr>
      </w:pPr>
    </w:p>
    <w:p>
      <w:pPr>
        <w:pStyle w:val="Style31"/>
        <w:keepNext/>
        <w:keepLines/>
        <w:widowControl w:val="0"/>
        <w:shd w:val="clear" w:color="auto" w:fill="auto"/>
        <w:bidi w:val="0"/>
        <w:spacing w:before="680" w:after="3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7</w:t>
      </w:r>
      <w:bookmarkEnd w:id="767"/>
      <w:r>
        <w:rPr>
          <w:color w:val="000000"/>
          <w:spacing w:val="0"/>
          <w:w w:val="100"/>
          <w:position w:val="0"/>
        </w:rPr>
        <w:t>、合并所有者权益变动表</w:t>
      </w:r>
      <w:bookmarkEnd w:id="765"/>
      <w:bookmarkEnd w:id="766"/>
      <w:bookmarkEnd w:id="768"/>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80" w:line="240" w:lineRule="auto"/>
        <w:ind w:left="0" w:right="420" w:firstLine="0"/>
        <w:jc w:val="right"/>
      </w:pPr>
      <w:r>
        <w:rPr>
          <w:color w:val="000000"/>
          <w:spacing w:val="0"/>
          <w:w w:val="100"/>
          <w:position w:val="0"/>
        </w:rPr>
        <w:t>单位：元</w:t>
      </w:r>
    </w:p>
    <w:tbl>
      <w:tblPr>
        <w:tblOverlap w:val="never"/>
        <w:jc w:val="center"/>
        <w:tblLayout w:type="fixed"/>
      </w:tblPr>
      <w:tblGrid>
        <w:gridCol w:w="1262"/>
        <w:gridCol w:w="1123"/>
        <w:gridCol w:w="566"/>
        <w:gridCol w:w="566"/>
        <w:gridCol w:w="427"/>
        <w:gridCol w:w="1133"/>
        <w:gridCol w:w="710"/>
        <w:gridCol w:w="850"/>
        <w:gridCol w:w="566"/>
        <w:gridCol w:w="994"/>
        <w:gridCol w:w="850"/>
        <w:gridCol w:w="1133"/>
        <w:gridCol w:w="710"/>
        <w:gridCol w:w="1133"/>
        <w:gridCol w:w="994"/>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66,031,662.00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81,173,143.50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375,054.44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31,765,096.17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228,273,015.64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407,617,971.75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407,617,971.75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740"/>
              <w:jc w:val="both"/>
            </w:pPr>
            <w:r>
              <w:rPr>
                <w:color w:val="000000"/>
                <w:spacing w:val="0"/>
                <w:w w:val="100"/>
                <w:position w:val="0"/>
              </w:rPr>
              <w:t>同一</w:t>
            </w:r>
          </w:p>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66,031,662.00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81,173,143.50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375,054.44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31,765,096.17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228,273,015.64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407,617,971.75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407,617,971.75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74,978,997.00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330,295,929.00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-477,270.19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13,434,868.46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98,701,207.76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516,933,732.03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3,126,406.19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520,060,138.22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-477,270.19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138,575,574.82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138,098,304.63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-2,183,593.81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135,914,710.82</w:t>
            </w:r>
          </w:p>
        </w:tc>
      </w:tr>
    </w:tbl>
    <w:p>
      <w:pPr>
        <w:spacing w:lineRule="exact" w:line="1"/>
        <w:rPr>
          <w:sz w:val="2"/>
          <w:szCs w:val="2"/>
        </w:rPr>
      </w:pPr>
      <w:r>
        <w:br w:type="page"/>
      </w:r>
    </w:p>
    <w:tbl>
      <w:tblPr>
        <w:tblOverlap w:val="never"/>
        <w:jc w:val="center"/>
        <w:tblLayout w:type="fixed"/>
      </w:tblPr>
      <w:tblGrid>
        <w:gridCol w:w="1262"/>
        <w:gridCol w:w="1123"/>
        <w:gridCol w:w="566"/>
        <w:gridCol w:w="566"/>
        <w:gridCol w:w="427"/>
        <w:gridCol w:w="1133"/>
        <w:gridCol w:w="710"/>
        <w:gridCol w:w="850"/>
        <w:gridCol w:w="566"/>
        <w:gridCol w:w="994"/>
        <w:gridCol w:w="850"/>
        <w:gridCol w:w="1133"/>
        <w:gridCol w:w="710"/>
        <w:gridCol w:w="1133"/>
        <w:gridCol w:w="994"/>
        <w:gridCol w:w="1286"/>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383,174,926.00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405,274,926.00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410,584,926.00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376,258,190.59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398,358,190.59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5,310,000.00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403,668,190.59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6,929,726.51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6,929,726.51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6,929,726.51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color w:val="000000"/>
                <w:spacing w:val="0"/>
                <w:w w:val="100"/>
                <w:position w:val="0"/>
                <w:sz w:val="16"/>
                <w:szCs w:val="16"/>
              </w:rPr>
              <w:t>-12,991.10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-12,991.10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13,434,868.46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-39,874,367.06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-26,439,498.60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-26,439,498.60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13,434,868.46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-13,434,868.46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-26,439,498.60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-26,439,498.60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-26,439,498.60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52,878,997.00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-52,878,997.00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52,878,997.00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-52,878,997.00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1123"/>
        <w:gridCol w:w="566"/>
        <w:gridCol w:w="566"/>
        <w:gridCol w:w="427"/>
        <w:gridCol w:w="1133"/>
        <w:gridCol w:w="710"/>
        <w:gridCol w:w="850"/>
        <w:gridCol w:w="566"/>
        <w:gridCol w:w="994"/>
        <w:gridCol w:w="850"/>
        <w:gridCol w:w="1133"/>
        <w:gridCol w:w="710"/>
        <w:gridCol w:w="1133"/>
        <w:gridCol w:w="994"/>
        <w:gridCol w:w="1286"/>
      </w:tblGrid>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141,010,659.00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411,469,072.50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-102,215.75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45,199,964.63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326,974,223.40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924,551,703.78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3,126,406.19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927,678,109.97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171" w:right="0" w:firstLine="0"/>
        <w:jc w:val="left"/>
      </w:pPr>
      <w:r>
        <w:rPr>
          <w:color w:val="000000"/>
          <w:spacing w:val="0"/>
          <w:w w:val="100"/>
          <w:position w:val="0"/>
        </w:rPr>
        <w:t>单位：元</w:t>
      </w:r>
    </w:p>
    <w:tbl>
      <w:tblPr>
        <w:tblOverlap w:val="never"/>
        <w:jc w:val="center"/>
        <w:tblLayout w:type="fixed"/>
      </w:tblPr>
      <w:tblGrid>
        <w:gridCol w:w="1142"/>
        <w:gridCol w:w="1133"/>
        <w:gridCol w:w="427"/>
        <w:gridCol w:w="427"/>
        <w:gridCol w:w="566"/>
        <w:gridCol w:w="1133"/>
        <w:gridCol w:w="710"/>
        <w:gridCol w:w="989"/>
        <w:gridCol w:w="571"/>
        <w:gridCol w:w="1133"/>
        <w:gridCol w:w="850"/>
        <w:gridCol w:w="1277"/>
        <w:gridCol w:w="706"/>
        <w:gridCol w:w="1277"/>
        <w:gridCol w:w="710"/>
        <w:gridCol w:w="142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81,173,143.50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676,950.56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24,035,846.45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167,612,359.11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339,529,961.62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339,529,961.62</w:t>
            </w:r>
          </w:p>
        </w:tc>
      </w:tr>
    </w:tbl>
    <w:p>
      <w:pPr>
        <w:spacing w:lineRule="exact" w:line="1"/>
        <w:rPr>
          <w:sz w:val="2"/>
          <w:szCs w:val="2"/>
        </w:rPr>
      </w:pPr>
      <w:r>
        <w:br w:type="page"/>
      </w:r>
    </w:p>
    <w:tbl>
      <w:tblPr>
        <w:tblOverlap w:val="never"/>
        <w:jc w:val="center"/>
        <w:tblLayout w:type="fixed"/>
      </w:tblPr>
      <w:tblGrid>
        <w:gridCol w:w="1142"/>
        <w:gridCol w:w="1133"/>
        <w:gridCol w:w="427"/>
        <w:gridCol w:w="427"/>
        <w:gridCol w:w="566"/>
        <w:gridCol w:w="1133"/>
        <w:gridCol w:w="710"/>
        <w:gridCol w:w="989"/>
        <w:gridCol w:w="571"/>
        <w:gridCol w:w="1133"/>
        <w:gridCol w:w="850"/>
        <w:gridCol w:w="1277"/>
        <w:gridCol w:w="706"/>
        <w:gridCol w:w="1277"/>
        <w:gridCol w:w="710"/>
        <w:gridCol w:w="1426"/>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一控制下企</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both"/>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81,173,143.50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676,950.56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24,035,846.45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167,612,359.11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339,529,961.62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339,529,961.62</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60,660,656.53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68,088,010.13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68,088,010.13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-301,896.12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83,389,906.25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83,088,010.13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83,088,010.13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 计入所有者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427"/>
        <w:gridCol w:w="427"/>
        <w:gridCol w:w="566"/>
        <w:gridCol w:w="1133"/>
        <w:gridCol w:w="710"/>
        <w:gridCol w:w="989"/>
        <w:gridCol w:w="571"/>
        <w:gridCol w:w="1133"/>
        <w:gridCol w:w="850"/>
        <w:gridCol w:w="1277"/>
        <w:gridCol w:w="706"/>
        <w:gridCol w:w="1277"/>
        <w:gridCol w:w="710"/>
        <w:gridCol w:w="1426"/>
      </w:tblGrid>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-22,729,249.72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权益内部结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133"/>
        <w:gridCol w:w="427"/>
        <w:gridCol w:w="427"/>
        <w:gridCol w:w="566"/>
        <w:gridCol w:w="1133"/>
        <w:gridCol w:w="710"/>
        <w:gridCol w:w="989"/>
        <w:gridCol w:w="571"/>
        <w:gridCol w:w="1133"/>
        <w:gridCol w:w="850"/>
        <w:gridCol w:w="1277"/>
        <w:gridCol w:w="706"/>
        <w:gridCol w:w="1277"/>
        <w:gridCol w:w="710"/>
        <w:gridCol w:w="1426"/>
      </w:tblGrid>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81,173,143.50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228,273,015.64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407,617,971.75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407,617,971.75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8</w:t>
      </w:r>
      <w:bookmarkEnd w:id="771"/>
      <w:r>
        <w:rPr>
          <w:color w:val="000000"/>
          <w:spacing w:val="0"/>
          <w:w w:val="100"/>
          <w:position w:val="0"/>
        </w:rPr>
        <w:t>、母公司所有者权益变动表</w:t>
      </w:r>
      <w:bookmarkEnd w:id="769"/>
      <w:bookmarkEnd w:id="770"/>
      <w:bookmarkEnd w:id="772"/>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7"/>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315"/>
        <w:gridCol w:w="1214"/>
        <w:gridCol w:w="1555"/>
        <w:gridCol w:w="1421"/>
        <w:gridCol w:w="1416"/>
        <w:gridCol w:w="1416"/>
        <w:gridCol w:w="710"/>
        <w:gridCol w:w="710"/>
        <w:gridCol w:w="566"/>
        <w:gridCol w:w="1133"/>
        <w:gridCol w:w="1277"/>
        <w:gridCol w:w="422"/>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78,856,468.85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220,885,865.52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397,539,092.54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1214"/>
        <w:gridCol w:w="1555"/>
        <w:gridCol w:w="1421"/>
        <w:gridCol w:w="1416"/>
        <w:gridCol w:w="1416"/>
        <w:gridCol w:w="710"/>
        <w:gridCol w:w="710"/>
        <w:gridCol w:w="566"/>
        <w:gridCol w:w="1133"/>
        <w:gridCol w:w="1277"/>
        <w:gridCol w:w="422"/>
        <w:gridCol w:w="1286"/>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78,856,468.85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220,885,865.52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397,539,092.54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74,978,997.00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330,306,321.88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13,434,868.46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94,474,317.55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513,194,504.89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134,348,684.61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134,348,684.61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383,185,318.88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405,285,318.88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376,258,190.59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398,358,190.59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6,929,726.51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6,929,726.51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13,434,868.46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-39,874,367.06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-26,439,498.60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13,434,868.46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-13,434,868.46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-26,439,498.60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-26,439,498.60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52,878,997.00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-52,878,997.00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15"/>
        <w:gridCol w:w="1214"/>
        <w:gridCol w:w="1555"/>
        <w:gridCol w:w="1421"/>
        <w:gridCol w:w="1416"/>
        <w:gridCol w:w="1416"/>
        <w:gridCol w:w="710"/>
        <w:gridCol w:w="710"/>
        <w:gridCol w:w="566"/>
        <w:gridCol w:w="1133"/>
        <w:gridCol w:w="1277"/>
        <w:gridCol w:w="422"/>
        <w:gridCol w:w="1286"/>
      </w:tblGrid>
      <w:tr>
        <w:trPr>
          <w:trHeight w:val="106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52,878,997.00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-52,878,997.00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141,010,659.00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409,162,790.73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45,199,964.63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315,360,183.07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910,733,597.43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7"/>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1238"/>
        <w:gridCol w:w="1147"/>
        <w:gridCol w:w="850"/>
        <w:gridCol w:w="850"/>
        <w:gridCol w:w="854"/>
        <w:gridCol w:w="1133"/>
        <w:gridCol w:w="1133"/>
        <w:gridCol w:w="1277"/>
        <w:gridCol w:w="994"/>
        <w:gridCol w:w="1272"/>
        <w:gridCol w:w="1421"/>
        <w:gridCol w:w="850"/>
        <w:gridCol w:w="15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所有者权益合计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38"/>
        <w:gridCol w:w="1147"/>
        <w:gridCol w:w="850"/>
        <w:gridCol w:w="850"/>
        <w:gridCol w:w="854"/>
        <w:gridCol w:w="1133"/>
        <w:gridCol w:w="1133"/>
        <w:gridCol w:w="1277"/>
        <w:gridCol w:w="994"/>
        <w:gridCol w:w="1272"/>
        <w:gridCol w:w="1421"/>
        <w:gridCol w:w="850"/>
        <w:gridCol w:w="1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78,856,468.85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24,035,846.45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166,322,618.04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335,246,595.34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78,856,468.85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24,035,846.45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166,322,618.04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335,246,595.34</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54,563,247.48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62,292,497.20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-22,729,249.72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spacing w:lineRule="exact" w:line="1"/>
        <w:rPr>
          <w:sz w:val="2"/>
          <w:szCs w:val="2"/>
        </w:rPr>
      </w:pPr>
      <w:r>
        <w:br w:type="page"/>
      </w:r>
    </w:p>
    <w:tbl>
      <w:tblPr>
        <w:tblOverlap w:val="never"/>
        <w:jc w:val="center"/>
        <w:tblLayout w:type="fixed"/>
      </w:tblPr>
      <w:tblGrid>
        <w:gridCol w:w="1238"/>
        <w:gridCol w:w="1147"/>
        <w:gridCol w:w="850"/>
        <w:gridCol w:w="850"/>
        <w:gridCol w:w="854"/>
        <w:gridCol w:w="1133"/>
        <w:gridCol w:w="1133"/>
        <w:gridCol w:w="1277"/>
        <w:gridCol w:w="994"/>
        <w:gridCol w:w="1272"/>
        <w:gridCol w:w="1421"/>
        <w:gridCol w:w="850"/>
        <w:gridCol w:w="1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1147"/>
        <w:gridCol w:w="850"/>
        <w:gridCol w:w="850"/>
        <w:gridCol w:w="854"/>
        <w:gridCol w:w="1133"/>
        <w:gridCol w:w="1133"/>
        <w:gridCol w:w="1277"/>
        <w:gridCol w:w="994"/>
        <w:gridCol w:w="1272"/>
        <w:gridCol w:w="1421"/>
        <w:gridCol w:w="850"/>
        <w:gridCol w:w="15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78,856,468.85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220,885,865.52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397,539,092.54</w:t>
            </w:r>
          </w:p>
        </w:tc>
      </w:tr>
    </w:tbl>
    <w:p>
      <w:pPr>
        <w:sectPr>
          <w:footnotePr>
            <w:pos w:val="pageBottom"/>
            <w:numFmt w:val="decimal"/>
            <w:numRestart w:val="continuous"/>
          </w:footnotePr>
          <w:pgSz w:w="16840" w:h="11900" w:orient="landscape"/>
          <w:pgMar w:top="1094" w:right="882" w:bottom="1202" w:left="1361" w:header="0" w:footer="3" w:gutter="0"/>
          <w:cols w:space="720"/>
          <w:noEndnote/>
          <w:rtlGutter w:val="0"/>
          <w:docGrid w:linePitch="360"/>
        </w:sectPr>
      </w:pPr>
    </w:p>
    <w:p>
      <w:pPr>
        <w:pStyle w:val="Style25"/>
        <w:keepNext/>
        <w:keepLines/>
        <w:widowControl w:val="0"/>
        <w:shd w:val="clear" w:color="auto" w:fill="auto"/>
        <w:bidi w:val="0"/>
        <w:spacing w:before="100" w:after="260" w:line="240" w:lineRule="auto"/>
        <w:ind w:left="0" w:right="0" w:firstLine="0"/>
        <w:jc w:val="both"/>
      </w:pPr>
      <w:bookmarkStart w:id="773" w:name="bookmark773"/>
      <w:bookmarkStart w:id="774" w:name="bookmark774"/>
      <w:bookmarkStart w:id="775" w:name="bookmark775"/>
      <w:bookmarkStart w:id="776" w:name="bookmark776"/>
      <w:r>
        <w:rPr>
          <w:color w:val="000000"/>
          <w:spacing w:val="0"/>
          <w:w w:val="100"/>
          <w:position w:val="0"/>
        </w:rPr>
        <w:t>三</w:t>
      </w:r>
      <w:bookmarkEnd w:id="775"/>
      <w:r>
        <w:rPr>
          <w:color w:val="000000"/>
          <w:spacing w:val="0"/>
          <w:w w:val="100"/>
          <w:position w:val="0"/>
        </w:rPr>
        <w:t>、公司基本情况</w:t>
      </w:r>
      <w:bookmarkEnd w:id="773"/>
      <w:bookmarkEnd w:id="774"/>
      <w:bookmarkEnd w:id="776"/>
    </w:p>
    <w:p>
      <w:pPr>
        <w:pStyle w:val="Style21"/>
        <w:keepNext w:val="0"/>
        <w:keepLines w:val="0"/>
        <w:widowControl w:val="0"/>
        <w:shd w:val="clear" w:color="auto" w:fill="auto"/>
        <w:bidi w:val="0"/>
        <w:spacing w:before="0" w:after="200" w:line="322" w:lineRule="exact"/>
        <w:ind w:left="0" w:right="0" w:firstLine="380"/>
        <w:jc w:val="both"/>
      </w:pPr>
      <w:r>
        <w:rPr>
          <w:color w:val="000000"/>
          <w:spacing w:val="0"/>
          <w:w w:val="100"/>
          <w:position w:val="0"/>
        </w:rPr>
        <w:t>普联软件股份有限公司前身为普联软件（中国）有限公司，于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日在山东省济南市注册成立，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日整体变更设立为股份有限公司。</w:t>
      </w:r>
    </w:p>
    <w:p>
      <w:pPr>
        <w:pStyle w:val="Style21"/>
        <w:keepNext w:val="0"/>
        <w:keepLines w:val="0"/>
        <w:widowControl w:val="0"/>
        <w:shd w:val="clear" w:color="auto" w:fill="auto"/>
        <w:bidi w:val="0"/>
        <w:spacing w:before="0" w:after="200" w:line="312" w:lineRule="exact"/>
        <w:ind w:left="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日，经中国证券监督管理委员会《关于同意普联软件股份有限公司首次公开发行股票注册的批复》（证监 许可</w:t>
      </w:r>
      <w:r>
        <w:rPr>
          <w:rFonts w:ascii="Times New Roman" w:eastAsia="Times New Roman" w:hAnsi="Times New Roman" w:cs="Times New Roman"/>
          <w:color w:val="000000"/>
          <w:spacing w:val="0"/>
          <w:w w:val="100"/>
          <w:position w:val="0"/>
          <w:sz w:val="18"/>
          <w:szCs w:val="18"/>
        </w:rPr>
        <w:t>[2021]1358</w:t>
      </w:r>
      <w:r>
        <w:rPr>
          <w:color w:val="000000"/>
          <w:spacing w:val="0"/>
          <w:w w:val="100"/>
          <w:position w:val="0"/>
        </w:rPr>
        <w:t>号）同意注册，公司首次公开发行人民币普通股股票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22,100,000</w:t>
      </w:r>
      <w:r>
        <w:rPr>
          <w:color w:val="000000"/>
          <w:spacing w:val="0"/>
          <w:w w:val="100"/>
          <w:position w:val="0"/>
        </w:rPr>
        <w:t>股。经深圳证券交易所《关于普联软 件股份有限公司人民币普通股股票在创业板上市的通知》（深证上【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号）同意，本公司公开发行的人民币普通股 股票于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日在深圳证券交易所创业板上市交易，本次发行完毕后本公司注册资本由</w:t>
      </w:r>
      <w:r>
        <w:rPr>
          <w:rFonts w:ascii="Times New Roman" w:eastAsia="Times New Roman" w:hAnsi="Times New Roman" w:cs="Times New Roman"/>
          <w:color w:val="000000"/>
          <w:spacing w:val="0"/>
          <w:w w:val="100"/>
          <w:position w:val="0"/>
          <w:sz w:val="18"/>
          <w:szCs w:val="18"/>
        </w:rPr>
        <w:t>66,031,662.00</w:t>
      </w:r>
      <w:r>
        <w:rPr>
          <w:color w:val="000000"/>
          <w:spacing w:val="0"/>
          <w:w w:val="100"/>
          <w:position w:val="0"/>
        </w:rPr>
        <w:t xml:space="preserve">元增至 </w:t>
      </w:r>
      <w:r>
        <w:rPr>
          <w:rFonts w:ascii="Times New Roman" w:eastAsia="Times New Roman" w:hAnsi="Times New Roman" w:cs="Times New Roman"/>
          <w:color w:val="000000"/>
          <w:spacing w:val="0"/>
          <w:w w:val="100"/>
          <w:position w:val="0"/>
          <w:sz w:val="18"/>
          <w:szCs w:val="18"/>
        </w:rPr>
        <w:t>88,131,662.00</w:t>
      </w:r>
      <w:r>
        <w:rPr>
          <w:color w:val="000000"/>
          <w:spacing w:val="0"/>
          <w:w w:val="100"/>
          <w:position w:val="0"/>
        </w:rPr>
        <w:t>元。</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年度股东大会决议，本公司以截至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88,131,662</w:t>
      </w:r>
      <w:r>
        <w:rPr>
          <w:color w:val="000000"/>
          <w:spacing w:val="0"/>
          <w:w w:val="100"/>
          <w:position w:val="0"/>
        </w:rPr>
        <w:t>股为基数，向公 司全体股东每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26,439,498.60</w:t>
      </w:r>
      <w:r>
        <w:rPr>
          <w:color w:val="000000"/>
          <w:spacing w:val="0"/>
          <w:w w:val="100"/>
          <w:position w:val="0"/>
        </w:rPr>
        <w:t>元（含税），不送红股，同时以资本公积金 向公司全体股东每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52,878,997</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日完成权益分派。转增后，注册资本增至 </w:t>
      </w:r>
      <w:r>
        <w:rPr>
          <w:rFonts w:ascii="Times New Roman" w:eastAsia="Times New Roman" w:hAnsi="Times New Roman" w:cs="Times New Roman"/>
          <w:color w:val="000000"/>
          <w:spacing w:val="0"/>
          <w:w w:val="100"/>
          <w:position w:val="0"/>
          <w:sz w:val="18"/>
          <w:szCs w:val="18"/>
        </w:rPr>
        <w:t>141,010,659.00</w:t>
      </w:r>
      <w:r>
        <w:rPr>
          <w:color w:val="000000"/>
          <w:spacing w:val="0"/>
          <w:w w:val="100"/>
          <w:position w:val="0"/>
        </w:rPr>
        <w:t>元。</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公司现持有统一社会信用代码为</w:t>
      </w:r>
      <w:r>
        <w:rPr>
          <w:rFonts w:ascii="Times New Roman" w:eastAsia="Times New Roman" w:hAnsi="Times New Roman" w:cs="Times New Roman"/>
          <w:color w:val="000000"/>
          <w:spacing w:val="0"/>
          <w:w w:val="100"/>
          <w:position w:val="0"/>
          <w:sz w:val="18"/>
          <w:szCs w:val="18"/>
        </w:rPr>
        <w:t>913701007317289784</w:t>
      </w:r>
      <w:r>
        <w:rPr>
          <w:color w:val="000000"/>
          <w:spacing w:val="0"/>
          <w:w w:val="100"/>
          <w:position w:val="0"/>
        </w:rPr>
        <w:t>的营业执照。截至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日，本公司累计发行股本总数 </w:t>
      </w:r>
      <w:r>
        <w:rPr>
          <w:rFonts w:ascii="Times New Roman" w:eastAsia="Times New Roman" w:hAnsi="Times New Roman" w:cs="Times New Roman"/>
          <w:color w:val="000000"/>
          <w:spacing w:val="0"/>
          <w:w w:val="100"/>
          <w:position w:val="0"/>
          <w:sz w:val="18"/>
          <w:szCs w:val="18"/>
        </w:rPr>
        <w:t>141,010,659.00</w:t>
      </w:r>
      <w:r>
        <w:rPr>
          <w:color w:val="000000"/>
          <w:spacing w:val="0"/>
          <w:w w:val="100"/>
          <w:position w:val="0"/>
        </w:rPr>
        <w:t>股，注册资本为</w:t>
      </w:r>
      <w:r>
        <w:rPr>
          <w:rFonts w:ascii="Times New Roman" w:eastAsia="Times New Roman" w:hAnsi="Times New Roman" w:cs="Times New Roman"/>
          <w:color w:val="000000"/>
          <w:spacing w:val="0"/>
          <w:w w:val="100"/>
          <w:position w:val="0"/>
          <w:sz w:val="18"/>
          <w:szCs w:val="18"/>
        </w:rPr>
        <w:t>141,010,659.00</w:t>
      </w:r>
      <w:r>
        <w:rPr>
          <w:color w:val="000000"/>
          <w:spacing w:val="0"/>
          <w:w w:val="100"/>
          <w:position w:val="0"/>
        </w:rPr>
        <w:t>元。公司注册地址：山东省济南市高新区舜华路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号齐鲁软件园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号楼（创业广 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座）一层。法定代表人为蔺国强。</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本公司及子公司主营业务是为大型集团企业提供管理信息化方案及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综合服务，属软件和信息技术服务业。</w:t>
      </w:r>
    </w:p>
    <w:p>
      <w:pPr>
        <w:pStyle w:val="Style21"/>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本公司经营范围：计算机软件及系统产品的开发；软件开发、测试及业务流程的外包服务；软件实施咨询；办公自动化、 生产过程自动化软件、设备、电子产品的技术开发、生产；销售本公司生产的产品；系统集成服务；计算机硬件及网络设备 的批发；货物进出口业务（国家禁止或涉及行政审批的货物和技术进出口除外）；电子信息产品的技术开发、生产；多媒体 课件设计、制作；动漫产品设计、制作；安防工程；电力工程施工总承包；计算机网络系统工程；自有房屋租赁以及其他按 法律、法规、国务院决定等规定未禁止和不需经营许可的项目。（依法须经批准的项目，经相关部门批准后方可开展经营活 动）。</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本财务报表及财务报表附注业经本公司第三届董事会第十四次会议于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日批准。</w:t>
      </w:r>
    </w:p>
    <w:p>
      <w:pPr>
        <w:pStyle w:val="Style21"/>
        <w:keepNext w:val="0"/>
        <w:keepLines w:val="0"/>
        <w:widowControl w:val="0"/>
        <w:shd w:val="clear" w:color="auto" w:fill="auto"/>
        <w:bidi w:val="0"/>
        <w:spacing w:before="0" w:after="260" w:line="326"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日，本公司纳入合并范围的一级子公司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户，二级子公司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户。本公司本年度合并范围与上年度相比出 资设立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户一级子公司，详见本附注八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。本公司合并财务报表范围内子公司如下：</w:t>
      </w:r>
    </w:p>
    <w:tbl>
      <w:tblPr>
        <w:tblOverlap w:val="never"/>
        <w:jc w:val="center"/>
        <w:tblLayout w:type="fixed"/>
      </w:tblPr>
      <w:tblGrid>
        <w:gridCol w:w="2136"/>
        <w:gridCol w:w="1253"/>
        <w:gridCol w:w="854"/>
        <w:gridCol w:w="2122"/>
        <w:gridCol w:w="989"/>
        <w:gridCol w:w="715"/>
        <w:gridCol w:w="116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子公司名称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b/>
                <w:bCs/>
                <w:color w:val="000000"/>
                <w:spacing w:val="0"/>
                <w:w w:val="100"/>
                <w:position w:val="0"/>
              </w:rPr>
              <w:t>主要经营地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b/>
                <w:bCs/>
                <w:color w:val="000000"/>
                <w:spacing w:val="0"/>
                <w:w w:val="100"/>
                <w:position w:val="0"/>
              </w:rPr>
              <w:t>注册地</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业务性质</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b/>
                <w:bCs/>
                <w:color w:val="000000"/>
                <w:spacing w:val="0"/>
                <w:w w:val="100"/>
                <w:position w:val="0"/>
                <w:sz w:val="17"/>
                <w:szCs w:val="17"/>
              </w:rPr>
              <w:t>持股比例</w:t>
            </w:r>
            <w:r>
              <w:rPr>
                <w:b/>
                <w:bCs/>
                <w:color w:val="000000"/>
                <w:spacing w:val="0"/>
                <w:w w:val="100"/>
                <w:position w:val="0"/>
                <w:sz w:val="19"/>
                <w:szCs w:val="19"/>
              </w:rPr>
              <w:t>％</w:t>
            </w:r>
          </w:p>
        </w:tc>
        <w:tc>
          <w:tcPr>
            <w:vMerge w:val="restart"/>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220" w:firstLine="0"/>
              <w:jc w:val="right"/>
            </w:pPr>
            <w:r>
              <w:rPr>
                <w:b/>
                <w:bCs/>
                <w:color w:val="000000"/>
                <w:spacing w:val="0"/>
                <w:w w:val="100"/>
                <w:position w:val="0"/>
              </w:rPr>
              <w:t>取得方式</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pPr>
            <w:r>
              <w:rPr>
                <w:b/>
                <w:bCs/>
                <w:color w:val="000000"/>
                <w:spacing w:val="0"/>
                <w:w w:val="100"/>
                <w:position w:val="0"/>
              </w:rPr>
              <w:t>直接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间接</w:t>
            </w:r>
          </w:p>
        </w:tc>
        <w:tc>
          <w:tcPr>
            <w:vMerge/>
            <w:tcBorders>
              <w:left w:val="single" w:sz="4"/>
              <w:right w:val="single" w:sz="4"/>
            </w:tcBorders>
            <w:shd w:val="clear" w:color="auto" w:fill="FFFFFF"/>
            <w:vAlign w:val="top"/>
          </w:tcPr>
          <w:p>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普联软件（香港）有限公司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出资设立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普联中瑞（北京）软件有限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企业合并</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合肥普联朗霁软件有限公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安徽合肥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非同一控制下</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企业合并</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普联数字科技（济南）有限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山东济南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pPr>
            <w:r>
              <w:rPr>
                <w:color w:val="000000"/>
                <w:spacing w:val="0"/>
                <w:w w:val="100"/>
                <w:position w:val="0"/>
              </w:rPr>
              <w:t>出资设立</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普联智能数建科技（北京）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pPr>
            <w:r>
              <w:rPr>
                <w:color w:val="000000"/>
                <w:spacing w:val="0"/>
                <w:w w:val="100"/>
                <w:position w:val="0"/>
              </w:rPr>
              <w:t>出资设立</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日本普联软件株式会社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出资设立</w:t>
            </w:r>
          </w:p>
        </w:tc>
      </w:tr>
    </w:tbl>
    <w:p>
      <w:pPr>
        <w:pStyle w:val="Style25"/>
        <w:keepNext/>
        <w:keepLines/>
        <w:widowControl w:val="0"/>
        <w:shd w:val="clear" w:color="auto" w:fill="auto"/>
        <w:tabs>
          <w:tab w:pos="498" w:val="left"/>
        </w:tabs>
        <w:bidi w:val="0"/>
        <w:spacing w:before="0" w:after="380" w:line="240" w:lineRule="auto"/>
        <w:ind w:left="0" w:right="0" w:firstLine="0"/>
        <w:jc w:val="both"/>
      </w:pPr>
      <w:bookmarkStart w:id="777" w:name="bookmark777"/>
      <w:bookmarkStart w:id="778" w:name="bookmark778"/>
      <w:bookmarkStart w:id="779" w:name="bookmark779"/>
      <w:bookmarkStart w:id="780" w:name="bookmark780"/>
      <w:r>
        <w:rPr>
          <w:color w:val="000000"/>
          <w:spacing w:val="0"/>
          <w:w w:val="100"/>
          <w:position w:val="0"/>
        </w:rPr>
        <w:t>四</w:t>
      </w:r>
      <w:bookmarkEnd w:id="779"/>
      <w:r>
        <w:rPr>
          <w:color w:val="000000"/>
          <w:spacing w:val="0"/>
          <w:w w:val="100"/>
          <w:position w:val="0"/>
        </w:rPr>
        <w:t>、</w:t>
        <w:tab/>
        <w:t>财务报表的编制基础</w:t>
      </w:r>
      <w:bookmarkEnd w:id="777"/>
      <w:bookmarkEnd w:id="778"/>
      <w:bookmarkEnd w:id="780"/>
    </w:p>
    <w:p>
      <w:pPr>
        <w:pStyle w:val="Style31"/>
        <w:keepNext/>
        <w:keepLines/>
        <w:widowControl w:val="0"/>
        <w:shd w:val="clear" w:color="auto" w:fill="auto"/>
        <w:tabs>
          <w:tab w:pos="368" w:val="left"/>
        </w:tabs>
        <w:bidi w:val="0"/>
        <w:spacing w:before="0" w:after="26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color w:val="000000"/>
          <w:spacing w:val="0"/>
          <w:w w:val="100"/>
          <w:position w:val="0"/>
        </w:rPr>
        <w:t>、</w:t>
        <w:tab/>
        <w:t>编制基础</w:t>
      </w:r>
      <w:bookmarkEnd w:id="781"/>
      <w:bookmarkEnd w:id="782"/>
      <w:bookmarkEnd w:id="784"/>
    </w:p>
    <w:p>
      <w:pPr>
        <w:pStyle w:val="Style21"/>
        <w:keepNext w:val="0"/>
        <w:keepLines w:val="0"/>
        <w:widowControl w:val="0"/>
        <w:shd w:val="clear" w:color="auto" w:fill="auto"/>
        <w:bidi w:val="0"/>
        <w:spacing w:before="0" w:after="260" w:line="312" w:lineRule="exact"/>
        <w:ind w:left="0" w:right="0" w:firstLine="380"/>
        <w:jc w:val="left"/>
      </w:pPr>
      <w:r>
        <w:rPr>
          <w:color w:val="000000"/>
          <w:spacing w:val="0"/>
          <w:w w:val="100"/>
          <w:position w:val="0"/>
        </w:rPr>
        <w:t>本财务报表按照财政部发布的企业会计准则及其应用指南、解释及其他有关规定（统称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）编制。此外， 本公司还按照中国证监会《公开发行证券的公司信息披露编报规则第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年修订）披露有关 财务信息。</w:t>
      </w:r>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本公司会计核算以权责发生制为基础。除某些金融工具外，本财务报表均以历史成本为计量基础。资产如果发生减值， 则按照相关规定计提相应的减值准备。</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2</w:t>
      </w:r>
      <w:bookmarkEnd w:id="787"/>
      <w:r>
        <w:rPr>
          <w:color w:val="000000"/>
          <w:spacing w:val="0"/>
          <w:w w:val="100"/>
          <w:position w:val="0"/>
        </w:rPr>
        <w:t>、</w:t>
        <w:tab/>
        <w:t>持续经营</w:t>
      </w:r>
      <w:bookmarkEnd w:id="785"/>
      <w:bookmarkEnd w:id="786"/>
      <w:bookmarkEnd w:id="788"/>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本财务报表以持续经营为基础列报。</w:t>
      </w:r>
    </w:p>
    <w:p>
      <w:pPr>
        <w:pStyle w:val="Style25"/>
        <w:keepNext/>
        <w:keepLines/>
        <w:widowControl w:val="0"/>
        <w:shd w:val="clear" w:color="auto" w:fill="auto"/>
        <w:tabs>
          <w:tab w:pos="517"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五</w:t>
      </w:r>
      <w:bookmarkEnd w:id="791"/>
      <w:r>
        <w:rPr>
          <w:color w:val="000000"/>
          <w:spacing w:val="0"/>
          <w:w w:val="100"/>
          <w:position w:val="0"/>
        </w:rPr>
        <w:t>、</w:t>
        <w:tab/>
        <w:t>重要会计政策及会计估计</w:t>
      </w:r>
      <w:bookmarkEnd w:id="789"/>
      <w:bookmarkEnd w:id="790"/>
      <w:bookmarkEnd w:id="792"/>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本公司根据自身生产经营特点，确定收入确认政策，具体会计政策见本附注五</w:t>
      </w:r>
      <w:r>
        <w:rPr>
          <w:rFonts w:ascii="Times New Roman" w:eastAsia="Times New Roman" w:hAnsi="Times New Roman" w:cs="Times New Roman"/>
          <w:color w:val="000000"/>
          <w:spacing w:val="0"/>
          <w:w w:val="100"/>
          <w:position w:val="0"/>
          <w:sz w:val="18"/>
          <w:szCs w:val="18"/>
        </w:rPr>
        <w:t>/39 .</w:t>
      </w:r>
      <w:r>
        <w:rPr>
          <w:color w:val="000000"/>
          <w:spacing w:val="0"/>
          <w:w w:val="100"/>
          <w:position w:val="0"/>
        </w:rPr>
        <w:t>收入。</w:t>
      </w:r>
    </w:p>
    <w:p>
      <w:pPr>
        <w:pStyle w:val="Style31"/>
        <w:keepNext/>
        <w:keepLines/>
        <w:widowControl w:val="0"/>
        <w:shd w:val="clear" w:color="auto" w:fill="auto"/>
        <w:tabs>
          <w:tab w:pos="368" w:val="left"/>
        </w:tabs>
        <w:bidi w:val="0"/>
        <w:spacing w:before="0" w:after="2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color w:val="000000"/>
          <w:spacing w:val="0"/>
          <w:w w:val="100"/>
          <w:position w:val="0"/>
        </w:rPr>
        <w:t>、</w:t>
        <w:tab/>
        <w:t>遵循企业会计准则的声明</w:t>
      </w:r>
      <w:bookmarkEnd w:id="793"/>
      <w:bookmarkEnd w:id="794"/>
      <w:bookmarkEnd w:id="796"/>
    </w:p>
    <w:p>
      <w:pPr>
        <w:pStyle w:val="Style21"/>
        <w:keepNext w:val="0"/>
        <w:keepLines w:val="0"/>
        <w:widowControl w:val="0"/>
        <w:shd w:val="clear" w:color="auto" w:fill="auto"/>
        <w:bidi w:val="0"/>
        <w:spacing w:before="0" w:after="920" w:line="317" w:lineRule="exact"/>
        <w:ind w:left="0" w:right="0" w:firstLine="380"/>
        <w:jc w:val="both"/>
      </w:pPr>
      <w:r>
        <w:rPr>
          <w:color w:val="000000"/>
          <w:spacing w:val="0"/>
          <w:w w:val="100"/>
          <w:position w:val="0"/>
        </w:rPr>
        <w:t>本财务报表符合企业会计准则的要求，真实、完整地反映了本公司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年的 合并及公司经营成果和合并及公司现金流量等有关信息。</w:t>
      </w:r>
    </w:p>
    <w:p>
      <w:pPr>
        <w:pStyle w:val="Style31"/>
        <w:keepNext/>
        <w:keepLines/>
        <w:widowControl w:val="0"/>
        <w:shd w:val="clear" w:color="auto" w:fill="auto"/>
        <w:tabs>
          <w:tab w:pos="378" w:val="left"/>
        </w:tabs>
        <w:bidi w:val="0"/>
        <w:spacing w:before="0" w:after="26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color w:val="000000"/>
          <w:spacing w:val="0"/>
          <w:w w:val="100"/>
          <w:position w:val="0"/>
        </w:rPr>
        <w:t>、</w:t>
        <w:tab/>
        <w:t>会计期间</w:t>
      </w:r>
      <w:bookmarkEnd w:id="797"/>
      <w:bookmarkEnd w:id="798"/>
      <w:bookmarkEnd w:id="800"/>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本公司会计期间采用公历年度，即每年自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3</w:t>
      </w:r>
      <w:bookmarkEnd w:id="803"/>
      <w:r>
        <w:rPr>
          <w:color w:val="000000"/>
          <w:spacing w:val="0"/>
          <w:w w:val="100"/>
          <w:position w:val="0"/>
        </w:rPr>
        <w:t>、</w:t>
        <w:tab/>
        <w:t>营业周期</w:t>
      </w:r>
      <w:bookmarkEnd w:id="801"/>
      <w:bookmarkEnd w:id="802"/>
      <w:bookmarkEnd w:id="804"/>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1"/>
        <w:keepNext/>
        <w:keepLines/>
        <w:widowControl w:val="0"/>
        <w:shd w:val="clear" w:color="auto" w:fill="auto"/>
        <w:tabs>
          <w:tab w:pos="378" w:val="left"/>
        </w:tabs>
        <w:bidi w:val="0"/>
        <w:spacing w:before="0" w:after="26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4</w:t>
      </w:r>
      <w:bookmarkEnd w:id="807"/>
      <w:r>
        <w:rPr>
          <w:color w:val="000000"/>
          <w:spacing w:val="0"/>
          <w:w w:val="100"/>
          <w:position w:val="0"/>
        </w:rPr>
        <w:t>、</w:t>
        <w:tab/>
        <w:t>记账本位币</w:t>
      </w:r>
      <w:bookmarkEnd w:id="805"/>
      <w:bookmarkEnd w:id="806"/>
      <w:bookmarkEnd w:id="808"/>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本公司及境内子公司以人民币为记账本位币。本公司之境外子公司根据其经营所处的主要经济环境中的货币确定港币或 日元为其记账本位币。本公司编制本财务报表时所采用的货币为人民币。</w:t>
      </w:r>
    </w:p>
    <w:p>
      <w:pPr>
        <w:pStyle w:val="Style31"/>
        <w:keepNext/>
        <w:keepLines/>
        <w:widowControl w:val="0"/>
        <w:shd w:val="clear" w:color="auto" w:fill="auto"/>
        <w:tabs>
          <w:tab w:pos="378" w:val="left"/>
        </w:tabs>
        <w:bidi w:val="0"/>
        <w:spacing w:before="0" w:after="26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5</w:t>
      </w:r>
      <w:bookmarkEnd w:id="811"/>
      <w:r>
        <w:rPr>
          <w:color w:val="000000"/>
          <w:spacing w:val="0"/>
          <w:w w:val="100"/>
          <w:position w:val="0"/>
        </w:rPr>
        <w:t>、</w:t>
        <w:tab/>
        <w:t>同一控制下和非同一控制下企业合并的会计处理方法</w:t>
      </w:r>
      <w:bookmarkEnd w:id="809"/>
      <w:bookmarkEnd w:id="810"/>
      <w:bookmarkEnd w:id="812"/>
    </w:p>
    <w:p>
      <w:pPr>
        <w:pStyle w:val="Style21"/>
        <w:keepNext w:val="0"/>
        <w:keepLines w:val="0"/>
        <w:widowControl w:val="0"/>
        <w:shd w:val="clear" w:color="auto" w:fill="auto"/>
        <w:bidi w:val="0"/>
        <w:spacing w:before="0" w:after="260" w:line="312" w:lineRule="exact"/>
        <w:ind w:left="0" w:right="0" w:firstLine="380"/>
        <w:jc w:val="both"/>
      </w:pPr>
      <w:bookmarkStart w:id="813" w:name="bookmark813"/>
      <w:r>
        <w:rPr>
          <w:b/>
          <w:bCs/>
          <w:color w:val="000000"/>
          <w:spacing w:val="0"/>
          <w:w w:val="100"/>
          <w:position w:val="0"/>
        </w:rPr>
        <w:t>（</w:t>
      </w:r>
      <w:bookmarkEnd w:id="81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）同一控制下的企业合并</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对于同一控制下的企业合并，合并方在合并中取得的被合并方的资产、负债，除因会计政策不同而进行的调整以外，按 合并日被合并方在最终控制方合并财务报表中的账面价值计量。合并对价的账面价值与合并中取得的净资产账面价值的差额 调整资本公积，资本公积不足冲减的，调整留存收益。</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通过多次交易分步实现同一控制下的企业合并</w:t>
      </w:r>
    </w:p>
    <w:p>
      <w:pPr>
        <w:pStyle w:val="Style21"/>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在个别财务报表中，以合并日持股比例计算的合并日应享有被合并方净资产在最终控制方合并财务报表中的账面价值的 份额作为该项投资的初始投资成本;初始投资成本与合并前持有投资的账面价值加上合并日新支付对价的账面价值之和的差 额，调整资本公积，资本公积不足冲减的，调整留存收益。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在合并财务报表中，合并方在合并中取得的被合并方的资产、负债，除因会计政策不同而进行的调整以外，按合并日在 最终控制方合并财务报表中的账面价值计量；合并前持有投资的账面价值加上合并日新支付对价的账面价值之和，与合并中 取得的净资产账面价值的差额，调整资本公积，资本公积不足冲减的，调整留存收益。合并方在取得被合并方控制权之前持 有的长期股权投资，在取得原股权之日与合并方与被合并方同处于同一方最终控制之日孰晚日起至合并日之间已确认有关损 益、其他综合收益和其他所有者权益变动，应分别冲减比较报表期间的期初留存收益或当期损益。</w:t>
      </w:r>
    </w:p>
    <w:p>
      <w:pPr>
        <w:pStyle w:val="Style21"/>
        <w:keepNext w:val="0"/>
        <w:keepLines w:val="0"/>
        <w:widowControl w:val="0"/>
        <w:shd w:val="clear" w:color="auto" w:fill="auto"/>
        <w:tabs>
          <w:tab w:pos="784" w:val="left"/>
        </w:tabs>
        <w:bidi w:val="0"/>
        <w:spacing w:before="0" w:after="200" w:line="312" w:lineRule="exact"/>
        <w:ind w:left="0" w:right="0" w:firstLine="380"/>
        <w:jc w:val="both"/>
      </w:pPr>
      <w:bookmarkStart w:id="814" w:name="bookmark814"/>
      <w:r>
        <w:rPr>
          <w:b/>
          <w:bCs/>
          <w:color w:val="000000"/>
          <w:spacing w:val="0"/>
          <w:w w:val="100"/>
          <w:position w:val="0"/>
        </w:rPr>
        <w:t>（</w:t>
      </w:r>
      <w:bookmarkEnd w:id="81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非同一控制下的企业合并</w:t>
      </w:r>
    </w:p>
    <w:p>
      <w:pPr>
        <w:pStyle w:val="Style21"/>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对于非同一控制下的企业合并，合并成本为购买日为取得对被购买方的控制权而付出的资产、发生或承担的负债以及发 行的权益性证券的公允价值。在购买日，取得的被购买方的资产、负债及或有负债按公允价值确认。</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对合并成本大于合并中取得的被购买方可辨认净资产公允价值份额的差额，确认为商誉，按成本扣除累计减值准备进行 后续计量；对合并成本小于合并中取得的被购买方可辨认净资产公允价值份额的差额，经复核后计入当期损益。</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通过多次交易分步实现非同一控制下的企业合并</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始投资成本。购买日之前持有的股权投资因采用权益法核算而确认的其他综合收益，购买日对这部分其他综合收益不作处理， 在处置该项投资时采用与被投资单位直接处置相关资产或负债相同的基础进行会计处理；因被投资方除净损益、其他综合收 益和利润分配以外的其他所有者权益变动而确认的所有者权益，在处置该项投资时转入处置期间的当期损益。购买日之前持 有的股权投资采用公允价值计量的，原计入其他综合收益的累计公允价值变动在改按成本法核算时转入留存收益。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在合并财务报表中，合并成本为购买日支付的对价与购买日之前已经持有的被购买方的股权在购买日的公允价值之和。 对于购买日之前已经持有的被购买方的股权，按照该股权在购买日的公允价值进行重新计量，公允价值与其账面价值之间的 差额计入当期收益；购买日之前已经持有的被购买方的股权涉及其他综合收益、其他所有者权益变动转为购买日当期收益， 由于被投资方重新计量设定收益计划净负债或净资产变动而产生的其他综合收益除外。</w:t>
      </w:r>
    </w:p>
    <w:p>
      <w:pPr>
        <w:pStyle w:val="Style21"/>
        <w:keepNext w:val="0"/>
        <w:keepLines w:val="0"/>
        <w:widowControl w:val="0"/>
        <w:shd w:val="clear" w:color="auto" w:fill="auto"/>
        <w:tabs>
          <w:tab w:pos="784" w:val="left"/>
        </w:tabs>
        <w:bidi w:val="0"/>
        <w:spacing w:before="0" w:after="200" w:line="312" w:lineRule="exact"/>
        <w:ind w:left="0" w:right="0" w:firstLine="380"/>
        <w:jc w:val="both"/>
      </w:pPr>
      <w:bookmarkStart w:id="815" w:name="bookmark815"/>
      <w:r>
        <w:rPr>
          <w:b/>
          <w:bCs/>
          <w:color w:val="000000"/>
          <w:spacing w:val="0"/>
          <w:w w:val="100"/>
          <w:position w:val="0"/>
        </w:rPr>
        <w:t>（</w:t>
      </w:r>
      <w:bookmarkEnd w:id="81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企业合并中有关交易费用的处理</w:t>
      </w:r>
    </w:p>
    <w:p>
      <w:pPr>
        <w:pStyle w:val="Style21"/>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为进行企业合并发生的审计、法律服务、评估咨询等中介费用以及其他相关管理费用，于发生时计入当期损益。作为合 并对价发行的权益性证券或债务性证券的交易费用，计入权益性证券或债务性证券的初始确认金额。</w:t>
      </w:r>
    </w:p>
    <w:p>
      <w:pPr>
        <w:pStyle w:val="Style31"/>
        <w:keepNext/>
        <w:keepLines/>
        <w:widowControl w:val="0"/>
        <w:shd w:val="clear" w:color="auto" w:fill="auto"/>
        <w:bidi w:val="0"/>
        <w:spacing w:before="0" w:after="2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6</w:t>
      </w:r>
      <w:bookmarkEnd w:id="818"/>
      <w:r>
        <w:rPr>
          <w:color w:val="000000"/>
          <w:spacing w:val="0"/>
          <w:w w:val="100"/>
          <w:position w:val="0"/>
        </w:rPr>
        <w:t>、合并财务报表的编制方法</w:t>
      </w:r>
      <w:bookmarkEnd w:id="816"/>
      <w:bookmarkEnd w:id="817"/>
      <w:bookmarkEnd w:id="819"/>
    </w:p>
    <w:p>
      <w:pPr>
        <w:pStyle w:val="Style21"/>
        <w:keepNext w:val="0"/>
        <w:keepLines w:val="0"/>
        <w:widowControl w:val="0"/>
        <w:shd w:val="clear" w:color="auto" w:fill="auto"/>
        <w:bidi w:val="0"/>
        <w:spacing w:before="0" w:after="200" w:line="312" w:lineRule="exact"/>
        <w:ind w:left="0" w:right="0" w:firstLine="380"/>
        <w:jc w:val="both"/>
      </w:pPr>
      <w:bookmarkStart w:id="820" w:name="bookmark820"/>
      <w:r>
        <w:rPr>
          <w:b/>
          <w:bCs/>
          <w:color w:val="000000"/>
          <w:spacing w:val="0"/>
          <w:w w:val="100"/>
          <w:position w:val="0"/>
        </w:rPr>
        <w:t>（</w:t>
      </w:r>
      <w:bookmarkEnd w:id="82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）合并范围</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 xml:space="preserve">合并财务报表的合并范围以控制为基础予以确定。控制，是指本公司拥有对被投资单位的权力，通过参与被投资单位的 相关活动而享有可变回报，并且有能力运用对被投资单位的权力影响其回报金额。子公司，是指被本公司控制的主体（含企 </w:t>
      </w:r>
      <w:r>
        <w:rPr>
          <w:color w:val="000000"/>
          <w:spacing w:val="0"/>
          <w:w w:val="100"/>
          <w:position w:val="0"/>
        </w:rPr>
        <w:t>业、被投资单位中可分割的部分、结构化主体等）。</w:t>
      </w:r>
    </w:p>
    <w:p>
      <w:pPr>
        <w:pStyle w:val="Style21"/>
        <w:keepNext w:val="0"/>
        <w:keepLines w:val="0"/>
        <w:widowControl w:val="0"/>
        <w:shd w:val="clear" w:color="auto" w:fill="auto"/>
        <w:tabs>
          <w:tab w:pos="814" w:val="left"/>
        </w:tabs>
        <w:bidi w:val="0"/>
        <w:spacing w:before="0" w:after="200" w:line="312" w:lineRule="exact"/>
        <w:ind w:left="0" w:right="0"/>
        <w:jc w:val="both"/>
      </w:pPr>
      <w:bookmarkStart w:id="821" w:name="bookmark821"/>
      <w:r>
        <w:rPr>
          <w:b/>
          <w:bCs/>
          <w:color w:val="000000"/>
          <w:spacing w:val="0"/>
          <w:w w:val="100"/>
          <w:position w:val="0"/>
        </w:rPr>
        <w:t>（</w:t>
      </w:r>
      <w:bookmarkEnd w:id="82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合并财务报表的编制方法</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合并财务报表以本公司和子公司的财务报表为基础，根据其他有关资料，由本公司编制。在编制合并财务报表时，本公 司和子公司的会计政策和会计期间要求保持一致，公司间的重大交易和往来余额予以抵销。</w:t>
      </w:r>
    </w:p>
    <w:p>
      <w:pPr>
        <w:pStyle w:val="Style21"/>
        <w:keepNext w:val="0"/>
        <w:keepLines w:val="0"/>
        <w:widowControl w:val="0"/>
        <w:shd w:val="clear" w:color="auto" w:fill="auto"/>
        <w:bidi w:val="0"/>
        <w:spacing w:before="0" w:after="200" w:line="307" w:lineRule="exact"/>
        <w:ind w:left="0" w:right="0"/>
        <w:jc w:val="both"/>
      </w:pPr>
      <w:r>
        <w:rPr>
          <w:color w:val="000000"/>
          <w:spacing w:val="0"/>
          <w:w w:val="100"/>
          <w:position w:val="0"/>
        </w:rPr>
        <w:t>在报告期内因同一控制下企业合并增加的子公司以及业务，视同该子公司以及业务自同受最终控制方控制之日起纳入本 公司的合并范围，将其自同受最终控制方控制之日起的经营成果、现金流量分别纳入合并利润表、合并现金流量表中。</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在报告期内因非同一控制下企业合并增加的子公司以及业务，将该子公司以及业务自购买日至报告期末的收入、费用、 利润纳入合并利润表，将其现金流量纳入合并现金流量表。</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子公司的股东权益中不属于本公司所拥有的部分，作为少数股东权益在合并资产负债表中股东权益项下单独列示；子公 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项目列示。少数股东分担的子公 司的亏损超过了少数股东在该子公司期初所有者权益中所享有的份额，其余额仍冲减少数股东权益。</w:t>
      </w:r>
    </w:p>
    <w:p>
      <w:pPr>
        <w:pStyle w:val="Style21"/>
        <w:keepNext w:val="0"/>
        <w:keepLines w:val="0"/>
        <w:widowControl w:val="0"/>
        <w:shd w:val="clear" w:color="auto" w:fill="auto"/>
        <w:tabs>
          <w:tab w:pos="814" w:val="left"/>
        </w:tabs>
        <w:bidi w:val="0"/>
        <w:spacing w:before="0" w:after="200" w:line="312" w:lineRule="exact"/>
        <w:ind w:left="0" w:right="0"/>
        <w:jc w:val="both"/>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购买子公司少数股东股权</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因购买少数股权新取得的长期股权投资成本与按照新增持股比例计算应享有子公司自购买日或合并日开始持续计算的 净资产份额之间的差额，以及在不丧失控制权的情况下因部分处置对子公司的股权投资而取得的处置价款与处置长期股权投 资相对应享有子公司自购买日或合并日开始持续计算的净资产份额之间的差额，均调整合并资产负债表中的资本公积，资本 公积不足冲减的，调整留存收益。</w:t>
      </w:r>
    </w:p>
    <w:p>
      <w:pPr>
        <w:pStyle w:val="Style21"/>
        <w:keepNext w:val="0"/>
        <w:keepLines w:val="0"/>
        <w:widowControl w:val="0"/>
        <w:shd w:val="clear" w:color="auto" w:fill="auto"/>
        <w:tabs>
          <w:tab w:pos="814" w:val="left"/>
        </w:tabs>
        <w:bidi w:val="0"/>
        <w:spacing w:before="0" w:after="200" w:line="312" w:lineRule="exact"/>
        <w:ind w:left="0" w:right="0"/>
        <w:jc w:val="both"/>
      </w:pPr>
      <w:bookmarkStart w:id="823" w:name="bookmark823"/>
      <w:r>
        <w:rPr>
          <w:b/>
          <w:bCs/>
          <w:color w:val="000000"/>
          <w:spacing w:val="0"/>
          <w:w w:val="100"/>
          <w:position w:val="0"/>
        </w:rPr>
        <w:t>（</w:t>
      </w:r>
      <w:bookmarkEnd w:id="823"/>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丧失子公司控制权的处理</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因处置部分股权投资或其他原因丧失了对原有子公司控制权的，剩余股权按照其在丧失控制权日的公允价值进行重新计 量；处置股权取得的对价与剩余股权公允价值之和，减去按原持股比例计算应享有原有子公司自购买日开始持续计算的净资 产账面价值的份额与商誉之和，形成的差额计入丧失控制权当期的投资收益。</w:t>
      </w:r>
    </w:p>
    <w:p>
      <w:pPr>
        <w:pStyle w:val="Style21"/>
        <w:keepNext w:val="0"/>
        <w:keepLines w:val="0"/>
        <w:widowControl w:val="0"/>
        <w:shd w:val="clear" w:color="auto" w:fill="auto"/>
        <w:bidi w:val="0"/>
        <w:spacing w:before="0" w:after="400" w:line="317" w:lineRule="exact"/>
        <w:ind w:left="0" w:right="0"/>
        <w:jc w:val="both"/>
      </w:pPr>
      <w:r>
        <w:rPr>
          <w:color w:val="000000"/>
          <w:spacing w:val="0"/>
          <w:w w:val="100"/>
          <w:position w:val="0"/>
        </w:rPr>
        <w:t>与原有子公司的股权投资相关的其他综合收益等，在丧失控制权时转入当期损益，由于被投资方重新计量设定收益计划 净负债或净资产变动而产生的其他综合收益除外。</w:t>
      </w:r>
    </w:p>
    <w:p>
      <w:pPr>
        <w:pStyle w:val="Style31"/>
        <w:keepNext/>
        <w:keepLines/>
        <w:widowControl w:val="0"/>
        <w:shd w:val="clear" w:color="auto" w:fill="auto"/>
        <w:bidi w:val="0"/>
        <w:spacing w:before="0" w:after="2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7</w:t>
      </w:r>
      <w:bookmarkEnd w:id="826"/>
      <w:r>
        <w:rPr>
          <w:color w:val="000000"/>
          <w:spacing w:val="0"/>
          <w:w w:val="100"/>
          <w:position w:val="0"/>
        </w:rPr>
        <w:t>、合营安排分类及共同经营会计处理方法</w:t>
      </w:r>
      <w:bookmarkEnd w:id="824"/>
      <w:bookmarkEnd w:id="825"/>
      <w:bookmarkEnd w:id="827"/>
    </w:p>
    <w:p>
      <w:pPr>
        <w:pStyle w:val="Style21"/>
        <w:keepNext w:val="0"/>
        <w:keepLines w:val="0"/>
        <w:widowControl w:val="0"/>
        <w:shd w:val="clear" w:color="auto" w:fill="auto"/>
        <w:bidi w:val="0"/>
        <w:spacing w:before="0" w:after="200" w:line="312" w:lineRule="exact"/>
        <w:ind w:left="0" w:right="0"/>
        <w:jc w:val="left"/>
      </w:pPr>
      <w:r>
        <w:rPr>
          <w:color w:val="000000"/>
          <w:spacing w:val="0"/>
          <w:w w:val="100"/>
          <w:position w:val="0"/>
        </w:rPr>
        <w:t>合营安排，是指一项由两个或两个以上的参与方共同控制的安排。本公司合营安排分为共同经营和合营企业。</w:t>
      </w:r>
    </w:p>
    <w:p>
      <w:pPr>
        <w:pStyle w:val="Style21"/>
        <w:keepNext w:val="0"/>
        <w:keepLines w:val="0"/>
        <w:widowControl w:val="0"/>
        <w:shd w:val="clear" w:color="auto" w:fill="auto"/>
        <w:bidi w:val="0"/>
        <w:spacing w:before="0" w:after="200" w:line="312" w:lineRule="exact"/>
        <w:ind w:left="0" w:right="0"/>
        <w:jc w:val="left"/>
      </w:pPr>
      <w:bookmarkStart w:id="828" w:name="bookmark828"/>
      <w:r>
        <w:rPr>
          <w:b/>
          <w:bCs/>
          <w:color w:val="000000"/>
          <w:spacing w:val="0"/>
          <w:w w:val="100"/>
          <w:position w:val="0"/>
        </w:rPr>
        <w:t>（</w:t>
      </w:r>
      <w:bookmarkEnd w:id="82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）共同经营</w:t>
      </w:r>
    </w:p>
    <w:p>
      <w:pPr>
        <w:pStyle w:val="Style21"/>
        <w:keepNext w:val="0"/>
        <w:keepLines w:val="0"/>
        <w:widowControl w:val="0"/>
        <w:shd w:val="clear" w:color="auto" w:fill="auto"/>
        <w:bidi w:val="0"/>
        <w:spacing w:before="0" w:after="200" w:line="312" w:lineRule="exact"/>
        <w:ind w:left="0" w:right="0"/>
        <w:jc w:val="left"/>
      </w:pPr>
      <w:r>
        <w:rPr>
          <w:color w:val="000000"/>
          <w:spacing w:val="0"/>
          <w:w w:val="100"/>
          <w:position w:val="0"/>
        </w:rPr>
        <w:t>共同经营是指本公司享有该安排相关资产且承担该安排相关负债的合营安排。</w:t>
      </w:r>
    </w:p>
    <w:p>
      <w:pPr>
        <w:pStyle w:val="Style21"/>
        <w:keepNext w:val="0"/>
        <w:keepLines w:val="0"/>
        <w:widowControl w:val="0"/>
        <w:shd w:val="clear" w:color="auto" w:fill="auto"/>
        <w:bidi w:val="0"/>
        <w:spacing w:before="0" w:after="200" w:line="312" w:lineRule="exact"/>
        <w:ind w:left="0" w:right="0"/>
        <w:jc w:val="left"/>
      </w:pPr>
      <w:r>
        <w:rPr>
          <w:color w:val="000000"/>
          <w:spacing w:val="0"/>
          <w:w w:val="100"/>
          <w:position w:val="0"/>
        </w:rPr>
        <w:t>本公司确认与共同经营中利益份额相关的下列项目，并按照相关企业会计准则的规定进行会计处理：</w:t>
      </w:r>
    </w:p>
    <w:p>
      <w:pPr>
        <w:pStyle w:val="Style21"/>
        <w:keepNext w:val="0"/>
        <w:keepLines w:val="0"/>
        <w:widowControl w:val="0"/>
        <w:shd w:val="clear" w:color="auto" w:fill="auto"/>
        <w:tabs>
          <w:tab w:pos="757" w:val="left"/>
        </w:tabs>
        <w:bidi w:val="0"/>
        <w:spacing w:before="0" w:after="200" w:line="312" w:lineRule="exact"/>
        <w:ind w:left="0" w:right="0"/>
        <w:jc w:val="left"/>
      </w:pPr>
      <w:bookmarkStart w:id="829" w:name="bookmark829"/>
      <w:r>
        <w:rPr>
          <w:rFonts w:ascii="Times New Roman" w:eastAsia="Times New Roman" w:hAnsi="Times New Roman" w:cs="Times New Roman"/>
          <w:color w:val="000000"/>
          <w:spacing w:val="0"/>
          <w:w w:val="100"/>
          <w:position w:val="0"/>
          <w:sz w:val="18"/>
          <w:szCs w:val="18"/>
        </w:rPr>
        <w:t>A</w:t>
      </w:r>
      <w:bookmarkEnd w:id="829"/>
      <w:r>
        <w:rPr>
          <w:color w:val="000000"/>
          <w:spacing w:val="0"/>
          <w:w w:val="100"/>
          <w:position w:val="0"/>
        </w:rPr>
        <w:t>、</w:t>
        <w:tab/>
      </w:r>
      <w:r>
        <w:rPr>
          <w:color w:val="000000"/>
          <w:spacing w:val="0"/>
          <w:w w:val="100"/>
          <w:position w:val="0"/>
        </w:rPr>
        <w:t>确认单独所持有的资产，以及按其份额确认共同持有的资产；</w:t>
      </w:r>
    </w:p>
    <w:p>
      <w:pPr>
        <w:pStyle w:val="Style21"/>
        <w:keepNext w:val="0"/>
        <w:keepLines w:val="0"/>
        <w:widowControl w:val="0"/>
        <w:shd w:val="clear" w:color="auto" w:fill="auto"/>
        <w:tabs>
          <w:tab w:pos="757" w:val="left"/>
        </w:tabs>
        <w:bidi w:val="0"/>
        <w:spacing w:before="0" w:after="200" w:line="312" w:lineRule="exact"/>
        <w:ind w:left="0" w:right="0"/>
        <w:jc w:val="left"/>
      </w:pPr>
      <w:bookmarkStart w:id="830" w:name="bookmark830"/>
      <w:r>
        <w:rPr>
          <w:rFonts w:ascii="Times New Roman" w:eastAsia="Times New Roman" w:hAnsi="Times New Roman" w:cs="Times New Roman"/>
          <w:color w:val="000000"/>
          <w:spacing w:val="0"/>
          <w:w w:val="100"/>
          <w:position w:val="0"/>
          <w:sz w:val="18"/>
          <w:szCs w:val="18"/>
        </w:rPr>
        <w:t>B</w:t>
      </w:r>
      <w:bookmarkEnd w:id="830"/>
      <w:r>
        <w:rPr>
          <w:color w:val="000000"/>
          <w:spacing w:val="0"/>
          <w:w w:val="100"/>
          <w:position w:val="0"/>
        </w:rPr>
        <w:t>、</w:t>
        <w:tab/>
      </w:r>
      <w:r>
        <w:rPr>
          <w:color w:val="000000"/>
          <w:spacing w:val="0"/>
          <w:w w:val="100"/>
          <w:position w:val="0"/>
        </w:rPr>
        <w:t>确认单独所承担的负债，以及按其份额确认共同承担的负债；</w:t>
      </w:r>
    </w:p>
    <w:p>
      <w:pPr>
        <w:pStyle w:val="Style21"/>
        <w:keepNext w:val="0"/>
        <w:keepLines w:val="0"/>
        <w:widowControl w:val="0"/>
        <w:shd w:val="clear" w:color="auto" w:fill="auto"/>
        <w:tabs>
          <w:tab w:pos="738" w:val="left"/>
        </w:tabs>
        <w:bidi w:val="0"/>
        <w:spacing w:before="0" w:after="200" w:line="312" w:lineRule="exact"/>
        <w:ind w:left="0" w:right="0"/>
        <w:jc w:val="left"/>
      </w:pPr>
      <w:bookmarkStart w:id="831" w:name="bookmark831"/>
      <w:r>
        <w:rPr>
          <w:rFonts w:ascii="Times New Roman" w:eastAsia="Times New Roman" w:hAnsi="Times New Roman" w:cs="Times New Roman"/>
          <w:color w:val="000000"/>
          <w:spacing w:val="0"/>
          <w:w w:val="100"/>
          <w:position w:val="0"/>
          <w:sz w:val="18"/>
          <w:szCs w:val="18"/>
        </w:rPr>
        <w:t>C</w:t>
      </w:r>
      <w:bookmarkEnd w:id="831"/>
      <w:r>
        <w:rPr>
          <w:color w:val="000000"/>
          <w:spacing w:val="0"/>
          <w:w w:val="100"/>
          <w:position w:val="0"/>
        </w:rPr>
        <w:t>、</w:t>
        <w:tab/>
      </w:r>
      <w:r>
        <w:rPr>
          <w:color w:val="000000"/>
          <w:spacing w:val="0"/>
          <w:w w:val="100"/>
          <w:position w:val="0"/>
        </w:rPr>
        <w:t>确认出售其享有的共同经营产出份额所产生的收入；</w:t>
      </w:r>
    </w:p>
    <w:p>
      <w:pPr>
        <w:pStyle w:val="Style21"/>
        <w:keepNext w:val="0"/>
        <w:keepLines w:val="0"/>
        <w:widowControl w:val="0"/>
        <w:shd w:val="clear" w:color="auto" w:fill="auto"/>
        <w:tabs>
          <w:tab w:pos="757" w:val="left"/>
        </w:tabs>
        <w:bidi w:val="0"/>
        <w:spacing w:before="0" w:after="200" w:line="312" w:lineRule="exact"/>
        <w:ind w:left="0" w:right="0"/>
        <w:jc w:val="left"/>
      </w:pPr>
      <w:bookmarkStart w:id="832" w:name="bookmark832"/>
      <w:r>
        <w:rPr>
          <w:rFonts w:ascii="Times New Roman" w:eastAsia="Times New Roman" w:hAnsi="Times New Roman" w:cs="Times New Roman"/>
          <w:color w:val="000000"/>
          <w:spacing w:val="0"/>
          <w:w w:val="100"/>
          <w:position w:val="0"/>
          <w:sz w:val="18"/>
          <w:szCs w:val="18"/>
        </w:rPr>
        <w:t>D</w:t>
      </w:r>
      <w:bookmarkEnd w:id="832"/>
      <w:r>
        <w:rPr>
          <w:color w:val="000000"/>
          <w:spacing w:val="0"/>
          <w:w w:val="100"/>
          <w:position w:val="0"/>
        </w:rPr>
        <w:t>、</w:t>
        <w:tab/>
      </w:r>
      <w:r>
        <w:rPr>
          <w:color w:val="000000"/>
          <w:spacing w:val="0"/>
          <w:w w:val="100"/>
          <w:position w:val="0"/>
        </w:rPr>
        <w:t>按其份额确认共同经营因出售产出所产生的收入；</w:t>
      </w:r>
    </w:p>
    <w:p>
      <w:pPr>
        <w:pStyle w:val="Style21"/>
        <w:keepNext w:val="0"/>
        <w:keepLines w:val="0"/>
        <w:widowControl w:val="0"/>
        <w:shd w:val="clear" w:color="auto" w:fill="auto"/>
        <w:bidi w:val="0"/>
        <w:spacing w:before="0" w:after="200" w:line="312" w:lineRule="exact"/>
        <w:ind w:left="0" w:right="0" w:firstLine="380"/>
        <w:jc w:val="both"/>
      </w:pPr>
      <w:bookmarkStart w:id="833" w:name="bookmark833"/>
      <w:r>
        <w:rPr>
          <w:rFonts w:ascii="Times New Roman" w:eastAsia="Times New Roman" w:hAnsi="Times New Roman" w:cs="Times New Roman"/>
          <w:color w:val="000000"/>
          <w:spacing w:val="0"/>
          <w:w w:val="100"/>
          <w:position w:val="0"/>
          <w:sz w:val="18"/>
          <w:szCs w:val="18"/>
        </w:rPr>
        <w:t>E</w:t>
      </w:r>
      <w:bookmarkEnd w:id="833"/>
      <w:r>
        <w:rPr>
          <w:color w:val="000000"/>
          <w:spacing w:val="0"/>
          <w:w w:val="100"/>
          <w:position w:val="0"/>
        </w:rPr>
        <w:t>、</w:t>
      </w:r>
      <w:r>
        <w:rPr>
          <w:color w:val="000000"/>
          <w:spacing w:val="0"/>
          <w:w w:val="100"/>
          <w:position w:val="0"/>
        </w:rPr>
        <w:t>确认单独所发生的费用，以及按其份额确认共同经营发生的费用。</w:t>
      </w:r>
    </w:p>
    <w:p>
      <w:pPr>
        <w:pStyle w:val="Style21"/>
        <w:keepNext w:val="0"/>
        <w:keepLines w:val="0"/>
        <w:widowControl w:val="0"/>
        <w:shd w:val="clear" w:color="auto" w:fill="auto"/>
        <w:bidi w:val="0"/>
        <w:spacing w:before="0" w:after="200" w:line="312" w:lineRule="exact"/>
        <w:ind w:left="0" w:right="0" w:firstLine="380"/>
        <w:jc w:val="both"/>
      </w:pPr>
      <w:bookmarkStart w:id="834" w:name="bookmark834"/>
      <w:r>
        <w:rPr>
          <w:b/>
          <w:bCs/>
          <w:color w:val="000000"/>
          <w:spacing w:val="0"/>
          <w:w w:val="100"/>
          <w:position w:val="0"/>
        </w:rPr>
        <w:t>（</w:t>
      </w:r>
      <w:bookmarkEnd w:id="83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）合营企业</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合营企业是指本公司仅对该安排的净资产享有权利的合营安排。</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本公司按照长期股权投资有关权益法核算的规定对合营企业的投资进行会计处理。</w:t>
      </w:r>
    </w:p>
    <w:p>
      <w:pPr>
        <w:pStyle w:val="Style31"/>
        <w:keepNext/>
        <w:keepLines/>
        <w:widowControl w:val="0"/>
        <w:shd w:val="clear" w:color="auto" w:fill="auto"/>
        <w:tabs>
          <w:tab w:pos="378" w:val="left"/>
        </w:tabs>
        <w:bidi w:val="0"/>
        <w:spacing w:before="0" w:after="260" w:line="240" w:lineRule="auto"/>
        <w:ind w:left="0" w:right="0" w:firstLine="0"/>
        <w:jc w:val="left"/>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8</w:t>
      </w:r>
      <w:bookmarkEnd w:id="837"/>
      <w:r>
        <w:rPr>
          <w:color w:val="000000"/>
          <w:spacing w:val="0"/>
          <w:w w:val="100"/>
          <w:position w:val="0"/>
        </w:rPr>
        <w:t>、</w:t>
        <w:tab/>
        <w:t>现金及现金等价物的确定标准</w:t>
      </w:r>
      <w:bookmarkEnd w:id="835"/>
      <w:bookmarkEnd w:id="836"/>
      <w:bookmarkEnd w:id="838"/>
    </w:p>
    <w:p>
      <w:pPr>
        <w:pStyle w:val="Style2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现金是指库存现金以及可以随时用于支付的存款。现金等价物，是指本公司持有的期限短、流动性强、易于转换为已知 金额现金、价值变动风险很小的投资。</w:t>
      </w:r>
    </w:p>
    <w:p>
      <w:pPr>
        <w:pStyle w:val="Style31"/>
        <w:keepNext/>
        <w:keepLines/>
        <w:widowControl w:val="0"/>
        <w:shd w:val="clear" w:color="auto" w:fill="auto"/>
        <w:tabs>
          <w:tab w:pos="378" w:val="left"/>
        </w:tabs>
        <w:bidi w:val="0"/>
        <w:spacing w:before="0" w:after="260" w:line="240" w:lineRule="auto"/>
        <w:ind w:left="0" w:right="0" w:firstLine="0"/>
        <w:jc w:val="left"/>
      </w:pPr>
      <w:bookmarkStart w:id="839" w:name="bookmark839"/>
      <w:bookmarkStart w:id="840" w:name="bookmark840"/>
      <w:bookmarkStart w:id="841" w:name="bookmark841"/>
      <w:bookmarkStart w:id="842" w:name="bookmark842"/>
      <w:r>
        <w:rPr>
          <w:rFonts w:ascii="Times New Roman" w:eastAsia="Times New Roman" w:hAnsi="Times New Roman" w:cs="Times New Roman"/>
          <w:color w:val="000000"/>
          <w:spacing w:val="0"/>
          <w:w w:val="100"/>
          <w:position w:val="0"/>
        </w:rPr>
        <w:t>9</w:t>
      </w:r>
      <w:bookmarkEnd w:id="841"/>
      <w:r>
        <w:rPr>
          <w:color w:val="000000"/>
          <w:spacing w:val="0"/>
          <w:w w:val="100"/>
          <w:position w:val="0"/>
        </w:rPr>
        <w:t>、</w:t>
        <w:tab/>
        <w:t>外币业务和外币报表折算</w:t>
      </w:r>
      <w:bookmarkEnd w:id="839"/>
      <w:bookmarkEnd w:id="840"/>
      <w:bookmarkEnd w:id="842"/>
    </w:p>
    <w:p>
      <w:pPr>
        <w:pStyle w:val="Style21"/>
        <w:keepNext w:val="0"/>
        <w:keepLines w:val="0"/>
        <w:widowControl w:val="0"/>
        <w:shd w:val="clear" w:color="auto" w:fill="auto"/>
        <w:tabs>
          <w:tab w:pos="834" w:val="left"/>
        </w:tabs>
        <w:bidi w:val="0"/>
        <w:spacing w:before="0" w:after="200" w:line="312" w:lineRule="exact"/>
        <w:ind w:left="0" w:right="0" w:firstLine="380"/>
        <w:jc w:val="both"/>
      </w:pPr>
      <w:bookmarkStart w:id="843" w:name="bookmark843"/>
      <w:r>
        <w:rPr>
          <w:b/>
          <w:bCs/>
          <w:color w:val="000000"/>
          <w:spacing w:val="0"/>
          <w:w w:val="100"/>
          <w:position w:val="0"/>
        </w:rPr>
        <w:t>（</w:t>
      </w:r>
      <w:bookmarkEnd w:id="84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外币业务</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本公司发生外币业务，按交易发生日的即期汇率折算为记账本位币金额。</w:t>
      </w:r>
    </w:p>
    <w:p>
      <w:pPr>
        <w:pStyle w:val="Style21"/>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资产负债表日，对外币货币性项目，采用资产负债表日即期汇率折算。因资产负债表日即期汇率与初始确认时或者前一 资产负债表日即期汇率不同而产生的汇兑差额，计入当期损益；对以历史成本计量的外币非货币性项目，仍采用交易发生日 的即期汇率折算；对以公允价值计量的外币非货币性项目，采用公允价值确定日的即期汇率折算，折算后的记账本位币金额 与原记账本位币金额的差额，根据非货币性项目的性质计入当期损益或其他综合收益。</w:t>
      </w:r>
    </w:p>
    <w:p>
      <w:pPr>
        <w:pStyle w:val="Style21"/>
        <w:keepNext w:val="0"/>
        <w:keepLines w:val="0"/>
        <w:widowControl w:val="0"/>
        <w:shd w:val="clear" w:color="auto" w:fill="auto"/>
        <w:tabs>
          <w:tab w:pos="834" w:val="left"/>
        </w:tabs>
        <w:bidi w:val="0"/>
        <w:spacing w:before="0" w:after="200" w:line="312" w:lineRule="exact"/>
        <w:ind w:left="0" w:right="0" w:firstLine="380"/>
        <w:jc w:val="both"/>
      </w:pPr>
      <w:bookmarkStart w:id="844" w:name="bookmark844"/>
      <w:r>
        <w:rPr>
          <w:b/>
          <w:bCs/>
          <w:color w:val="000000"/>
          <w:spacing w:val="0"/>
          <w:w w:val="100"/>
          <w:position w:val="0"/>
        </w:rPr>
        <w:t>（</w:t>
      </w:r>
      <w:bookmarkEnd w:id="84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外币财务报表的折算</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资产负债表日，对境外子公司外币财务报表进行折算时，资产负债表中的资产和负债项目，采用资产负债表日的即期汇 率折算，股东权益项目除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外，其他项目采用发生日的即期汇率折算。</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利润表中的收入和费用项目，采用交易发生日的当期加权平均汇率折算。</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现金流量表所有项目均按照现金流量发生日的当期加权平均汇率折算。汇率变动对现金的影响额作为调节项目，在现金 流量表中单独列示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汇率变动对现金及现金等价物的影响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项目反映。</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处置境外经营并丧失控制权时，将资产负债表中股东权益项目下列示的、与该境外经营相关的外币报表折算差额，全部 或按处置该境外经营的比例转入处置当期损益。</w:t>
      </w:r>
    </w:p>
    <w:p>
      <w:pPr>
        <w:pStyle w:val="Style31"/>
        <w:keepNext/>
        <w:keepLines/>
        <w:widowControl w:val="0"/>
        <w:shd w:val="clear" w:color="auto" w:fill="auto"/>
        <w:tabs>
          <w:tab w:pos="474" w:val="left"/>
        </w:tabs>
        <w:bidi w:val="0"/>
        <w:spacing w:before="0" w:after="260" w:line="240"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45"/>
      <w:bookmarkEnd w:id="846"/>
      <w:bookmarkEnd w:id="848"/>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金融工具是指形成一方的金融资产，并形成其他方的金融负债或权益工具的合同。</w:t>
      </w:r>
    </w:p>
    <w:p>
      <w:pPr>
        <w:pStyle w:val="Style21"/>
        <w:keepNext w:val="0"/>
        <w:keepLines w:val="0"/>
        <w:widowControl w:val="0"/>
        <w:shd w:val="clear" w:color="auto" w:fill="auto"/>
        <w:bidi w:val="0"/>
        <w:spacing w:before="0" w:after="200" w:line="312" w:lineRule="exact"/>
        <w:ind w:left="0" w:right="0" w:firstLine="380"/>
        <w:jc w:val="both"/>
      </w:pPr>
      <w:bookmarkStart w:id="849" w:name="bookmark849"/>
      <w:r>
        <w:rPr>
          <w:b/>
          <w:bCs/>
          <w:color w:val="000000"/>
          <w:spacing w:val="0"/>
          <w:w w:val="100"/>
          <w:position w:val="0"/>
        </w:rPr>
        <w:t>（</w:t>
      </w:r>
      <w:bookmarkEnd w:id="84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）金融工具的确认和终止确认</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本公司于成为金融工具合同的一方时确认一项金融资产或金融负债。</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金融资产满足下列条件之一的，终止确认：</w:t>
      </w:r>
    </w:p>
    <w:p>
      <w:pPr>
        <w:pStyle w:val="Style21"/>
        <w:keepNext w:val="0"/>
        <w:keepLines w:val="0"/>
        <w:widowControl w:val="0"/>
        <w:numPr>
          <w:ilvl w:val="0"/>
          <w:numId w:val="5"/>
        </w:numPr>
        <w:shd w:val="clear" w:color="auto" w:fill="auto"/>
        <w:tabs>
          <w:tab w:pos="733" w:val="left"/>
        </w:tabs>
        <w:bidi w:val="0"/>
        <w:spacing w:before="0" w:after="200" w:line="312" w:lineRule="exact"/>
        <w:ind w:left="0" w:right="0"/>
        <w:jc w:val="both"/>
      </w:pPr>
      <w:bookmarkStart w:id="850" w:name="bookmark850"/>
      <w:bookmarkEnd w:id="850"/>
      <w:r>
        <w:rPr>
          <w:color w:val="000000"/>
          <w:spacing w:val="0"/>
          <w:w w:val="100"/>
          <w:position w:val="0"/>
        </w:rPr>
        <w:t>收取该金融资产现金流量的合同权利终止；</w:t>
      </w:r>
    </w:p>
    <w:p>
      <w:pPr>
        <w:pStyle w:val="Style21"/>
        <w:keepNext w:val="0"/>
        <w:keepLines w:val="0"/>
        <w:widowControl w:val="0"/>
        <w:numPr>
          <w:ilvl w:val="0"/>
          <w:numId w:val="5"/>
        </w:numPr>
        <w:shd w:val="clear" w:color="auto" w:fill="auto"/>
        <w:tabs>
          <w:tab w:pos="733" w:val="left"/>
        </w:tabs>
        <w:bidi w:val="0"/>
        <w:spacing w:before="0" w:after="200" w:line="312" w:lineRule="exact"/>
        <w:ind w:left="0" w:right="0"/>
        <w:jc w:val="both"/>
      </w:pPr>
      <w:bookmarkStart w:id="851" w:name="bookmark851"/>
      <w:bookmarkEnd w:id="851"/>
      <w:r>
        <w:rPr>
          <w:color w:val="000000"/>
          <w:spacing w:val="0"/>
          <w:w w:val="100"/>
          <w:position w:val="0"/>
        </w:rPr>
        <w:t>该金融资产已转移，且符合下述金融资产转移的终止确认条件。</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金融负债的现时义务全部或部分已经解除的，终止确认该金融负债或其一部分。本公司（债务人）与债权人之间签订协 议，以承担新金融负债方式替换现存金融负债，且新金融负债与现存金融负债的合同条款实质上不同的，终止确认现存金融 负债，并同时确认新金融负债。</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以常规方式买卖金融资产，按交易日进行会计确认和终止确认。</w:t>
      </w:r>
    </w:p>
    <w:p>
      <w:pPr>
        <w:pStyle w:val="Style21"/>
        <w:keepNext w:val="0"/>
        <w:keepLines w:val="0"/>
        <w:widowControl w:val="0"/>
        <w:shd w:val="clear" w:color="auto" w:fill="auto"/>
        <w:bidi w:val="0"/>
        <w:spacing w:before="0" w:after="200" w:line="312" w:lineRule="exact"/>
        <w:ind w:left="0" w:right="0"/>
        <w:jc w:val="both"/>
      </w:pPr>
      <w:bookmarkStart w:id="852" w:name="bookmark852"/>
      <w:r>
        <w:rPr>
          <w:b/>
          <w:bCs/>
          <w:color w:val="000000"/>
          <w:spacing w:val="0"/>
          <w:w w:val="100"/>
          <w:position w:val="0"/>
        </w:rPr>
        <w:t>（</w:t>
      </w:r>
      <w:bookmarkEnd w:id="85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）金融资产分类和计量</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本公司在初始确认时根据管理金融资产的业务模式和金融资产的合同现金流量特征，将金融资产分为以下三类：以摊余 成本计量的金融资产、以公允价值计量且其变动计入其他综合收益的金融资产、以公允价值计量且其变动计入当期损益的金 融资产。</w:t>
      </w:r>
    </w:p>
    <w:p>
      <w:pPr>
        <w:pStyle w:val="Style21"/>
        <w:keepNext w:val="0"/>
        <w:keepLines w:val="0"/>
        <w:widowControl w:val="0"/>
        <w:shd w:val="clear" w:color="auto" w:fill="auto"/>
        <w:bidi w:val="0"/>
        <w:spacing w:before="0" w:after="200" w:line="312" w:lineRule="exact"/>
        <w:ind w:left="0" w:right="0"/>
        <w:jc w:val="both"/>
      </w:pPr>
      <w:r>
        <w:rPr>
          <w:b/>
          <w:bCs/>
          <w:color w:val="000000"/>
          <w:spacing w:val="0"/>
          <w:w w:val="100"/>
          <w:position w:val="0"/>
        </w:rPr>
        <w:t>以摊余成本计量的金融资产</w:t>
      </w:r>
    </w:p>
    <w:p>
      <w:pPr>
        <w:pStyle w:val="Style21"/>
        <w:keepNext w:val="0"/>
        <w:keepLines w:val="0"/>
        <w:widowControl w:val="0"/>
        <w:shd w:val="clear" w:color="auto" w:fill="auto"/>
        <w:bidi w:val="0"/>
        <w:spacing w:before="0" w:after="200" w:line="298" w:lineRule="exact"/>
        <w:ind w:left="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21"/>
        <w:keepNext w:val="0"/>
        <w:keepLines w:val="0"/>
        <w:widowControl w:val="0"/>
        <w:shd w:val="clear" w:color="auto" w:fill="auto"/>
        <w:bidi w:val="0"/>
        <w:spacing w:before="0" w:after="200" w:line="312" w:lineRule="exact"/>
        <w:ind w:left="0" w:right="0" w:firstLine="220"/>
        <w:jc w:val="both"/>
      </w:pPr>
      <w:r>
        <w:rPr>
          <w:color w:val="000000"/>
          <w:spacing w:val="0"/>
          <w:w w:val="100"/>
          <w:position w:val="0"/>
        </w:rPr>
        <w:t>本公司管理该金融资产的业务模式是以收取合同现金流量为目标；</w:t>
      </w:r>
    </w:p>
    <w:p>
      <w:pPr>
        <w:pStyle w:val="Style21"/>
        <w:keepNext w:val="0"/>
        <w:keepLines w:val="0"/>
        <w:widowControl w:val="0"/>
        <w:shd w:val="clear" w:color="auto" w:fill="auto"/>
        <w:bidi w:val="0"/>
        <w:spacing w:before="0" w:after="200" w:line="312" w:lineRule="exact"/>
        <w:ind w:left="0" w:right="0" w:firstLine="220"/>
        <w:jc w:val="both"/>
      </w:pPr>
      <w:r>
        <w:rPr>
          <w:color w:val="000000"/>
          <w:spacing w:val="0"/>
          <w:w w:val="100"/>
          <w:position w:val="0"/>
        </w:rPr>
        <w:t>该金融资产的合同条款规定，在特定日期产生的现金流量，仅为对本金和以未偿付本金金额为基础的利息的支付。</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21"/>
        <w:keepNext w:val="0"/>
        <w:keepLines w:val="0"/>
        <w:widowControl w:val="0"/>
        <w:shd w:val="clear" w:color="auto" w:fill="auto"/>
        <w:bidi w:val="0"/>
        <w:spacing w:before="0" w:after="200" w:line="312" w:lineRule="exact"/>
        <w:ind w:left="0" w:right="0"/>
        <w:jc w:val="both"/>
      </w:pPr>
      <w:r>
        <w:rPr>
          <w:b/>
          <w:bCs/>
          <w:color w:val="000000"/>
          <w:spacing w:val="0"/>
          <w:w w:val="100"/>
          <w:position w:val="0"/>
        </w:rPr>
        <w:t>以公允价值计量且其变动计入其他综合收益的金融资产</w:t>
      </w:r>
    </w:p>
    <w:p>
      <w:pPr>
        <w:pStyle w:val="Style21"/>
        <w:keepNext w:val="0"/>
        <w:keepLines w:val="0"/>
        <w:widowControl w:val="0"/>
        <w:shd w:val="clear" w:color="auto" w:fill="auto"/>
        <w:bidi w:val="0"/>
        <w:spacing w:before="0" w:after="200" w:line="298" w:lineRule="exact"/>
        <w:ind w:left="0" w:right="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w:t>
      </w:r>
    </w:p>
    <w:p>
      <w:pPr>
        <w:pStyle w:val="Style21"/>
        <w:keepNext w:val="0"/>
        <w:keepLines w:val="0"/>
        <w:widowControl w:val="0"/>
        <w:shd w:val="clear" w:color="auto" w:fill="auto"/>
        <w:bidi w:val="0"/>
        <w:spacing w:before="0" w:after="200" w:line="312" w:lineRule="exact"/>
        <w:ind w:left="0" w:right="0" w:firstLine="220"/>
        <w:jc w:val="both"/>
      </w:pPr>
      <w:r>
        <w:rPr>
          <w:color w:val="000000"/>
          <w:spacing w:val="0"/>
          <w:w w:val="100"/>
          <w:position w:val="0"/>
        </w:rPr>
        <w:t>本公司管理该金融资产的业务模式既以收取合同现金流量为目标又以出售该金融资产为目标；</w:t>
      </w:r>
    </w:p>
    <w:p>
      <w:pPr>
        <w:pStyle w:val="Style21"/>
        <w:keepNext w:val="0"/>
        <w:keepLines w:val="0"/>
        <w:widowControl w:val="0"/>
        <w:shd w:val="clear" w:color="auto" w:fill="auto"/>
        <w:bidi w:val="0"/>
        <w:spacing w:before="0" w:after="200" w:line="312" w:lineRule="exact"/>
        <w:ind w:left="0" w:right="0" w:firstLine="220"/>
        <w:jc w:val="both"/>
      </w:pPr>
      <w:r>
        <w:rPr>
          <w:color w:val="000000"/>
          <w:spacing w:val="0"/>
          <w:w w:val="100"/>
          <w:position w:val="0"/>
        </w:rPr>
        <w:t>该金融资产的合同条款规定，在特定日期产生的现金流量，仅为对本金和以未偿付本金金额为基础的利息的支付。</w:t>
      </w:r>
    </w:p>
    <w:p>
      <w:pPr>
        <w:pStyle w:val="Style21"/>
        <w:keepNext w:val="0"/>
        <w:keepLines w:val="0"/>
        <w:widowControl w:val="0"/>
        <w:shd w:val="clear" w:color="auto" w:fill="auto"/>
        <w:bidi w:val="0"/>
        <w:spacing w:before="0" w:after="200" w:line="310" w:lineRule="exact"/>
        <w:ind w:left="0" w:right="0"/>
        <w:jc w:val="both"/>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21"/>
        <w:keepNext w:val="0"/>
        <w:keepLines w:val="0"/>
        <w:widowControl w:val="0"/>
        <w:shd w:val="clear" w:color="auto" w:fill="auto"/>
        <w:bidi w:val="0"/>
        <w:spacing w:before="0" w:after="200" w:line="312" w:lineRule="exact"/>
        <w:ind w:left="0" w:right="0"/>
        <w:jc w:val="both"/>
      </w:pPr>
      <w:r>
        <w:rPr>
          <w:b/>
          <w:bCs/>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为以公允价值计量且其变动计入当期损益的金融资产。在初始确认时，为消除或显著减少会计错配，本公司将部分本应以摊 余成本计量或以公允价值计量且其变动计入其他综合收益的金融资产不可撤销地指定为以公允价值计量且其变动计入当期 损益的金融资产。</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但是，对于非交易性权益工具投资，本公司在初始确认时将其不可撤销地指定为以公允价值计量且其变动计入其他综合 收益的金融资产。该指定在单项投资的基础上作出，且相关投资从发行方的角度符合权益工具的定义。</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初始确认后，对于该类金融资产以公允价值进行后续计量。满足条件的股利收入计入损益，其他利得或损失及公允价值 变动计入其他综合收益。终止确认时，将之前计入其他综合收益的累计利得或损失从其他综合收益中转出，计入留存收益。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管理金融资产的业务模式，是指本公司如何管理金融资产以产生现金流量。业务模式决定本公司所管理金融资产现金流 量的来源是收取合同现金流量、出售金融资产还是两者兼有。本公司以客观事实为依据、以关键管理人员决定的对金融资产 进行管理的特定业务目标为基础，确定管理金融资产的业务模式。</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与特定时期未偿付本金金额相关的信用风险、以及其他基本借贷风险、成本和利润的对价。此外，本公司对可能导致金融资 产合同现金流量的时间分布或金额发生变更的合同条款进行评估，以确定其是否满足上述合同现金流量特征的要求。</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仅在本公司改变管理金融资产的业务模式时，所有受影响的相关金融资产在业务模式发生变更后的首个报告期间的第一 天进行重分类，否则金融资产在初始确认后不得进行重分类。</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虑重大融资成分的应收账款，本公司按照预期有权收取的对价金额作为初始确认金额。</w:t>
      </w:r>
    </w:p>
    <w:p>
      <w:pPr>
        <w:pStyle w:val="Style21"/>
        <w:keepNext w:val="0"/>
        <w:keepLines w:val="0"/>
        <w:widowControl w:val="0"/>
        <w:shd w:val="clear" w:color="auto" w:fill="auto"/>
        <w:bidi w:val="0"/>
        <w:spacing w:before="0" w:after="200" w:line="312" w:lineRule="exact"/>
        <w:ind w:left="0" w:right="0" w:firstLine="380"/>
        <w:jc w:val="both"/>
      </w:pPr>
      <w:bookmarkStart w:id="853" w:name="bookmark853"/>
      <w:r>
        <w:rPr>
          <w:b/>
          <w:bCs/>
          <w:color w:val="000000"/>
          <w:spacing w:val="0"/>
          <w:w w:val="100"/>
          <w:position w:val="0"/>
        </w:rPr>
        <w:t>（</w:t>
      </w:r>
      <w:bookmarkEnd w:id="85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）金融负债分类和计量</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本公司的金融负债于初始确认时分类为：以公允价值计量且其变动计入当期损益的金融负债、以摊余成本计量的金融负 债。对于未划分为以公允价值计量且其变动计入当期损益的金融负债的，相关交易费用计入其初始确认金额。</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以公允价值计量且其变动计入当期损益的金融负债，包括交易性金融负债和初始确认时指定为以公允价值计量且其变动 计入当期损益的金融负债。对于此类金融负债，按照公允价值进行后续计量，公允价值变动形成的利得或损失以及与该等金 融负债相关的股利和利息支出计入当期损益。</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以摊余成本计量的金融负债</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其他金融负债采用实际利率法，按摊余成本进行后续计量，终止确认或摊销产生的利得或损失计入当期损益。</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金融负债与权益工具的区分</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金融负债，是指符合下列条件之一的负债：</w:t>
      </w:r>
    </w:p>
    <w:p>
      <w:pPr>
        <w:pStyle w:val="Style21"/>
        <w:keepNext w:val="0"/>
        <w:keepLines w:val="0"/>
        <w:widowControl w:val="0"/>
        <w:numPr>
          <w:ilvl w:val="0"/>
          <w:numId w:val="7"/>
        </w:numPr>
        <w:shd w:val="clear" w:color="auto" w:fill="auto"/>
        <w:tabs>
          <w:tab w:pos="744" w:val="left"/>
        </w:tabs>
        <w:bidi w:val="0"/>
        <w:spacing w:before="0" w:after="200" w:line="312" w:lineRule="exact"/>
        <w:ind w:left="0" w:right="0" w:firstLine="380"/>
        <w:jc w:val="both"/>
      </w:pPr>
      <w:bookmarkStart w:id="854" w:name="bookmark854"/>
      <w:bookmarkEnd w:id="854"/>
      <w:r>
        <w:rPr>
          <w:color w:val="000000"/>
          <w:spacing w:val="0"/>
          <w:w w:val="100"/>
          <w:position w:val="0"/>
        </w:rPr>
        <w:t>向其他方交付现金或其他金融资产的合同义务。</w:t>
      </w:r>
    </w:p>
    <w:p>
      <w:pPr>
        <w:pStyle w:val="Style21"/>
        <w:keepNext w:val="0"/>
        <w:keepLines w:val="0"/>
        <w:widowControl w:val="0"/>
        <w:numPr>
          <w:ilvl w:val="0"/>
          <w:numId w:val="7"/>
        </w:numPr>
        <w:shd w:val="clear" w:color="auto" w:fill="auto"/>
        <w:tabs>
          <w:tab w:pos="744" w:val="left"/>
        </w:tabs>
        <w:bidi w:val="0"/>
        <w:spacing w:before="0" w:after="200" w:line="312" w:lineRule="exact"/>
        <w:ind w:left="0" w:right="0" w:firstLine="380"/>
        <w:jc w:val="both"/>
      </w:pPr>
      <w:bookmarkStart w:id="855" w:name="bookmark855"/>
      <w:bookmarkEnd w:id="855"/>
      <w:r>
        <w:rPr>
          <w:color w:val="000000"/>
          <w:spacing w:val="0"/>
          <w:w w:val="100"/>
          <w:position w:val="0"/>
        </w:rPr>
        <w:t>在潜在不利条件下，与其他方交换金融资产或金融负债的合同义务。</w:t>
      </w:r>
    </w:p>
    <w:p>
      <w:pPr>
        <w:pStyle w:val="Style21"/>
        <w:keepNext w:val="0"/>
        <w:keepLines w:val="0"/>
        <w:widowControl w:val="0"/>
        <w:numPr>
          <w:ilvl w:val="0"/>
          <w:numId w:val="7"/>
        </w:numPr>
        <w:shd w:val="clear" w:color="auto" w:fill="auto"/>
        <w:tabs>
          <w:tab w:pos="744" w:val="left"/>
        </w:tabs>
        <w:bidi w:val="0"/>
        <w:spacing w:before="0" w:after="200" w:line="312" w:lineRule="exact"/>
        <w:ind w:left="0" w:right="0" w:firstLine="380"/>
        <w:jc w:val="both"/>
      </w:pPr>
      <w:bookmarkStart w:id="856" w:name="bookmark856"/>
      <w:bookmarkEnd w:id="856"/>
      <w:r>
        <w:rPr>
          <w:color w:val="000000"/>
          <w:spacing w:val="0"/>
          <w:w w:val="100"/>
          <w:position w:val="0"/>
        </w:rPr>
        <w:t>将来须用或可用企业自身权益工具进行结算的非衍生工具合同，且企业根据该合同将交付可变数量的自身权益工具。</w:t>
      </w:r>
    </w:p>
    <w:p>
      <w:pPr>
        <w:pStyle w:val="Style21"/>
        <w:keepNext w:val="0"/>
        <w:keepLines w:val="0"/>
        <w:widowControl w:val="0"/>
        <w:numPr>
          <w:ilvl w:val="0"/>
          <w:numId w:val="7"/>
        </w:numPr>
        <w:shd w:val="clear" w:color="auto" w:fill="auto"/>
        <w:tabs>
          <w:tab w:pos="719" w:val="left"/>
        </w:tabs>
        <w:bidi w:val="0"/>
        <w:spacing w:before="0" w:after="200" w:line="312" w:lineRule="exact"/>
        <w:ind w:left="0" w:right="0" w:firstLine="380"/>
        <w:jc w:val="both"/>
      </w:pPr>
      <w:bookmarkStart w:id="857" w:name="bookmark857"/>
      <w:bookmarkEnd w:id="857"/>
      <w:r>
        <w:rPr>
          <w:color w:val="000000"/>
          <w:spacing w:val="0"/>
          <w:w w:val="100"/>
          <w:position w:val="0"/>
        </w:rPr>
        <w:t>将来须用或可用企业自身权益工具进行结算的衍生工具合同，但以固定数量的自身权益工具交换固定金额的现金或其 他金融资产的衍生工具合同除外。</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权益工具，是指能证明拥有某个企业在扣除所有负债后的资产中剩余权益的合同。</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如果本公司不能无条件地避免以交付现金或其他金融资产来履行一项合同义务，则该合同义务符合金融负债的定义。</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如果一项金融工具须用或可用本公司自身权益工具进行结算，需要考虑用于结算该工具的本公司自身权益工具，是作为 现金或其他金融资产的替代品，还是为了使该工具持有方享有在发行方扣除所有负债后的资产中的剩余权益。如果是前者， 该工具是本公司的金融负债；如果是后者，该工具是本公司的权益工具。</w:t>
      </w:r>
    </w:p>
    <w:p>
      <w:pPr>
        <w:pStyle w:val="Style21"/>
        <w:keepNext w:val="0"/>
        <w:keepLines w:val="0"/>
        <w:widowControl w:val="0"/>
        <w:shd w:val="clear" w:color="auto" w:fill="auto"/>
        <w:tabs>
          <w:tab w:pos="814" w:val="left"/>
        </w:tabs>
        <w:bidi w:val="0"/>
        <w:spacing w:before="0" w:after="200" w:line="314" w:lineRule="exact"/>
        <w:ind w:left="0" w:right="0"/>
        <w:jc w:val="both"/>
      </w:pPr>
      <w:bookmarkStart w:id="858" w:name="bookmark858"/>
      <w:r>
        <w:rPr>
          <w:b/>
          <w:bCs/>
          <w:color w:val="000000"/>
          <w:spacing w:val="0"/>
          <w:w w:val="100"/>
          <w:position w:val="0"/>
        </w:rPr>
        <w:t>（</w:t>
      </w:r>
      <w:bookmarkEnd w:id="85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金融工具的公允价值</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金融资产和金融负债的公允价值确定方法见本附注五</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）公允价值计量。</w:t>
      </w:r>
    </w:p>
    <w:p>
      <w:pPr>
        <w:pStyle w:val="Style21"/>
        <w:keepNext w:val="0"/>
        <w:keepLines w:val="0"/>
        <w:widowControl w:val="0"/>
        <w:shd w:val="clear" w:color="auto" w:fill="auto"/>
        <w:tabs>
          <w:tab w:pos="814" w:val="left"/>
        </w:tabs>
        <w:bidi w:val="0"/>
        <w:spacing w:before="0" w:after="200" w:line="314" w:lineRule="exact"/>
        <w:ind w:left="0" w:right="0"/>
        <w:jc w:val="both"/>
      </w:pPr>
      <w:bookmarkStart w:id="859" w:name="bookmark859"/>
      <w:r>
        <w:rPr>
          <w:b/>
          <w:bCs/>
          <w:color w:val="000000"/>
          <w:spacing w:val="0"/>
          <w:w w:val="100"/>
          <w:position w:val="0"/>
        </w:rPr>
        <w:t>（</w:t>
      </w:r>
      <w:bookmarkEnd w:id="85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金融资产减值</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本公司以预期信用损失为基础，对下列项目进行减值会计处理并确认损失准备：</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以摊余成本计量的金融资产；</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以公允价值计量且其变动计入其他综合收益的应收款项和债权投资；</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号——收入》定义的合同资产；</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租赁应收款；</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财务担保合同（以公允价值计量且其变动计入当期损益、金融资产转移不符合终止确认条件或继续涉入被转移金融资产 所形成的除外）。</w:t>
      </w:r>
    </w:p>
    <w:p>
      <w:pPr>
        <w:pStyle w:val="Style21"/>
        <w:keepNext w:val="0"/>
        <w:keepLines w:val="0"/>
        <w:widowControl w:val="0"/>
        <w:shd w:val="clear" w:color="auto" w:fill="auto"/>
        <w:bidi w:val="0"/>
        <w:spacing w:before="0" w:after="200" w:line="314" w:lineRule="exact"/>
        <w:ind w:left="0" w:right="0"/>
        <w:jc w:val="both"/>
      </w:pPr>
      <w:r>
        <w:rPr>
          <w:b/>
          <w:bCs/>
          <w:color w:val="000000"/>
          <w:spacing w:val="0"/>
          <w:w w:val="100"/>
          <w:position w:val="0"/>
        </w:rPr>
        <w:t>预期信用损失的计量</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本公司考虑有关过去事项、当前状况以及对未来经济状况的预测等合理且有依据的信息，以发生违约的风险为权重，计 算合同应收的现金流量与预期能收到的现金流量之间差额的现值的概率加权金额，确认预期信用损失。</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本公司对于处于不同阶段的金融工具的预期信用损失分别进行计量。金融工具自初始确认后信用风险未显著增加的，处 于第一阶段，本公司按照未来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 生信用减值的，处于第二阶段，本公司按照该工具整个存续期的预期信用损失计量损失准备；金融工具自初始确认后已经发 生信用减值的，处于第三阶段，本公司按照该工具整个存续期的预期信用损失计量损失准备。</w:t>
      </w:r>
    </w:p>
    <w:p>
      <w:pPr>
        <w:pStyle w:val="Style21"/>
        <w:keepNext w:val="0"/>
        <w:keepLines w:val="0"/>
        <w:widowControl w:val="0"/>
        <w:shd w:val="clear" w:color="auto" w:fill="auto"/>
        <w:bidi w:val="0"/>
        <w:spacing w:before="0" w:after="200" w:line="326" w:lineRule="exact"/>
        <w:ind w:left="0" w:right="0"/>
        <w:jc w:val="both"/>
      </w:pPr>
      <w:r>
        <w:rPr>
          <w:color w:val="000000"/>
          <w:spacing w:val="0"/>
          <w:w w:val="100"/>
          <w:position w:val="0"/>
        </w:rPr>
        <w:t>对于在资产负债表日具有较低信用风险的金融工具，本公司假设其信用风险自初始确认后并未显著增加，按照未来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个月内的预期信用损失计量损失准备。</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整个存续期预期信用损失，是指因金融工具整个预计存续期内所有可能发生的违约事件而导致的预期信用损失。未来</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个月，则为预计存续期）可能发生 的金融工具违约事件而导致的预期信用损失，是整个存续期预期信用损失的一部分。</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在计量预期信用损失时，本公司需考虑的最长期限为企业面临信用风险的最长合同期限（包括考虑续约选择权）。</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 xml:space="preserve">本公司对于处于第一阶段和第二阶段、以及较低信用风险的金融工具，按照其未扣除减值准备的账面余额和实际利率计 </w:t>
      </w:r>
      <w:r>
        <w:rPr>
          <w:color w:val="000000"/>
          <w:spacing w:val="0"/>
          <w:w w:val="100"/>
          <w:position w:val="0"/>
        </w:rPr>
        <w:t>算利息收入。对于处于第三阶段的金融工具，按照其账面余额减已计提减值准备后的摊余成本和实际利率计算利息收入。</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应收票据、应收账款和合同资产</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对于应收票据、应收账款、合同资产，无论是否存在重大融资成分，本公司始终按照相当于整个存续期内预期信用损失 的金额计量其损失准备。</w:t>
      </w:r>
    </w:p>
    <w:p>
      <w:pPr>
        <w:pStyle w:val="Style21"/>
        <w:keepNext w:val="0"/>
        <w:keepLines w:val="0"/>
        <w:widowControl w:val="0"/>
        <w:shd w:val="clear" w:color="auto" w:fill="auto"/>
        <w:bidi w:val="0"/>
        <w:spacing w:before="0" w:after="320" w:line="307" w:lineRule="exact"/>
        <w:ind w:left="0" w:right="0" w:firstLine="380"/>
        <w:jc w:val="left"/>
      </w:pPr>
      <w:r>
        <w:rPr>
          <w:color w:val="000000"/>
          <w:spacing w:val="0"/>
          <w:w w:val="100"/>
          <w:position w:val="0"/>
        </w:rPr>
        <w:t>当单项金融资产无法以合理成本评估预期信用损失的信息时，本公司依据信用风险特征对应收票据和应收账款划分组合， 在组合基础上计算预期信用损失，确定组合的依据如下：</w:t>
      </w:r>
    </w:p>
    <w:p>
      <w:pPr>
        <w:pStyle w:val="Style21"/>
        <w:keepNext w:val="0"/>
        <w:keepLines w:val="0"/>
        <w:widowControl w:val="0"/>
        <w:shd w:val="clear" w:color="auto" w:fill="auto"/>
        <w:tabs>
          <w:tab w:pos="757" w:val="left"/>
        </w:tabs>
        <w:bidi w:val="0"/>
        <w:spacing w:before="0" w:after="100" w:line="360" w:lineRule="auto"/>
        <w:ind w:left="0" w:right="0"/>
        <w:jc w:val="both"/>
      </w:pPr>
      <w:bookmarkStart w:id="860" w:name="bookmark860"/>
      <w:r>
        <w:rPr>
          <w:rFonts w:ascii="Times New Roman" w:eastAsia="Times New Roman" w:hAnsi="Times New Roman" w:cs="Times New Roman"/>
          <w:color w:val="000000"/>
          <w:spacing w:val="0"/>
          <w:w w:val="100"/>
          <w:position w:val="0"/>
          <w:sz w:val="18"/>
          <w:szCs w:val="18"/>
        </w:rPr>
        <w:t>A</w:t>
      </w:r>
      <w:bookmarkEnd w:id="860"/>
      <w:r>
        <w:rPr>
          <w:color w:val="000000"/>
          <w:spacing w:val="0"/>
          <w:w w:val="100"/>
          <w:position w:val="0"/>
        </w:rPr>
        <w:t>、</w:t>
        <w:tab/>
      </w:r>
      <w:r>
        <w:rPr>
          <w:color w:val="000000"/>
          <w:spacing w:val="0"/>
          <w:w w:val="100"/>
          <w:position w:val="0"/>
        </w:rPr>
        <w:t>应收票据</w:t>
      </w:r>
    </w:p>
    <w:p>
      <w:pPr>
        <w:pStyle w:val="Style21"/>
        <w:keepNext w:val="0"/>
        <w:keepLines w:val="0"/>
        <w:widowControl w:val="0"/>
        <w:shd w:val="clear" w:color="auto" w:fill="auto"/>
        <w:bidi w:val="0"/>
        <w:spacing w:before="0" w:after="200" w:line="307" w:lineRule="exact"/>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：银行承兑汇票</w:t>
      </w:r>
    </w:p>
    <w:p>
      <w:pPr>
        <w:pStyle w:val="Style21"/>
        <w:keepNext w:val="0"/>
        <w:keepLines w:val="0"/>
        <w:widowControl w:val="0"/>
        <w:shd w:val="clear" w:color="auto" w:fill="auto"/>
        <w:bidi w:val="0"/>
        <w:spacing w:before="0" w:after="320" w:line="307" w:lineRule="exact"/>
        <w:ind w:left="0" w:right="0"/>
        <w:jc w:val="left"/>
      </w:pPr>
      <w:r>
        <w:rPr>
          <w:color w:val="000000"/>
          <w:spacing w:val="0"/>
          <w:w w:val="100"/>
          <w:position w:val="0"/>
        </w:rPr>
        <w:t>应收票据组合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pStyle w:val="Style21"/>
        <w:keepNext w:val="0"/>
        <w:keepLines w:val="0"/>
        <w:widowControl w:val="0"/>
        <w:shd w:val="clear" w:color="auto" w:fill="auto"/>
        <w:tabs>
          <w:tab w:pos="757" w:val="left"/>
        </w:tabs>
        <w:bidi w:val="0"/>
        <w:spacing w:before="0" w:after="100" w:line="360" w:lineRule="auto"/>
        <w:ind w:left="0" w:right="0"/>
        <w:jc w:val="left"/>
      </w:pPr>
      <w:bookmarkStart w:id="861" w:name="bookmark861"/>
      <w:r>
        <w:rPr>
          <w:rFonts w:ascii="Times New Roman" w:eastAsia="Times New Roman" w:hAnsi="Times New Roman" w:cs="Times New Roman"/>
          <w:color w:val="000000"/>
          <w:spacing w:val="0"/>
          <w:w w:val="100"/>
          <w:position w:val="0"/>
          <w:sz w:val="18"/>
          <w:szCs w:val="18"/>
        </w:rPr>
        <w:t>B</w:t>
      </w:r>
      <w:bookmarkEnd w:id="861"/>
      <w:r>
        <w:rPr>
          <w:color w:val="000000"/>
          <w:spacing w:val="0"/>
          <w:w w:val="100"/>
          <w:position w:val="0"/>
        </w:rPr>
        <w:t>、</w:t>
        <w:tab/>
      </w:r>
      <w:r>
        <w:rPr>
          <w:color w:val="000000"/>
          <w:spacing w:val="0"/>
          <w:w w:val="100"/>
          <w:position w:val="0"/>
        </w:rPr>
        <w:t>应收账款</w:t>
      </w:r>
    </w:p>
    <w:p>
      <w:pPr>
        <w:pStyle w:val="Style21"/>
        <w:keepNext w:val="0"/>
        <w:keepLines w:val="0"/>
        <w:widowControl w:val="0"/>
        <w:shd w:val="clear" w:color="auto" w:fill="auto"/>
        <w:bidi w:val="0"/>
        <w:spacing w:before="0" w:after="200" w:line="307"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：应收中央（含下属单位）及金融企业客户</w:t>
      </w:r>
    </w:p>
    <w:p>
      <w:pPr>
        <w:pStyle w:val="Style21"/>
        <w:keepNext w:val="0"/>
        <w:keepLines w:val="0"/>
        <w:widowControl w:val="0"/>
        <w:shd w:val="clear" w:color="auto" w:fill="auto"/>
        <w:bidi w:val="0"/>
        <w:spacing w:before="0" w:after="200" w:line="307"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：应收关联方企业客户</w:t>
      </w:r>
    </w:p>
    <w:p>
      <w:pPr>
        <w:pStyle w:val="Style21"/>
        <w:keepNext w:val="0"/>
        <w:keepLines w:val="0"/>
        <w:widowControl w:val="0"/>
        <w:shd w:val="clear" w:color="auto" w:fill="auto"/>
        <w:bidi w:val="0"/>
        <w:spacing w:before="0" w:after="320" w:line="307" w:lineRule="exact"/>
        <w:ind w:left="0" w:right="0"/>
        <w:jc w:val="left"/>
      </w:pPr>
      <w:r>
        <w:rPr>
          <w:color w:val="000000"/>
          <w:spacing w:val="0"/>
          <w:w w:val="100"/>
          <w:position w:val="0"/>
        </w:rPr>
        <w:t>应收账款组合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：应收其他客户</w:t>
      </w:r>
    </w:p>
    <w:p>
      <w:pPr>
        <w:pStyle w:val="Style21"/>
        <w:keepNext w:val="0"/>
        <w:keepLines w:val="0"/>
        <w:widowControl w:val="0"/>
        <w:shd w:val="clear" w:color="auto" w:fill="auto"/>
        <w:tabs>
          <w:tab w:pos="777" w:val="left"/>
        </w:tabs>
        <w:bidi w:val="0"/>
        <w:spacing w:before="0" w:after="100" w:line="360" w:lineRule="auto"/>
        <w:ind w:left="0" w:right="0" w:firstLine="380"/>
        <w:jc w:val="left"/>
      </w:pPr>
      <w:bookmarkStart w:id="862" w:name="bookmark862"/>
      <w:r>
        <w:rPr>
          <w:rFonts w:ascii="Times New Roman" w:eastAsia="Times New Roman" w:hAnsi="Times New Roman" w:cs="Times New Roman"/>
          <w:color w:val="000000"/>
          <w:spacing w:val="0"/>
          <w:w w:val="100"/>
          <w:position w:val="0"/>
          <w:sz w:val="18"/>
          <w:szCs w:val="18"/>
        </w:rPr>
        <w:t>C</w:t>
      </w:r>
      <w:bookmarkEnd w:id="862"/>
      <w:r>
        <w:rPr>
          <w:color w:val="000000"/>
          <w:spacing w:val="0"/>
          <w:w w:val="100"/>
          <w:position w:val="0"/>
        </w:rPr>
        <w:t>、</w:t>
        <w:tab/>
      </w:r>
      <w:r>
        <w:rPr>
          <w:color w:val="000000"/>
          <w:spacing w:val="0"/>
          <w:w w:val="100"/>
          <w:position w:val="0"/>
        </w:rPr>
        <w:t>合同资产</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：产品销售</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合同资产组合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：技术服务</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对于划分为组合的应收票据、合同资产，本公司参考历史信用损失经验，结合当前状况以及对未来经济状况的预测，通 过违约风险敞口和整个存续期预期信用损失率，计算预期信用损失。</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对于划分为组合的应收账款，本公司参考历史信用损失经验，结合当前状况以及对未来经济状况的预测，编制应收账款 账龄与整个存续期预期信用损失率对照表，计算预期信用损失。</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其他应收款</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本公司依据信用风险特征将其他应收款划分为若干组合，在组合基础上计算预期信用损失，确定组合的依据如下：</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：应收押金及保证金</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：应收备用金</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：应收代扣代缴款</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：应收其他款项</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：应收借款及代垫款</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对划分为组合的其他应收款，本公司通过违约风险敞口和未来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个月内或整个存续期预期信用损失率，计算预期信用损 </w:t>
      </w:r>
      <w:r>
        <w:rPr>
          <w:color w:val="000000"/>
          <w:spacing w:val="0"/>
          <w:w w:val="100"/>
          <w:position w:val="0"/>
        </w:rPr>
        <w:t>失。</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债权投资、其他债权投资</w:t>
      </w:r>
    </w:p>
    <w:p>
      <w:pPr>
        <w:pStyle w:val="Style21"/>
        <w:keepNext w:val="0"/>
        <w:keepLines w:val="0"/>
        <w:widowControl w:val="0"/>
        <w:shd w:val="clear" w:color="auto" w:fill="auto"/>
        <w:bidi w:val="0"/>
        <w:spacing w:before="0" w:after="200" w:line="302" w:lineRule="exact"/>
        <w:ind w:left="0" w:right="0" w:firstLine="380"/>
        <w:jc w:val="both"/>
      </w:pPr>
      <w:r>
        <w:rPr>
          <w:color w:val="000000"/>
          <w:spacing w:val="0"/>
          <w:w w:val="100"/>
          <w:position w:val="0"/>
        </w:rPr>
        <w:t>对于债权投资和其他债权投资，本公司按照投资的性质，根据交易对手和风险敞口的各种类型，通过违约风险敞口和未 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信用风险显著增加的评估</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债务人未能按合同到期日支付本金和利息的情况；</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已发生的或预期的金融工具的外部或内部信用评级（如有）的严重恶化；</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已发生的或预期的债务人经营成果的严重恶化；</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现存的或预期的技术、市场、经济或法律环境变化，并将对债务人对本公司的还款能力产生重大不利影响。</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础进行评估时，本公司可基于共同信用风险特征对金融工具进行分类，例如逾期信息和信用风险评级。</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已发生信用减值的金融资产</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本公司在资产负债表日评估以摊余成本计量的金融资产和以公允价值计量且其变动计入其他综合收益的债权投资是否 已发生信用减值。当对金融资产预期未来现金流量具有不利影响的一项或多项事件发生时，该金融资产成为已发生信用减值 的金融资产。金融资产已发生信用减值的证据包括下列可观察信息：</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发行方或债务人发生重大财务困难；</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债务人违反合同，如偿付利息或本金违约或逾期等；</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本公司出于与债务人财务困难有关的经济或合同考虑，给予债务人在任何其他情况下都不会做出的让步；</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债务人很可能破产或进行其他财务重组；</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发行方或债务人财务困难导致该金融资产的活跃市场消失。</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预期信用损失准备的列报</w:t>
      </w:r>
    </w:p>
    <w:p>
      <w:pPr>
        <w:pStyle w:val="Style21"/>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产在资产负债表中列示的账面价值；对于以公允价值计量且其变动计入其他综合收益的债权投资，本公司在其他综合收益中 确认其损失准备，不抵减该金融资产的账面价值。</w:t>
      </w:r>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核销</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减记的金额。但是，按照本公司收回到期款项的程序，被减记的金融资产仍可能受到执行活动的影响。</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已减记的金融资产以后又收回的，作为减值损失的转回计入收回当期的损益。</w:t>
      </w:r>
    </w:p>
    <w:p>
      <w:pPr>
        <w:pStyle w:val="Style21"/>
        <w:keepNext w:val="0"/>
        <w:keepLines w:val="0"/>
        <w:widowControl w:val="0"/>
        <w:shd w:val="clear" w:color="auto" w:fill="auto"/>
        <w:tabs>
          <w:tab w:pos="814" w:val="left"/>
        </w:tabs>
        <w:bidi w:val="0"/>
        <w:spacing w:before="0" w:after="200" w:line="312" w:lineRule="exact"/>
        <w:ind w:left="0" w:right="0"/>
        <w:jc w:val="both"/>
      </w:pPr>
      <w:bookmarkStart w:id="863" w:name="bookmark863"/>
      <w:r>
        <w:rPr>
          <w:b/>
          <w:bCs/>
          <w:color w:val="000000"/>
          <w:spacing w:val="0"/>
          <w:w w:val="100"/>
          <w:position w:val="0"/>
        </w:rPr>
        <w:t>（</w:t>
      </w:r>
      <w:bookmarkEnd w:id="863"/>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金融资产转移</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金融资产转移，是指将金融资产让与或交付给该金融资产发行方以外的另一方（转入方）。</w:t>
      </w:r>
    </w:p>
    <w:p>
      <w:pPr>
        <w:pStyle w:val="Style21"/>
        <w:keepNext w:val="0"/>
        <w:keepLines w:val="0"/>
        <w:widowControl w:val="0"/>
        <w:shd w:val="clear" w:color="auto" w:fill="auto"/>
        <w:bidi w:val="0"/>
        <w:spacing w:before="0" w:after="200" w:line="317" w:lineRule="exact"/>
        <w:ind w:left="0" w:right="0"/>
        <w:jc w:val="both"/>
      </w:pPr>
      <w:r>
        <w:rPr>
          <w:color w:val="000000"/>
          <w:spacing w:val="0"/>
          <w:w w:val="100"/>
          <w:position w:val="0"/>
        </w:rPr>
        <w:t>本公司已将金融资产所有权上几乎所有的风险和报酬转移给转入方的，终止确认该金融资产；保留了金融资产所有权上 几乎所有的风险和报酬的，不终止确认该金融资产。</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本公司既没有转移也没有保留金融资产所有权上几乎所有的风险和报酬的，分别下列情况处理：放弃了对该金融资产控 制的，终止确认该金融资产并确认产生的资产和负债；未放弃对该金融资产控制的，按照其继续涉入所转移金融资产的程度 确认有关金融资产，并相应确认有关负债。</w:t>
      </w:r>
    </w:p>
    <w:p>
      <w:pPr>
        <w:pStyle w:val="Style21"/>
        <w:keepNext w:val="0"/>
        <w:keepLines w:val="0"/>
        <w:widowControl w:val="0"/>
        <w:shd w:val="clear" w:color="auto" w:fill="auto"/>
        <w:tabs>
          <w:tab w:pos="814" w:val="left"/>
        </w:tabs>
        <w:bidi w:val="0"/>
        <w:spacing w:before="0" w:after="200" w:line="312" w:lineRule="exact"/>
        <w:ind w:left="0" w:right="0"/>
        <w:jc w:val="both"/>
      </w:pPr>
      <w:bookmarkStart w:id="864" w:name="bookmark864"/>
      <w:r>
        <w:rPr>
          <w:b/>
          <w:bCs/>
          <w:color w:val="000000"/>
          <w:spacing w:val="0"/>
          <w:w w:val="100"/>
          <w:position w:val="0"/>
        </w:rPr>
        <w:t>（</w:t>
      </w:r>
      <w:bookmarkEnd w:id="864"/>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金融资产和金融负债的抵销</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当本公司具有抵销已确认金融资产和金融负债的法定权利，且目前可执行该种法定权利，同时本公司计划以净额结算或 同时变现该金融资产和清偿该金融负债时，金融资产和金融负债以相互抵销后的金额在资产负债表内列示。除此以外，金融 资产和金融负债在资产负债表内分别列示，不予相互抵销。</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65"/>
      <w:bookmarkEnd w:id="866"/>
      <w:bookmarkEnd w:id="868"/>
    </w:p>
    <w:p>
      <w:pPr>
        <w:pStyle w:val="Style21"/>
        <w:keepNext w:val="0"/>
        <w:keepLines w:val="0"/>
        <w:widowControl w:val="0"/>
        <w:shd w:val="clear" w:color="auto" w:fill="auto"/>
        <w:bidi w:val="0"/>
        <w:spacing w:before="0" w:after="380" w:line="312" w:lineRule="exact"/>
        <w:ind w:left="0" w:right="0" w:firstLine="32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1</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69"/>
      <w:bookmarkEnd w:id="870"/>
      <w:bookmarkEnd w:id="872"/>
    </w:p>
    <w:p>
      <w:pPr>
        <w:pStyle w:val="Style21"/>
        <w:keepNext w:val="0"/>
        <w:keepLines w:val="0"/>
        <w:widowControl w:val="0"/>
        <w:shd w:val="clear" w:color="auto" w:fill="auto"/>
        <w:bidi w:val="0"/>
        <w:spacing w:before="0" w:after="380" w:line="312" w:lineRule="exact"/>
        <w:ind w:left="0" w:right="0" w:firstLine="22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1</w:t>
      </w:r>
      <w:bookmarkEnd w:id="875"/>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73"/>
      <w:bookmarkEnd w:id="874"/>
      <w:bookmarkEnd w:id="876"/>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77"/>
      <w:bookmarkEnd w:id="878"/>
      <w:bookmarkEnd w:id="880"/>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21"/>
        <w:keepNext w:val="0"/>
        <w:keepLines w:val="0"/>
        <w:widowControl w:val="0"/>
        <w:shd w:val="clear" w:color="auto" w:fill="auto"/>
        <w:bidi w:val="0"/>
        <w:spacing w:before="0" w:after="380" w:line="312" w:lineRule="exact"/>
        <w:ind w:left="0" w:right="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/10 .</w:t>
      </w:r>
      <w:r>
        <w:rPr>
          <w:color w:val="000000"/>
          <w:spacing w:val="0"/>
          <w:w w:val="100"/>
          <w:position w:val="0"/>
        </w:rPr>
        <w:t>金融工具。</w:t>
      </w:r>
    </w:p>
    <w:p>
      <w:pPr>
        <w:pStyle w:val="Style31"/>
        <w:keepNext/>
        <w:keepLines/>
        <w:widowControl w:val="0"/>
        <w:shd w:val="clear" w:color="auto" w:fill="auto"/>
        <w:tabs>
          <w:tab w:pos="474"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81"/>
      <w:bookmarkEnd w:id="882"/>
      <w:bookmarkEnd w:id="884"/>
    </w:p>
    <w:p>
      <w:pPr>
        <w:pStyle w:val="Style21"/>
        <w:keepNext w:val="0"/>
        <w:keepLines w:val="0"/>
        <w:widowControl w:val="0"/>
        <w:shd w:val="clear" w:color="auto" w:fill="auto"/>
        <w:tabs>
          <w:tab w:pos="814" w:val="left"/>
        </w:tabs>
        <w:bidi w:val="0"/>
        <w:spacing w:before="0" w:after="200" w:line="312" w:lineRule="exact"/>
        <w:ind w:left="0" w:right="0"/>
        <w:jc w:val="left"/>
      </w:pPr>
      <w:bookmarkStart w:id="885" w:name="bookmark885"/>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21"/>
        <w:keepNext w:val="0"/>
        <w:keepLines w:val="0"/>
        <w:widowControl w:val="0"/>
        <w:shd w:val="clear" w:color="auto" w:fill="auto"/>
        <w:bidi w:val="0"/>
        <w:spacing w:before="0" w:after="200" w:line="312" w:lineRule="exact"/>
        <w:ind w:left="0" w:right="0"/>
        <w:jc w:val="left"/>
      </w:pPr>
      <w:r>
        <w:rPr>
          <w:color w:val="000000"/>
          <w:spacing w:val="0"/>
          <w:w w:val="100"/>
          <w:position w:val="0"/>
        </w:rPr>
        <w:t>本公司存货分为库存商品、项目实施成本等。</w:t>
      </w:r>
    </w:p>
    <w:p>
      <w:pPr>
        <w:pStyle w:val="Style21"/>
        <w:keepNext w:val="0"/>
        <w:keepLines w:val="0"/>
        <w:widowControl w:val="0"/>
        <w:shd w:val="clear" w:color="auto" w:fill="auto"/>
        <w:tabs>
          <w:tab w:pos="814" w:val="left"/>
        </w:tabs>
        <w:bidi w:val="0"/>
        <w:spacing w:before="0" w:after="240" w:line="312" w:lineRule="exact"/>
        <w:ind w:left="0" w:right="0"/>
        <w:jc w:val="left"/>
      </w:pPr>
      <w:bookmarkStart w:id="886" w:name="bookmark886"/>
      <w:r>
        <w:rPr>
          <w:b/>
          <w:bCs/>
          <w:color w:val="000000"/>
          <w:spacing w:val="0"/>
          <w:w w:val="100"/>
          <w:position w:val="0"/>
        </w:rPr>
        <w:t>（</w:t>
      </w:r>
      <w:bookmarkEnd w:id="88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本公司存货取得时按实际成本计价。库存商品发出时采用个别计价法计价。</w:t>
      </w:r>
    </w:p>
    <w:p>
      <w:pPr>
        <w:pStyle w:val="Style21"/>
        <w:keepNext w:val="0"/>
        <w:keepLines w:val="0"/>
        <w:widowControl w:val="0"/>
        <w:shd w:val="clear" w:color="auto" w:fill="auto"/>
        <w:tabs>
          <w:tab w:pos="834" w:val="left"/>
        </w:tabs>
        <w:bidi w:val="0"/>
        <w:spacing w:before="0" w:after="200" w:line="312" w:lineRule="exact"/>
        <w:ind w:left="0" w:right="0" w:firstLine="380"/>
        <w:jc w:val="left"/>
      </w:pPr>
      <w:bookmarkStart w:id="887" w:name="bookmark887"/>
      <w:r>
        <w:rPr>
          <w:b/>
          <w:bCs/>
          <w:color w:val="000000"/>
          <w:spacing w:val="0"/>
          <w:w w:val="100"/>
          <w:position w:val="0"/>
        </w:rPr>
        <w:t>（</w:t>
      </w:r>
      <w:bookmarkEnd w:id="88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存货可变现净值的确定依据及存货跌价准备的计提方法</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存货可变现净值是按存货的估计售价减去至完工时估计将要发生的成本、估计的销售费用以及相关税费后的金额。在确 定存货的可变现净值时，以取得的确凿证据为基础，同时考虑持有存货的目的以及资产负债表日后事项的影响。</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pStyle w:val="Style21"/>
        <w:keepNext w:val="0"/>
        <w:keepLines w:val="0"/>
        <w:widowControl w:val="0"/>
        <w:shd w:val="clear" w:color="auto" w:fill="auto"/>
        <w:tabs>
          <w:tab w:pos="834" w:val="left"/>
        </w:tabs>
        <w:bidi w:val="0"/>
        <w:spacing w:before="0" w:after="200" w:line="312" w:lineRule="exact"/>
        <w:ind w:left="0" w:right="0" w:firstLine="380"/>
        <w:jc w:val="left"/>
      </w:pPr>
      <w:bookmarkStart w:id="888" w:name="bookmark888"/>
      <w:r>
        <w:rPr>
          <w:b/>
          <w:bCs/>
          <w:color w:val="000000"/>
          <w:spacing w:val="0"/>
          <w:w w:val="100"/>
          <w:position w:val="0"/>
        </w:rPr>
        <w:t>（</w:t>
      </w:r>
      <w:bookmarkEnd w:id="88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21"/>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本公司存货盘存制度采用永续盘存制。</w:t>
      </w:r>
    </w:p>
    <w:p>
      <w:pPr>
        <w:pStyle w:val="Style31"/>
        <w:keepNext/>
        <w:keepLines/>
        <w:widowControl w:val="0"/>
        <w:shd w:val="clear" w:color="auto" w:fill="auto"/>
        <w:tabs>
          <w:tab w:pos="474" w:val="left"/>
        </w:tabs>
        <w:bidi w:val="0"/>
        <w:spacing w:before="0" w:after="260" w:line="240" w:lineRule="auto"/>
        <w:ind w:left="0" w:right="0" w:firstLine="0"/>
        <w:jc w:val="both"/>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bookmarkEnd w:id="89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89"/>
      <w:bookmarkEnd w:id="890"/>
      <w:bookmarkEnd w:id="892"/>
    </w:p>
    <w:p>
      <w:pPr>
        <w:pStyle w:val="Style21"/>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/39 .</w:t>
      </w:r>
      <w:r>
        <w:rPr>
          <w:color w:val="000000"/>
          <w:spacing w:val="0"/>
          <w:w w:val="100"/>
          <w:position w:val="0"/>
        </w:rPr>
        <w:t>收入。</w:t>
      </w:r>
    </w:p>
    <w:p>
      <w:pPr>
        <w:pStyle w:val="Style31"/>
        <w:keepNext/>
        <w:keepLines/>
        <w:widowControl w:val="0"/>
        <w:shd w:val="clear" w:color="auto" w:fill="auto"/>
        <w:tabs>
          <w:tab w:pos="474" w:val="left"/>
        </w:tabs>
        <w:bidi w:val="0"/>
        <w:spacing w:before="0" w:after="260" w:line="240" w:lineRule="auto"/>
        <w:ind w:left="0" w:right="0" w:firstLine="0"/>
        <w:jc w:val="both"/>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1</w:t>
      </w:r>
      <w:bookmarkEnd w:id="89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93"/>
      <w:bookmarkEnd w:id="894"/>
      <w:bookmarkEnd w:id="896"/>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合同成本包括为取得合同发生的增量成本及合同履约成本。</w:t>
      </w:r>
    </w:p>
    <w:p>
      <w:pPr>
        <w:pStyle w:val="Style21"/>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为取得合同发生的增量成本是指本公司不取得合同就不会发生的成本（如销售佣金等）。该成本预期能够收回的，本公 司将其作为合同取得成本确认为一项资产。本公司为取得合同发生的、除预期能够收回的增量成本之外的其他支出于发生时 计入当期损益。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为履行合同发生的成本，不属于存货等其他企业会计准则规范范围且同时满足下列条件的，本公司将其作为合同履约成 本确认为一项资产：</w:t>
      </w:r>
    </w:p>
    <w:p>
      <w:pPr>
        <w:pStyle w:val="Style21"/>
        <w:keepNext w:val="0"/>
        <w:keepLines w:val="0"/>
        <w:widowControl w:val="0"/>
        <w:numPr>
          <w:ilvl w:val="0"/>
          <w:numId w:val="9"/>
        </w:numPr>
        <w:shd w:val="clear" w:color="auto" w:fill="auto"/>
        <w:tabs>
          <w:tab w:pos="728" w:val="left"/>
        </w:tabs>
        <w:bidi w:val="0"/>
        <w:spacing w:before="0" w:after="200" w:line="346" w:lineRule="exact"/>
        <w:ind w:left="0" w:right="0" w:firstLine="380"/>
        <w:jc w:val="both"/>
      </w:pPr>
      <w:bookmarkStart w:id="897" w:name="bookmark897"/>
      <w:bookmarkEnd w:id="897"/>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1"/>
        <w:keepNext w:val="0"/>
        <w:keepLines w:val="0"/>
        <w:widowControl w:val="0"/>
        <w:numPr>
          <w:ilvl w:val="0"/>
          <w:numId w:val="9"/>
        </w:numPr>
        <w:shd w:val="clear" w:color="auto" w:fill="auto"/>
        <w:tabs>
          <w:tab w:pos="753" w:val="left"/>
        </w:tabs>
        <w:bidi w:val="0"/>
        <w:spacing w:before="0" w:after="200" w:line="312" w:lineRule="exact"/>
        <w:ind w:left="0" w:right="0" w:firstLine="380"/>
        <w:jc w:val="both"/>
      </w:pPr>
      <w:bookmarkStart w:id="898" w:name="bookmark898"/>
      <w:bookmarkEnd w:id="898"/>
      <w:r>
        <w:rPr>
          <w:color w:val="000000"/>
          <w:spacing w:val="0"/>
          <w:w w:val="100"/>
          <w:position w:val="0"/>
        </w:rPr>
        <w:t>该成本增加了本公司未来用于履行履约义务的资源；</w:t>
      </w:r>
    </w:p>
    <w:p>
      <w:pPr>
        <w:pStyle w:val="Style21"/>
        <w:keepNext w:val="0"/>
        <w:keepLines w:val="0"/>
        <w:widowControl w:val="0"/>
        <w:numPr>
          <w:ilvl w:val="0"/>
          <w:numId w:val="9"/>
        </w:numPr>
        <w:shd w:val="clear" w:color="auto" w:fill="auto"/>
        <w:tabs>
          <w:tab w:pos="753" w:val="left"/>
        </w:tabs>
        <w:bidi w:val="0"/>
        <w:spacing w:before="0" w:after="200" w:line="312" w:lineRule="exact"/>
        <w:ind w:left="0" w:right="0" w:firstLine="380"/>
        <w:jc w:val="both"/>
      </w:pPr>
      <w:bookmarkStart w:id="899" w:name="bookmark899"/>
      <w:bookmarkEnd w:id="899"/>
      <w:r>
        <w:rPr>
          <w:color w:val="000000"/>
          <w:spacing w:val="0"/>
          <w:w w:val="100"/>
          <w:position w:val="0"/>
        </w:rPr>
        <w:t>该成本预期能够收回。</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）采用与该资产相关的商品或 服务收入确认相同的基础进行摊销，计入当期损益。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当与合同成本有关的资产的账面价值高于下列两项的差额时，本公司对超出部分计提减值准备，并确认为资产减值损失:</w:t>
      </w:r>
    </w:p>
    <w:p>
      <w:pPr>
        <w:pStyle w:val="Style21"/>
        <w:keepNext w:val="0"/>
        <w:keepLines w:val="0"/>
        <w:widowControl w:val="0"/>
        <w:numPr>
          <w:ilvl w:val="0"/>
          <w:numId w:val="11"/>
        </w:numPr>
        <w:shd w:val="clear" w:color="auto" w:fill="auto"/>
        <w:tabs>
          <w:tab w:pos="753" w:val="left"/>
        </w:tabs>
        <w:bidi w:val="0"/>
        <w:spacing w:before="0" w:after="200" w:line="312" w:lineRule="exact"/>
        <w:ind w:left="0" w:right="0" w:firstLine="380"/>
        <w:jc w:val="left"/>
      </w:pPr>
      <w:bookmarkStart w:id="900" w:name="bookmark900"/>
      <w:bookmarkEnd w:id="900"/>
      <w:r>
        <w:rPr>
          <w:color w:val="000000"/>
          <w:spacing w:val="0"/>
          <w:w w:val="100"/>
          <w:position w:val="0"/>
        </w:rPr>
        <w:t>本公司因转让与该资产相关的商品或服务预期能够取得的剩余对价；</w:t>
      </w:r>
    </w:p>
    <w:p>
      <w:pPr>
        <w:pStyle w:val="Style21"/>
        <w:keepNext w:val="0"/>
        <w:keepLines w:val="0"/>
        <w:widowControl w:val="0"/>
        <w:numPr>
          <w:ilvl w:val="0"/>
          <w:numId w:val="11"/>
        </w:numPr>
        <w:shd w:val="clear" w:color="auto" w:fill="auto"/>
        <w:tabs>
          <w:tab w:pos="753" w:val="left"/>
        </w:tabs>
        <w:bidi w:val="0"/>
        <w:spacing w:before="0" w:after="200" w:line="312" w:lineRule="exact"/>
        <w:ind w:left="0" w:right="0" w:firstLine="380"/>
        <w:jc w:val="left"/>
      </w:pPr>
      <w:bookmarkStart w:id="901" w:name="bookmark901"/>
      <w:bookmarkEnd w:id="901"/>
      <w:r>
        <w:rPr>
          <w:color w:val="000000"/>
          <w:spacing w:val="0"/>
          <w:w w:val="100"/>
          <w:position w:val="0"/>
        </w:rPr>
        <w:t>为转让该相关商品或服务估计将要发生的成本。</w:t>
      </w:r>
    </w:p>
    <w:p>
      <w:pPr>
        <w:pStyle w:val="Style21"/>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项目中列示，初 </w:t>
      </w:r>
      <w:r>
        <w:rPr>
          <w:color w:val="000000"/>
          <w:spacing w:val="0"/>
          <w:w w:val="100"/>
          <w:position w:val="0"/>
        </w:rPr>
        <w:t>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1"/>
        <w:keepNext/>
        <w:keepLines/>
        <w:widowControl w:val="0"/>
        <w:shd w:val="clear" w:color="auto" w:fill="auto"/>
        <w:tabs>
          <w:tab w:pos="456" w:val="left"/>
        </w:tabs>
        <w:bidi w:val="0"/>
        <w:spacing w:before="0" w:after="3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02"/>
      <w:bookmarkEnd w:id="903"/>
      <w:bookmarkEnd w:id="905"/>
    </w:p>
    <w:p>
      <w:pPr>
        <w:pStyle w:val="Style31"/>
        <w:keepNext/>
        <w:keepLines/>
        <w:widowControl w:val="0"/>
        <w:shd w:val="clear" w:color="auto" w:fill="auto"/>
        <w:tabs>
          <w:tab w:pos="456" w:val="left"/>
        </w:tabs>
        <w:bidi w:val="0"/>
        <w:spacing w:before="0" w:after="380" w:line="240" w:lineRule="auto"/>
        <w:ind w:left="0" w:right="0" w:firstLine="0"/>
        <w:jc w:val="left"/>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1</w:t>
      </w:r>
      <w:bookmarkEnd w:id="908"/>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06"/>
      <w:bookmarkEnd w:id="907"/>
      <w:bookmarkEnd w:id="909"/>
    </w:p>
    <w:p>
      <w:pPr>
        <w:pStyle w:val="Style31"/>
        <w:keepNext/>
        <w:keepLines/>
        <w:widowControl w:val="0"/>
        <w:shd w:val="clear" w:color="auto" w:fill="auto"/>
        <w:tabs>
          <w:tab w:pos="466" w:val="left"/>
        </w:tabs>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10"/>
      <w:bookmarkEnd w:id="911"/>
      <w:bookmarkEnd w:id="913"/>
    </w:p>
    <w:p>
      <w:pPr>
        <w:pStyle w:val="Style31"/>
        <w:keepNext/>
        <w:keepLines/>
        <w:widowControl w:val="0"/>
        <w:shd w:val="clear" w:color="auto" w:fill="auto"/>
        <w:tabs>
          <w:tab w:pos="466" w:val="left"/>
        </w:tabs>
        <w:bidi w:val="0"/>
        <w:spacing w:before="0" w:after="38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914"/>
      <w:bookmarkEnd w:id="915"/>
      <w:bookmarkEnd w:id="917"/>
    </w:p>
    <w:p>
      <w:pPr>
        <w:pStyle w:val="Style31"/>
        <w:keepNext/>
        <w:keepLines/>
        <w:widowControl w:val="0"/>
        <w:shd w:val="clear" w:color="auto" w:fill="auto"/>
        <w:tabs>
          <w:tab w:pos="466" w:val="left"/>
        </w:tabs>
        <w:bidi w:val="0"/>
        <w:spacing w:before="0" w:after="26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918"/>
      <w:bookmarkEnd w:id="919"/>
      <w:bookmarkEnd w:id="921"/>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长期股权投资包括对子公司、合营企业和联营企业的权益性投资。本公司能够对被投资单位施加重大影响的，为本公司 的联营企业。</w:t>
      </w:r>
    </w:p>
    <w:p>
      <w:pPr>
        <w:pStyle w:val="Style21"/>
        <w:keepNext w:val="0"/>
        <w:keepLines w:val="0"/>
        <w:widowControl w:val="0"/>
        <w:shd w:val="clear" w:color="auto" w:fill="auto"/>
        <w:tabs>
          <w:tab w:pos="817" w:val="left"/>
        </w:tabs>
        <w:bidi w:val="0"/>
        <w:spacing w:before="0" w:after="200" w:line="313" w:lineRule="exact"/>
        <w:ind w:left="0" w:right="0" w:firstLine="380"/>
        <w:jc w:val="both"/>
      </w:pPr>
      <w:bookmarkStart w:id="922" w:name="bookmark922"/>
      <w:r>
        <w:rPr>
          <w:b/>
          <w:bCs/>
          <w:color w:val="000000"/>
          <w:spacing w:val="0"/>
          <w:w w:val="100"/>
          <w:position w:val="0"/>
        </w:rPr>
        <w:t>（</w:t>
      </w:r>
      <w:bookmarkEnd w:id="92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初始投资成本确定</w:t>
      </w:r>
    </w:p>
    <w:p>
      <w:pPr>
        <w:pStyle w:val="Style21"/>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形成企业合并的长期股权投资：同一控制下企业合并取得的长期股权投资，在合并日按照取得被合并方所有者权益在最 终控制方合并财务报表中的账面价值份额作为投资成本；非同一控制下企业合并取得的长期股权投资，按照合并成本作为长 期股权投资的投资成本。</w:t>
      </w:r>
    </w:p>
    <w:p>
      <w:pPr>
        <w:pStyle w:val="Style21"/>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对于其他方式取得的长期股权投资：支付现金取得的长期股权投资，按照实际支付的购买价款作为初始投资成本；发行 权益性证券取得的长期股权投资，以发行权益性证券的公允价值作为初始投资成本。</w:t>
      </w:r>
    </w:p>
    <w:p>
      <w:pPr>
        <w:pStyle w:val="Style21"/>
        <w:keepNext w:val="0"/>
        <w:keepLines w:val="0"/>
        <w:widowControl w:val="0"/>
        <w:shd w:val="clear" w:color="auto" w:fill="auto"/>
        <w:tabs>
          <w:tab w:pos="817" w:val="left"/>
        </w:tabs>
        <w:bidi w:val="0"/>
        <w:spacing w:before="0" w:after="200" w:line="313" w:lineRule="exact"/>
        <w:ind w:left="0" w:right="0" w:firstLine="380"/>
        <w:jc w:val="both"/>
      </w:pPr>
      <w:bookmarkStart w:id="923" w:name="bookmark923"/>
      <w:r>
        <w:rPr>
          <w:b/>
          <w:bCs/>
          <w:color w:val="000000"/>
          <w:spacing w:val="0"/>
          <w:w w:val="100"/>
          <w:position w:val="0"/>
        </w:rPr>
        <w:t>（</w:t>
      </w:r>
      <w:bookmarkEnd w:id="92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后续计量及损益确认方法</w:t>
      </w:r>
    </w:p>
    <w:p>
      <w:pPr>
        <w:pStyle w:val="Style21"/>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对子公司的投资，采用成本法核算，除非投资符合持有待售的条件；对联营企业和合营企业的投资，采用权益法核算。</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采用成本法核算的长期股权投资，除取得投资时实际支付的价款或对价中包含的已宣告但尚未发放的现金股利或利润外， 被投资单位宣告分派的现金股利或利润，确认为投资收益计入当期损益。</w:t>
      </w:r>
    </w:p>
    <w:p>
      <w:pPr>
        <w:pStyle w:val="Style21"/>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采用权益法核算的长期股权投资，初始投资成本大于投资时应享有被投资单位可辨认净资产公允价值份额的，不调整长 期股权投资的投资成本；初始投资成本小于投资时应享有被投资单位可辨认净资产公允价值份额的，对长期股权投资的账面 价值进行调整，差额计入投资当期的损益。</w:t>
      </w:r>
    </w:p>
    <w:p>
      <w:pPr>
        <w:pStyle w:val="Style21"/>
        <w:keepNext w:val="0"/>
        <w:keepLines w:val="0"/>
        <w:widowControl w:val="0"/>
        <w:shd w:val="clear" w:color="auto" w:fill="auto"/>
        <w:bidi w:val="0"/>
        <w:spacing w:before="0" w:after="200" w:line="313" w:lineRule="exact"/>
        <w:ind w:left="0" w:right="0" w:firstLine="38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期股权投资的账面价值；被投资单位除净损益、其他综合收益和利润分配以外所有者权益的其他变动，调整长期股权投资的 账面价值并计入资本公积（其他资本公积）。在确认应享有被投资单位净损益的份额时，以取得投资时被投资单位各项可辨 认资产等的公允价值为基础，并按照本公司的会计政策及会计期间，对被投资单位的净利润进行调整后确认。</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因追加投资等原因能够对被投资单位施加重大影响或实施共同控制但不构成控制的，在转换日，按照原股权的公允价值 加上新增投资成本之和，作为改按权益法核算的初始投资成本。原股权分类为以公允价值计量且其变动计入其他综合收益的 非交易性权益工具投资的，与其相关的原计入其他综合收益的累计公允价值变动在改按权益法核算时转入留存收益。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因处置部分股权投资等原因丧失了对被投资单位的共同控制或重大影响的，处置后的剩余股权在丧失共同控制或重大影 响之日改按《企业会计准则第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 xml:space="preserve">金融工具确认和计量》进行会计处理，公允价值与账面价值之间的差额计入当期损益。 原股权投资因采用权益法核算而确认的其他综合收益，在终止采用权益法核算时采用与被投资单位直接处置相关资产或负债 </w:t>
      </w:r>
      <w:r>
        <w:rPr>
          <w:color w:val="000000"/>
          <w:spacing w:val="0"/>
          <w:w w:val="100"/>
          <w:position w:val="0"/>
        </w:rPr>
        <w:t>相同的基础进行会计处理；原股权投资相关的其他所有者权益变动转入当期损益。</w:t>
      </w:r>
    </w:p>
    <w:p>
      <w:pPr>
        <w:pStyle w:val="Style21"/>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因处置部分股权投资等原因丧失了对被投资单位的控制的，处置后的剩余股权能够对被投资单位实施共同控制或施加重 大影响的，改按权益法核算，并对该剩余股权视同自取得时即采用权益法核算进行调整；处置后的剩余股权不能对被投资单 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一</w:t>
      </w:r>
      <w:r>
        <w:rPr>
          <w:color w:val="000000"/>
          <w:spacing w:val="0"/>
          <w:w w:val="100"/>
          <w:position w:val="0"/>
        </w:rPr>
        <w:t>金融工具确认和计量》的有关规定进行会计处理，其在丧 失控制之日的公允价值与账面价值之间的差额计入当期损益。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因其他投资方增资而导致本公司持股比例下降、从而丧失控制权但能对被投资单位实施共同控制或施加重大影响的，按 照新的持股比例确认本公司应享有的被投资单位因增资扩股而增加净资产的份额，与应结转持股比例下降部分所对应的长期 股权投资原账面价值之间的差额计入当期损益；然后，按照新的持股比例视同自取得投资时即采用权益法核算进行调整。</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本公司与联营企业及合营企业之间发生的未实现内部交易损益按照持股比例计算归属于本公司的部分，在抵销基础上确 认投资损益。但本公司与被投资单位发生的未实现内部交易损失，属于所转让资产减值损失的，不予以抵销。</w:t>
      </w:r>
    </w:p>
    <w:p>
      <w:pPr>
        <w:pStyle w:val="Style21"/>
        <w:keepNext w:val="0"/>
        <w:keepLines w:val="0"/>
        <w:widowControl w:val="0"/>
        <w:shd w:val="clear" w:color="auto" w:fill="auto"/>
        <w:tabs>
          <w:tab w:pos="810" w:val="left"/>
        </w:tabs>
        <w:bidi w:val="0"/>
        <w:spacing w:before="0" w:after="200" w:line="312" w:lineRule="exact"/>
        <w:ind w:left="0" w:right="0" w:firstLine="380"/>
        <w:jc w:val="both"/>
      </w:pPr>
      <w:bookmarkStart w:id="924" w:name="bookmark924"/>
      <w:r>
        <w:rPr>
          <w:b/>
          <w:bCs/>
          <w:color w:val="000000"/>
          <w:spacing w:val="0"/>
          <w:w w:val="100"/>
          <w:position w:val="0"/>
        </w:rPr>
        <w:t>（</w:t>
      </w:r>
      <w:bookmarkEnd w:id="924"/>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确定对被投资单位具有共同控制、重大影响的依据</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后才能决策。在判断是否存在共同控制时，首先判断是否由所有参与方或参与方组合集体控制该安排，其次再判断该安排相 关活动的决策是否必须经过这些集体控制该安排的参与方一致同意。如果所有参与方或一组参与方必须一致行动才能决定某 项安排的相关活动，则认为所有参与方或一组参与方集体控制该安排；如果存在两个或两个以上的参与方组合能够集体控制 某项安排的，不构成共同控制。判断是否存在共同控制时，不考虑享有的保护性权利。</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重大影响，是指投资方对被投资单位的财务和经营政策有参与决策的权力，但并不能够控制或者与其他方一起共同控制 这些政策的制定。在确定能否对被投资单位施加重大影响时，考虑投资方直接或间接持有被投资单位的表决权股份以及投资 方及其他方持有的当期可执行潜在表决权在假定转换为对被投资方单位的股权后产生的影响，包括被投资单位发行的当期可 转换的认股权证、股份期权及可转换公司债券等的影响。</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当本公司直接或通过子公司间接拥有被投资单位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的表决权股份时，一般认为对被投资单 位具有重大影响，除非有明确证据表明该种情况下不能参与被投资单位的生产经营决策，不形成重大影响；本公司拥有被投 资单位</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 与被投资单位的生产经营决策，形成重大影响。</w:t>
      </w:r>
    </w:p>
    <w:p>
      <w:pPr>
        <w:pStyle w:val="Style21"/>
        <w:keepNext w:val="0"/>
        <w:keepLines w:val="0"/>
        <w:widowControl w:val="0"/>
        <w:shd w:val="clear" w:color="auto" w:fill="auto"/>
        <w:tabs>
          <w:tab w:pos="810" w:val="left"/>
        </w:tabs>
        <w:bidi w:val="0"/>
        <w:spacing w:before="0" w:after="200" w:line="312" w:lineRule="exact"/>
        <w:ind w:left="0" w:right="0" w:firstLine="380"/>
        <w:jc w:val="both"/>
      </w:pPr>
      <w:bookmarkStart w:id="925" w:name="bookmark925"/>
      <w:r>
        <w:rPr>
          <w:b/>
          <w:bCs/>
          <w:color w:val="000000"/>
          <w:spacing w:val="0"/>
          <w:w w:val="100"/>
          <w:position w:val="0"/>
        </w:rPr>
        <w:t>（</w:t>
      </w:r>
      <w:bookmarkEnd w:id="925"/>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减值测试方法及减值准备计提方法</w:t>
      </w:r>
    </w:p>
    <w:p>
      <w:pPr>
        <w:pStyle w:val="Style21"/>
        <w:keepNext w:val="0"/>
        <w:keepLines w:val="0"/>
        <w:widowControl w:val="0"/>
        <w:shd w:val="clear" w:color="auto" w:fill="auto"/>
        <w:bidi w:val="0"/>
        <w:spacing w:before="0" w:after="400" w:line="312" w:lineRule="exact"/>
        <w:ind w:left="0" w:right="0" w:firstLine="380"/>
        <w:jc w:val="left"/>
      </w:pPr>
      <w:r>
        <w:rPr>
          <w:color w:val="000000"/>
          <w:spacing w:val="0"/>
          <w:w w:val="100"/>
          <w:position w:val="0"/>
        </w:rPr>
        <w:t>对子公司、联营企业及合营企业的投资，计提资产减值的方法见本附注五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p>
    <w:p>
      <w:pPr>
        <w:pStyle w:val="Style31"/>
        <w:keepNext/>
        <w:keepLines/>
        <w:widowControl w:val="0"/>
        <w:shd w:val="clear" w:color="auto" w:fill="auto"/>
        <w:tabs>
          <w:tab w:pos="459" w:val="left"/>
        </w:tabs>
        <w:bidi w:val="0"/>
        <w:spacing w:before="0" w:after="26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926"/>
      <w:bookmarkEnd w:id="927"/>
      <w:bookmarkEnd w:id="929"/>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21"/>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31"/>
        <w:keepNext/>
        <w:keepLines/>
        <w:widowControl w:val="0"/>
        <w:shd w:val="clear" w:color="auto" w:fill="auto"/>
        <w:tabs>
          <w:tab w:pos="459" w:val="left"/>
        </w:tabs>
        <w:bidi w:val="0"/>
        <w:spacing w:before="0" w:after="40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930"/>
      <w:bookmarkEnd w:id="931"/>
      <w:bookmarkEnd w:id="933"/>
    </w:p>
    <w:p>
      <w:pPr>
        <w:pStyle w:val="Style40"/>
        <w:keepNext/>
        <w:keepLines/>
        <w:widowControl w:val="0"/>
        <w:shd w:val="clear" w:color="auto" w:fill="auto"/>
        <w:bidi w:val="0"/>
        <w:spacing w:before="0" w:after="260" w:line="240" w:lineRule="auto"/>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34"/>
      <w:bookmarkEnd w:id="935"/>
      <w:bookmarkEnd w:id="937"/>
    </w:p>
    <w:p>
      <w:pPr>
        <w:pStyle w:val="Style21"/>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本公司固定资产是指为生产商品、提供劳务、出租或经营管理而持有的，使用寿命超过一个会计年度的有形资产。</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与该固定资产有关的经济利益很可能流入企业，并且该固定资产的成本能够可靠地计量时，固定资产才能予以确认。</w:t>
      </w:r>
    </w:p>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本公司固定资产按照取得时的实际成本进行初始计量。</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与固定资产有关的后续支出，在与其有关的经济利益很可能流入本公司且其成本能够可靠计量时，计入固定资产成本； 不符合固定资产资本化后续支出条件的固定资产日常修理费用，在发生时按照受益对象计入当期损益或计入相关资产的成本。 对于被替换的部分，终止确认其账面价值。</w:t>
      </w:r>
    </w:p>
    <w:p>
      <w:pPr>
        <w:pStyle w:val="Style40"/>
        <w:keepNext/>
        <w:keepLines/>
        <w:widowControl w:val="0"/>
        <w:shd w:val="clear" w:color="auto" w:fill="auto"/>
        <w:bidi w:val="0"/>
        <w:spacing w:before="0" w:line="240" w:lineRule="auto"/>
        <w:ind w:left="0" w:right="0" w:firstLine="0"/>
        <w:jc w:val="both"/>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38"/>
      <w:bookmarkEnd w:id="939"/>
      <w:bookmarkEnd w:id="941"/>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33.33-19.00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家具及其他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33.33-19.00</w:t>
            </w:r>
          </w:p>
        </w:tc>
      </w:tr>
    </w:tbl>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本公司采用年限平均法计提折旧。固定资产自达到预定可使用状态时开始计提折旧，终止确认时或划分为持有待售非流动 资产时停止计提折旧。在不考虑减值准备的情况下，按固定资产类别、预计使用寿命和预计残值。</w:t>
      </w:r>
    </w:p>
    <w:p>
      <w:pPr>
        <w:pStyle w:val="Style21"/>
        <w:keepNext w:val="0"/>
        <w:keepLines w:val="0"/>
        <w:widowControl w:val="0"/>
        <w:shd w:val="clear" w:color="auto" w:fill="auto"/>
        <w:bidi w:val="0"/>
        <w:spacing w:before="0" w:after="200" w:line="317" w:lineRule="exact"/>
        <w:ind w:left="0" w:right="0" w:firstLine="300"/>
        <w:jc w:val="both"/>
      </w:pPr>
      <w:r>
        <w:rPr>
          <w:color w:val="000000"/>
          <w:spacing w:val="0"/>
          <w:w w:val="100"/>
          <w:position w:val="0"/>
        </w:rPr>
        <w:t>固定资产的减值测试方法、减值准备计提方法见本附注五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p>
    <w:p>
      <w:pPr>
        <w:pStyle w:val="Style21"/>
        <w:keepNext w:val="0"/>
        <w:keepLines w:val="0"/>
        <w:widowControl w:val="0"/>
        <w:shd w:val="clear" w:color="auto" w:fill="auto"/>
        <w:bidi w:val="0"/>
        <w:spacing w:before="0" w:after="200" w:line="317" w:lineRule="exact"/>
        <w:ind w:left="0" w:right="0" w:firstLine="300"/>
        <w:jc w:val="both"/>
      </w:pPr>
      <w:r>
        <w:rPr>
          <w:color w:val="000000"/>
          <w:spacing w:val="0"/>
          <w:w w:val="100"/>
          <w:position w:val="0"/>
        </w:rPr>
        <w:t>每年年度终了，本公司对固定资产的使用寿命、预计净残值和折旧方法进行复核。</w:t>
      </w:r>
    </w:p>
    <w:p>
      <w:pPr>
        <w:pStyle w:val="Style21"/>
        <w:keepNext w:val="0"/>
        <w:keepLines w:val="0"/>
        <w:widowControl w:val="0"/>
        <w:shd w:val="clear" w:color="auto" w:fill="auto"/>
        <w:bidi w:val="0"/>
        <w:spacing w:before="0" w:after="200" w:line="317" w:lineRule="exact"/>
        <w:ind w:left="0" w:right="0" w:firstLine="300"/>
        <w:jc w:val="both"/>
      </w:pPr>
      <w:r>
        <w:rPr>
          <w:color w:val="000000"/>
          <w:spacing w:val="0"/>
          <w:w w:val="100"/>
          <w:position w:val="0"/>
        </w:rPr>
        <w:t>使用寿命预计数与原先估计数有差异的，调整固定资产使用寿命；预计净残值预计数与原先估计数有差异的，调整预计 净残值。</w:t>
      </w:r>
    </w:p>
    <w:p>
      <w:pPr>
        <w:pStyle w:val="Style21"/>
        <w:keepNext w:val="0"/>
        <w:keepLines w:val="0"/>
        <w:widowControl w:val="0"/>
        <w:shd w:val="clear" w:color="auto" w:fill="auto"/>
        <w:bidi w:val="0"/>
        <w:spacing w:before="0" w:after="200" w:line="317" w:lineRule="exact"/>
        <w:ind w:left="0" w:right="0" w:firstLine="240"/>
        <w:jc w:val="both"/>
      </w:pPr>
      <w:r>
        <w:rPr>
          <w:b/>
          <w:bCs/>
          <w:color w:val="000000"/>
          <w:spacing w:val="0"/>
          <w:w w:val="100"/>
          <w:position w:val="0"/>
        </w:rPr>
        <w:t>固定资产处置</w:t>
      </w:r>
    </w:p>
    <w:p>
      <w:pPr>
        <w:pStyle w:val="Style21"/>
        <w:keepNext w:val="0"/>
        <w:keepLines w:val="0"/>
        <w:widowControl w:val="0"/>
        <w:shd w:val="clear" w:color="auto" w:fill="auto"/>
        <w:bidi w:val="0"/>
        <w:spacing w:before="0" w:after="380" w:line="317" w:lineRule="exact"/>
        <w:ind w:left="0" w:right="0" w:firstLine="300"/>
        <w:jc w:val="both"/>
      </w:pPr>
      <w:r>
        <w:rPr>
          <w:color w:val="000000"/>
          <w:spacing w:val="0"/>
          <w:w w:val="100"/>
          <w:position w:val="0"/>
        </w:rPr>
        <w:t>当固定资产被处置、或者预期通过使用或处置不能产生经济利益时，终止确认该固定资产。固定资产出售、转让、报废 或毁损的处置收入扣除其账面价值和相关税费后的金额计入当期损益。</w:t>
      </w:r>
    </w:p>
    <w:p>
      <w:pPr>
        <w:pStyle w:val="Style40"/>
        <w:keepNext/>
        <w:keepLines/>
        <w:widowControl w:val="0"/>
        <w:shd w:val="clear" w:color="auto" w:fill="auto"/>
        <w:bidi w:val="0"/>
        <w:spacing w:before="0" w:line="240" w:lineRule="auto"/>
        <w:ind w:left="0" w:right="0" w:firstLine="0"/>
        <w:jc w:val="both"/>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42"/>
      <w:bookmarkEnd w:id="943"/>
      <w:bookmarkEnd w:id="945"/>
    </w:p>
    <w:p>
      <w:pPr>
        <w:pStyle w:val="Style31"/>
        <w:keepNext/>
        <w:keepLines/>
        <w:widowControl w:val="0"/>
        <w:shd w:val="clear" w:color="auto" w:fill="auto"/>
        <w:tabs>
          <w:tab w:pos="483" w:val="left"/>
        </w:tabs>
        <w:bidi w:val="0"/>
        <w:spacing w:before="0" w:after="380" w:line="24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2</w:t>
      </w:r>
      <w:bookmarkEnd w:id="948"/>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46"/>
      <w:bookmarkEnd w:id="947"/>
      <w:bookmarkEnd w:id="949"/>
    </w:p>
    <w:p>
      <w:pPr>
        <w:pStyle w:val="Style31"/>
        <w:keepNext/>
        <w:keepLines/>
        <w:widowControl w:val="0"/>
        <w:shd w:val="clear" w:color="auto" w:fill="auto"/>
        <w:tabs>
          <w:tab w:pos="483" w:val="left"/>
        </w:tabs>
        <w:bidi w:val="0"/>
        <w:spacing w:before="0" w:after="260" w:line="24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2</w:t>
      </w:r>
      <w:bookmarkEnd w:id="952"/>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50"/>
      <w:bookmarkEnd w:id="951"/>
      <w:bookmarkEnd w:id="953"/>
    </w:p>
    <w:p>
      <w:pPr>
        <w:pStyle w:val="Style21"/>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31"/>
        <w:keepNext/>
        <w:keepLines/>
        <w:widowControl w:val="0"/>
        <w:shd w:val="clear" w:color="auto" w:fill="auto"/>
        <w:tabs>
          <w:tab w:pos="483" w:val="left"/>
        </w:tabs>
        <w:bidi w:val="0"/>
        <w:spacing w:before="0" w:after="380" w:line="24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2</w:t>
      </w:r>
      <w:bookmarkEnd w:id="95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54"/>
      <w:bookmarkEnd w:id="955"/>
      <w:bookmarkEnd w:id="957"/>
    </w:p>
    <w:p>
      <w:pPr>
        <w:pStyle w:val="Style31"/>
        <w:keepNext/>
        <w:keepLines/>
        <w:widowControl w:val="0"/>
        <w:shd w:val="clear" w:color="auto" w:fill="auto"/>
        <w:tabs>
          <w:tab w:pos="483" w:val="left"/>
        </w:tabs>
        <w:bidi w:val="0"/>
        <w:spacing w:before="0" w:after="380" w:line="240"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2</w:t>
      </w:r>
      <w:bookmarkEnd w:id="960"/>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58"/>
      <w:bookmarkEnd w:id="959"/>
      <w:bookmarkEnd w:id="961"/>
    </w:p>
    <w:p>
      <w:pPr>
        <w:pStyle w:val="Style31"/>
        <w:keepNext/>
        <w:keepLines/>
        <w:widowControl w:val="0"/>
        <w:shd w:val="clear" w:color="auto" w:fill="auto"/>
        <w:tabs>
          <w:tab w:pos="483" w:val="left"/>
        </w:tabs>
        <w:bidi w:val="0"/>
        <w:spacing w:before="0" w:after="260" w:line="240"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2</w:t>
      </w:r>
      <w:bookmarkEnd w:id="964"/>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62"/>
      <w:bookmarkEnd w:id="963"/>
      <w:bookmarkEnd w:id="965"/>
    </w:p>
    <w:p>
      <w:pPr>
        <w:pStyle w:val="Style21"/>
        <w:keepNext w:val="0"/>
        <w:keepLines w:val="0"/>
        <w:widowControl w:val="0"/>
        <w:shd w:val="clear" w:color="auto" w:fill="auto"/>
        <w:bidi w:val="0"/>
        <w:spacing w:before="0" w:after="200" w:line="317" w:lineRule="exact"/>
        <w:ind w:left="0" w:right="0" w:firstLine="380"/>
        <w:jc w:val="both"/>
      </w:pPr>
      <w:bookmarkStart w:id="966" w:name="bookmark966"/>
      <w:r>
        <w:rPr>
          <w:b/>
          <w:bCs/>
          <w:color w:val="000000"/>
          <w:spacing w:val="0"/>
          <w:w w:val="100"/>
          <w:position w:val="0"/>
        </w:rPr>
        <w:t>（</w:t>
      </w:r>
      <w:bookmarkEnd w:id="96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）使用权资产确认条件</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使用权资产是指本公司作为承租人可在租赁期内使用租赁资产的权利。</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 xml:space="preserve">在租赁期开始日，使用权资产按照成本进行初始计量。该成本包括：租赁负债的初始计量金额；在租赁期开始日或之前 </w:t>
      </w:r>
      <w:r>
        <w:rPr>
          <w:color w:val="000000"/>
          <w:spacing w:val="0"/>
          <w:w w:val="100"/>
          <w:position w:val="0"/>
        </w:rPr>
        <w:t>支付的租赁付款额，存在租赁激励的，扣除已享受的租赁激励相关金额；本公司作为承租人发生的初始直接费用；本公司作 为承租人为拆卸及移除租赁资产、复原租赁资产所在场地或将租赁资产恢复至租赁条款约定状态预计将发生的成本。本公司 作为承租人按照《企业会计准则第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号——或有事项》对拆除复原等成本进行确认和计量。后续就租赁负债的任何重新计量 作出调整。</w:t>
      </w:r>
    </w:p>
    <w:p>
      <w:pPr>
        <w:pStyle w:val="Style21"/>
        <w:keepNext w:val="0"/>
        <w:keepLines w:val="0"/>
        <w:widowControl w:val="0"/>
        <w:shd w:val="clear" w:color="auto" w:fill="auto"/>
        <w:tabs>
          <w:tab w:pos="827" w:val="left"/>
        </w:tabs>
        <w:bidi w:val="0"/>
        <w:spacing w:before="0" w:after="200" w:line="312" w:lineRule="exact"/>
        <w:ind w:left="0" w:right="0" w:firstLine="380"/>
        <w:jc w:val="both"/>
      </w:pPr>
      <w:bookmarkStart w:id="967" w:name="bookmark967"/>
      <w:r>
        <w:rPr>
          <w:b/>
          <w:bCs/>
          <w:color w:val="000000"/>
          <w:spacing w:val="0"/>
          <w:w w:val="100"/>
          <w:position w:val="0"/>
        </w:rPr>
        <w:t>（</w:t>
      </w:r>
      <w:bookmarkEnd w:id="96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使用权资产的折旧方法</w:t>
      </w:r>
    </w:p>
    <w:p>
      <w:pPr>
        <w:pStyle w:val="Style21"/>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本公司采用直线法计提折旧。本公司作为承租人能够合理确定租赁期届满时取得租赁资产所有权的，在租赁资产剩余使 用寿命内计提折旧。无法合理确定租赁期届满时能够取得租赁资产所有权的，在租赁期与租赁资产剩余使用寿命两者孰短的 期间内计提折旧。</w:t>
      </w:r>
    </w:p>
    <w:p>
      <w:pPr>
        <w:pStyle w:val="Style21"/>
        <w:keepNext w:val="0"/>
        <w:keepLines w:val="0"/>
        <w:widowControl w:val="0"/>
        <w:shd w:val="clear" w:color="auto" w:fill="auto"/>
        <w:tabs>
          <w:tab w:pos="827" w:val="left"/>
        </w:tabs>
        <w:bidi w:val="0"/>
        <w:spacing w:before="0" w:after="380" w:line="312" w:lineRule="exact"/>
        <w:ind w:left="0" w:right="0" w:firstLine="380"/>
        <w:jc w:val="left"/>
      </w:pPr>
      <w:bookmarkStart w:id="968" w:name="bookmark968"/>
      <w:r>
        <w:rPr>
          <w:b/>
          <w:bCs/>
          <w:color w:val="000000"/>
          <w:spacing w:val="0"/>
          <w:w w:val="100"/>
          <w:position w:val="0"/>
        </w:rPr>
        <w:t>（</w:t>
      </w:r>
      <w:bookmarkEnd w:id="968"/>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使用权资产的减值测试方法、减值准备计提方法见本附注五</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长期资产减值。</w:t>
      </w:r>
    </w:p>
    <w:p>
      <w:pPr>
        <w:pStyle w:val="Style31"/>
        <w:keepNext/>
        <w:keepLines/>
        <w:widowControl w:val="0"/>
        <w:shd w:val="clear" w:color="auto" w:fill="auto"/>
        <w:bidi w:val="0"/>
        <w:spacing w:before="0" w:after="38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3</w:t>
      </w:r>
      <w:bookmarkEnd w:id="971"/>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69"/>
      <w:bookmarkEnd w:id="970"/>
      <w:bookmarkEnd w:id="972"/>
    </w:p>
    <w:p>
      <w:pPr>
        <w:pStyle w:val="Style40"/>
        <w:keepNext/>
        <w:keepLines/>
        <w:widowControl w:val="0"/>
        <w:shd w:val="clear" w:color="auto" w:fill="auto"/>
        <w:bidi w:val="0"/>
        <w:spacing w:before="0" w:after="28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3"/>
      <w:bookmarkEnd w:id="974"/>
      <w:bookmarkEnd w:id="976"/>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本公司无形资产包括软件使用权、商标权、专利权等。</w:t>
      </w:r>
    </w:p>
    <w:p>
      <w:pPr>
        <w:pStyle w:val="Style21"/>
        <w:keepNext w:val="0"/>
        <w:keepLines w:val="0"/>
        <w:widowControl w:val="0"/>
        <w:shd w:val="clear" w:color="auto" w:fill="auto"/>
        <w:bidi w:val="0"/>
        <w:spacing w:before="0" w:after="280" w:line="310" w:lineRule="exact"/>
        <w:ind w:left="0" w:right="0" w:firstLine="380"/>
        <w:jc w:val="both"/>
      </w:pPr>
      <w:r>
        <w:rPr>
          <w:color w:val="000000"/>
          <w:spacing w:val="0"/>
          <w:w w:val="100"/>
          <w:position w:val="0"/>
        </w:rPr>
        <w:t>无形资产按照成本进行初始计量，并于取得无形资产时分析判断其使用寿命。使用寿命为有限的，自无形资产可供使用 时起，采用能反映与该资产有关的经济利益的预期实现方式的摊销方法，在预计使用年限内摊销；无法可靠确定预期实现方 式的，采用直线法摊销；使用寿命不确定的无形资产，不作摊销。</w:t>
      </w:r>
    </w:p>
    <w:p>
      <w:pPr>
        <w:pStyle w:val="Style27"/>
        <w:keepNext w:val="0"/>
        <w:keepLines w:val="0"/>
        <w:widowControl w:val="0"/>
        <w:shd w:val="clear" w:color="auto" w:fill="auto"/>
        <w:bidi w:val="0"/>
        <w:spacing w:before="0" w:after="0" w:line="240" w:lineRule="auto"/>
        <w:ind w:left="197" w:right="0" w:firstLine="0"/>
        <w:jc w:val="left"/>
      </w:pPr>
      <w:r>
        <w:rPr>
          <w:color w:val="000000"/>
          <w:spacing w:val="0"/>
          <w:w w:val="100"/>
          <w:position w:val="0"/>
        </w:rPr>
        <w:t>使用寿命有限的无形资产摊销方法如下:</w:t>
      </w:r>
    </w:p>
    <w:tbl>
      <w:tblPr>
        <w:tblOverlap w:val="never"/>
        <w:jc w:val="center"/>
        <w:tblLayout w:type="fixed"/>
      </w:tblPr>
      <w:tblGrid>
        <w:gridCol w:w="3125"/>
        <w:gridCol w:w="3259"/>
        <w:gridCol w:w="3130"/>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直线法</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直线法</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专利权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pPr>
            <w:r>
              <w:rPr>
                <w:color w:val="000000"/>
                <w:spacing w:val="0"/>
                <w:w w:val="100"/>
                <w:position w:val="0"/>
              </w:rPr>
              <w:t>直线法</w:t>
            </w:r>
          </w:p>
        </w:tc>
      </w:tr>
    </w:tbl>
    <w:p>
      <w:pPr>
        <w:widowControl w:val="0"/>
        <w:spacing w:after="59" w:line="1" w:lineRule="exact"/>
      </w:pP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本公司于每年年度终了，对使用寿命有限的无形资产的使用寿命及摊销方法进行复核，与以前估计不同的，调整原先估 计数，并按会计估计变更处理。</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资产负债表日预计某项无形资产已经不能给企业带来未来经济利益的，将该项无形资产的账面价值全部转入当期损益。</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无形资产计提资产减值方法见本附注五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p>
    <w:p>
      <w:pPr>
        <w:pStyle w:val="Style40"/>
        <w:keepNext/>
        <w:keepLines/>
        <w:widowControl w:val="0"/>
        <w:shd w:val="clear" w:color="auto" w:fill="auto"/>
        <w:bidi w:val="0"/>
        <w:spacing w:before="0" w:after="28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77"/>
      <w:bookmarkEnd w:id="978"/>
      <w:bookmarkEnd w:id="980"/>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本公司将内部研究开发项目的支出，区分为研究阶段支出和开发阶段支出。</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研究阶段的支出，于发生时计入当期损益。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持，以完成该无形资产的开发，并有能力使用或出售该无形资产；归属于该无形资产开发阶段的支出能够可靠地计量。不满 足上述条件的开发支出计入当期损益。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本公司研究开发项目在满足上述条件，通过技术可行性及经济可行性研究，形成项目立项后，进入开发阶段。</w:t>
      </w:r>
    </w:p>
    <w:p>
      <w:pPr>
        <w:pStyle w:val="Style21"/>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已资本化的开发阶段的支出在资产负债表上列示为开发支出，自该项目达到预定用途之日转为无形资产。</w:t>
      </w:r>
    </w:p>
    <w:p>
      <w:pPr>
        <w:pStyle w:val="Style31"/>
        <w:keepNext/>
        <w:keepLines/>
        <w:widowControl w:val="0"/>
        <w:shd w:val="clear" w:color="auto" w:fill="auto"/>
        <w:tabs>
          <w:tab w:pos="479" w:val="left"/>
        </w:tabs>
        <w:bidi w:val="0"/>
        <w:spacing w:before="0" w:after="260" w:line="240" w:lineRule="auto"/>
        <w:ind w:left="0" w:right="0" w:firstLine="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3</w:t>
      </w:r>
      <w:bookmarkEnd w:id="983"/>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981"/>
      <w:bookmarkEnd w:id="982"/>
      <w:bookmarkEnd w:id="984"/>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对子公司、联营企业和合营企业的长期股权投资、固定资产、使用权资产、无形资产、商誉等（存货、递延所得税资产、 金融资产除外）的资产减值，按以下方法确定：</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于资产负债表日判断资产是否存在可能发生减值的迹象，存在减值迹象的，本公司将估计其可收回金额，进行减值测试。 对因企业合并所形成的商誉、使用寿命不确定的无形资产和尚未达到可使用状态的无形资产无论是否存在减值迹象，每年都 进行减值测试。</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可收回金额根据资产的公允价值减去处置费用后的净额与资产预计未来现金流量的现值两者之间较高者确定。本公司以 单项资产为基础估计其可收回金额；难以对单项资产的可收回金额进行估计的，以该资产所属的资产组为基础确定资产组的 可收回金额。资产组的认定，以资产组产生的主要现金流入是否独立于其他资产或者资产组的现金流入为依据。</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1"/>
        <w:keepNext w:val="0"/>
        <w:keepLines w:val="0"/>
        <w:widowControl w:val="0"/>
        <w:shd w:val="clear" w:color="auto" w:fill="auto"/>
        <w:bidi w:val="0"/>
        <w:spacing w:before="0" w:after="200" w:line="310" w:lineRule="exact"/>
        <w:ind w:left="0" w:right="0" w:firstLine="380"/>
        <w:jc w:val="both"/>
      </w:pPr>
      <w:r>
        <w:rPr>
          <w:color w:val="000000"/>
          <w:spacing w:val="0"/>
          <w:w w:val="100"/>
          <w:position w:val="0"/>
        </w:rPr>
        <w:t>就商誉的减值测试而言，对于因企业合并形成的商誉的账面价值，自购买日起按照合理的方法分摊至相关的资产组；难 以分摊至相关的资产组的，将其分摊至相关的资产组组合。相关的资产组或资产组组合，是能够从企业合并的协同效应中受 益的资产组或者资产组组合，且不大于本公司确定的报告分部。</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减值测试时，如与商誉相关的资产组或者资产组组合存在减值迹象的，首先对不包含商誉的资产组或者资产组组合进行 减值测试，计算可收回金额，确认相应的减值损失。然后对包含商誉的资产组或者资产组组合进行减值测试，比较其账面价 值与可收回金额，如可收回金额低于账面价值的，确认商誉的减值损失。</w:t>
      </w:r>
    </w:p>
    <w:p>
      <w:pPr>
        <w:pStyle w:val="Style21"/>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资产减值损失一经确认，在以后会计期间不再转回。</w:t>
      </w:r>
    </w:p>
    <w:p>
      <w:pPr>
        <w:pStyle w:val="Style31"/>
        <w:keepNext/>
        <w:keepLines/>
        <w:widowControl w:val="0"/>
        <w:shd w:val="clear" w:color="auto" w:fill="auto"/>
        <w:tabs>
          <w:tab w:pos="479" w:val="left"/>
        </w:tabs>
        <w:bidi w:val="0"/>
        <w:spacing w:before="0" w:after="26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85"/>
      <w:bookmarkEnd w:id="986"/>
      <w:bookmarkEnd w:id="988"/>
    </w:p>
    <w:p>
      <w:pPr>
        <w:pStyle w:val="Style21"/>
        <w:keepNext w:val="0"/>
        <w:keepLines w:val="0"/>
        <w:widowControl w:val="0"/>
        <w:shd w:val="clear" w:color="auto" w:fill="auto"/>
        <w:bidi w:val="0"/>
        <w:spacing w:before="0" w:after="400" w:line="317" w:lineRule="exact"/>
        <w:ind w:left="0" w:right="0" w:firstLine="380"/>
        <w:jc w:val="both"/>
      </w:pPr>
      <w:r>
        <w:rPr>
          <w:color w:val="000000"/>
          <w:spacing w:val="0"/>
          <w:w w:val="100"/>
          <w:position w:val="0"/>
        </w:rPr>
        <w:t>本公司发生的长期待摊费用按实际成本计价，并按预计受益期限平均摊销。对不能使以后会计期间受益的长期待摊费用 项目，其摊余价值全部计入当期损益。</w:t>
      </w:r>
    </w:p>
    <w:p>
      <w:pPr>
        <w:pStyle w:val="Style31"/>
        <w:keepNext/>
        <w:keepLines/>
        <w:widowControl w:val="0"/>
        <w:shd w:val="clear" w:color="auto" w:fill="auto"/>
        <w:tabs>
          <w:tab w:pos="479" w:val="left"/>
        </w:tabs>
        <w:bidi w:val="0"/>
        <w:spacing w:before="0" w:after="2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89"/>
      <w:bookmarkEnd w:id="990"/>
      <w:bookmarkEnd w:id="992"/>
    </w:p>
    <w:p>
      <w:pPr>
        <w:pStyle w:val="Style21"/>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/39 .</w:t>
      </w:r>
      <w:r>
        <w:rPr>
          <w:color w:val="000000"/>
          <w:spacing w:val="0"/>
          <w:w w:val="100"/>
          <w:position w:val="0"/>
        </w:rPr>
        <w:t>收入。</w:t>
      </w:r>
    </w:p>
    <w:p>
      <w:pPr>
        <w:pStyle w:val="Style31"/>
        <w:keepNext/>
        <w:keepLines/>
        <w:widowControl w:val="0"/>
        <w:shd w:val="clear" w:color="auto" w:fill="auto"/>
        <w:tabs>
          <w:tab w:pos="479" w:val="left"/>
        </w:tabs>
        <w:bidi w:val="0"/>
        <w:spacing w:before="0" w:after="400" w:line="240"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93"/>
      <w:bookmarkEnd w:id="994"/>
      <w:bookmarkEnd w:id="996"/>
    </w:p>
    <w:p>
      <w:pPr>
        <w:pStyle w:val="Style40"/>
        <w:keepNext/>
        <w:keepLines/>
        <w:widowControl w:val="0"/>
        <w:shd w:val="clear" w:color="auto" w:fill="auto"/>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00"/>
      <w:bookmarkEnd w:id="997"/>
      <w:bookmarkEnd w:id="998"/>
    </w:p>
    <w:p>
      <w:pPr>
        <w:pStyle w:val="Style21"/>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本公司在职工提供服务的会计期间，将实际发生的职工工资、奖金、按规定的基准和比例为职工缴纳的医疗保险费、工 伤保险费和生育保险费等社会保险费和住房公积金，确认为负债，并计入当期损益或相关资产成本。如果该负债预期在职工 提供相关服务的年度报告期结束后十二个月内不能完全支付，且财务影响重大的，则该负债将以折现后的金额计量。</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01"/>
      <w:bookmarkEnd w:id="1002"/>
      <w:bookmarkEnd w:id="1004"/>
    </w:p>
    <w:p>
      <w:pPr>
        <w:pStyle w:val="Style21"/>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离职后福利计划包括设定提存计划和设定受益计划。其中，设定提存计划，是指向独立的基金缴存固定费用后，企业不 再承担进一步支付义务的离职后福利计划；设定受益计划，是指除设定提存计划以外的离职后福利计划。</w:t>
      </w:r>
    </w:p>
    <w:p>
      <w:pPr>
        <w:pStyle w:val="Style21"/>
        <w:keepNext w:val="0"/>
        <w:keepLines w:val="0"/>
        <w:widowControl w:val="0"/>
        <w:shd w:val="clear" w:color="auto" w:fill="auto"/>
        <w:bidi w:val="0"/>
        <w:spacing w:before="0" w:after="200" w:line="312" w:lineRule="exact"/>
        <w:ind w:left="0" w:right="0" w:firstLine="380"/>
        <w:jc w:val="left"/>
      </w:pPr>
      <w:r>
        <w:rPr>
          <w:b/>
          <w:bCs/>
          <w:color w:val="000000"/>
          <w:spacing w:val="0"/>
          <w:w w:val="100"/>
          <w:position w:val="0"/>
        </w:rPr>
        <w:t>设定提存计划</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设定提存计划包括基本养老保险、失业保险以及企业年金计划（如有）等。</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在职工提供服务的会计期间，根据设定提存计划计算的应缴存金额确认为负债，并计入当期损益或相关资产成本。</w:t>
      </w:r>
    </w:p>
    <w:p>
      <w:pPr>
        <w:pStyle w:val="Style21"/>
        <w:keepNext w:val="0"/>
        <w:keepLines w:val="0"/>
        <w:widowControl w:val="0"/>
        <w:shd w:val="clear" w:color="auto" w:fill="auto"/>
        <w:bidi w:val="0"/>
        <w:spacing w:before="0" w:after="200" w:line="312" w:lineRule="exact"/>
        <w:ind w:left="0" w:right="0" w:firstLine="380"/>
        <w:jc w:val="left"/>
      </w:pPr>
      <w:r>
        <w:rPr>
          <w:b/>
          <w:bCs/>
          <w:color w:val="000000"/>
          <w:spacing w:val="0"/>
          <w:w w:val="100"/>
          <w:position w:val="0"/>
        </w:rPr>
        <w:t>设定受益计划</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对于设定受益计划，在年度资产负债表日由独立精算师进行精算估值，以预期累积福利单位法确定提供福利的成本。本 公司设定受益计划导致的职工薪酬成本包括下列组成部分：</w:t>
      </w:r>
    </w:p>
    <w:p>
      <w:pPr>
        <w:pStyle w:val="Style21"/>
        <w:keepNext w:val="0"/>
        <w:keepLines w:val="0"/>
        <w:widowControl w:val="0"/>
        <w:numPr>
          <w:ilvl w:val="0"/>
          <w:numId w:val="13"/>
        </w:numPr>
        <w:shd w:val="clear" w:color="auto" w:fill="auto"/>
        <w:tabs>
          <w:tab w:pos="728" w:val="left"/>
        </w:tabs>
        <w:bidi w:val="0"/>
        <w:spacing w:before="0" w:after="200" w:line="312" w:lineRule="exact"/>
        <w:ind w:left="0" w:right="0" w:firstLine="380"/>
        <w:jc w:val="left"/>
      </w:pPr>
      <w:bookmarkStart w:id="1005" w:name="bookmark1005"/>
      <w:bookmarkEnd w:id="1005"/>
      <w:r>
        <w:rPr>
          <w:color w:val="000000"/>
          <w:spacing w:val="0"/>
          <w:w w:val="100"/>
          <w:position w:val="0"/>
        </w:rPr>
        <w:t>服务成本，包括当期服务成本、过去服务成本和结算利得或损失。其中，当期服务成本，是指职工当期提供服务所导 致的设定受益计划义务现值的增加额；过去服务成本，是指设定受益计划修改所导致的与以前期间职工服务相关的设定受益 计划义务现值的增加或减少。</w:t>
      </w:r>
    </w:p>
    <w:p>
      <w:pPr>
        <w:pStyle w:val="Style21"/>
        <w:keepNext w:val="0"/>
        <w:keepLines w:val="0"/>
        <w:widowControl w:val="0"/>
        <w:numPr>
          <w:ilvl w:val="0"/>
          <w:numId w:val="13"/>
        </w:numPr>
        <w:shd w:val="clear" w:color="auto" w:fill="auto"/>
        <w:tabs>
          <w:tab w:pos="723" w:val="left"/>
        </w:tabs>
        <w:bidi w:val="0"/>
        <w:spacing w:before="0" w:after="200" w:line="312" w:lineRule="exact"/>
        <w:ind w:left="0" w:right="0" w:firstLine="380"/>
        <w:jc w:val="left"/>
      </w:pPr>
      <w:bookmarkStart w:id="1006" w:name="bookmark1006"/>
      <w:bookmarkEnd w:id="1006"/>
      <w:r>
        <w:rPr>
          <w:color w:val="000000"/>
          <w:spacing w:val="0"/>
          <w:w w:val="100"/>
          <w:position w:val="0"/>
        </w:rPr>
        <w:t>设定受益计划净负债或净资产的利息净额，包括计划资产的利息收益、设定受益计划义务的利息费用以及资产上限影 响的利息。</w:t>
      </w:r>
    </w:p>
    <w:p>
      <w:pPr>
        <w:pStyle w:val="Style21"/>
        <w:keepNext w:val="0"/>
        <w:keepLines w:val="0"/>
        <w:widowControl w:val="0"/>
        <w:numPr>
          <w:ilvl w:val="0"/>
          <w:numId w:val="13"/>
        </w:numPr>
        <w:shd w:val="clear" w:color="auto" w:fill="auto"/>
        <w:tabs>
          <w:tab w:pos="753" w:val="left"/>
        </w:tabs>
        <w:bidi w:val="0"/>
        <w:spacing w:before="0" w:after="200" w:line="312" w:lineRule="exact"/>
        <w:ind w:left="0" w:right="0" w:firstLine="380"/>
        <w:jc w:val="left"/>
      </w:pPr>
      <w:bookmarkStart w:id="1007" w:name="bookmark1007"/>
      <w:bookmarkEnd w:id="1007"/>
      <w:r>
        <w:rPr>
          <w:color w:val="000000"/>
          <w:spacing w:val="0"/>
          <w:w w:val="100"/>
          <w:position w:val="0"/>
        </w:rPr>
        <w:t>重新计量设定受益计划净负债或净资产所产生的变动。</w:t>
      </w:r>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除非其他会计准则要求或允许职工福利成本计入资产成本，本公司将上述第①和②项计入当期损益；第③项计入其他综 合收益且不会在后续会计期间转回至损益，在原设定受益计划终止时在权益范围内将原计入其他综合收益的部分全部结转至 未分配利润。</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08"/>
      <w:bookmarkEnd w:id="1009"/>
      <w:bookmarkEnd w:id="1011"/>
    </w:p>
    <w:p>
      <w:pPr>
        <w:pStyle w:val="Style21"/>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本公司向职工提供辞退福利的，在下列两者孰早日确认辞退福利产生的职工薪酬负债，并计入当期损益：本公司不能单 方面撤回因解除劳动关系计划或裁减建议所提供的辞退福利时;本公司确认与涉及支付辞退福利的重组相关的成本或费用时。</w:t>
      </w:r>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实行职工内部退休计划的，在正式退休日之前的经济补偿，属于辞退福利，自职工停止提供服务日至正常退休日期间， 拟支付的内退职工工资和缴纳的社会保险费等一次性计入当期损益。正式退休日期之后的经济补偿（如正常养老退休金）， 按照离职后福利处理。</w:t>
      </w:r>
    </w:p>
    <w:p>
      <w:pPr>
        <w:pStyle w:val="Style40"/>
        <w:keepNext/>
        <w:keepLines/>
        <w:widowControl w:val="0"/>
        <w:shd w:val="clear" w:color="auto" w:fill="auto"/>
        <w:tabs>
          <w:tab w:pos="493" w:val="left"/>
        </w:tabs>
        <w:bidi w:val="0"/>
        <w:spacing w:before="0" w:after="26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12"/>
      <w:bookmarkEnd w:id="1013"/>
      <w:bookmarkEnd w:id="1015"/>
    </w:p>
    <w:p>
      <w:pPr>
        <w:pStyle w:val="Style21"/>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本公司向职工提供的其他长期职工福利，符合设定提存计划条件的，按照上述关于设定提存计划的有关规定进行处理。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重新计量设定受益计划净 负债或净资产所产生的变动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部分计入当期损益或相关资产成本。</w:t>
      </w:r>
    </w:p>
    <w:p>
      <w:pPr>
        <w:pStyle w:val="Style31"/>
        <w:keepNext/>
        <w:keepLines/>
        <w:widowControl w:val="0"/>
        <w:shd w:val="clear" w:color="auto" w:fill="auto"/>
        <w:bidi w:val="0"/>
        <w:spacing w:before="0" w:after="26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、租赁负债</w:t>
      </w:r>
      <w:bookmarkEnd w:id="1016"/>
      <w:bookmarkEnd w:id="1017"/>
      <w:bookmarkEnd w:id="1019"/>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详见本附注五</w:t>
      </w:r>
      <w:r>
        <w:rPr>
          <w:rFonts w:ascii="Times New Roman" w:eastAsia="Times New Roman" w:hAnsi="Times New Roman" w:cs="Times New Roman"/>
          <w:color w:val="000000"/>
          <w:spacing w:val="0"/>
          <w:w w:val="100"/>
          <w:position w:val="0"/>
          <w:sz w:val="18"/>
          <w:szCs w:val="18"/>
        </w:rPr>
        <w:t>/42 .</w:t>
      </w:r>
      <w:r>
        <w:rPr>
          <w:color w:val="000000"/>
          <w:spacing w:val="0"/>
          <w:w w:val="100"/>
          <w:position w:val="0"/>
        </w:rPr>
        <w:t>租赁。</w:t>
      </w:r>
    </w:p>
    <w:p>
      <w:pPr>
        <w:pStyle w:val="Style31"/>
        <w:keepNext/>
        <w:keepLines/>
        <w:widowControl w:val="0"/>
        <w:shd w:val="clear" w:color="auto" w:fill="auto"/>
        <w:tabs>
          <w:tab w:pos="471" w:val="left"/>
        </w:tabs>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20"/>
      <w:bookmarkEnd w:id="1021"/>
      <w:bookmarkEnd w:id="1023"/>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如果与或有事项相关的义务同时符合以下条件，本公司将其确认为预计负债：</w:t>
      </w:r>
    </w:p>
    <w:p>
      <w:pPr>
        <w:pStyle w:val="Style21"/>
        <w:keepNext w:val="0"/>
        <w:keepLines w:val="0"/>
        <w:widowControl w:val="0"/>
        <w:shd w:val="clear" w:color="auto" w:fill="auto"/>
        <w:tabs>
          <w:tab w:pos="813" w:val="left"/>
        </w:tabs>
        <w:bidi w:val="0"/>
        <w:spacing w:before="0" w:after="200" w:line="312" w:lineRule="exact"/>
        <w:ind w:left="0" w:right="0" w:firstLine="38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21"/>
        <w:keepNext w:val="0"/>
        <w:keepLines w:val="0"/>
        <w:widowControl w:val="0"/>
        <w:shd w:val="clear" w:color="auto" w:fill="auto"/>
        <w:tabs>
          <w:tab w:pos="813" w:val="left"/>
        </w:tabs>
        <w:bidi w:val="0"/>
        <w:spacing w:before="0" w:after="200" w:line="312" w:lineRule="exact"/>
        <w:ind w:left="0" w:right="0" w:firstLine="38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该义务的履行很可能导致经济利益流出本公司；</w:t>
      </w:r>
    </w:p>
    <w:p>
      <w:pPr>
        <w:pStyle w:val="Style21"/>
        <w:keepNext w:val="0"/>
        <w:keepLines w:val="0"/>
        <w:widowControl w:val="0"/>
        <w:shd w:val="clear" w:color="auto" w:fill="auto"/>
        <w:tabs>
          <w:tab w:pos="813" w:val="left"/>
        </w:tabs>
        <w:bidi w:val="0"/>
        <w:spacing w:before="0" w:after="200" w:line="312" w:lineRule="exact"/>
        <w:ind w:left="0" w:right="0" w:firstLine="38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货币时间价值等因素。货币时间价值影响重大的，通过对相关未来现金流出进行折现后确定最佳估计数。本公司于资产负债 表日对预计负债的账面价值进行复核，并对账面价值进行调整以反映当前最佳估计数。</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如果清偿已确认预计负债所需支出全部或部分预期由第三方或其他方补偿，则补偿金额只能在基本确定能收到时，作为 资产单独确认。确认的补偿金额不超过所确认负债的账面价值。</w:t>
      </w:r>
    </w:p>
    <w:p>
      <w:pPr>
        <w:pStyle w:val="Style31"/>
        <w:keepNext/>
        <w:keepLines/>
        <w:widowControl w:val="0"/>
        <w:shd w:val="clear" w:color="auto" w:fill="auto"/>
        <w:tabs>
          <w:tab w:pos="471" w:val="left"/>
        </w:tabs>
        <w:bidi w:val="0"/>
        <w:spacing w:before="0" w:after="2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27"/>
      <w:bookmarkEnd w:id="1028"/>
      <w:bookmarkEnd w:id="1030"/>
    </w:p>
    <w:p>
      <w:pPr>
        <w:pStyle w:val="Style21"/>
        <w:keepNext w:val="0"/>
        <w:keepLines w:val="0"/>
        <w:widowControl w:val="0"/>
        <w:shd w:val="clear" w:color="auto" w:fill="auto"/>
        <w:tabs>
          <w:tab w:pos="822" w:val="left"/>
        </w:tabs>
        <w:bidi w:val="0"/>
        <w:spacing w:before="0" w:after="200" w:line="312" w:lineRule="exact"/>
        <w:ind w:left="0" w:right="0" w:firstLine="380"/>
        <w:jc w:val="both"/>
      </w:pPr>
      <w:bookmarkStart w:id="1031" w:name="bookmark1031"/>
      <w:r>
        <w:rPr>
          <w:b/>
          <w:bCs/>
          <w:color w:val="000000"/>
          <w:spacing w:val="0"/>
          <w:w w:val="100"/>
          <w:position w:val="0"/>
        </w:rPr>
        <w:t>（</w:t>
      </w:r>
      <w:bookmarkEnd w:id="103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股份支付的种类</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本公司股份支付分为以权益结算的股份支付和以现金结算的股份支付。</w:t>
      </w:r>
    </w:p>
    <w:p>
      <w:pPr>
        <w:pStyle w:val="Style21"/>
        <w:keepNext w:val="0"/>
        <w:keepLines w:val="0"/>
        <w:widowControl w:val="0"/>
        <w:shd w:val="clear" w:color="auto" w:fill="auto"/>
        <w:tabs>
          <w:tab w:pos="822" w:val="left"/>
        </w:tabs>
        <w:bidi w:val="0"/>
        <w:spacing w:before="0" w:after="200" w:line="312" w:lineRule="exact"/>
        <w:ind w:left="0" w:right="0" w:firstLine="380"/>
        <w:jc w:val="both"/>
      </w:pPr>
      <w:bookmarkStart w:id="1032" w:name="bookmark1032"/>
      <w:r>
        <w:rPr>
          <w:b/>
          <w:bCs/>
          <w:color w:val="000000"/>
          <w:spacing w:val="0"/>
          <w:w w:val="100"/>
          <w:position w:val="0"/>
        </w:rPr>
        <w:t>（</w:t>
      </w:r>
      <w:bookmarkEnd w:id="103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权益工具公允价值的确定方法</w:t>
      </w:r>
    </w:p>
    <w:p>
      <w:pPr>
        <w:pStyle w:val="Style21"/>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本公司对于授予的存在活跃市场的期权等权益工具，按照活跃市场中的报价确定其公允价值。对于授予的不存在活跃市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期权的有效期；</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21"/>
        <w:keepNext w:val="0"/>
        <w:keepLines w:val="0"/>
        <w:widowControl w:val="0"/>
        <w:shd w:val="clear" w:color="auto" w:fill="auto"/>
        <w:tabs>
          <w:tab w:pos="822" w:val="left"/>
        </w:tabs>
        <w:bidi w:val="0"/>
        <w:spacing w:before="0" w:after="200" w:line="312" w:lineRule="exact"/>
        <w:ind w:left="0" w:right="0" w:firstLine="380"/>
        <w:jc w:val="both"/>
      </w:pPr>
      <w:bookmarkStart w:id="1033" w:name="bookmark1033"/>
      <w:r>
        <w:rPr>
          <w:b/>
          <w:bCs/>
          <w:color w:val="000000"/>
          <w:spacing w:val="0"/>
          <w:w w:val="100"/>
          <w:position w:val="0"/>
        </w:rPr>
        <w:t>（</w:t>
      </w:r>
      <w:bookmarkEnd w:id="1033"/>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确认可行权权益工具最佳估计的依据</w:t>
      </w:r>
    </w:p>
    <w:p>
      <w:pPr>
        <w:pStyle w:val="Style21"/>
        <w:keepNext w:val="0"/>
        <w:keepLines w:val="0"/>
        <w:widowControl w:val="0"/>
        <w:shd w:val="clear" w:color="auto" w:fill="auto"/>
        <w:bidi w:val="0"/>
        <w:spacing w:before="0" w:after="200" w:line="307" w:lineRule="exact"/>
        <w:ind w:left="0" w:right="0" w:firstLine="380"/>
        <w:jc w:val="both"/>
      </w:pPr>
      <w:r>
        <w:rPr>
          <w:color w:val="000000"/>
          <w:spacing w:val="0"/>
          <w:w w:val="100"/>
          <w:position w:val="0"/>
        </w:rPr>
        <w:t>等待期内每个资产负债表日，本公司根据最新取得的可行权职工人数变动等后续信息作出最佳估计，修正预计可行权的 权益工具数量。在可行权日，最终预计可行权权益工具的数量应当与实际可行权数量一致。</w:t>
      </w:r>
    </w:p>
    <w:p>
      <w:pPr>
        <w:pStyle w:val="Style21"/>
        <w:keepNext w:val="0"/>
        <w:keepLines w:val="0"/>
        <w:widowControl w:val="0"/>
        <w:shd w:val="clear" w:color="auto" w:fill="auto"/>
        <w:tabs>
          <w:tab w:pos="822" w:val="left"/>
        </w:tabs>
        <w:bidi w:val="0"/>
        <w:spacing w:before="0" w:after="200" w:line="312" w:lineRule="exact"/>
        <w:ind w:left="0" w:right="0" w:firstLine="380"/>
        <w:jc w:val="both"/>
      </w:pPr>
      <w:bookmarkStart w:id="1034" w:name="bookmark1034"/>
      <w:r>
        <w:rPr>
          <w:b/>
          <w:bCs/>
          <w:color w:val="000000"/>
          <w:spacing w:val="0"/>
          <w:w w:val="100"/>
          <w:position w:val="0"/>
        </w:rPr>
        <w:t>（</w:t>
      </w:r>
      <w:bookmarkEnd w:id="1034"/>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实施、修改、终止股份支付计划的相关会计处理</w:t>
      </w:r>
    </w:p>
    <w:p>
      <w:pPr>
        <w:pStyle w:val="Style21"/>
        <w:keepNext w:val="0"/>
        <w:keepLines w:val="0"/>
        <w:widowControl w:val="0"/>
        <w:shd w:val="clear" w:color="auto" w:fill="auto"/>
        <w:bidi w:val="0"/>
        <w:spacing w:before="0" w:after="200" w:line="314" w:lineRule="exact"/>
        <w:ind w:left="0" w:right="0" w:firstLine="380"/>
        <w:jc w:val="both"/>
      </w:pPr>
      <w:r>
        <w:rPr>
          <w:color w:val="000000"/>
          <w:spacing w:val="0"/>
          <w:w w:val="100"/>
          <w:position w:val="0"/>
        </w:rPr>
        <w:t>以权益结算的股份支付，按授予职工权益工具的公允价值计量。授予后立即可行权的，在授予日按照权益工具的公允价 值计入相关成本或费用，相应增加资本公积。在完成等待期内的服务或达到规定业绩条件才可行权的，在等待期内的每个资 产负债表日，以对可行权权益工具数量的最佳估计为基础，按照权益工具授予日的公允价值，将当期取得的服务计入相关成 本或费用和资本公积。在可行权日之后不再对已确认的相关成本或费用和所有者权益总额进行调整。</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以现金结算的股份支付，按照本公司承担的以股份或其他权益工具为基础计算确定的负债的公允价值计量。授予后立即 可行权的，在授予日以本公司承担负债的公允价值计入相关成本或费用，相应增加负债。在完成等待期内的服务或达到规定 业绩条件以后才可行权的以现金结算的股份支付，在等待期内的每个资产负债表日，以对可行权情况的最佳估计为基础，按 照本公司承担负债的公允价值金额，将当期取得的服务计入成本或费用和相应的负债。在相关负债结算前的每个资产负债表 日以及结算日，对负债的公允价值重新计量，其变动计入当期损益。</w:t>
      </w:r>
    </w:p>
    <w:p>
      <w:pPr>
        <w:pStyle w:val="Style21"/>
        <w:keepNext w:val="0"/>
        <w:keepLines w:val="0"/>
        <w:widowControl w:val="0"/>
        <w:shd w:val="clear" w:color="auto" w:fill="auto"/>
        <w:bidi w:val="0"/>
        <w:spacing w:before="0" w:after="220" w:line="317" w:lineRule="exact"/>
        <w:ind w:left="0" w:right="0" w:firstLine="380"/>
        <w:jc w:val="both"/>
      </w:pPr>
      <w:r>
        <w:rPr>
          <w:color w:val="000000"/>
          <w:spacing w:val="0"/>
          <w:w w:val="100"/>
          <w:position w:val="0"/>
        </w:rPr>
        <w:t xml:space="preserve">本公司对股份支付计划进行修改时，若修改增加了所授予权益工具的公允价值，按照权益工具公允价值的增加相应地确 认取得服务的增加；若修改增加了所授予权益工具的数量，则将增加的权益工具的公允价值相应地确认为取得服务的增加。 </w:t>
      </w:r>
      <w:r>
        <w:rPr>
          <w:color w:val="000000"/>
          <w:spacing w:val="0"/>
          <w:w w:val="100"/>
          <w:position w:val="0"/>
        </w:rPr>
        <w:t>权益工具公允价值的增加是指修改前后的权益工具在修改日的公允价值之间的差额。若修改减少了股份支付公允价值总额或 采用了其他不利于职工的方式修改股份支付计划的条款和条件，则仍继续对取得的服务进行会计处理，视同该变更从未发生， 除非本公司取消了部分或全部已授予的权益工具。</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在等待期内，如果取消了授予的权益工具（因未满足可行权条件的非市场条件而被取消的除外），本公司对取消所授予 的权益性工具作为加速行权处理，将剩余等待期内应确认的金额立即计入当期损益，同时确认资本公积。职工或其他方能够 选择满足非可行权条件但在等待期内未满足的，本公司将其作为授予权益工具的取消处理。</w:t>
      </w:r>
    </w:p>
    <w:p>
      <w:pPr>
        <w:pStyle w:val="Style31"/>
        <w:keepNext/>
        <w:keepLines/>
        <w:widowControl w:val="0"/>
        <w:shd w:val="clear" w:color="auto" w:fill="auto"/>
        <w:tabs>
          <w:tab w:pos="536" w:val="left"/>
        </w:tabs>
        <w:bidi w:val="0"/>
        <w:spacing w:before="0" w:after="380" w:line="240" w:lineRule="auto"/>
        <w:ind w:left="0" w:right="0" w:firstLine="0"/>
        <w:jc w:val="both"/>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35"/>
      <w:bookmarkEnd w:id="1036"/>
      <w:bookmarkEnd w:id="1038"/>
    </w:p>
    <w:p>
      <w:pPr>
        <w:pStyle w:val="Style31"/>
        <w:keepNext/>
        <w:keepLines/>
        <w:widowControl w:val="0"/>
        <w:shd w:val="clear" w:color="auto" w:fill="auto"/>
        <w:tabs>
          <w:tab w:pos="536" w:val="left"/>
        </w:tabs>
        <w:bidi w:val="0"/>
        <w:spacing w:before="0" w:after="220" w:line="240" w:lineRule="auto"/>
        <w:ind w:left="0" w:right="0" w:firstLine="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39"/>
      <w:bookmarkEnd w:id="1040"/>
      <w:bookmarkEnd w:id="1042"/>
    </w:p>
    <w:p>
      <w:pPr>
        <w:pStyle w:val="Style21"/>
        <w:keepNext w:val="0"/>
        <w:keepLines w:val="0"/>
        <w:widowControl w:val="0"/>
        <w:shd w:val="clear" w:color="auto" w:fill="auto"/>
        <w:bidi w:val="0"/>
        <w:spacing w:before="0" w:after="0" w:line="365" w:lineRule="exact"/>
        <w:ind w:left="0" w:right="0" w:firstLine="0"/>
        <w:jc w:val="both"/>
      </w:pPr>
      <w:r>
        <w:rPr>
          <w:color w:val="000000"/>
          <w:spacing w:val="0"/>
          <w:w w:val="100"/>
          <w:position w:val="0"/>
          <w:shd w:val="clear" w:color="auto" w:fill="FFFFFF"/>
        </w:rPr>
        <w:t>公司需遵守《深圳证券交易所上市公司自律监管指引第</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号——行业信息披露》中的</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软件与信息技术服务业</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的披露要求</w:t>
      </w:r>
    </w:p>
    <w:p>
      <w:pPr>
        <w:pStyle w:val="Style21"/>
        <w:keepNext w:val="0"/>
        <w:keepLines w:val="0"/>
        <w:widowControl w:val="0"/>
        <w:shd w:val="clear" w:color="auto" w:fill="auto"/>
        <w:bidi w:val="0"/>
        <w:spacing w:before="0" w:after="280" w:line="365" w:lineRule="exact"/>
        <w:ind w:left="0" w:right="0" w:firstLine="380"/>
        <w:jc w:val="both"/>
      </w:pPr>
      <w:bookmarkStart w:id="1043" w:name="bookmark1043"/>
      <w:r>
        <w:rPr>
          <w:b/>
          <w:bCs/>
          <w:color w:val="000000"/>
          <w:spacing w:val="0"/>
          <w:w w:val="100"/>
          <w:position w:val="0"/>
        </w:rPr>
        <w:t>（</w:t>
      </w:r>
      <w:bookmarkEnd w:id="104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）一般原则</w:t>
      </w:r>
    </w:p>
    <w:p>
      <w:pPr>
        <w:pStyle w:val="Style21"/>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本公司在履行了合同中的履约义务，即在客户取得相关商品或服务的控制权时确认收入。</w:t>
      </w:r>
    </w:p>
    <w:p>
      <w:pPr>
        <w:pStyle w:val="Style21"/>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21"/>
        <w:keepNext w:val="0"/>
        <w:keepLines w:val="0"/>
        <w:widowControl w:val="0"/>
        <w:shd w:val="clear" w:color="auto" w:fill="auto"/>
        <w:bidi w:val="0"/>
        <w:spacing w:before="0" w:after="220" w:line="312" w:lineRule="exact"/>
        <w:ind w:left="0" w:right="0" w:firstLine="380"/>
        <w:jc w:val="both"/>
      </w:pPr>
      <w:r>
        <w:rPr>
          <w:color w:val="000000"/>
          <w:spacing w:val="0"/>
          <w:w w:val="100"/>
          <w:position w:val="0"/>
        </w:rPr>
        <w:t>满足下列条件之一时，本公司属于在某一时段内履行履约义务；否则，属于在某一时点履行履约义务：</w:t>
      </w:r>
    </w:p>
    <w:p>
      <w:pPr>
        <w:pStyle w:val="Style21"/>
        <w:keepNext w:val="0"/>
        <w:keepLines w:val="0"/>
        <w:widowControl w:val="0"/>
        <w:numPr>
          <w:ilvl w:val="0"/>
          <w:numId w:val="15"/>
        </w:numPr>
        <w:shd w:val="clear" w:color="auto" w:fill="auto"/>
        <w:tabs>
          <w:tab w:pos="753" w:val="left"/>
        </w:tabs>
        <w:bidi w:val="0"/>
        <w:spacing w:before="0" w:after="280" w:line="312" w:lineRule="exact"/>
        <w:ind w:left="0" w:right="0" w:firstLine="380"/>
        <w:jc w:val="both"/>
      </w:pPr>
      <w:bookmarkStart w:id="1044" w:name="bookmark1044"/>
      <w:bookmarkEnd w:id="1044"/>
      <w:r>
        <w:rPr>
          <w:color w:val="000000"/>
          <w:spacing w:val="0"/>
          <w:w w:val="100"/>
          <w:position w:val="0"/>
        </w:rPr>
        <w:t>客户在本公司履约的同时即取得并消耗本公司履约所带来的经济利益。</w:t>
      </w:r>
    </w:p>
    <w:p>
      <w:pPr>
        <w:pStyle w:val="Style21"/>
        <w:keepNext w:val="0"/>
        <w:keepLines w:val="0"/>
        <w:widowControl w:val="0"/>
        <w:numPr>
          <w:ilvl w:val="0"/>
          <w:numId w:val="15"/>
        </w:numPr>
        <w:shd w:val="clear" w:color="auto" w:fill="auto"/>
        <w:tabs>
          <w:tab w:pos="753" w:val="left"/>
        </w:tabs>
        <w:bidi w:val="0"/>
        <w:spacing w:before="0" w:after="220" w:line="312" w:lineRule="exact"/>
        <w:ind w:left="0" w:right="0" w:firstLine="380"/>
        <w:jc w:val="both"/>
      </w:pPr>
      <w:bookmarkStart w:id="1045" w:name="bookmark1045"/>
      <w:bookmarkEnd w:id="1045"/>
      <w:r>
        <w:rPr>
          <w:color w:val="000000"/>
          <w:spacing w:val="0"/>
          <w:w w:val="100"/>
          <w:position w:val="0"/>
        </w:rPr>
        <w:t>客户能够控制本公司履约过程中在建的商品。</w:t>
      </w:r>
    </w:p>
    <w:p>
      <w:pPr>
        <w:pStyle w:val="Style21"/>
        <w:keepNext w:val="0"/>
        <w:keepLines w:val="0"/>
        <w:widowControl w:val="0"/>
        <w:numPr>
          <w:ilvl w:val="0"/>
          <w:numId w:val="15"/>
        </w:numPr>
        <w:shd w:val="clear" w:color="auto" w:fill="auto"/>
        <w:tabs>
          <w:tab w:pos="728" w:val="left"/>
        </w:tabs>
        <w:bidi w:val="0"/>
        <w:spacing w:before="0" w:after="280" w:line="346" w:lineRule="exact"/>
        <w:ind w:left="0" w:right="0" w:firstLine="380"/>
        <w:jc w:val="both"/>
      </w:pPr>
      <w:bookmarkStart w:id="1046" w:name="bookmark1046"/>
      <w:bookmarkEnd w:id="1046"/>
      <w:r>
        <w:rPr>
          <w:color w:val="000000"/>
          <w:spacing w:val="0"/>
          <w:w w:val="100"/>
          <w:position w:val="0"/>
        </w:rPr>
        <w:t>本公司履约过程中所产出的商品具有不可替代用途，且本公司在整个合同期间内有权就累计至今已完成的履约部分收 取款项。</w:t>
      </w:r>
    </w:p>
    <w:p>
      <w:pPr>
        <w:pStyle w:val="Style21"/>
        <w:keepNext w:val="0"/>
        <w:keepLines w:val="0"/>
        <w:widowControl w:val="0"/>
        <w:shd w:val="clear" w:color="auto" w:fill="auto"/>
        <w:bidi w:val="0"/>
        <w:spacing w:before="0" w:after="280" w:line="317" w:lineRule="exact"/>
        <w:ind w:left="0" w:right="0" w:firstLine="38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21"/>
        <w:keepNext w:val="0"/>
        <w:keepLines w:val="0"/>
        <w:widowControl w:val="0"/>
        <w:shd w:val="clear" w:color="auto" w:fill="auto"/>
        <w:bidi w:val="0"/>
        <w:spacing w:before="0" w:after="280" w:line="312"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21"/>
        <w:keepNext w:val="0"/>
        <w:keepLines w:val="0"/>
        <w:widowControl w:val="0"/>
        <w:numPr>
          <w:ilvl w:val="0"/>
          <w:numId w:val="17"/>
        </w:numPr>
        <w:shd w:val="clear" w:color="auto" w:fill="auto"/>
        <w:tabs>
          <w:tab w:pos="753" w:val="left"/>
        </w:tabs>
        <w:bidi w:val="0"/>
        <w:spacing w:before="0" w:after="280" w:line="312" w:lineRule="exact"/>
        <w:ind w:left="0" w:right="0" w:firstLine="380"/>
        <w:jc w:val="both"/>
      </w:pPr>
      <w:bookmarkStart w:id="1047" w:name="bookmark1047"/>
      <w:bookmarkEnd w:id="1047"/>
      <w:r>
        <w:rPr>
          <w:color w:val="000000"/>
          <w:spacing w:val="0"/>
          <w:w w:val="100"/>
          <w:position w:val="0"/>
        </w:rPr>
        <w:t>本公司就该商品或服务享有现时收款权利，即客户就该商品负有现时付款义务。</w:t>
      </w:r>
    </w:p>
    <w:p>
      <w:pPr>
        <w:pStyle w:val="Style21"/>
        <w:keepNext w:val="0"/>
        <w:keepLines w:val="0"/>
        <w:widowControl w:val="0"/>
        <w:numPr>
          <w:ilvl w:val="0"/>
          <w:numId w:val="17"/>
        </w:numPr>
        <w:shd w:val="clear" w:color="auto" w:fill="auto"/>
        <w:tabs>
          <w:tab w:pos="753" w:val="left"/>
        </w:tabs>
        <w:bidi w:val="0"/>
        <w:spacing w:before="0" w:after="280" w:line="312" w:lineRule="exact"/>
        <w:ind w:left="0" w:right="0" w:firstLine="380"/>
        <w:jc w:val="both"/>
      </w:pPr>
      <w:bookmarkStart w:id="1048" w:name="bookmark1048"/>
      <w:bookmarkEnd w:id="1048"/>
      <w:r>
        <w:rPr>
          <w:color w:val="000000"/>
          <w:spacing w:val="0"/>
          <w:w w:val="100"/>
          <w:position w:val="0"/>
        </w:rPr>
        <w:t>本公司已将该商品的法定所有权转移给客户，即客户已拥有该商品的法定所有权。</w:t>
      </w:r>
    </w:p>
    <w:p>
      <w:pPr>
        <w:pStyle w:val="Style21"/>
        <w:keepNext w:val="0"/>
        <w:keepLines w:val="0"/>
        <w:widowControl w:val="0"/>
        <w:numPr>
          <w:ilvl w:val="0"/>
          <w:numId w:val="17"/>
        </w:numPr>
        <w:shd w:val="clear" w:color="auto" w:fill="auto"/>
        <w:tabs>
          <w:tab w:pos="753" w:val="left"/>
        </w:tabs>
        <w:bidi w:val="0"/>
        <w:spacing w:before="0" w:after="280" w:line="312" w:lineRule="exact"/>
        <w:ind w:left="0" w:right="0" w:firstLine="380"/>
        <w:jc w:val="both"/>
      </w:pPr>
      <w:bookmarkStart w:id="1049" w:name="bookmark1049"/>
      <w:bookmarkEnd w:id="1049"/>
      <w:r>
        <w:rPr>
          <w:color w:val="000000"/>
          <w:spacing w:val="0"/>
          <w:w w:val="100"/>
          <w:position w:val="0"/>
        </w:rPr>
        <w:t>本公司已将该商品的实物转移给客户，即客户已实物占有该商品。</w:t>
      </w:r>
    </w:p>
    <w:p>
      <w:pPr>
        <w:pStyle w:val="Style21"/>
        <w:keepNext w:val="0"/>
        <w:keepLines w:val="0"/>
        <w:widowControl w:val="0"/>
        <w:numPr>
          <w:ilvl w:val="0"/>
          <w:numId w:val="17"/>
        </w:numPr>
        <w:shd w:val="clear" w:color="auto" w:fill="auto"/>
        <w:tabs>
          <w:tab w:pos="753" w:val="left"/>
        </w:tabs>
        <w:bidi w:val="0"/>
        <w:spacing w:before="0" w:after="280" w:line="312" w:lineRule="exact"/>
        <w:ind w:left="0" w:right="0" w:firstLine="380"/>
        <w:jc w:val="both"/>
      </w:pPr>
      <w:bookmarkStart w:id="1050" w:name="bookmark1050"/>
      <w:bookmarkEnd w:id="1050"/>
      <w:r>
        <w:rPr>
          <w:color w:val="000000"/>
          <w:spacing w:val="0"/>
          <w:w w:val="100"/>
          <w:position w:val="0"/>
        </w:rPr>
        <w:t>本公司已将该商品所有权上的主要风险和报酬转移给客户，即客户已取得该商品所有权上的主要风险和报酬。</w:t>
      </w:r>
    </w:p>
    <w:p>
      <w:pPr>
        <w:pStyle w:val="Style21"/>
        <w:keepNext w:val="0"/>
        <w:keepLines w:val="0"/>
        <w:widowControl w:val="0"/>
        <w:numPr>
          <w:ilvl w:val="0"/>
          <w:numId w:val="17"/>
        </w:numPr>
        <w:shd w:val="clear" w:color="auto" w:fill="auto"/>
        <w:tabs>
          <w:tab w:pos="753" w:val="left"/>
        </w:tabs>
        <w:bidi w:val="0"/>
        <w:spacing w:before="0" w:after="380" w:line="312" w:lineRule="exact"/>
        <w:ind w:left="0" w:right="0" w:firstLine="380"/>
        <w:jc w:val="both"/>
      </w:pPr>
      <w:bookmarkStart w:id="1051" w:name="bookmark1051"/>
      <w:bookmarkEnd w:id="1051"/>
      <w:r>
        <w:rPr>
          <w:color w:val="000000"/>
          <w:spacing w:val="0"/>
          <w:w w:val="100"/>
          <w:position w:val="0"/>
        </w:rPr>
        <w:t>客户已接受该商品或服务。</w:t>
      </w:r>
    </w:p>
    <w:p>
      <w:pPr>
        <w:pStyle w:val="Style21"/>
        <w:keepNext w:val="0"/>
        <w:keepLines w:val="0"/>
        <w:widowControl w:val="0"/>
        <w:numPr>
          <w:ilvl w:val="0"/>
          <w:numId w:val="17"/>
        </w:numPr>
        <w:shd w:val="clear" w:color="auto" w:fill="auto"/>
        <w:bidi w:val="0"/>
        <w:spacing w:before="0" w:after="280" w:line="240" w:lineRule="auto"/>
        <w:ind w:left="0" w:right="0" w:firstLine="380"/>
        <w:jc w:val="both"/>
      </w:pPr>
      <w:bookmarkStart w:id="1052" w:name="bookmark1052"/>
      <w:bookmarkEnd w:id="1052"/>
      <w:r>
        <w:rPr>
          <w:color w:val="000000"/>
          <w:spacing w:val="0"/>
          <w:w w:val="100"/>
          <w:position w:val="0"/>
        </w:rPr>
        <w:t>其他表明客户已取得商品控制权的迹象。</w:t>
      </w:r>
    </w:p>
    <w:p>
      <w:pPr>
        <w:pStyle w:val="Style21"/>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本公司已向客户转让商品或服务而有权收取对价的权利（且该权利取决于时间流逝之外的其他因素）作为合同资产，合 同资产以预期信用损失为基础计提减值（参见本附注五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）金融工具减值）。本公司拥有的、无条件（仅取决于时间流 逝）向客户收取对价的权利作为应收款项列示。本公司已收或应收客户对价而应向客户转让商品或服务的义务作为合同负债。</w:t>
      </w:r>
    </w:p>
    <w:p>
      <w:pPr>
        <w:pStyle w:val="Style2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21"/>
        <w:keepNext w:val="0"/>
        <w:keepLines w:val="0"/>
        <w:widowControl w:val="0"/>
        <w:shd w:val="clear" w:color="auto" w:fill="auto"/>
        <w:bidi w:val="0"/>
        <w:spacing w:before="0" w:after="260" w:line="312" w:lineRule="exact"/>
        <w:ind w:left="0" w:right="0" w:firstLine="380"/>
        <w:jc w:val="both"/>
      </w:pPr>
      <w:bookmarkStart w:id="1053" w:name="bookmark1053"/>
      <w:r>
        <w:rPr>
          <w:b/>
          <w:bCs/>
          <w:color w:val="000000"/>
          <w:spacing w:val="0"/>
          <w:w w:val="100"/>
          <w:position w:val="0"/>
        </w:rPr>
        <w:t>（</w:t>
      </w:r>
      <w:bookmarkEnd w:id="105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）具体方法</w:t>
      </w:r>
    </w:p>
    <w:p>
      <w:pPr>
        <w:pStyle w:val="Style2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本公司收入确认的具体方法如下：</w:t>
      </w:r>
    </w:p>
    <w:p>
      <w:pPr>
        <w:pStyle w:val="Style21"/>
        <w:keepNext w:val="0"/>
        <w:keepLines w:val="0"/>
        <w:widowControl w:val="0"/>
        <w:numPr>
          <w:ilvl w:val="0"/>
          <w:numId w:val="19"/>
        </w:numPr>
        <w:shd w:val="clear" w:color="auto" w:fill="auto"/>
        <w:tabs>
          <w:tab w:pos="728" w:val="left"/>
        </w:tabs>
        <w:bidi w:val="0"/>
        <w:spacing w:before="0" w:after="260" w:line="312" w:lineRule="exact"/>
        <w:ind w:left="0" w:right="0" w:firstLine="380"/>
        <w:jc w:val="both"/>
      </w:pPr>
      <w:bookmarkStart w:id="1054" w:name="bookmark1054"/>
      <w:bookmarkEnd w:id="1054"/>
      <w:r>
        <w:rPr>
          <w:color w:val="000000"/>
          <w:spacing w:val="0"/>
          <w:w w:val="100"/>
          <w:position w:val="0"/>
        </w:rPr>
        <w:t>定制软件收入的确认原则及方法：公司定制软件业务系根据用户的实际需求进行专门的软件开发或实施，由此开发出 来的软件不具有通用性。其收入确认原则及方法为：在项目开发或实施完成，取得客户的验收文件时确认相关收入。</w:t>
      </w:r>
    </w:p>
    <w:p>
      <w:pPr>
        <w:pStyle w:val="Style21"/>
        <w:keepNext w:val="0"/>
        <w:keepLines w:val="0"/>
        <w:widowControl w:val="0"/>
        <w:numPr>
          <w:ilvl w:val="0"/>
          <w:numId w:val="19"/>
        </w:numPr>
        <w:shd w:val="clear" w:color="auto" w:fill="auto"/>
        <w:tabs>
          <w:tab w:pos="728" w:val="left"/>
        </w:tabs>
        <w:bidi w:val="0"/>
        <w:spacing w:before="0" w:after="260" w:line="312" w:lineRule="exact"/>
        <w:ind w:left="0" w:right="0" w:firstLine="380"/>
        <w:jc w:val="both"/>
      </w:pPr>
      <w:bookmarkStart w:id="1055" w:name="bookmark1055"/>
      <w:bookmarkEnd w:id="1055"/>
      <w:r>
        <w:rPr>
          <w:color w:val="000000"/>
          <w:spacing w:val="0"/>
          <w:w w:val="100"/>
          <w:position w:val="0"/>
        </w:rPr>
        <w:t>技术服务收入的确认原则及方法：主要包括已有系统的年度运维、人天外包类开发或服务和技术支持等。技术服务的 提供主要包括现场实施、驻场运维、远程维护、热线支持等形式。</w:t>
      </w:r>
    </w:p>
    <w:p>
      <w:pPr>
        <w:pStyle w:val="Style2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未约定根据工作量结算的技术服务收入确认的具体方法为：根据合同规定按照直线法在服务期间内分期确认收入。</w:t>
      </w:r>
    </w:p>
    <w:p>
      <w:pPr>
        <w:pStyle w:val="Style21"/>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约定根据工作量结算的技术服务收入确认的具体方法为：根据合同按照实际工作量在服务期间内分期确认收入。</w:t>
      </w:r>
    </w:p>
    <w:p>
      <w:pPr>
        <w:pStyle w:val="Style21"/>
        <w:keepNext w:val="0"/>
        <w:keepLines w:val="0"/>
        <w:widowControl w:val="0"/>
        <w:numPr>
          <w:ilvl w:val="0"/>
          <w:numId w:val="19"/>
        </w:numPr>
        <w:shd w:val="clear" w:color="auto" w:fill="auto"/>
        <w:tabs>
          <w:tab w:pos="723" w:val="left"/>
        </w:tabs>
        <w:bidi w:val="0"/>
        <w:spacing w:before="0" w:after="260" w:line="312" w:lineRule="exact"/>
        <w:ind w:left="0" w:right="0" w:firstLine="380"/>
        <w:jc w:val="both"/>
      </w:pPr>
      <w:bookmarkStart w:id="1056" w:name="bookmark1056"/>
      <w:bookmarkEnd w:id="1056"/>
      <w:r>
        <w:rPr>
          <w:color w:val="000000"/>
          <w:spacing w:val="0"/>
          <w:w w:val="100"/>
          <w:position w:val="0"/>
        </w:rPr>
        <w:t>产品化软件销售收入的确认原则及方法：产品化软件是指公司拥有著作权，销售时不转让所有权的软件产品。该类产 品，需安装调试的按合同约定在实施完成并经对方验收合格后确认收入；不需安装的以产品交付并经购货方验收合格后确认 收入。</w:t>
      </w:r>
    </w:p>
    <w:p>
      <w:pPr>
        <w:pStyle w:val="Style21"/>
        <w:keepNext w:val="0"/>
        <w:keepLines w:val="0"/>
        <w:widowControl w:val="0"/>
        <w:numPr>
          <w:ilvl w:val="0"/>
          <w:numId w:val="19"/>
        </w:numPr>
        <w:shd w:val="clear" w:color="auto" w:fill="auto"/>
        <w:tabs>
          <w:tab w:pos="753" w:val="left"/>
        </w:tabs>
        <w:bidi w:val="0"/>
        <w:spacing w:before="0" w:after="260" w:line="312" w:lineRule="exact"/>
        <w:ind w:left="0" w:right="0" w:firstLine="380"/>
        <w:jc w:val="both"/>
      </w:pPr>
      <w:bookmarkStart w:id="1057" w:name="bookmark1057"/>
      <w:bookmarkEnd w:id="1057"/>
      <w:r>
        <w:rPr>
          <w:color w:val="000000"/>
          <w:spacing w:val="0"/>
          <w:w w:val="100"/>
          <w:position w:val="0"/>
        </w:rPr>
        <w:t>硬件产品销售收入的确认原则及方法参照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产品化软件销售收入的确认原则及方法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numPr>
          <w:ilvl w:val="0"/>
          <w:numId w:val="19"/>
        </w:numPr>
        <w:shd w:val="clear" w:color="auto" w:fill="auto"/>
        <w:tabs>
          <w:tab w:pos="728" w:val="left"/>
        </w:tabs>
        <w:bidi w:val="0"/>
        <w:spacing w:before="0" w:after="260" w:line="312" w:lineRule="exact"/>
        <w:ind w:left="0" w:right="0" w:firstLine="380"/>
        <w:jc w:val="both"/>
      </w:pPr>
      <w:bookmarkStart w:id="1058" w:name="bookmark1058"/>
      <w:bookmarkEnd w:id="1058"/>
      <w:r>
        <w:rPr>
          <w:color w:val="000000"/>
          <w:spacing w:val="0"/>
          <w:w w:val="100"/>
          <w:position w:val="0"/>
        </w:rPr>
        <w:t>公司的服务外包业务主要包括手机软件测试业务与会计服务业务。手机软件测试业务主要为公司子公司普联数科的主 营业务，主要业务方向为手机软件测试等；会计服务业务指利用现代信息技术代理客户进行账务处理等。其确认原则及方法 参照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技术服务收入的确认原则及方法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numPr>
          <w:ilvl w:val="0"/>
          <w:numId w:val="19"/>
        </w:numPr>
        <w:shd w:val="clear" w:color="auto" w:fill="auto"/>
        <w:tabs>
          <w:tab w:pos="753" w:val="left"/>
        </w:tabs>
        <w:bidi w:val="0"/>
        <w:spacing w:before="0" w:after="400" w:line="312" w:lineRule="exact"/>
        <w:ind w:left="0" w:right="0" w:firstLine="380"/>
        <w:jc w:val="both"/>
      </w:pPr>
      <w:bookmarkStart w:id="1059" w:name="bookmark1059"/>
      <w:bookmarkEnd w:id="1059"/>
      <w:r>
        <w:rPr>
          <w:color w:val="000000"/>
          <w:spacing w:val="0"/>
          <w:w w:val="100"/>
          <w:position w:val="0"/>
        </w:rPr>
        <w:t>对于与客户签订合同时涉及质保金条款的，质保金在质保期期满时确认收入，并结转质保期内成本。</w:t>
      </w:r>
    </w:p>
    <w:p>
      <w:pPr>
        <w:pStyle w:val="Style31"/>
        <w:keepNext/>
        <w:keepLines/>
        <w:widowControl w:val="0"/>
        <w:shd w:val="clear" w:color="auto" w:fill="auto"/>
        <w:bidi w:val="0"/>
        <w:spacing w:before="0" w:after="26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4</w:t>
      </w:r>
      <w:bookmarkEnd w:id="106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60"/>
      <w:bookmarkEnd w:id="1061"/>
      <w:bookmarkEnd w:id="1063"/>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政府补助在满足政府补助所附条件并能够收到时确认。</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对于货币性资产的政府补助，按照收到的金额计量。对于非货币性资产的政府补助，按照公允价值计量；公允价值不能 够可靠取得的，按照名义金额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元计量。</w:t>
      </w:r>
    </w:p>
    <w:p>
      <w:pPr>
        <w:pStyle w:val="Style21"/>
        <w:keepNext w:val="0"/>
        <w:keepLines w:val="0"/>
        <w:widowControl w:val="0"/>
        <w:shd w:val="clear" w:color="auto" w:fill="auto"/>
        <w:bidi w:val="0"/>
        <w:spacing w:before="0" w:after="200" w:line="317" w:lineRule="exact"/>
        <w:ind w:left="0" w:right="0" w:firstLine="380"/>
        <w:jc w:val="both"/>
      </w:pPr>
      <w:r>
        <w:rPr>
          <w:color w:val="000000"/>
          <w:spacing w:val="0"/>
          <w:w w:val="100"/>
          <w:position w:val="0"/>
        </w:rPr>
        <w:t>与资产相关的政府补助，是指本公司取得的、用于购建或以其他方式形成长期资产的政府补助；除此之外，作为与收益 相关的政府补助。</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对于政府文件未明确规定补助对象的，能够形成长期资产的，与资产价值相对应的政府补助部分作为与资产相关的政府 补助，其余部分作为与收益相关的政府补助；难以区分的，将政府补助整体作为与收益相关的政府补助。</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 xml:space="preserve">与资产相关的政府补助，冲减相关资产的账面价值，或者确认为递延收益在相关资产使用期限内按照合理、系统的方法 </w:t>
      </w:r>
      <w:r>
        <w:rPr>
          <w:color w:val="000000"/>
          <w:spacing w:val="0"/>
          <w:w w:val="100"/>
          <w:position w:val="0"/>
        </w:rPr>
        <w:t>分期计入损益。与收益相关的政府补助，用于补偿已发生的相关成本费用或损失的，计入当期损益或冲减相关成本；用于补 偿以后期间的相关成本费用或损失的，则计入递延收益，于相关成本费用或损失确认期间计入当期损益或冲减相关成本。按 照名义金额计量的政府补助，直接计入当期损益。本公司对相同或类似的政府补助业务，采用一致的方法处理。</w:t>
      </w:r>
    </w:p>
    <w:p>
      <w:pPr>
        <w:pStyle w:val="Style21"/>
        <w:keepNext w:val="0"/>
        <w:keepLines w:val="0"/>
        <w:widowControl w:val="0"/>
        <w:shd w:val="clear" w:color="auto" w:fill="auto"/>
        <w:bidi w:val="0"/>
        <w:spacing w:before="0" w:after="200" w:line="322" w:lineRule="exact"/>
        <w:ind w:left="0" w:right="0" w:firstLine="380"/>
        <w:jc w:val="both"/>
      </w:pPr>
      <w:r>
        <w:rPr>
          <w:color w:val="000000"/>
          <w:spacing w:val="0"/>
          <w:w w:val="100"/>
          <w:position w:val="0"/>
        </w:rPr>
        <w:t>与日常活动相关的政府补助，按照经济业务实质，计入其他收益或冲减相关成本费用。与日常活动无关的政府补助，计 入营业外收支。</w:t>
      </w:r>
    </w:p>
    <w:p>
      <w:pPr>
        <w:pStyle w:val="Style21"/>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1"/>
        <w:keepNext/>
        <w:keepLines/>
        <w:widowControl w:val="0"/>
        <w:shd w:val="clear" w:color="auto" w:fill="auto"/>
        <w:tabs>
          <w:tab w:pos="471" w:val="left"/>
        </w:tabs>
        <w:bidi w:val="0"/>
        <w:spacing w:before="0" w:after="28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4</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4"/>
      <w:bookmarkEnd w:id="1065"/>
      <w:bookmarkEnd w:id="1067"/>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所得税包括当期所得税和递延所得税。除由于企业合并产生的调整商誉，或与直接计入所有者权益的交易或者事项相关 的递延所得税计入所有者权益外，均作为所得税费用计入当期损益。</w:t>
      </w:r>
    </w:p>
    <w:p>
      <w:pPr>
        <w:pStyle w:val="Style21"/>
        <w:keepNext w:val="0"/>
        <w:keepLines w:val="0"/>
        <w:widowControl w:val="0"/>
        <w:shd w:val="clear" w:color="auto" w:fill="auto"/>
        <w:bidi w:val="0"/>
        <w:spacing w:before="0" w:after="200" w:line="312" w:lineRule="exact"/>
        <w:ind w:left="0" w:right="0" w:firstLine="380"/>
        <w:jc w:val="both"/>
      </w:pPr>
      <w:r>
        <w:rPr>
          <w:color w:val="000000"/>
          <w:spacing w:val="0"/>
          <w:w w:val="100"/>
          <w:position w:val="0"/>
        </w:rPr>
        <w:t>本公司根据资产、负债于资产负债表日的账面价值与计税基础之间的暂时性差异，采用资产负债表债务法确认递延所得 税。</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各项应纳税暂时性差异均确认相关的递延所得税负债，除非该应纳税暂时性差异是在以下交易中产生的：</w:t>
      </w:r>
    </w:p>
    <w:p>
      <w:pPr>
        <w:pStyle w:val="Style21"/>
        <w:keepNext w:val="0"/>
        <w:keepLines w:val="0"/>
        <w:widowControl w:val="0"/>
        <w:shd w:val="clear" w:color="auto" w:fill="auto"/>
        <w:tabs>
          <w:tab w:pos="888" w:val="left"/>
        </w:tabs>
        <w:bidi w:val="0"/>
        <w:spacing w:before="0" w:after="200" w:line="312" w:lineRule="exact"/>
        <w:ind w:left="0" w:right="0" w:firstLine="380"/>
        <w:jc w:val="left"/>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商誉的初始确认，或者具有以下特征的交易中产生的资产或负债的初始确认：该交易不是企业合并，并且交易发 生时既不影响会计利润也不影响应纳税所得额；</w:t>
      </w:r>
    </w:p>
    <w:p>
      <w:pPr>
        <w:pStyle w:val="Style21"/>
        <w:keepNext w:val="0"/>
        <w:keepLines w:val="0"/>
        <w:widowControl w:val="0"/>
        <w:shd w:val="clear" w:color="auto" w:fill="auto"/>
        <w:tabs>
          <w:tab w:pos="883" w:val="left"/>
        </w:tabs>
        <w:bidi w:val="0"/>
        <w:spacing w:before="0" w:after="200" w:line="326" w:lineRule="exact"/>
        <w:ind w:left="0" w:right="0" w:firstLine="38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对于与子公司、合营企业及联营企业投资相关的应纳税暂时性差异，该暂时性差异转回的时间能够控制并且该暂 时性差异在可预见的未来很可能不会转回。</w:t>
      </w:r>
    </w:p>
    <w:p>
      <w:pPr>
        <w:pStyle w:val="Style21"/>
        <w:keepNext w:val="0"/>
        <w:keepLines w:val="0"/>
        <w:widowControl w:val="0"/>
        <w:shd w:val="clear" w:color="auto" w:fill="auto"/>
        <w:bidi w:val="0"/>
        <w:spacing w:before="0" w:after="200" w:line="305" w:lineRule="exact"/>
        <w:ind w:left="0" w:right="0" w:firstLine="380"/>
        <w:jc w:val="left"/>
      </w:pPr>
      <w:r>
        <w:rPr>
          <w:color w:val="000000"/>
          <w:spacing w:val="0"/>
          <w:w w:val="100"/>
          <w:position w:val="0"/>
        </w:rPr>
        <w:t>对于可抵扣暂时性差异、能够结转以后年度的可抵扣亏损和税款抵减，本公司以很可能取得用来抵扣可抵扣暂时性差异、 可抵扣亏损和税款抵减的未来应纳税所得额为限，确认由此产生的递延所得税资产，除非该可抵扣暂时性差异是在以下交易 中产生的：</w:t>
      </w:r>
    </w:p>
    <w:p>
      <w:pPr>
        <w:pStyle w:val="Style21"/>
        <w:keepNext w:val="0"/>
        <w:keepLines w:val="0"/>
        <w:widowControl w:val="0"/>
        <w:shd w:val="clear" w:color="auto" w:fill="auto"/>
        <w:tabs>
          <w:tab w:pos="812" w:val="left"/>
        </w:tabs>
        <w:bidi w:val="0"/>
        <w:spacing w:before="0" w:after="200" w:line="312" w:lineRule="exact"/>
        <w:ind w:left="0" w:right="0" w:firstLine="380"/>
        <w:jc w:val="left"/>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该交易不是企业合并，并且交易发生时既不影响会计利润也不影响应纳税所得额；</w:t>
      </w:r>
    </w:p>
    <w:p>
      <w:pPr>
        <w:pStyle w:val="Style21"/>
        <w:keepNext w:val="0"/>
        <w:keepLines w:val="0"/>
        <w:widowControl w:val="0"/>
        <w:shd w:val="clear" w:color="auto" w:fill="auto"/>
        <w:tabs>
          <w:tab w:pos="893" w:val="left"/>
        </w:tabs>
        <w:bidi w:val="0"/>
        <w:spacing w:before="0" w:after="200" w:line="326" w:lineRule="exact"/>
        <w:ind w:left="0" w:right="0" w:firstLine="380"/>
        <w:jc w:val="left"/>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于资产负债表日，本公司对递延所得税资产和递延所得税负债，按照预期收回该资产或清偿该负债期间的适用税率计量， 并反映资产负债表日预期收回资产或清偿负债方式的所得税影响。</w:t>
      </w:r>
    </w:p>
    <w:p>
      <w:pPr>
        <w:pStyle w:val="Style21"/>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于资产负债表日，本公司对递延所得税资产的账面价值进行复核。如果未来期间很可能无法获得足够的应纳税所得额用 以抵扣递延所得税资产的利益，减记递延所得税资产的账面价值。在很可能获得足够的应纳税所得额时，减记的金额予以转 回。</w:t>
      </w:r>
    </w:p>
    <w:p>
      <w:pPr>
        <w:pStyle w:val="Style31"/>
        <w:keepNext/>
        <w:keepLines/>
        <w:widowControl w:val="0"/>
        <w:shd w:val="clear" w:color="auto" w:fill="auto"/>
        <w:tabs>
          <w:tab w:pos="471" w:val="left"/>
        </w:tabs>
        <w:bidi w:val="0"/>
        <w:spacing w:before="0" w:after="380" w:line="240" w:lineRule="auto"/>
        <w:ind w:left="0" w:right="0" w:firstLine="0"/>
        <w:jc w:val="left"/>
      </w:pPr>
      <w:bookmarkStart w:id="1072" w:name="bookmark1072"/>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4</w:t>
      </w:r>
      <w:bookmarkEnd w:id="1074"/>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72"/>
      <w:bookmarkEnd w:id="1073"/>
      <w:bookmarkEnd w:id="1075"/>
    </w:p>
    <w:p>
      <w:pPr>
        <w:pStyle w:val="Style40"/>
        <w:keepNext/>
        <w:keepLines/>
        <w:widowControl w:val="0"/>
        <w:shd w:val="clear" w:color="auto" w:fill="auto"/>
        <w:bidi w:val="0"/>
        <w:spacing w:before="0" w:after="280" w:line="240" w:lineRule="auto"/>
        <w:ind w:left="0" w:right="0" w:firstLine="0"/>
        <w:jc w:val="left"/>
      </w:pPr>
      <w:bookmarkStart w:id="1076" w:name="bookmark1076"/>
      <w:bookmarkStart w:id="1077" w:name="bookmark1077"/>
      <w:bookmarkStart w:id="1078" w:name="bookmark1078"/>
      <w:bookmarkStart w:id="1079" w:name="bookmark1079"/>
      <w:r>
        <w:rPr>
          <w:color w:val="000000"/>
          <w:spacing w:val="0"/>
          <w:w w:val="100"/>
          <w:position w:val="0"/>
        </w:rPr>
        <w:t>（</w:t>
      </w:r>
      <w:bookmarkEnd w:id="1078"/>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76"/>
      <w:bookmarkEnd w:id="1077"/>
      <w:bookmarkEnd w:id="1079"/>
    </w:p>
    <w:p>
      <w:pPr>
        <w:pStyle w:val="Style21"/>
        <w:keepNext w:val="0"/>
        <w:keepLines w:val="0"/>
        <w:widowControl w:val="0"/>
        <w:shd w:val="clear" w:color="auto" w:fill="auto"/>
        <w:bidi w:val="0"/>
        <w:spacing w:before="0" w:after="200" w:line="312" w:lineRule="exact"/>
        <w:ind w:left="0" w:right="0" w:firstLine="380"/>
        <w:jc w:val="both"/>
      </w:pPr>
      <w:r>
        <w:rPr>
          <w:b/>
          <w:bCs/>
          <w:color w:val="000000"/>
          <w:spacing w:val="0"/>
          <w:w w:val="100"/>
          <w:position w:val="0"/>
        </w:rPr>
        <w:t>本公司作为出租人</w:t>
      </w:r>
    </w:p>
    <w:p>
      <w:pPr>
        <w:pStyle w:val="Style21"/>
        <w:keepNext w:val="0"/>
        <w:keepLines w:val="0"/>
        <w:widowControl w:val="0"/>
        <w:shd w:val="clear" w:color="auto" w:fill="auto"/>
        <w:bidi w:val="0"/>
        <w:spacing w:before="0" w:after="380" w:line="314" w:lineRule="exact"/>
        <w:ind w:left="0" w:right="0"/>
        <w:jc w:val="both"/>
      </w:pPr>
      <w:r>
        <w:rPr>
          <w:color w:val="000000"/>
          <w:spacing w:val="0"/>
          <w:w w:val="100"/>
          <w:position w:val="0"/>
        </w:rPr>
        <w:t>经营租赁中的租金，本公司在租赁期内各个期间按照直线法确认当期损益。发生的与经营租赁有关的初始直接费用应当 资本化，在租赁期内按照与租金收入确认相同的基础进行分摊，分期计入当期损益。取得的与经营租赁有关的未计入租赁收 款额的可变租赁付款额，在实际发生时计入当期损益。</w:t>
      </w:r>
    </w:p>
    <w:p>
      <w:pPr>
        <w:pStyle w:val="Style40"/>
        <w:keepNext/>
        <w:keepLines/>
        <w:widowControl w:val="0"/>
        <w:shd w:val="clear" w:color="auto" w:fill="auto"/>
        <w:bidi w:val="0"/>
        <w:spacing w:before="0" w:after="2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80"/>
      <w:bookmarkEnd w:id="1081"/>
      <w:bookmarkEnd w:id="1083"/>
    </w:p>
    <w:p>
      <w:pPr>
        <w:pStyle w:val="Style21"/>
        <w:keepNext w:val="0"/>
        <w:keepLines w:val="0"/>
        <w:widowControl w:val="0"/>
        <w:shd w:val="clear" w:color="auto" w:fill="auto"/>
        <w:tabs>
          <w:tab w:pos="753" w:val="left"/>
        </w:tabs>
        <w:bidi w:val="0"/>
        <w:spacing w:before="0" w:after="200" w:line="312" w:lineRule="exact"/>
        <w:ind w:left="0" w:right="0" w:firstLine="320"/>
        <w:jc w:val="both"/>
      </w:pPr>
      <w:bookmarkStart w:id="1084" w:name="bookmark1084"/>
      <w:r>
        <w:rPr>
          <w:b/>
          <w:bCs/>
          <w:color w:val="000000"/>
          <w:spacing w:val="0"/>
          <w:w w:val="100"/>
          <w:position w:val="0"/>
        </w:rPr>
        <w:t>（</w:t>
      </w:r>
      <w:bookmarkEnd w:id="108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租赁的识别</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在合同开始日，本公司作为承租人或出租人评估合同中的客户是否有权获得在使用期间内因使用已识别资产所产生的几 乎全部经济利益，并有权在该使用期间主导已识别资产的使用。如果合同中一方让渡了在一定期间内控制一项或多项已识别 资产使用的权利以换取对价，则本公司认定合同为租赁或者包含租赁。</w:t>
      </w:r>
    </w:p>
    <w:p>
      <w:pPr>
        <w:pStyle w:val="Style21"/>
        <w:keepNext w:val="0"/>
        <w:keepLines w:val="0"/>
        <w:widowControl w:val="0"/>
        <w:shd w:val="clear" w:color="auto" w:fill="auto"/>
        <w:tabs>
          <w:tab w:pos="793" w:val="left"/>
        </w:tabs>
        <w:bidi w:val="0"/>
        <w:spacing w:before="0" w:after="200" w:line="312" w:lineRule="exact"/>
        <w:ind w:left="0" w:right="0"/>
        <w:jc w:val="both"/>
      </w:pPr>
      <w:bookmarkStart w:id="1085" w:name="bookmark1085"/>
      <w:r>
        <w:rPr>
          <w:b/>
          <w:bCs/>
          <w:color w:val="000000"/>
          <w:spacing w:val="0"/>
          <w:w w:val="100"/>
          <w:position w:val="0"/>
        </w:rPr>
        <w:t>（</w:t>
      </w:r>
      <w:bookmarkEnd w:id="108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本公司作为承租人</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在租赁期开始日，本公司对所有租赁确认使用权资产和租赁负债，简化处理的短期租赁和低价值资产租赁除外。</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使用权资产的会计政策见本附注五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使用权资产。</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租赁负债按照租赁期开始日尚未支付的租赁付款额采用租赁内含利率计算的现值进行初始计量，无法确定租赁内含利率 的，采用增量借款利率作为折现率。租赁付款额包括：固定付款额及实质固定付款额，存在租赁激励的，扣除租赁激励相关 金额；取决于指数或比率的可变租赁付款额；购买选择权的行权价格，前提是承租人合理确定将行使该选择权；行使终止租 赁选择权需支付的款项，前提是租赁期反映出承租人将行使终止租赁选择权；以及根据承租人提供的担保余值预计应支付的 款项。后续按照固定的周期性利率计算租赁负债在租赁期内各期间的利息费用，并计入当期损益。未纳入租赁负债计量的可 变租赁付款额在实际发生时计入当期损益。</w:t>
      </w:r>
    </w:p>
    <w:p>
      <w:pPr>
        <w:pStyle w:val="Style21"/>
        <w:keepNext w:val="0"/>
        <w:keepLines w:val="0"/>
        <w:widowControl w:val="0"/>
        <w:shd w:val="clear" w:color="auto" w:fill="auto"/>
        <w:tabs>
          <w:tab w:pos="753" w:val="left"/>
        </w:tabs>
        <w:bidi w:val="0"/>
        <w:spacing w:before="0" w:after="200" w:line="312" w:lineRule="exact"/>
        <w:ind w:left="0" w:right="0" w:firstLine="320"/>
        <w:jc w:val="both"/>
      </w:pPr>
      <w:bookmarkStart w:id="1086" w:name="bookmark1086"/>
      <w:r>
        <w:rPr>
          <w:b/>
          <w:bCs/>
          <w:color w:val="000000"/>
          <w:spacing w:val="0"/>
          <w:w w:val="100"/>
          <w:position w:val="0"/>
        </w:rPr>
        <w:t>（</w:t>
      </w:r>
      <w:bookmarkEnd w:id="1086"/>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本公司作为出租人</w:t>
      </w:r>
    </w:p>
    <w:p>
      <w:pPr>
        <w:pStyle w:val="Style21"/>
        <w:keepNext w:val="0"/>
        <w:keepLines w:val="0"/>
        <w:widowControl w:val="0"/>
        <w:shd w:val="clear" w:color="auto" w:fill="auto"/>
        <w:bidi w:val="0"/>
        <w:spacing w:before="0" w:after="380" w:line="312" w:lineRule="exact"/>
        <w:ind w:left="0" w:right="0"/>
        <w:jc w:val="both"/>
      </w:pPr>
      <w:r>
        <w:rPr>
          <w:color w:val="000000"/>
          <w:spacing w:val="0"/>
          <w:w w:val="100"/>
          <w:position w:val="0"/>
        </w:rPr>
        <w:t>本公司作为出租人时，将实质上转移了与资产所有权有关的全部风险和报酬的租赁确认为融资租赁，除融资租赁之外的 其他租赁确认为经营租赁。</w:t>
      </w:r>
    </w:p>
    <w:p>
      <w:pPr>
        <w:pStyle w:val="Style31"/>
        <w:keepNext/>
        <w:keepLines/>
        <w:widowControl w:val="0"/>
        <w:shd w:val="clear" w:color="auto" w:fill="auto"/>
        <w:bidi w:val="0"/>
        <w:spacing w:before="0" w:after="2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087"/>
      <w:bookmarkEnd w:id="1088"/>
      <w:bookmarkEnd w:id="1090"/>
    </w:p>
    <w:p>
      <w:pPr>
        <w:pStyle w:val="Style21"/>
        <w:keepNext w:val="0"/>
        <w:keepLines w:val="0"/>
        <w:widowControl w:val="0"/>
        <w:shd w:val="clear" w:color="auto" w:fill="auto"/>
        <w:bidi w:val="0"/>
        <w:spacing w:before="0" w:after="200" w:line="312" w:lineRule="exact"/>
        <w:ind w:left="0" w:right="0" w:firstLine="3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）重大会计判断和估计</w:t>
      </w:r>
    </w:p>
    <w:p>
      <w:pPr>
        <w:pStyle w:val="Style21"/>
        <w:keepNext w:val="0"/>
        <w:keepLines w:val="0"/>
        <w:widowControl w:val="0"/>
        <w:shd w:val="clear" w:color="auto" w:fill="auto"/>
        <w:bidi w:val="0"/>
        <w:spacing w:before="0" w:after="200" w:line="312" w:lineRule="exact"/>
        <w:ind w:left="0" w:right="0"/>
        <w:jc w:val="both"/>
      </w:pPr>
      <w:r>
        <w:rPr>
          <w:color w:val="212121"/>
          <w:spacing w:val="0"/>
          <w:w w:val="100"/>
          <w:position w:val="0"/>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21"/>
        <w:keepNext w:val="0"/>
        <w:keepLines w:val="0"/>
        <w:widowControl w:val="0"/>
        <w:shd w:val="clear" w:color="auto" w:fill="auto"/>
        <w:bidi w:val="0"/>
        <w:spacing w:before="0" w:after="200" w:line="312" w:lineRule="exact"/>
        <w:ind w:left="0" w:right="0"/>
        <w:jc w:val="both"/>
      </w:pPr>
      <w:r>
        <w:rPr>
          <w:b/>
          <w:bCs/>
          <w:color w:val="000000"/>
          <w:spacing w:val="0"/>
          <w:w w:val="100"/>
          <w:position w:val="0"/>
        </w:rPr>
        <w:t>金融资产的分类</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本公司在确定金融资产的分类时涉及的重大判断包括业务模式及合同现金流量特征的分析等。</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本公司在金融资产组合的层次上确定管理金融资产的业务模式，考虑的因素包括评价和向关键管理人员报告金融资产业 绩的方式、影响金融资产业绩的风险及其管理方式、以及相关业务管理人员获得报酬的方式等。</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本公司在评估金融资产的合同现金流量是否与基本借贷安排相一致时，存在以下主要判断：本金是否可能因提前还款等 原因导致在存续期内的时间分布或者金额发生变动；利息是否仅包括货币时间价值、信用风险、其他基本借贷风险以及与成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本和利润的对价。例如，提前偿付的金额是否仅反映了尚未支付的本金及以未偿付本金为基础的利息，以及因提前终止合同 而支付的合理补偿。</w:t>
      </w:r>
    </w:p>
    <w:p>
      <w:pPr>
        <w:pStyle w:val="Style21"/>
        <w:keepNext w:val="0"/>
        <w:keepLines w:val="0"/>
        <w:widowControl w:val="0"/>
        <w:shd w:val="clear" w:color="auto" w:fill="auto"/>
        <w:bidi w:val="0"/>
        <w:spacing w:before="0" w:after="200" w:line="313" w:lineRule="exact"/>
        <w:ind w:left="0" w:right="0"/>
        <w:jc w:val="both"/>
      </w:pPr>
      <w:r>
        <w:rPr>
          <w:b/>
          <w:bCs/>
          <w:color w:val="000000"/>
          <w:spacing w:val="0"/>
          <w:w w:val="100"/>
          <w:position w:val="0"/>
        </w:rPr>
        <w:t>应收账款预期信用损失的计量</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本公司通过应收账款违约风险敞口和预期信用损失率计算应收账款预期信用损失，并基于违约概率和违约损失率确定预 期信用损失率。在确定预期信用损失率时，本公司使用内部历史信用损失经验等数据，并结合当前状况和前瞻性信息对历史 数据进行调整。在考虑前瞻性信息时，本公司使用的指标包括经济下滑的风险、外部市场环境、技术环境和客户情况的变化 等。本公司定期监控并复核与预期信用损失计算相关的假设。</w:t>
      </w:r>
    </w:p>
    <w:p>
      <w:pPr>
        <w:pStyle w:val="Style21"/>
        <w:keepNext w:val="0"/>
        <w:keepLines w:val="0"/>
        <w:widowControl w:val="0"/>
        <w:shd w:val="clear" w:color="auto" w:fill="auto"/>
        <w:bidi w:val="0"/>
        <w:spacing w:before="0" w:after="200" w:line="313" w:lineRule="exact"/>
        <w:ind w:left="0" w:right="0"/>
        <w:jc w:val="both"/>
      </w:pPr>
      <w:r>
        <w:rPr>
          <w:b/>
          <w:bCs/>
          <w:color w:val="000000"/>
          <w:spacing w:val="0"/>
          <w:w w:val="100"/>
          <w:position w:val="0"/>
        </w:rPr>
        <w:t>商誉减值</w:t>
      </w:r>
    </w:p>
    <w:p>
      <w:pPr>
        <w:pStyle w:val="Style21"/>
        <w:keepNext w:val="0"/>
        <w:keepLines w:val="0"/>
        <w:widowControl w:val="0"/>
        <w:shd w:val="clear" w:color="auto" w:fill="auto"/>
        <w:bidi w:val="0"/>
        <w:spacing w:before="0" w:after="200" w:line="317" w:lineRule="exact"/>
        <w:ind w:left="0" w:right="0"/>
        <w:jc w:val="both"/>
      </w:pPr>
      <w:r>
        <w:rPr>
          <w:color w:val="000000"/>
          <w:spacing w:val="0"/>
          <w:w w:val="100"/>
          <w:position w:val="0"/>
        </w:rPr>
        <w:t>本公司至少每年评估商誉是否发生减值。这要求对分配了商誉的资产组的使用价值进行估计。估计使用价值时，本公司 需要估计未来来自资产组的现金流量，同时选择恰当的折现率计算未来现金流量的现值。</w:t>
      </w:r>
    </w:p>
    <w:p>
      <w:pPr>
        <w:pStyle w:val="Style21"/>
        <w:keepNext w:val="0"/>
        <w:keepLines w:val="0"/>
        <w:widowControl w:val="0"/>
        <w:shd w:val="clear" w:color="auto" w:fill="auto"/>
        <w:bidi w:val="0"/>
        <w:spacing w:before="0" w:after="200" w:line="313" w:lineRule="exact"/>
        <w:ind w:left="0" w:right="0" w:firstLine="320"/>
        <w:jc w:val="both"/>
      </w:pPr>
      <w:r>
        <w:rPr>
          <w:b/>
          <w:bCs/>
          <w:color w:val="000000"/>
          <w:spacing w:val="0"/>
          <w:w w:val="100"/>
          <w:position w:val="0"/>
        </w:rPr>
        <w:t>递延所得税资产</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w:t>
      </w:r>
    </w:p>
    <w:p>
      <w:pPr>
        <w:pStyle w:val="Style21"/>
        <w:keepNext w:val="0"/>
        <w:keepLines w:val="0"/>
        <w:widowControl w:val="0"/>
        <w:shd w:val="clear" w:color="auto" w:fill="auto"/>
        <w:bidi w:val="0"/>
        <w:spacing w:before="0" w:after="200" w:line="313" w:lineRule="exact"/>
        <w:ind w:left="0" w:right="0" w:firstLine="32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）公允价值计量</w:t>
      </w:r>
    </w:p>
    <w:p>
      <w:pPr>
        <w:pStyle w:val="Style21"/>
        <w:keepNext w:val="0"/>
        <w:keepLines w:val="0"/>
        <w:widowControl w:val="0"/>
        <w:shd w:val="clear" w:color="auto" w:fill="auto"/>
        <w:bidi w:val="0"/>
        <w:spacing w:before="0" w:after="200" w:line="313" w:lineRule="exact"/>
        <w:ind w:left="0" w:right="0"/>
        <w:jc w:val="both"/>
      </w:pPr>
      <w:r>
        <w:rPr>
          <w:color w:val="000000"/>
          <w:spacing w:val="0"/>
          <w:w w:val="100"/>
          <w:position w:val="0"/>
        </w:rPr>
        <w:t>公允价值是指市场参与者在计量日发生的有序交易中，出售一项资产所能收到或者转移一项负债所需支付的价格。</w:t>
      </w:r>
    </w:p>
    <w:p>
      <w:pPr>
        <w:pStyle w:val="Style21"/>
        <w:keepNext w:val="0"/>
        <w:keepLines w:val="0"/>
        <w:widowControl w:val="0"/>
        <w:shd w:val="clear" w:color="auto" w:fill="auto"/>
        <w:bidi w:val="0"/>
        <w:spacing w:before="0" w:after="200" w:line="314" w:lineRule="exact"/>
        <w:ind w:left="0" w:right="0"/>
        <w:jc w:val="both"/>
      </w:pPr>
      <w:r>
        <w:rPr>
          <w:color w:val="000000"/>
          <w:spacing w:val="0"/>
          <w:w w:val="100"/>
          <w:position w:val="0"/>
        </w:rPr>
        <w:t>本公司以公允价值计量相关资产或负债，假定出售资产或者转移负债的有序交易在相关资产或负债的主要市场进行；不 存在主要市场的，本公司假定该交易在相关资产或负债的最有利市场进行。主要市场（或最有利市场）是本公司在计量日能 够进入的交易市场。本公司采用市场参与者在对该资产或负债定价时为实现其经济利益最大化所使用的假设。</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存在活跃市场的金融资产或金融负债，本公司采用活跃市场中的报价确定其公允价值。金融工具不存在活跃市场的，本 公司采用估值技术确定其公允价值。</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以公允价值计量非金融资产的，考虑市场参与者将该资产用于最佳用途产生经济利益的能力，或者将该资产出售给能够 用于最佳用途的其他市场参与者产生经济利益的能力。</w:t>
      </w:r>
    </w:p>
    <w:p>
      <w:pPr>
        <w:pStyle w:val="Style21"/>
        <w:keepNext w:val="0"/>
        <w:keepLines w:val="0"/>
        <w:widowControl w:val="0"/>
        <w:shd w:val="clear" w:color="auto" w:fill="auto"/>
        <w:bidi w:val="0"/>
        <w:spacing w:before="0" w:after="200" w:line="317" w:lineRule="exact"/>
        <w:ind w:left="0" w:right="0"/>
        <w:jc w:val="both"/>
      </w:pPr>
      <w:r>
        <w:rPr>
          <w:color w:val="000000"/>
          <w:spacing w:val="0"/>
          <w:w w:val="100"/>
          <w:position w:val="0"/>
        </w:rPr>
        <w:t>本公司采用在当前情况下适用并且有足够可利用数据和其他信息支持的估值技术，优先使用相关可观察输入值，只有在 可观察输入值无法取得或取得不切实可行的情况下，才使用不可观察输入值。</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在财务报表中以公允价值计量或披露的资产和负债，根据对公允价值计量整体而言具有重要意义的最低层次输入值，确 定所属的公允价值层次：第一层次输入值，是在计量日能够取得的相同资产或负债在活跃市场上未经调整的报价；第二层次 输入值，是除第一层次输入值外相关资产或负债直接或间接可观察的输入值；第三层次输入值，是相关资产或负债的不可观 察输入值。</w:t>
      </w:r>
    </w:p>
    <w:p>
      <w:pPr>
        <w:pStyle w:val="Style21"/>
        <w:keepNext w:val="0"/>
        <w:keepLines w:val="0"/>
        <w:widowControl w:val="0"/>
        <w:shd w:val="clear" w:color="auto" w:fill="auto"/>
        <w:bidi w:val="0"/>
        <w:spacing w:before="0" w:after="900" w:line="312" w:lineRule="exact"/>
        <w:ind w:left="0" w:right="0"/>
        <w:jc w:val="both"/>
      </w:pPr>
      <w:r>
        <w:rPr>
          <w:color w:val="000000"/>
          <w:spacing w:val="0"/>
          <w:w w:val="100"/>
          <w:position w:val="0"/>
        </w:rPr>
        <w:t>每个资产负债表日，本公司对在财务报表中确认的持续以公允价值计量的资产和负债进行重新评估，以确定是否在公允 价值计量层次之间发生转换。</w:t>
      </w:r>
    </w:p>
    <w:p>
      <w:pPr>
        <w:pStyle w:val="Style31"/>
        <w:keepNext/>
        <w:keepLines/>
        <w:widowControl w:val="0"/>
        <w:shd w:val="clear" w:color="auto" w:fill="auto"/>
        <w:bidi w:val="0"/>
        <w:spacing w:before="0" w:after="38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w:t>
      </w:r>
      <w:bookmarkEnd w:id="1093"/>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091"/>
      <w:bookmarkEnd w:id="1092"/>
      <w:bookmarkEnd w:id="1094"/>
    </w:p>
    <w:p>
      <w:pPr>
        <w:pStyle w:val="Style40"/>
        <w:keepNext/>
        <w:keepLines/>
        <w:widowControl w:val="0"/>
        <w:shd w:val="clear" w:color="auto" w:fill="auto"/>
        <w:bidi w:val="0"/>
        <w:spacing w:before="0" w:line="240" w:lineRule="auto"/>
        <w:ind w:left="0" w:right="0" w:firstLine="0"/>
        <w:jc w:val="both"/>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95"/>
      <w:bookmarkEnd w:id="1096"/>
      <w:bookmarkEnd w:id="1098"/>
    </w:p>
    <w:p>
      <w:pPr>
        <w:pStyle w:val="Style21"/>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795"/>
        <w:gridCol w:w="3259"/>
        <w:gridCol w:w="153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号——租赁（修 订）》，要求在境内外同时上市的企业以及在境外上市并采用 国际财务报告准则或企业会计准则编制财务报表的企业，自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日召开的第三届 董事会第八次会议，批准自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日起执行新租赁准则，对会计政策相关内 容进行了调整。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380" w:line="316" w:lineRule="exact"/>
        <w:ind w:left="0" w:right="0" w:firstLine="320"/>
        <w:jc w:val="both"/>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日起执行财政部修订印发的《企业会计准则第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号——租赁》（财会【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号）。根据新 租赁准则及其衔接规定，公司自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日起对所有租入资产（短期租赁和低价值资产租赁除外）确认使用权资产和租赁 负债，并分别确认折旧和利息费用，不调整可比期间信息。对于公司首次执行日前已存在的租赁合同，根据新租赁准则有关 规定进行衔接会计处理。本次会计政策变更不会对公司财务状况、经营成果和现金流量产生重大影响，亦不存在损害公司及 股东利益的情况。</w:t>
      </w:r>
    </w:p>
    <w:p>
      <w:pPr>
        <w:pStyle w:val="Style40"/>
        <w:keepNext/>
        <w:keepLines/>
        <w:widowControl w:val="0"/>
        <w:shd w:val="clear" w:color="auto" w:fill="auto"/>
        <w:tabs>
          <w:tab w:pos="493" w:val="left"/>
        </w:tabs>
        <w:bidi w:val="0"/>
        <w:spacing w:before="0" w:after="280" w:line="240" w:lineRule="auto"/>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99"/>
      <w:bookmarkEnd w:id="1100"/>
      <w:bookmarkEnd w:id="1102"/>
    </w:p>
    <w:p>
      <w:pPr>
        <w:pStyle w:val="Style21"/>
        <w:keepNext w:val="0"/>
        <w:keepLines w:val="0"/>
        <w:widowControl w:val="0"/>
        <w:shd w:val="clear" w:color="auto" w:fill="auto"/>
        <w:bidi w:val="0"/>
        <w:spacing w:before="0" w:after="380" w:line="31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80" w:line="240" w:lineRule="auto"/>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03"/>
      <w:bookmarkEnd w:id="1104"/>
      <w:bookmarkEnd w:id="1106"/>
    </w:p>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140" w:line="316" w:lineRule="exact"/>
        <w:ind w:left="0" w:right="0" w:firstLine="0"/>
        <w:jc w:val="both"/>
      </w:pPr>
      <w:r>
        <w:rPr>
          <w:color w:val="000000"/>
          <w:spacing w:val="0"/>
          <w:w w:val="100"/>
          <w:position w:val="0"/>
        </w:rPr>
        <w:t>合并资产负债表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84,050,580.36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84,050,580.36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135,900,000.00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7,083,386.71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7,083,386.71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203,245,374.13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203,245,374.13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5,068,144.38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5,068,144.38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42,256,585.46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42,256,585.46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8,258,930.51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8,524,596.29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265,665.78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485,901,915.75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486,167,581.53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265,665.78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8,024,715.41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8,024,715.41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5,605,834.84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5,605,834.84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13,373,613.68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13,373,613.68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401,312.84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7,332,107.01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7,332,107.01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1,657,481.75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1,657,481.75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2,679,116.97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2,679,116.97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55,700,568.82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69,074,182.50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13,373,613.68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541,602,484.57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555,241,764.03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13,639,279.46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8,806,302.31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8,806,302.31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15,400,477.01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15,400,477.01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67,776,465.38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67,776,465.38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21,428,520.76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21,428,520.76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18,450,870.88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18,450,870.88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133,966,644.07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133,966,644.07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13,639,279.46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13,639,279.46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17,868.75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17,868.75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13,657,148.21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13,639,279.46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133,984,512.82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147,623,792.28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13,639,279.46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81,173,143.50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81,173,143.50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375,054.44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228,273,015.64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228,273,015.64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407,617,971.75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407,617,971.75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407,617,971.75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541,602,484.57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555,241,764.03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13,639,279.46</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69,752,369.73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69,752,369.73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5,726,863.25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5,726,863.25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198,171,512.25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198,171,512.25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both"/>
              <w:rPr>
                <w:sz w:val="18"/>
                <w:szCs w:val="18"/>
              </w:rPr>
            </w:pPr>
            <w:r>
              <w:rPr>
                <w:rFonts w:ascii="Times New Roman" w:eastAsia="Times New Roman" w:hAnsi="Times New Roman" w:cs="Times New Roman"/>
                <w:color w:val="000000"/>
                <w:spacing w:val="0"/>
                <w:w w:val="100"/>
                <w:position w:val="0"/>
                <w:sz w:val="18"/>
                <w:szCs w:val="18"/>
              </w:rPr>
              <w:t>38,914.20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11,444,828.34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11,444,828.34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43,090,204.02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43,090,204.02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6,078,835.66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6,299,433.99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220,598.33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468,803,527.45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469,024,125.78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220,598.33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41,439,559.44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41,439,559.44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5,188,278.69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5,188,278.69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10,745,549.66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10,745,549.66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260,914.02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1,274,553.38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1,274,553.38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1,869,535.42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1,869,535.42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80,032,840.95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90,778,390.61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10,745,549.66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548,836,368.40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559,802,516.39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10,966,147.99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47,132,319.65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47,132,319.65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14,868,547.77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14,868,547.77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50,754,983.27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50,754,983.27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18,552,286.68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18,552,286.68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17,920,696.07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17,920,696.07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1,068,442.42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1,068,442.42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151,297,275.86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151,297,275.86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10,966,147.99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10,966,147.99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10,966,147.99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151,297,275.86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162,263,423.85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10,966,147.99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78,856,468.85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78,856,468.85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220,885,865.52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220,885,865.52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397,539,092.54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397,539,092.54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548,836,368.40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559,802,516.39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10,966,147.99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40"/>
        <w:keepNext/>
        <w:keepLines/>
        <w:widowControl w:val="0"/>
        <w:shd w:val="clear" w:color="auto" w:fill="auto"/>
        <w:tabs>
          <w:tab w:pos="493" w:val="left"/>
        </w:tabs>
        <w:bidi w:val="0"/>
        <w:spacing w:before="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shd w:val="clear" w:color="auto" w:fill="FFFFFF"/>
        </w:rPr>
        <w:t>（</w:t>
      </w:r>
      <w:bookmarkEnd w:id="110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07"/>
      <w:bookmarkEnd w:id="1108"/>
      <w:bookmarkEnd w:id="1110"/>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80" w:line="240" w:lineRule="auto"/>
        <w:ind w:left="0" w:right="0" w:firstLine="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111"/>
      <w:bookmarkEnd w:id="1112"/>
      <w:bookmarkEnd w:id="1113"/>
    </w:p>
    <w:p>
      <w:pPr>
        <w:pStyle w:val="Style25"/>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六</w:t>
      </w:r>
      <w:bookmarkEnd w:id="1116"/>
      <w:r>
        <w:rPr>
          <w:color w:val="000000"/>
          <w:spacing w:val="0"/>
          <w:w w:val="100"/>
          <w:position w:val="0"/>
        </w:rPr>
        <w:t>、税项</w:t>
      </w:r>
      <w:bookmarkEnd w:id="1114"/>
      <w:bookmarkEnd w:id="1115"/>
      <w:bookmarkEnd w:id="1117"/>
    </w:p>
    <w:p>
      <w:pPr>
        <w:pStyle w:val="Style31"/>
        <w:keepNext/>
        <w:keepLines/>
        <w:widowControl w:val="0"/>
        <w:shd w:val="clear" w:color="auto" w:fill="auto"/>
        <w:bidi w:val="0"/>
        <w:spacing w:before="0" w:after="32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color w:val="000000"/>
          <w:spacing w:val="0"/>
          <w:w w:val="100"/>
          <w:position w:val="0"/>
        </w:rPr>
        <w:t>、主要税种及税率</w:t>
      </w:r>
      <w:bookmarkEnd w:id="1118"/>
      <w:bookmarkEnd w:id="1119"/>
      <w:bookmarkEnd w:id="1121"/>
    </w:p>
    <w:tbl>
      <w:tblPr>
        <w:tblOverlap w:val="never"/>
        <w:jc w:val="center"/>
        <w:tblLayout w:type="fixed"/>
      </w:tblPr>
      <w:tblGrid>
        <w:gridCol w:w="3197"/>
        <w:gridCol w:w="2731"/>
        <w:gridCol w:w="36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（系普联大阪按日本税法规定缴纳）</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普联软件（香港）有限公司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普联中瑞（北京）软件有限公司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合肥普联朗霁软件有限公司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普联数字科技（济南）有限公司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普联智能数建科技（北京）有限公司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2</w:t>
      </w:r>
      <w:bookmarkEnd w:id="1124"/>
      <w:r>
        <w:rPr>
          <w:color w:val="000000"/>
          <w:spacing w:val="0"/>
          <w:w w:val="100"/>
          <w:position w:val="0"/>
        </w:rPr>
        <w:t>、税收优惠</w:t>
      </w:r>
      <w:bookmarkEnd w:id="1122"/>
      <w:bookmarkEnd w:id="1123"/>
      <w:bookmarkEnd w:id="1125"/>
    </w:p>
    <w:p>
      <w:pPr>
        <w:pStyle w:val="Style21"/>
        <w:keepNext w:val="0"/>
        <w:keepLines w:val="0"/>
        <w:widowControl w:val="0"/>
        <w:shd w:val="clear" w:color="auto" w:fill="auto"/>
        <w:bidi w:val="0"/>
        <w:spacing w:before="0" w:after="380" w:line="240" w:lineRule="auto"/>
        <w:ind w:left="0" w:right="0" w:firstLine="32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）增值税</w:t>
      </w:r>
    </w:p>
    <w:p>
      <w:pPr>
        <w:pStyle w:val="Style21"/>
        <w:keepNext w:val="0"/>
        <w:keepLines w:val="0"/>
        <w:widowControl w:val="0"/>
        <w:numPr>
          <w:ilvl w:val="0"/>
          <w:numId w:val="21"/>
        </w:numPr>
        <w:shd w:val="clear" w:color="auto" w:fill="auto"/>
        <w:tabs>
          <w:tab w:pos="658" w:val="left"/>
        </w:tabs>
        <w:bidi w:val="0"/>
        <w:spacing w:before="0" w:after="200" w:line="310" w:lineRule="exact"/>
        <w:ind w:left="0" w:right="0" w:firstLine="380"/>
        <w:jc w:val="both"/>
      </w:pPr>
      <w:bookmarkStart w:id="1126" w:name="bookmark1126"/>
      <w:bookmarkEnd w:id="1126"/>
      <w:r>
        <w:rPr>
          <w:color w:val="000000"/>
          <w:spacing w:val="0"/>
          <w:w w:val="100"/>
          <w:position w:val="0"/>
        </w:rPr>
        <w:t>根据国务院下发的《国务院关于印发进一步鼓励软件产业和集成电路产业发展若干政策的通知》（国发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rFonts w:ascii="Courier New" w:eastAsia="Courier New" w:hAnsi="Courier New" w:cs="Courier New"/>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 的规定，以及财政部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国家税务总局联合下发的《财政部、国家税务总局关于软件产品增值税政策的通知》（财税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rFonts w:ascii="Courier New" w:eastAsia="Courier New" w:hAnsi="Courier New" w:cs="Courier New"/>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日起，公司销售自行开发生产的软件产品，按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的法定税率征收增值税后，享受增值税实 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的部分实行即征即退的优惠政策。</w:t>
      </w:r>
    </w:p>
    <w:p>
      <w:pPr>
        <w:pStyle w:val="Style21"/>
        <w:keepNext w:val="0"/>
        <w:keepLines w:val="0"/>
        <w:widowControl w:val="0"/>
        <w:numPr>
          <w:ilvl w:val="0"/>
          <w:numId w:val="21"/>
        </w:numPr>
        <w:shd w:val="clear" w:color="auto" w:fill="auto"/>
        <w:tabs>
          <w:tab w:pos="668" w:val="left"/>
        </w:tabs>
        <w:bidi w:val="0"/>
        <w:spacing w:before="0" w:after="200" w:line="314" w:lineRule="exact"/>
        <w:ind w:left="0" w:right="0" w:firstLine="380"/>
        <w:jc w:val="both"/>
      </w:pPr>
      <w:bookmarkStart w:id="1127" w:name="bookmark1127"/>
      <w:bookmarkEnd w:id="1127"/>
      <w:r>
        <w:rPr>
          <w:color w:val="000000"/>
          <w:spacing w:val="0"/>
          <w:w w:val="100"/>
          <w:position w:val="0"/>
        </w:rPr>
        <w:t>根据《财政部国家税务总局关于全面推开营业税改征增值税试点的通知》（财税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rFonts w:ascii="Courier New" w:eastAsia="Courier New" w:hAnsi="Courier New" w:cs="Courier New"/>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号）的规定，下列项目免 征增值税：（二十六）纳税人提供技术转让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技术开发和与之相关的技术咨询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技术服务。公司经省级科技主管部门认定的技 术开发合同享受增值税免税的税收优惠政策。</w:t>
      </w:r>
    </w:p>
    <w:p>
      <w:pPr>
        <w:pStyle w:val="Style21"/>
        <w:keepNext w:val="0"/>
        <w:keepLines w:val="0"/>
        <w:widowControl w:val="0"/>
        <w:numPr>
          <w:ilvl w:val="0"/>
          <w:numId w:val="21"/>
        </w:numPr>
        <w:shd w:val="clear" w:color="auto" w:fill="auto"/>
        <w:tabs>
          <w:tab w:pos="668" w:val="left"/>
        </w:tabs>
        <w:bidi w:val="0"/>
        <w:spacing w:before="0" w:after="200" w:line="312" w:lineRule="exact"/>
        <w:ind w:left="0" w:right="0" w:firstLine="380"/>
        <w:jc w:val="both"/>
      </w:pPr>
      <w:bookmarkStart w:id="1128" w:name="bookmark1128"/>
      <w:bookmarkEnd w:id="1128"/>
      <w:r>
        <w:rPr>
          <w:color w:val="000000"/>
          <w:spacing w:val="0"/>
          <w:w w:val="100"/>
          <w:position w:val="0"/>
        </w:rPr>
        <w:t>根据《国务院关于促进服务外包产业加快发展的意见》、《营业税改征增值税跨境应税行为增值税免税管理办法（试 行）》、《关于跨境应税行为免税备案等增值税问题的公告》（国家税务总局公告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号）、《财政部国家税务总局 关于全面推开营业税改征增值税试点的通知》（财税</w:t>
      </w:r>
      <w:r>
        <w:rPr>
          <w:rFonts w:ascii="Times New Roman" w:eastAsia="Times New Roman" w:hAnsi="Times New Roman" w:cs="Times New Roman"/>
          <w:color w:val="000000"/>
          <w:spacing w:val="0"/>
          <w:w w:val="100"/>
          <w:position w:val="0"/>
          <w:sz w:val="18"/>
          <w:szCs w:val="18"/>
        </w:rPr>
        <w:t>［2016］36</w:t>
      </w:r>
      <w:r>
        <w:rPr>
          <w:color w:val="000000"/>
          <w:spacing w:val="0"/>
          <w:w w:val="100"/>
          <w:position w:val="0"/>
        </w:rPr>
        <w:t>号）之附件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《跨境应税行为适用增值税零税率和免税政策的 规定》的规定，符合条件规定的跨境应税行为取得的收入留存相关资料备查后享受增值税零税率。报告期内，公司、普联数 科从事跨境应税行为取得的收入享受增值税零税率。</w:t>
      </w:r>
    </w:p>
    <w:p>
      <w:pPr>
        <w:pStyle w:val="Style21"/>
        <w:keepNext w:val="0"/>
        <w:keepLines w:val="0"/>
        <w:widowControl w:val="0"/>
        <w:shd w:val="clear" w:color="auto" w:fill="auto"/>
        <w:bidi w:val="0"/>
        <w:spacing w:before="0" w:after="200" w:line="311" w:lineRule="exact"/>
        <w:ind w:left="0" w:right="0" w:firstLine="32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）所得税</w:t>
      </w:r>
    </w:p>
    <w:p>
      <w:pPr>
        <w:pStyle w:val="Style21"/>
        <w:keepNext w:val="0"/>
        <w:keepLines w:val="0"/>
        <w:widowControl w:val="0"/>
        <w:numPr>
          <w:ilvl w:val="0"/>
          <w:numId w:val="23"/>
        </w:numPr>
        <w:shd w:val="clear" w:color="auto" w:fill="auto"/>
        <w:tabs>
          <w:tab w:pos="678" w:val="left"/>
        </w:tabs>
        <w:bidi w:val="0"/>
        <w:spacing w:before="0" w:after="200" w:line="311" w:lineRule="exact"/>
        <w:ind w:left="0" w:right="0" w:firstLine="380"/>
        <w:jc w:val="both"/>
      </w:pPr>
      <w:bookmarkStart w:id="1129" w:name="bookmark1129"/>
      <w:bookmarkEnd w:id="1129"/>
      <w:r>
        <w:rPr>
          <w:color w:val="000000"/>
          <w:spacing w:val="0"/>
          <w:w w:val="100"/>
          <w:position w:val="0"/>
        </w:rPr>
        <w:t>根据《关于提高研究开发费用税前加计扣除比例的通知》（财税〔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号），企业开展研发活动中实际发生的研 发费用，未形成无形资产计入当期损益的，在按规定据实扣除的基础上，在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日期间，再按照实 际发生额的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在税前加计扣除；形成无形资产的，在上述期间按照无形资产成本的</w:t>
      </w:r>
      <w:r>
        <w:rPr>
          <w:rFonts w:ascii="Times New Roman" w:eastAsia="Times New Roman" w:hAnsi="Times New Roman" w:cs="Times New Roman"/>
          <w:color w:val="000000"/>
          <w:spacing w:val="0"/>
          <w:w w:val="100"/>
          <w:position w:val="0"/>
          <w:sz w:val="18"/>
          <w:szCs w:val="18"/>
        </w:rPr>
        <w:t>175%</w:t>
      </w:r>
      <w:r>
        <w:rPr>
          <w:color w:val="000000"/>
          <w:spacing w:val="0"/>
          <w:w w:val="100"/>
          <w:position w:val="0"/>
        </w:rPr>
        <w:t>在税前摊销。根据《财政部税务 总局关于延长部分税收优惠政策执行期限的公告》（财政部税务总局公告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号），原税收优惠政策执行期限延长至 </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numPr>
          <w:ilvl w:val="0"/>
          <w:numId w:val="23"/>
        </w:numPr>
        <w:shd w:val="clear" w:color="auto" w:fill="auto"/>
        <w:tabs>
          <w:tab w:pos="673" w:val="left"/>
        </w:tabs>
        <w:bidi w:val="0"/>
        <w:spacing w:before="0" w:after="200" w:line="312" w:lineRule="exact"/>
        <w:ind w:left="0" w:right="0" w:firstLine="380"/>
        <w:jc w:val="both"/>
      </w:pPr>
      <w:bookmarkStart w:id="1130" w:name="bookmark1130"/>
      <w:bookmarkEnd w:id="1130"/>
      <w:r>
        <w:rPr>
          <w:color w:val="000000"/>
          <w:spacing w:val="0"/>
          <w:w w:val="100"/>
          <w:position w:val="0"/>
        </w:rPr>
        <w:t>根据山东省发展和改革委员会于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日下发的《关于做好享受税收优惠政策的集成电路企业或项目、软件企 业清单制定工作有关要求的通知》（发改高技〔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413</w:t>
      </w:r>
      <w:r>
        <w:rPr>
          <w:color w:val="000000"/>
          <w:spacing w:val="0"/>
          <w:w w:val="100"/>
          <w:position w:val="0"/>
        </w:rPr>
        <w:t>号）的要求，公司通过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年度审核，被列入国家鼓励的重点软 件企业清单，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的税率缴纳企业所得税。</w:t>
      </w:r>
    </w:p>
    <w:p>
      <w:pPr>
        <w:pStyle w:val="Style21"/>
        <w:keepNext w:val="0"/>
        <w:keepLines w:val="0"/>
        <w:widowControl w:val="0"/>
        <w:numPr>
          <w:ilvl w:val="0"/>
          <w:numId w:val="23"/>
        </w:numPr>
        <w:shd w:val="clear" w:color="auto" w:fill="auto"/>
        <w:tabs>
          <w:tab w:pos="668" w:val="left"/>
        </w:tabs>
        <w:bidi w:val="0"/>
        <w:spacing w:before="0" w:after="200" w:line="322" w:lineRule="exact"/>
        <w:ind w:left="0" w:right="0" w:firstLine="380"/>
        <w:jc w:val="both"/>
      </w:pPr>
      <w:bookmarkStart w:id="1131" w:name="bookmark1131"/>
      <w:bookmarkEnd w:id="1131"/>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年度被认定为高新技术企业，于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日被授予</w:t>
      </w:r>
      <w:r>
        <w:rPr>
          <w:rFonts w:ascii="Times New Roman" w:eastAsia="Times New Roman" w:hAnsi="Times New Roman" w:cs="Times New Roman"/>
          <w:color w:val="000000"/>
          <w:spacing w:val="0"/>
          <w:w w:val="100"/>
          <w:position w:val="0"/>
          <w:sz w:val="18"/>
          <w:szCs w:val="18"/>
        </w:rPr>
        <w:t>GR201937000912</w:t>
      </w:r>
      <w:r>
        <w:rPr>
          <w:color w:val="000000"/>
          <w:spacing w:val="0"/>
          <w:w w:val="100"/>
          <w:position w:val="0"/>
        </w:rPr>
        <w:t>号《高新技术企业证书》，有效 期均为三年。</w:t>
      </w:r>
    </w:p>
    <w:p>
      <w:pPr>
        <w:pStyle w:val="Style21"/>
        <w:keepNext w:val="0"/>
        <w:keepLines w:val="0"/>
        <w:widowControl w:val="0"/>
        <w:numPr>
          <w:ilvl w:val="0"/>
          <w:numId w:val="23"/>
        </w:numPr>
        <w:shd w:val="clear" w:color="auto" w:fill="auto"/>
        <w:tabs>
          <w:tab w:pos="577" w:val="left"/>
        </w:tabs>
        <w:bidi w:val="0"/>
        <w:spacing w:before="0" w:after="200" w:line="312" w:lineRule="exact"/>
        <w:ind w:left="0" w:right="0" w:firstLine="380"/>
        <w:jc w:val="both"/>
      </w:pPr>
      <w:bookmarkStart w:id="1132" w:name="bookmark1132"/>
      <w:bookmarkEnd w:id="1132"/>
      <w:r>
        <w:rPr>
          <w:color w:val="000000"/>
          <w:spacing w:val="0"/>
          <w:w w:val="100"/>
          <w:position w:val="0"/>
        </w:rPr>
        <w:t>全资子公司合肥普联朗霁软件有限公司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年度被认定为高新技术企业，于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日被授予</w:t>
      </w:r>
      <w:r>
        <w:rPr>
          <w:rFonts w:ascii="Times New Roman" w:eastAsia="Times New Roman" w:hAnsi="Times New Roman" w:cs="Times New Roman"/>
          <w:color w:val="000000"/>
          <w:spacing w:val="0"/>
          <w:w w:val="100"/>
          <w:position w:val="0"/>
          <w:sz w:val="18"/>
          <w:szCs w:val="18"/>
        </w:rPr>
        <w:t>GR201934001677</w:t>
      </w:r>
      <w:r>
        <w:rPr>
          <w:color w:val="000000"/>
          <w:spacing w:val="0"/>
          <w:w w:val="100"/>
          <w:position w:val="0"/>
        </w:rPr>
        <w:t>号 《高新技术企业证书》，有效期三年，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年度企业所得税按应纳税所得额的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计缴。</w:t>
      </w:r>
    </w:p>
    <w:p>
      <w:pPr>
        <w:pStyle w:val="Style21"/>
        <w:keepNext w:val="0"/>
        <w:keepLines w:val="0"/>
        <w:widowControl w:val="0"/>
        <w:numPr>
          <w:ilvl w:val="0"/>
          <w:numId w:val="23"/>
        </w:numPr>
        <w:shd w:val="clear" w:color="auto" w:fill="auto"/>
        <w:tabs>
          <w:tab w:pos="673" w:val="left"/>
        </w:tabs>
        <w:bidi w:val="0"/>
        <w:spacing w:before="0" w:after="0" w:line="311" w:lineRule="exact"/>
        <w:ind w:left="0" w:right="0" w:firstLine="380"/>
        <w:jc w:val="both"/>
      </w:pPr>
      <w:bookmarkStart w:id="1133" w:name="bookmark1133"/>
      <w:bookmarkEnd w:id="1133"/>
      <w:r>
        <w:rPr>
          <w:color w:val="000000"/>
          <w:spacing w:val="0"/>
          <w:w w:val="100"/>
          <w:position w:val="0"/>
        </w:rPr>
        <w:t>根据《关于进一步扩大小型微利企业所得税优惠政策范围的通知》（财税</w:t>
      </w:r>
      <w:r>
        <w:rPr>
          <w:rFonts w:ascii="Times New Roman" w:eastAsia="Times New Roman" w:hAnsi="Times New Roman" w:cs="Times New Roman"/>
          <w:color w:val="000000"/>
          <w:spacing w:val="0"/>
          <w:w w:val="100"/>
          <w:position w:val="0"/>
          <w:sz w:val="18"/>
          <w:szCs w:val="18"/>
        </w:rPr>
        <w:t>［2018］77</w:t>
      </w:r>
      <w:r>
        <w:rPr>
          <w:color w:val="000000"/>
          <w:spacing w:val="0"/>
          <w:w w:val="100"/>
          <w:position w:val="0"/>
        </w:rPr>
        <w:t>号）、《关于实施小微企业普惠性 税收减免政策的通知》（财税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号）、《财政部税务总局关于实施小微企业和个体工商户所得税优惠政策的公告》</w:t>
      </w:r>
    </w:p>
    <w:p>
      <w:pPr>
        <w:pStyle w:val="Style21"/>
        <w:keepNext w:val="0"/>
        <w:keepLines w:val="0"/>
        <w:widowControl w:val="0"/>
        <w:shd w:val="clear" w:color="auto" w:fill="auto"/>
        <w:bidi w:val="0"/>
        <w:spacing w:before="0" w:after="20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号），公告中：对年应纳税所得额不超过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万元的部分，在《财政部税务总局关于实施小微企业普惠性税收 减免政策的通知》（财税〔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号）第二条规定的优惠政策基础上，再减半征收企业所得税规定：普联中瑞（北京）软 件有限公司、普联数字科技（济南）有限公司、普联智能数建科技（北京）有限公司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年度实际享受上述小型微利企业所 得税优惠，其所得减按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1"/>
        <w:keepNext w:val="0"/>
        <w:keepLines w:val="0"/>
        <w:widowControl w:val="0"/>
        <w:shd w:val="clear" w:color="auto" w:fill="auto"/>
        <w:bidi w:val="0"/>
        <w:spacing w:before="0" w:after="200" w:line="311"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r>
        <w:br w:type="page"/>
      </w:r>
    </w:p>
    <w:p>
      <w:pPr>
        <w:pStyle w:val="Style31"/>
        <w:keepNext/>
        <w:keepLines/>
        <w:widowControl w:val="0"/>
        <w:shd w:val="clear" w:color="auto" w:fill="auto"/>
        <w:bidi w:val="0"/>
        <w:spacing w:before="0" w:after="380" w:line="240" w:lineRule="auto"/>
        <w:ind w:left="0" w:right="0" w:firstLine="44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color w:val="000000"/>
          <w:spacing w:val="0"/>
          <w:w w:val="100"/>
          <w:position w:val="0"/>
        </w:rPr>
        <w:t>、其他</w:t>
      </w:r>
      <w:bookmarkEnd w:id="1134"/>
      <w:bookmarkEnd w:id="1135"/>
      <w:bookmarkEnd w:id="1137"/>
    </w:p>
    <w:p>
      <w:pPr>
        <w:pStyle w:val="Style25"/>
        <w:keepNext/>
        <w:keepLines/>
        <w:widowControl w:val="0"/>
        <w:shd w:val="clear" w:color="auto" w:fill="auto"/>
        <w:bidi w:val="0"/>
        <w:spacing w:before="0" w:after="380" w:line="240" w:lineRule="auto"/>
        <w:ind w:left="0" w:right="0" w:firstLine="440"/>
        <w:jc w:val="left"/>
      </w:pPr>
      <w:bookmarkStart w:id="1138" w:name="bookmark1138"/>
      <w:bookmarkStart w:id="1139" w:name="bookmark1139"/>
      <w:bookmarkStart w:id="1140" w:name="bookmark1140"/>
      <w:bookmarkStart w:id="1141" w:name="bookmark1141"/>
      <w:r>
        <w:rPr>
          <w:color w:val="000000"/>
          <w:spacing w:val="0"/>
          <w:w w:val="100"/>
          <w:position w:val="0"/>
        </w:rPr>
        <w:t>七</w:t>
      </w:r>
      <w:bookmarkEnd w:id="1140"/>
      <w:r>
        <w:rPr>
          <w:color w:val="000000"/>
          <w:spacing w:val="0"/>
          <w:w w:val="100"/>
          <w:position w:val="0"/>
        </w:rPr>
        <w:t>、合并财务报表项目注释</w:t>
      </w:r>
      <w:bookmarkEnd w:id="1138"/>
      <w:bookmarkEnd w:id="1139"/>
      <w:bookmarkEnd w:id="1141"/>
    </w:p>
    <w:p>
      <w:pPr>
        <w:pStyle w:val="Style31"/>
        <w:keepNext/>
        <w:keepLines/>
        <w:widowControl w:val="0"/>
        <w:shd w:val="clear" w:color="auto" w:fill="auto"/>
        <w:bidi w:val="0"/>
        <w:spacing w:before="0" w:after="380" w:line="240" w:lineRule="auto"/>
        <w:ind w:left="0" w:right="0" w:firstLine="44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color w:val="000000"/>
          <w:spacing w:val="0"/>
          <w:w w:val="100"/>
          <w:position w:val="0"/>
        </w:rPr>
        <w:t>、货币资金</w:t>
      </w:r>
      <w:bookmarkEnd w:id="1142"/>
      <w:bookmarkEnd w:id="1143"/>
      <w:bookmarkEnd w:id="1145"/>
    </w:p>
    <w:p>
      <w:pPr>
        <w:pStyle w:val="Style21"/>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367,421,311.99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79,071,832.05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4,978,748.31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371,558,814.99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84,050,580.36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17,526,368.40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10,344,255.61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4,137,503.00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4,978,748.31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44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color w:val="000000"/>
          <w:spacing w:val="0"/>
          <w:w w:val="100"/>
          <w:position w:val="0"/>
        </w:rPr>
        <w:t>、交易性金融资产</w:t>
      </w:r>
      <w:bookmarkEnd w:id="1146"/>
      <w:bookmarkEnd w:id="1147"/>
      <w:bookmarkEnd w:id="1149"/>
    </w:p>
    <w:p>
      <w:pPr>
        <w:pStyle w:val="Style21"/>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指定以公允价值计量且其变动计入当期 损益的金融资产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354,210,042.73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135,900,000.00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354,210,042.73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135,900,000.00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354,210,042.73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135,900,000.00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44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color w:val="000000"/>
          <w:spacing w:val="0"/>
          <w:w w:val="100"/>
          <w:position w:val="0"/>
        </w:rPr>
        <w:t>、衍生金融资产</w:t>
      </w:r>
      <w:bookmarkEnd w:id="1150"/>
      <w:bookmarkEnd w:id="1151"/>
      <w:bookmarkEnd w:id="1153"/>
    </w:p>
    <w:p>
      <w:pPr>
        <w:pStyle w:val="Style21"/>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44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color w:val="000000"/>
          <w:spacing w:val="0"/>
          <w:w w:val="100"/>
          <w:position w:val="0"/>
        </w:rPr>
        <w:t>、应收票据</w:t>
      </w:r>
      <w:bookmarkEnd w:id="1154"/>
      <w:bookmarkEnd w:id="1155"/>
      <w:bookmarkEnd w:id="1157"/>
    </w:p>
    <w:p>
      <w:pPr>
        <w:pStyle w:val="Style40"/>
        <w:keepNext/>
        <w:keepLines/>
        <w:widowControl w:val="0"/>
        <w:shd w:val="clear" w:color="auto" w:fill="auto"/>
        <w:bidi w:val="0"/>
        <w:spacing w:before="0" w:line="240" w:lineRule="auto"/>
        <w:ind w:left="0" w:right="0" w:firstLine="440"/>
        <w:jc w:val="left"/>
      </w:pPr>
      <w:bookmarkStart w:id="1158" w:name="bookmark1158"/>
      <w:bookmarkStart w:id="1159" w:name="bookmark1159"/>
      <w:bookmarkStart w:id="1160" w:name="bookmark1160"/>
      <w:bookmarkStart w:id="1161" w:name="bookmark1161"/>
      <w:r>
        <w:rPr>
          <w:color w:val="000000"/>
          <w:spacing w:val="0"/>
          <w:w w:val="100"/>
          <w:position w:val="0"/>
        </w:rPr>
        <w:t>（</w:t>
      </w:r>
      <w:bookmarkEnd w:id="116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8"/>
      <w:bookmarkEnd w:id="1159"/>
      <w:bookmarkEnd w:id="1161"/>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7,231,968.34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4,521,171.09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5,801,629.33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2,562,215.62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13,033,597.67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7,083,386.71</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013"/>
        <w:gridCol w:w="763"/>
        <w:gridCol w:w="1061"/>
        <w:gridCol w:w="850"/>
        <w:gridCol w:w="994"/>
        <w:gridCol w:w="850"/>
        <w:gridCol w:w="710"/>
        <w:gridCol w:w="850"/>
        <w:gridCol w:w="850"/>
        <w:gridCol w:w="10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 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14,281,769.12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1,248,171.45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13,033,597.67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9,744,581.52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2,661,194.81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7,083,386.71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8,071,751.12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56.52%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839,782.78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7,231,968.34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5,904,693.52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1,383,522.43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4,521,171.09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6,210,018.00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43.48%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408,388.67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5,801,629.33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3,839,888.00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1,277,672.38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2,562,215.62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14,281,769.12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1,248,171.45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13,033,597.67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9,744,581.52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2,661,194.81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27.31%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7,083,386.71</w:t>
            </w:r>
          </w:p>
        </w:tc>
      </w:tr>
    </w:tbl>
    <w:p>
      <w:pPr>
        <w:pStyle w:val="Style27"/>
        <w:keepNext w:val="0"/>
        <w:keepLines w:val="0"/>
        <w:widowControl w:val="0"/>
        <w:shd w:val="clear" w:color="auto" w:fill="auto"/>
        <w:bidi w:val="0"/>
        <w:spacing w:before="0" w:after="0" w:line="240" w:lineRule="auto"/>
        <w:ind w:left="446" w:right="0" w:firstLine="0"/>
        <w:jc w:val="left"/>
      </w:pPr>
      <w:r>
        <w:rPr>
          <w:color w:val="000000"/>
          <w:spacing w:val="0"/>
          <w:w w:val="100"/>
          <w:position w:val="0"/>
        </w:rPr>
        <w:t>按单项计提坏账准备:</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按组合计提坏账准备：银行承兑汇票</w:t>
      </w:r>
    </w:p>
    <w:p>
      <w:pPr>
        <w:widowControl w:val="0"/>
        <w:spacing w:after="139" w:line="1" w:lineRule="exact"/>
      </w:pPr>
    </w:p>
    <w:p>
      <w:pPr>
        <w:pStyle w:val="Style21"/>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6,021,957.12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114,755.60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1,849,794.00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531,179.80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193,847.38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8,071,751.12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839,782.78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按组合计提坏账准备：商业承兑汇票</w:t>
      </w:r>
    </w:p>
    <w:p>
      <w:pPr>
        <w:pStyle w:val="Style21"/>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5,128,148.00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1,081,870.00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6,210,018.00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408,388.67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88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年度收到票据为账龄较长的单位款项且票据承兑单位信用等级较低，连续计算账龄。</w:t>
      </w:r>
    </w:p>
    <w:p>
      <w:pPr>
        <w:pStyle w:val="Style21"/>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按组合计提坏账准备：</w:t>
      </w:r>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如是按照预期信用损失一般模型计提应收票据坏账准备，请参照其他应收款的披露方式披露坏账准备的相关信息:</w:t>
      </w:r>
    </w:p>
    <w:p>
      <w:pPr>
        <w:pStyle w:val="Style21"/>
        <w:keepNext w:val="0"/>
        <w:keepLines w:val="0"/>
        <w:widowControl w:val="0"/>
        <w:shd w:val="clear" w:color="auto" w:fill="auto"/>
        <w:bidi w:val="0"/>
        <w:spacing w:before="0" w:after="38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720"/>
        <w:jc w:val="both"/>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2"/>
      <w:bookmarkEnd w:id="1163"/>
      <w:bookmarkEnd w:id="1165"/>
    </w:p>
    <w:p>
      <w:pPr>
        <w:pStyle w:val="Style21"/>
        <w:keepNext w:val="0"/>
        <w:keepLines w:val="0"/>
        <w:widowControl w:val="0"/>
        <w:shd w:val="clear" w:color="auto" w:fill="auto"/>
        <w:bidi w:val="0"/>
        <w:spacing w:before="0" w:after="100" w:line="240" w:lineRule="auto"/>
        <w:ind w:left="0" w:right="0" w:firstLine="720"/>
        <w:jc w:val="both"/>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2,661,194.81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-1,413,023.36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1,248,171.45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2,661,194.81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-1,413,023.36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1,248,171.45</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720"/>
        <w:jc w:val="both"/>
      </w:pPr>
      <w:r>
        <w:rPr>
          <w:color w:val="000000"/>
          <w:spacing w:val="0"/>
          <w:w w:val="100"/>
          <w:position w:val="0"/>
        </w:rPr>
        <w:t>其中本期坏账准备收回或转回金额重要的:</w:t>
      </w:r>
    </w:p>
    <w:p>
      <w:pPr>
        <w:pStyle w:val="Style21"/>
        <w:keepNext w:val="0"/>
        <w:keepLines w:val="0"/>
        <w:widowControl w:val="0"/>
        <w:shd w:val="clear" w:color="auto" w:fill="auto"/>
        <w:bidi w:val="0"/>
        <w:spacing w:before="0" w:after="380" w:line="240" w:lineRule="auto"/>
        <w:ind w:left="0" w:right="0" w:firstLine="7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72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166"/>
      <w:bookmarkEnd w:id="1167"/>
      <w:bookmarkEnd w:id="1169"/>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both"/>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170"/>
      <w:bookmarkEnd w:id="1171"/>
      <w:bookmarkEnd w:id="1173"/>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74"/>
      <w:bookmarkEnd w:id="1175"/>
      <w:bookmarkEnd w:id="1177"/>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72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78"/>
      <w:bookmarkEnd w:id="1179"/>
      <w:bookmarkEnd w:id="1181"/>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应收票据核销说明:</w:t>
      </w:r>
    </w:p>
    <w:p>
      <w:pPr>
        <w:pStyle w:val="Style31"/>
        <w:keepNext/>
        <w:keepLines/>
        <w:widowControl w:val="0"/>
        <w:shd w:val="clear" w:color="auto" w:fill="auto"/>
        <w:bidi w:val="0"/>
        <w:spacing w:before="0" w:after="380" w:line="240" w:lineRule="auto"/>
        <w:ind w:left="0" w:right="0" w:firstLine="720"/>
        <w:jc w:val="both"/>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5</w:t>
      </w:r>
      <w:bookmarkEnd w:id="1184"/>
      <w:r>
        <w:rPr>
          <w:color w:val="000000"/>
          <w:spacing w:val="0"/>
          <w:w w:val="100"/>
          <w:position w:val="0"/>
        </w:rPr>
        <w:t>、应收账款</w:t>
      </w:r>
      <w:bookmarkEnd w:id="1182"/>
      <w:bookmarkEnd w:id="1183"/>
      <w:bookmarkEnd w:id="1185"/>
    </w:p>
    <w:p>
      <w:pPr>
        <w:pStyle w:val="Style40"/>
        <w:keepNext/>
        <w:keepLines/>
        <w:widowControl w:val="0"/>
        <w:shd w:val="clear" w:color="auto" w:fill="auto"/>
        <w:bidi w:val="0"/>
        <w:spacing w:before="0" w:line="240" w:lineRule="auto"/>
        <w:ind w:left="0" w:right="0" w:firstLine="720"/>
        <w:jc w:val="both"/>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86"/>
      <w:bookmarkEnd w:id="1187"/>
      <w:bookmarkEnd w:id="1189"/>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1709"/>
        <w:gridCol w:w="1133"/>
        <w:gridCol w:w="710"/>
        <w:gridCol w:w="989"/>
        <w:gridCol w:w="850"/>
        <w:gridCol w:w="1138"/>
        <w:gridCol w:w="1133"/>
        <w:gridCol w:w="566"/>
        <w:gridCol w:w="994"/>
        <w:gridCol w:w="850"/>
        <w:gridCol w:w="11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按单项计提坏账准备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按组合计提坏账准备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248,139,981.66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19,667,860.92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228,472,120.74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218,351,759.60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15,106,385.47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203,245,374.13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应收中央（含下属单 位）及金融企业客户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212,865,248.45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11,815,330.16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201,049,918.29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181,928,895.50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7,383,405.34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174,545,490.16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35,274,733.21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7,852,530.76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27,422,202.45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36,422,864.10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7,722,980.13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28,699,883.97</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251,774,216.66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23,302,095.92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Times New Roman" w:eastAsia="Times New Roman" w:hAnsi="Times New Roman" w:cs="Times New Roman"/>
                <w:color w:val="000000"/>
                <w:spacing w:val="0"/>
                <w:w w:val="100"/>
                <w:position w:val="0"/>
                <w:sz w:val="15"/>
                <w:szCs w:val="15"/>
              </w:rPr>
              <w:t>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Times New Roman" w:eastAsia="Times New Roman" w:hAnsi="Times New Roman" w:cs="Times New Roman"/>
                <w:color w:val="000000"/>
                <w:spacing w:val="0"/>
                <w:w w:val="100"/>
                <w:position w:val="0"/>
                <w:sz w:val="15"/>
                <w:szCs w:val="15"/>
              </w:rPr>
              <w:t>228,472,120.74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221,985,994.60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18,740,620.47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203,245,374.13</w:t>
            </w:r>
          </w:p>
        </w:tc>
      </w:tr>
    </w:tbl>
    <w:p>
      <w:pPr>
        <w:spacing w:lineRule="exact" w:line="1"/>
        <w:rPr>
          <w:sz w:val="2"/>
          <w:szCs w:val="2"/>
        </w:rPr>
      </w:pPr>
      <w:r>
        <w:br w:type="page"/>
      </w:r>
    </w:p>
    <w:p>
      <w:pPr>
        <w:pStyle w:val="Style21"/>
        <w:keepNext w:val="0"/>
        <w:keepLines w:val="0"/>
        <w:widowControl w:val="0"/>
        <w:shd w:val="clear" w:color="auto" w:fill="auto"/>
        <w:bidi w:val="0"/>
        <w:spacing w:before="0" w:after="100" w:line="240" w:lineRule="auto"/>
        <w:ind w:left="0" w:right="0" w:firstLine="720"/>
        <w:jc w:val="left"/>
      </w:pPr>
      <w:r>
        <w:rPr>
          <w:color w:val="000000"/>
          <w:spacing w:val="0"/>
          <w:w w:val="100"/>
          <w:position w:val="0"/>
        </w:rPr>
        <w:t>按单项计提坏账准备：单项计提</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按组合计提坏账准备：应收中央（含下属单位）及金融企业客户</w:t>
      </w:r>
    </w:p>
    <w:p>
      <w:pPr>
        <w:widowControl w:val="0"/>
        <w:spacing w:after="159" w:line="1" w:lineRule="exact"/>
      </w:pPr>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193,331,576.68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3,684,164.36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15,949,807.10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4,580,085.86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1,065,716.67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1,032,931.94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1,450,940.00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1,450,940.00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1,018,458.00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1,018,458.00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212,865,248.45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11,815,330.16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按组合计提坏账准备：应收其他客户</w:t>
      </w:r>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25,494,983.01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1,384,190.81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3,414,140.50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668,731.07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1,590,246.95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1,024,246.13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1,372,462.15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1,372,462.15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510,874.01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510,874.01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2,892,026.59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2,892,026.59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35,274,733.21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7,852,530.76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00" w:line="240" w:lineRule="auto"/>
        <w:ind w:left="0" w:right="0" w:firstLine="720"/>
        <w:jc w:val="both"/>
        <w:sectPr>
          <w:footnotePr>
            <w:pos w:val="pageBottom"/>
            <w:numFmt w:val="decimal"/>
            <w:numRestart w:val="continuous"/>
          </w:footnotePr>
          <w:pgSz w:w="11900" w:h="16840"/>
          <w:pgMar w:top="1371" w:right="313" w:bottom="1492" w:left="375" w:header="0" w:footer="3" w:gutter="0"/>
          <w:cols w:space="720"/>
          <w:noEndnote/>
          <w:rtlGutter w:val="0"/>
          <w:docGrid w:linePitch="360"/>
        </w:sectPr>
      </w:pPr>
      <w:r>
        <w:rPr>
          <w:color w:val="000000"/>
          <w:spacing w:val="0"/>
          <w:w w:val="100"/>
          <w:position w:val="0"/>
        </w:rPr>
        <w:t>按组合计提坏账准备：</w:t>
      </w:r>
    </w:p>
    <w:p>
      <w:pPr>
        <w:pStyle w:val="Style21"/>
        <w:keepNext w:val="0"/>
        <w:keepLines w:val="0"/>
        <w:widowControl w:val="0"/>
        <w:shd w:val="clear" w:color="auto" w:fill="auto"/>
        <w:bidi w:val="0"/>
        <w:spacing w:before="540" w:line="240" w:lineRule="auto"/>
        <w:ind w:left="966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6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60" w:line="240" w:lineRule="auto"/>
        <w:ind w:left="0" w:right="0" w:firstLine="720"/>
        <w:jc w:val="left"/>
      </w:pPr>
      <w:r>
        <w:rPr>
          <w:color w:val="000000"/>
          <w:spacing w:val="0"/>
          <w:w w:val="100"/>
          <w:position w:val="0"/>
        </w:rPr>
        <w:t>按账龄披露</w:t>
      </w:r>
    </w:p>
    <w:p>
      <w:pPr>
        <w:pStyle w:val="Style21"/>
        <w:keepNext w:val="0"/>
        <w:keepLines w:val="0"/>
        <w:widowControl w:val="0"/>
        <w:shd w:val="clear" w:color="auto" w:fill="auto"/>
        <w:bidi w:val="0"/>
        <w:spacing w:before="0" w:line="240" w:lineRule="auto"/>
        <w:ind w:left="96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218,826,559.69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19,363,947.60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2,655,963.62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10,927,745.75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2,823,402.15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3,114,350.58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4,989,993.02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251,774,216.66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40"/>
        <w:keepNext/>
        <w:keepLines/>
        <w:widowControl w:val="0"/>
        <w:shd w:val="clear" w:color="auto" w:fill="auto"/>
        <w:bidi w:val="0"/>
        <w:spacing w:before="0" w:after="400" w:line="240" w:lineRule="auto"/>
        <w:ind w:left="0" w:right="0" w:firstLine="72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0"/>
      <w:bookmarkEnd w:id="1191"/>
      <w:bookmarkEnd w:id="1193"/>
    </w:p>
    <w:p>
      <w:pPr>
        <w:pStyle w:val="Style21"/>
        <w:keepNext w:val="0"/>
        <w:keepLines w:val="0"/>
        <w:widowControl w:val="0"/>
        <w:shd w:val="clear" w:color="auto" w:fill="auto"/>
        <w:bidi w:val="0"/>
        <w:spacing w:before="0" w:line="240" w:lineRule="auto"/>
        <w:ind w:left="0" w:right="0" w:firstLine="72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3,634,235.00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15,106,385.47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4,570,930.91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-9,455.46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19,667,860.92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18,740,620.47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4,570,930.91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-9,455.46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23,302,095.92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1"/>
        <w:keepNext w:val="0"/>
        <w:keepLines w:val="0"/>
        <w:widowControl w:val="0"/>
        <w:shd w:val="clear" w:color="auto" w:fill="auto"/>
        <w:bidi w:val="0"/>
        <w:spacing w:before="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0"/>
        <w:keepNext/>
        <w:keepLines/>
        <w:widowControl w:val="0"/>
        <w:shd w:val="clear" w:color="auto" w:fill="auto"/>
        <w:bidi w:val="0"/>
        <w:spacing w:before="0" w:after="120" w:line="240" w:lineRule="auto"/>
        <w:ind w:left="0" w:right="0" w:firstLine="72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94"/>
      <w:bookmarkEnd w:id="1195"/>
      <w:bookmarkEnd w:id="1197"/>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其中重要的应收账款核销情况：</w:t>
      </w:r>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应收账款核销说明：</w:t>
      </w:r>
    </w:p>
    <w:p>
      <w:pPr>
        <w:pStyle w:val="Style40"/>
        <w:keepNext/>
        <w:keepLines/>
        <w:widowControl w:val="0"/>
        <w:shd w:val="clear" w:color="auto" w:fill="auto"/>
        <w:bidi w:val="0"/>
        <w:spacing w:before="0" w:line="240" w:lineRule="auto"/>
        <w:ind w:left="0" w:right="0" w:firstLine="720"/>
        <w:jc w:val="left"/>
      </w:pPr>
      <w:bookmarkStart w:id="1198" w:name="bookmark1198"/>
      <w:bookmarkStart w:id="1199" w:name="bookmark1199"/>
      <w:bookmarkStart w:id="1200" w:name="bookmark1200"/>
      <w:bookmarkStart w:id="1201" w:name="bookmark1201"/>
      <w:r>
        <w:rPr>
          <w:color w:val="000000"/>
          <w:spacing w:val="0"/>
          <w:w w:val="100"/>
          <w:position w:val="0"/>
        </w:rPr>
        <w:t>（</w:t>
      </w:r>
      <w:bookmarkEnd w:id="120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98"/>
      <w:bookmarkEnd w:id="1199"/>
      <w:bookmarkEnd w:id="1201"/>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42,571,850.00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2,419,562.56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38,367,040.00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731,129.82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17,489,819.52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1,114,923.04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16,434,700.00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313,182.86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13,693,431.00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260,944.70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128,556,840.52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left"/>
      </w:pPr>
      <w:bookmarkStart w:id="1202" w:name="bookmark1202"/>
      <w:bookmarkStart w:id="1203" w:name="bookmark1203"/>
      <w:bookmarkStart w:id="1204" w:name="bookmark1204"/>
      <w:bookmarkStart w:id="1205" w:name="bookmark1205"/>
      <w:r>
        <w:rPr>
          <w:color w:val="000000"/>
          <w:spacing w:val="0"/>
          <w:w w:val="100"/>
          <w:position w:val="0"/>
        </w:rPr>
        <w:t>（</w:t>
      </w:r>
      <w:bookmarkEnd w:id="1204"/>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202"/>
      <w:bookmarkEnd w:id="1203"/>
      <w:bookmarkEnd w:id="1205"/>
    </w:p>
    <w:p>
      <w:pPr>
        <w:pStyle w:val="Style40"/>
        <w:keepNext/>
        <w:keepLines/>
        <w:widowControl w:val="0"/>
        <w:shd w:val="clear" w:color="auto" w:fill="auto"/>
        <w:bidi w:val="0"/>
        <w:spacing w:before="0" w:line="240" w:lineRule="auto"/>
        <w:ind w:left="0" w:right="0" w:firstLine="720"/>
        <w:jc w:val="left"/>
      </w:pPr>
      <w:bookmarkStart w:id="1206" w:name="bookmark1206"/>
      <w:bookmarkStart w:id="1207" w:name="bookmark1207"/>
      <w:bookmarkStart w:id="1208" w:name="bookmark1208"/>
      <w:bookmarkStart w:id="1209" w:name="bookmark1209"/>
      <w:r>
        <w:rPr>
          <w:color w:val="000000"/>
          <w:spacing w:val="0"/>
          <w:w w:val="100"/>
          <w:position w:val="0"/>
        </w:rPr>
        <w:t>（</w:t>
      </w:r>
      <w:bookmarkEnd w:id="1208"/>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206"/>
      <w:bookmarkEnd w:id="1207"/>
      <w:bookmarkEnd w:id="1209"/>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6</w:t>
      </w:r>
      <w:bookmarkEnd w:id="1212"/>
      <w:r>
        <w:rPr>
          <w:color w:val="000000"/>
          <w:spacing w:val="0"/>
          <w:w w:val="100"/>
          <w:position w:val="0"/>
        </w:rPr>
        <w:t>、应收款项融资</w:t>
      </w:r>
      <w:bookmarkEnd w:id="1210"/>
      <w:bookmarkEnd w:id="1211"/>
      <w:bookmarkEnd w:id="1213"/>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应收款项融资本期增减变动及公允价值变动情况</w:t>
      </w:r>
    </w:p>
    <w:p>
      <w:pPr>
        <w:pStyle w:val="Style21"/>
        <w:keepNext w:val="0"/>
        <w:keepLines w:val="0"/>
        <w:widowControl w:val="0"/>
        <w:shd w:val="clear" w:color="auto" w:fill="auto"/>
        <w:bidi w:val="0"/>
        <w:spacing w:before="0" w:after="14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1"/>
        <w:keepNext w:val="0"/>
        <w:keepLines w:val="0"/>
        <w:widowControl w:val="0"/>
        <w:shd w:val="clear" w:color="auto" w:fill="auto"/>
        <w:bidi w:val="0"/>
        <w:spacing w:before="0" w:after="140" w:line="240" w:lineRule="auto"/>
        <w:ind w:left="0" w:right="0" w:firstLine="7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7</w:t>
      </w:r>
      <w:bookmarkEnd w:id="1216"/>
      <w:r>
        <w:rPr>
          <w:color w:val="000000"/>
          <w:spacing w:val="0"/>
          <w:w w:val="100"/>
          <w:position w:val="0"/>
        </w:rPr>
        <w:t>、预付款项</w:t>
      </w:r>
      <w:bookmarkEnd w:id="1214"/>
      <w:bookmarkEnd w:id="1215"/>
      <w:bookmarkEnd w:id="1217"/>
    </w:p>
    <w:p>
      <w:pPr>
        <w:pStyle w:val="Style40"/>
        <w:keepNext/>
        <w:keepLines/>
        <w:widowControl w:val="0"/>
        <w:shd w:val="clear" w:color="auto" w:fill="auto"/>
        <w:bidi w:val="0"/>
        <w:spacing w:before="0" w:after="140" w:line="240" w:lineRule="auto"/>
        <w:ind w:left="0" w:right="0" w:firstLine="720"/>
        <w:jc w:val="left"/>
      </w:pPr>
      <w:bookmarkStart w:id="1218" w:name="bookmark1218"/>
      <w:bookmarkStart w:id="1219" w:name="bookmark1219"/>
      <w:bookmarkStart w:id="1220" w:name="bookmark1220"/>
      <w:bookmarkStart w:id="1221" w:name="bookmark1221"/>
      <w:r>
        <w:rPr>
          <w:color w:val="000000"/>
          <w:spacing w:val="0"/>
          <w:w w:val="100"/>
          <w:position w:val="0"/>
        </w:rPr>
        <w:t>（</w:t>
      </w:r>
      <w:bookmarkEnd w:id="122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8"/>
      <w:bookmarkEnd w:id="1219"/>
      <w:bookmarkEnd w:id="1221"/>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16,676.60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16,676.60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38,914.20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40"/>
        <w:keepNext/>
        <w:keepLines/>
        <w:widowControl w:val="0"/>
        <w:numPr>
          <w:ilvl w:val="0"/>
          <w:numId w:val="25"/>
        </w:numPr>
        <w:shd w:val="clear" w:color="auto" w:fill="auto"/>
        <w:bidi w:val="0"/>
        <w:spacing w:before="0" w:after="360" w:line="240" w:lineRule="auto"/>
        <w:ind w:left="0" w:right="0" w:firstLine="700"/>
        <w:jc w:val="both"/>
      </w:pPr>
      <w:bookmarkStart w:id="1222" w:name="bookmark1222"/>
      <w:bookmarkStart w:id="1223" w:name="bookmark1223"/>
      <w:bookmarkStart w:id="1224" w:name="bookmark1224"/>
      <w:bookmarkStart w:id="1225" w:name="bookmark1225"/>
      <w:bookmarkEnd w:id="1224"/>
      <w:r>
        <w:rPr>
          <w:color w:val="000000"/>
          <w:spacing w:val="0"/>
          <w:w w:val="100"/>
          <w:position w:val="0"/>
        </w:rPr>
        <w:t>按预付对象归集的期末余额前五名的预付款情况</w:t>
      </w:r>
      <w:bookmarkEnd w:id="1222"/>
      <w:bookmarkEnd w:id="1223"/>
      <w:bookmarkEnd w:id="1225"/>
    </w:p>
    <w:tbl>
      <w:tblPr>
        <w:tblOverlap w:val="never"/>
        <w:jc w:val="center"/>
        <w:tblLayout w:type="fixed"/>
      </w:tblPr>
      <w:tblGrid>
        <w:gridCol w:w="3288"/>
        <w:gridCol w:w="3240"/>
        <w:gridCol w:w="3250"/>
      </w:tblGrid>
      <w:tr>
        <w:trPr>
          <w:trHeight w:val="374"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61.25%</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3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r>
      <w:tr>
        <w:trPr>
          <w:trHeight w:val="34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w:t>
            </w:r>
          </w:p>
        </w:tc>
      </w:tr>
      <w:tr>
        <w:trPr>
          <w:trHeight w:val="346"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99" w:line="1" w:lineRule="exact"/>
      </w:pPr>
    </w:p>
    <w:p>
      <w:pPr>
        <w:pStyle w:val="Style21"/>
        <w:keepNext w:val="0"/>
        <w:keepLines w:val="0"/>
        <w:widowControl w:val="0"/>
        <w:shd w:val="clear" w:color="auto" w:fill="auto"/>
        <w:bidi w:val="0"/>
        <w:spacing w:before="0" w:after="400" w:line="240" w:lineRule="auto"/>
        <w:ind w:left="0" w:right="0" w:firstLine="700"/>
        <w:jc w:val="both"/>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70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8</w:t>
      </w:r>
      <w:bookmarkEnd w:id="1228"/>
      <w:r>
        <w:rPr>
          <w:color w:val="000000"/>
          <w:spacing w:val="0"/>
          <w:w w:val="100"/>
          <w:position w:val="0"/>
        </w:rPr>
        <w:t>、其他应收款</w:t>
      </w:r>
      <w:bookmarkEnd w:id="1226"/>
      <w:bookmarkEnd w:id="1227"/>
      <w:bookmarkEnd w:id="1229"/>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8,522,467.66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5,068,144.38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8,522,467.66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5,068,144.38</w:t>
            </w:r>
          </w:p>
        </w:tc>
      </w:tr>
    </w:tbl>
    <w:p>
      <w:pPr>
        <w:widowControl w:val="0"/>
        <w:spacing w:after="359" w:line="1" w:lineRule="exact"/>
      </w:pPr>
    </w:p>
    <w:p>
      <w:pPr>
        <w:pStyle w:val="Style40"/>
        <w:keepNext/>
        <w:keepLines/>
        <w:widowControl w:val="0"/>
        <w:numPr>
          <w:ilvl w:val="0"/>
          <w:numId w:val="27"/>
        </w:numPr>
        <w:shd w:val="clear" w:color="auto" w:fill="auto"/>
        <w:bidi w:val="0"/>
        <w:spacing w:before="0" w:after="360" w:line="240" w:lineRule="auto"/>
        <w:ind w:left="0" w:right="0" w:firstLine="700"/>
        <w:jc w:val="both"/>
      </w:pPr>
      <w:bookmarkStart w:id="1230" w:name="bookmark1230"/>
      <w:bookmarkStart w:id="1231" w:name="bookmark1231"/>
      <w:bookmarkStart w:id="1232" w:name="bookmark1232"/>
      <w:bookmarkStart w:id="1233" w:name="bookmark1233"/>
      <w:bookmarkEnd w:id="1232"/>
      <w:r>
        <w:rPr>
          <w:color w:val="000000"/>
          <w:spacing w:val="0"/>
          <w:w w:val="100"/>
          <w:position w:val="0"/>
        </w:rPr>
        <w:t>应收利息</w:t>
      </w:r>
      <w:bookmarkEnd w:id="1230"/>
      <w:bookmarkEnd w:id="1231"/>
      <w:bookmarkEnd w:id="1233"/>
    </w:p>
    <w:p>
      <w:pPr>
        <w:pStyle w:val="Style65"/>
        <w:keepNext/>
        <w:keepLines/>
        <w:widowControl w:val="0"/>
        <w:numPr>
          <w:ilvl w:val="0"/>
          <w:numId w:val="29"/>
        </w:numPr>
        <w:shd w:val="clear" w:color="auto" w:fill="auto"/>
        <w:bidi w:val="0"/>
        <w:spacing w:before="0" w:after="360" w:line="240" w:lineRule="auto"/>
        <w:ind w:left="0" w:right="0" w:firstLine="700"/>
        <w:jc w:val="both"/>
      </w:pPr>
      <w:bookmarkStart w:id="1234" w:name="bookmark1234"/>
      <w:bookmarkStart w:id="1235" w:name="bookmark1235"/>
      <w:bookmarkStart w:id="1236" w:name="bookmark1236"/>
      <w:bookmarkStart w:id="1237" w:name="bookmark1237"/>
      <w:bookmarkEnd w:id="1236"/>
      <w:r>
        <w:rPr>
          <w:color w:val="000000"/>
          <w:spacing w:val="0"/>
          <w:w w:val="100"/>
          <w:position w:val="0"/>
        </w:rPr>
        <w:t>应收利息分类</w:t>
      </w:r>
      <w:bookmarkEnd w:id="1234"/>
      <w:bookmarkEnd w:id="1235"/>
      <w:bookmarkEnd w:id="1237"/>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65"/>
        <w:keepNext/>
        <w:keepLines/>
        <w:widowControl w:val="0"/>
        <w:numPr>
          <w:ilvl w:val="0"/>
          <w:numId w:val="29"/>
        </w:numPr>
        <w:shd w:val="clear" w:color="auto" w:fill="auto"/>
        <w:bidi w:val="0"/>
        <w:spacing w:before="0" w:after="360" w:line="240" w:lineRule="auto"/>
        <w:ind w:left="0" w:right="0" w:firstLine="700"/>
        <w:jc w:val="both"/>
      </w:pPr>
      <w:bookmarkStart w:id="1238" w:name="bookmark1238"/>
      <w:bookmarkStart w:id="1239" w:name="bookmark1239"/>
      <w:bookmarkStart w:id="1240" w:name="bookmark1240"/>
      <w:bookmarkStart w:id="1241" w:name="bookmark1241"/>
      <w:bookmarkEnd w:id="1240"/>
      <w:r>
        <w:rPr>
          <w:color w:val="000000"/>
          <w:spacing w:val="0"/>
          <w:w w:val="100"/>
          <w:position w:val="0"/>
        </w:rPr>
        <w:t>重要逾期利息</w:t>
      </w:r>
      <w:bookmarkEnd w:id="1238"/>
      <w:bookmarkEnd w:id="1239"/>
      <w:bookmarkEnd w:id="1241"/>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是否发生减值及其判断 依据</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65"/>
        <w:keepNext/>
        <w:keepLines/>
        <w:widowControl w:val="0"/>
        <w:shd w:val="clear" w:color="auto" w:fill="auto"/>
        <w:bidi w:val="0"/>
        <w:spacing w:before="0" w:line="240" w:lineRule="auto"/>
        <w:ind w:left="0" w:right="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color w:val="000000"/>
          <w:spacing w:val="0"/>
          <w:w w:val="100"/>
          <w:position w:val="0"/>
        </w:rPr>
        <w:t>）坏账准备计提情况</w:t>
      </w:r>
      <w:bookmarkEnd w:id="1242"/>
      <w:bookmarkEnd w:id="1243"/>
      <w:bookmarkEnd w:id="1245"/>
    </w:p>
    <w:p>
      <w:pPr>
        <w:pStyle w:val="Style2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72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46"/>
      <w:bookmarkEnd w:id="1247"/>
      <w:bookmarkEnd w:id="1249"/>
    </w:p>
    <w:p>
      <w:pPr>
        <w:pStyle w:val="Style65"/>
        <w:keepNext/>
        <w:keepLines/>
        <w:widowControl w:val="0"/>
        <w:shd w:val="clear" w:color="auto" w:fill="auto"/>
        <w:bidi w:val="0"/>
        <w:spacing w:before="0" w:line="240" w:lineRule="auto"/>
        <w:ind w:left="0" w:right="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color w:val="000000"/>
          <w:spacing w:val="0"/>
          <w:w w:val="100"/>
          <w:position w:val="0"/>
        </w:rPr>
        <w:t>）应收股利分类</w:t>
      </w:r>
      <w:bookmarkEnd w:id="1250"/>
      <w:bookmarkEnd w:id="1251"/>
      <w:bookmarkEnd w:id="1253"/>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65"/>
        <w:keepNext/>
        <w:keepLines/>
        <w:widowControl w:val="0"/>
        <w:shd w:val="clear" w:color="auto" w:fill="auto"/>
        <w:bidi w:val="0"/>
        <w:spacing w:before="0" w:line="240" w:lineRule="auto"/>
        <w:ind w:left="0" w:right="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54"/>
      <w:bookmarkEnd w:id="1255"/>
      <w:bookmarkEnd w:id="1257"/>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5"/>
        <w:keepNext/>
        <w:keepLines/>
        <w:widowControl w:val="0"/>
        <w:shd w:val="clear" w:color="auto" w:fill="auto"/>
        <w:bidi w:val="0"/>
        <w:spacing w:before="0" w:line="240" w:lineRule="auto"/>
        <w:ind w:left="0" w:right="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color w:val="000000"/>
          <w:spacing w:val="0"/>
          <w:w w:val="100"/>
          <w:position w:val="0"/>
        </w:rPr>
        <w:t>）坏账准备计提情况</w:t>
      </w:r>
      <w:bookmarkEnd w:id="1258"/>
      <w:bookmarkEnd w:id="1259"/>
      <w:bookmarkEnd w:id="1261"/>
    </w:p>
    <w:p>
      <w:pPr>
        <w:pStyle w:val="Style21"/>
        <w:keepNext w:val="0"/>
        <w:keepLines w:val="0"/>
        <w:widowControl w:val="0"/>
        <w:shd w:val="clear" w:color="auto" w:fill="auto"/>
        <w:bidi w:val="0"/>
        <w:spacing w:before="0" w:after="14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72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62"/>
      <w:bookmarkEnd w:id="1263"/>
      <w:bookmarkEnd w:id="1265"/>
    </w:p>
    <w:p>
      <w:pPr>
        <w:pStyle w:val="Style65"/>
        <w:keepNext/>
        <w:keepLines/>
        <w:widowControl w:val="0"/>
        <w:shd w:val="clear" w:color="auto" w:fill="auto"/>
        <w:bidi w:val="0"/>
        <w:spacing w:before="0" w:line="240" w:lineRule="auto"/>
        <w:ind w:left="0" w:right="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color w:val="000000"/>
          <w:spacing w:val="0"/>
          <w:w w:val="100"/>
          <w:position w:val="0"/>
        </w:rPr>
        <w:t>）其他应收款按款项性质分类情况</w:t>
      </w:r>
      <w:bookmarkEnd w:id="1266"/>
      <w:bookmarkEnd w:id="1267"/>
      <w:bookmarkEnd w:id="1269"/>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457,179.74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914,845.23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3,944,898.59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2,581,346.04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2,403,526.62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1,827,074.20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2,172,564.16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264,971.53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8,978,169.11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5,588,237.00</w:t>
            </w:r>
          </w:p>
        </w:tc>
      </w:tr>
    </w:tbl>
    <w:p>
      <w:pPr>
        <w:widowControl w:val="0"/>
        <w:spacing w:after="319" w:line="1" w:lineRule="exact"/>
      </w:pPr>
    </w:p>
    <w:p>
      <w:pPr>
        <w:pStyle w:val="Style65"/>
        <w:keepNext/>
        <w:keepLines/>
        <w:widowControl w:val="0"/>
        <w:shd w:val="clear" w:color="auto" w:fill="auto"/>
        <w:bidi w:val="0"/>
        <w:spacing w:before="0" w:line="240" w:lineRule="auto"/>
        <w:ind w:left="0" w:right="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color w:val="000000"/>
          <w:spacing w:val="0"/>
          <w:w w:val="100"/>
          <w:position w:val="0"/>
        </w:rPr>
        <w:t>）坏账准备计提情况</w:t>
      </w:r>
      <w:bookmarkEnd w:id="1270"/>
      <w:bookmarkEnd w:id="1271"/>
      <w:bookmarkEnd w:id="1273"/>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520,092.62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520,092.62</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14,645.90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74,296.38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74,296.38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-4,740.69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455,701.45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455,701.45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8,373,592.24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340,434.56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251,142.31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68,080.93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179,061.38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8,978,169.11</w:t>
            </w:r>
          </w:p>
        </w:tc>
      </w:tr>
    </w:tbl>
    <w:p>
      <w:pPr>
        <w:widowControl w:val="0"/>
        <w:spacing w:after="319" w:line="1" w:lineRule="exact"/>
      </w:pPr>
    </w:p>
    <w:p>
      <w:pPr>
        <w:pStyle w:val="Style65"/>
        <w:keepNext/>
        <w:keepLines/>
        <w:widowControl w:val="0"/>
        <w:shd w:val="clear" w:color="auto" w:fill="auto"/>
        <w:bidi w:val="0"/>
        <w:spacing w:before="0" w:line="240" w:lineRule="auto"/>
        <w:ind w:left="0" w:right="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color w:val="000000"/>
          <w:spacing w:val="0"/>
          <w:w w:val="100"/>
          <w:position w:val="0"/>
        </w:rPr>
        <w:t>）本期计提、收回或转回的坏账准备情况</w:t>
      </w:r>
      <w:bookmarkEnd w:id="1274"/>
      <w:bookmarkEnd w:id="1275"/>
      <w:bookmarkEnd w:id="1277"/>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520,092.62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14,645.90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74,296.38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-4,740.69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455,701.45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520,092.62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14,645.90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74,296.38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-4,740.69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455,701.45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4</w:t>
      </w:r>
      <w:bookmarkEnd w:id="1280"/>
      <w:r>
        <w:rPr>
          <w:color w:val="000000"/>
          <w:spacing w:val="0"/>
          <w:w w:val="100"/>
          <w:position w:val="0"/>
        </w:rPr>
        <w:t>）本期实际核销的其他应收款情况</w:t>
      </w:r>
      <w:bookmarkEnd w:id="1278"/>
      <w:bookmarkEnd w:id="1279"/>
      <w:bookmarkEnd w:id="1281"/>
    </w:p>
    <w:p>
      <w:pPr>
        <w:pStyle w:val="Style21"/>
        <w:keepNext w:val="0"/>
        <w:keepLines w:val="0"/>
        <w:widowControl w:val="0"/>
        <w:shd w:val="clear" w:color="auto" w:fill="auto"/>
        <w:bidi w:val="0"/>
        <w:spacing w:before="0" w:after="100" w:line="240" w:lineRule="auto"/>
        <w:ind w:left="0" w:right="800" w:firstLine="0"/>
        <w:jc w:val="right"/>
      </w:pPr>
      <w:bookmarkStart w:id="1282" w:name="bookmark1282"/>
      <w:r>
        <w:rPr>
          <w:color w:val="000000"/>
          <w:spacing w:val="0"/>
          <w:w w:val="100"/>
          <w:position w:val="0"/>
        </w:rPr>
        <w:t>单</w:t>
      </w:r>
      <w:bookmarkEnd w:id="1282"/>
      <w:r>
        <w:rPr>
          <w:color w:val="000000"/>
          <w:spacing w:val="0"/>
          <w:w w:val="100"/>
          <w:position w:val="0"/>
        </w:rPr>
        <w:t>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年度公司核销无法收回的离职员工欠款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74,296.38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1627"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83" w:name="bookmark1283"/>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83"/>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1,995,392.00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84,009.90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16,426.24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595,406.40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12,225.36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243,920.00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221,900.00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4,556.23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3,856,618.40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122,226.09</w:t>
            </w:r>
          </w:p>
        </w:tc>
      </w:tr>
    </w:tbl>
    <w:p>
      <w:pPr>
        <w:widowControl w:val="0"/>
        <w:spacing w:after="319" w:line="1" w:lineRule="exact"/>
      </w:pPr>
    </w:p>
    <w:p>
      <w:pPr>
        <w:pStyle w:val="Style65"/>
        <w:keepNext/>
        <w:keepLines/>
        <w:widowControl w:val="0"/>
        <w:shd w:val="clear" w:color="auto" w:fill="auto"/>
        <w:bidi w:val="0"/>
        <w:spacing w:before="0" w:line="240" w:lineRule="auto"/>
        <w:ind w:left="0" w:right="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6</w:t>
      </w:r>
      <w:bookmarkEnd w:id="1286"/>
      <w:r>
        <w:rPr>
          <w:color w:val="000000"/>
          <w:spacing w:val="0"/>
          <w:w w:val="100"/>
          <w:position w:val="0"/>
        </w:rPr>
        <w:t>）涉及政府补助的应收款项</w:t>
      </w:r>
      <w:bookmarkEnd w:id="1284"/>
      <w:bookmarkEnd w:id="1285"/>
      <w:bookmarkEnd w:id="128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65"/>
        <w:keepNext/>
        <w:keepLines/>
        <w:widowControl w:val="0"/>
        <w:shd w:val="clear" w:color="auto" w:fill="auto"/>
        <w:tabs>
          <w:tab w:pos="1107" w:val="left"/>
        </w:tabs>
        <w:bidi w:val="0"/>
        <w:spacing w:before="0" w:line="240" w:lineRule="auto"/>
        <w:ind w:left="0" w:right="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7</w:t>
      </w:r>
      <w:bookmarkEnd w:id="1290"/>
      <w:r>
        <w:rPr>
          <w:color w:val="000000"/>
          <w:spacing w:val="0"/>
          <w:w w:val="100"/>
          <w:position w:val="0"/>
        </w:rPr>
        <w:t>）</w:t>
        <w:tab/>
        <w:t>因金融资产转移而终止确认的其他应收款</w:t>
      </w:r>
      <w:bookmarkEnd w:id="1288"/>
      <w:bookmarkEnd w:id="1289"/>
      <w:bookmarkEnd w:id="1291"/>
    </w:p>
    <w:p>
      <w:pPr>
        <w:pStyle w:val="Style65"/>
        <w:keepNext/>
        <w:keepLines/>
        <w:widowControl w:val="0"/>
        <w:shd w:val="clear" w:color="auto" w:fill="auto"/>
        <w:tabs>
          <w:tab w:pos="1112" w:val="left"/>
        </w:tabs>
        <w:bidi w:val="0"/>
        <w:spacing w:before="0" w:after="260" w:line="240" w:lineRule="auto"/>
        <w:ind w:left="0" w:right="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8</w:t>
      </w:r>
      <w:bookmarkEnd w:id="1294"/>
      <w:r>
        <w:rPr>
          <w:color w:val="000000"/>
          <w:spacing w:val="0"/>
          <w:w w:val="100"/>
          <w:position w:val="0"/>
        </w:rPr>
        <w:t>）</w:t>
        <w:tab/>
        <w:t>转移其他应收款且继续涉入形成的资产、负债金额</w:t>
      </w:r>
      <w:bookmarkEnd w:id="1292"/>
      <w:bookmarkEnd w:id="1293"/>
      <w:bookmarkEnd w:id="1295"/>
    </w:p>
    <w:p>
      <w:pPr>
        <w:pStyle w:val="Style21"/>
        <w:keepNext w:val="0"/>
        <w:keepLines w:val="0"/>
        <w:widowControl w:val="0"/>
        <w:shd w:val="clear" w:color="auto" w:fill="auto"/>
        <w:bidi w:val="0"/>
        <w:spacing w:before="0" w:after="100" w:line="317" w:lineRule="exact"/>
        <w:ind w:left="0" w:right="0" w:firstLine="720"/>
        <w:jc w:val="left"/>
      </w:pPr>
      <w:r>
        <w:rPr>
          <w:color w:val="000000"/>
          <w:spacing w:val="0"/>
          <w:w w:val="100"/>
          <w:position w:val="0"/>
        </w:rPr>
        <w:t>其他说明：</w:t>
      </w:r>
    </w:p>
    <w:p>
      <w:pPr>
        <w:pStyle w:val="Style21"/>
        <w:keepNext w:val="0"/>
        <w:keepLines w:val="0"/>
        <w:widowControl w:val="0"/>
        <w:shd w:val="clear" w:color="auto" w:fill="auto"/>
        <w:bidi w:val="0"/>
        <w:spacing w:before="0" w:after="380" w:line="317" w:lineRule="exact"/>
        <w:ind w:left="720" w:right="0" w:firstLine="160"/>
        <w:jc w:val="both"/>
      </w:pP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其他主要系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月公司将持有的湖北普联东文信息科技有限公司</w:t>
      </w:r>
      <w:r>
        <w:rPr>
          <w:rFonts w:ascii="Times New Roman" w:eastAsia="Times New Roman" w:hAnsi="Times New Roman" w:cs="Times New Roman"/>
          <w:color w:val="000000"/>
          <w:spacing w:val="0"/>
          <w:w w:val="100"/>
          <w:position w:val="0"/>
          <w:sz w:val="18"/>
          <w:szCs w:val="18"/>
        </w:rPr>
        <w:t>19.885%</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259.5392</w:t>
      </w:r>
      <w:r>
        <w:rPr>
          <w:color w:val="000000"/>
          <w:spacing w:val="0"/>
          <w:w w:val="100"/>
          <w:position w:val="0"/>
        </w:rPr>
        <w:t>万元转让给武汉 祥诺科技有限公司，本年收到股权转让款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万元，尚未收回的股权转让款金额为</w:t>
      </w:r>
      <w:r>
        <w:rPr>
          <w:rFonts w:ascii="Times New Roman" w:eastAsia="Times New Roman" w:hAnsi="Times New Roman" w:cs="Times New Roman"/>
          <w:color w:val="000000"/>
          <w:spacing w:val="0"/>
          <w:w w:val="100"/>
          <w:position w:val="0"/>
          <w:sz w:val="18"/>
          <w:szCs w:val="18"/>
        </w:rPr>
        <w:t>199.5392</w:t>
      </w:r>
      <w:r>
        <w:rPr>
          <w:color w:val="000000"/>
          <w:spacing w:val="0"/>
          <w:w w:val="100"/>
          <w:position w:val="0"/>
        </w:rPr>
        <w:t>万元。</w:t>
      </w:r>
    </w:p>
    <w:p>
      <w:pPr>
        <w:pStyle w:val="Style31"/>
        <w:keepNext/>
        <w:keepLines/>
        <w:widowControl w:val="0"/>
        <w:shd w:val="clear" w:color="auto" w:fill="auto"/>
        <w:bidi w:val="0"/>
        <w:spacing w:before="0" w:after="380" w:line="240" w:lineRule="auto"/>
        <w:ind w:left="0" w:right="0" w:firstLine="72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9</w:t>
      </w:r>
      <w:bookmarkEnd w:id="1298"/>
      <w:r>
        <w:rPr>
          <w:color w:val="000000"/>
          <w:spacing w:val="0"/>
          <w:w w:val="100"/>
          <w:position w:val="0"/>
        </w:rPr>
        <w:t>、存货</w:t>
      </w:r>
      <w:bookmarkEnd w:id="1296"/>
      <w:bookmarkEnd w:id="1297"/>
      <w:bookmarkEnd w:id="1299"/>
    </w:p>
    <w:p>
      <w:pPr>
        <w:pStyle w:val="Style21"/>
        <w:keepNext w:val="0"/>
        <w:keepLines w:val="0"/>
        <w:widowControl w:val="0"/>
        <w:shd w:val="clear" w:color="auto" w:fill="auto"/>
        <w:bidi w:val="0"/>
        <w:spacing w:before="0" w:after="340" w:line="240" w:lineRule="auto"/>
        <w:ind w:left="0" w:right="0" w:firstLine="720"/>
        <w:jc w:val="left"/>
      </w:pPr>
      <w:r>
        <w:rPr>
          <w:color w:val="000000"/>
          <w:spacing w:val="0"/>
          <w:w w:val="100"/>
          <w:position w:val="0"/>
        </w:rPr>
        <w:t>公司是否需要遵守房地产行业的披露要求</w:t>
      </w:r>
      <w:r>
        <w:br w:type="page"/>
      </w:r>
    </w:p>
    <w:p>
      <w:pPr>
        <w:pStyle w:val="Style21"/>
        <w:keepNext w:val="0"/>
        <w:keepLines w:val="0"/>
        <w:widowControl w:val="0"/>
        <w:shd w:val="clear" w:color="auto" w:fill="auto"/>
        <w:bidi w:val="0"/>
        <w:spacing w:before="0" w:after="360" w:line="240" w:lineRule="auto"/>
        <w:ind w:left="0" w:right="0" w:firstLine="720"/>
        <w:jc w:val="left"/>
      </w:pPr>
      <w:r>
        <w:rPr>
          <w:color w:val="000000"/>
          <w:spacing w:val="0"/>
          <w:w w:val="100"/>
          <w:position w:val="0"/>
        </w:rPr>
        <w:t>否</w:t>
      </w:r>
    </w:p>
    <w:p>
      <w:pPr>
        <w:pStyle w:val="Style40"/>
        <w:keepNext/>
        <w:keepLines/>
        <w:widowControl w:val="0"/>
        <w:shd w:val="clear" w:color="auto" w:fill="auto"/>
        <w:bidi w:val="0"/>
        <w:spacing w:before="0" w:after="360" w:line="240" w:lineRule="auto"/>
        <w:ind w:left="0" w:right="0" w:firstLine="720"/>
        <w:jc w:val="both"/>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00"/>
      <w:bookmarkEnd w:id="1301"/>
      <w:bookmarkEnd w:id="13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659,689.15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659,689.15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44,070,299.95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1,097,238.67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42,973,061.28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42,013,688.32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41,596,896.31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44,070,299.95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1,097,238.67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42,973,061.28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42,673,377.47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416,792.01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42,256,585.46</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720"/>
        <w:jc w:val="both"/>
      </w:pPr>
      <w:bookmarkStart w:id="1304" w:name="bookmark1304"/>
      <w:bookmarkStart w:id="1305" w:name="bookmark1305"/>
      <w:bookmarkStart w:id="1306" w:name="bookmark1306"/>
      <w:bookmarkStart w:id="1307" w:name="bookmark1307"/>
      <w:r>
        <w:rPr>
          <w:color w:val="000000"/>
          <w:spacing w:val="0"/>
          <w:w w:val="100"/>
          <w:position w:val="0"/>
        </w:rPr>
        <w:t>（</w:t>
      </w:r>
      <w:bookmarkEnd w:id="1306"/>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04"/>
      <w:bookmarkEnd w:id="1305"/>
      <w:bookmarkEnd w:id="13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416,792.01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162,055.42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1,097,238.67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416,792.01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162,055.42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1,097,238.67</w:t>
            </w:r>
          </w:p>
        </w:tc>
      </w:tr>
    </w:tbl>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说明：确定可变现净值的具体依据为销售合同价格，本期转回或转销存货跌价准备的原因为计提存货跌价的项目本期实现销 售。</w:t>
      </w:r>
    </w:p>
    <w:p>
      <w:pPr>
        <w:widowControl w:val="0"/>
        <w:spacing w:after="359" w:line="1" w:lineRule="exact"/>
      </w:pPr>
    </w:p>
    <w:p>
      <w:pPr>
        <w:pStyle w:val="Style40"/>
        <w:keepNext/>
        <w:keepLines/>
        <w:widowControl w:val="0"/>
        <w:shd w:val="clear" w:color="auto" w:fill="auto"/>
        <w:bidi w:val="0"/>
        <w:spacing w:before="0" w:after="360" w:line="240" w:lineRule="auto"/>
        <w:ind w:left="0" w:right="0" w:firstLine="720"/>
        <w:jc w:val="both"/>
      </w:pPr>
      <w:bookmarkStart w:id="1308" w:name="bookmark1308"/>
      <w:bookmarkStart w:id="1309" w:name="bookmark1309"/>
      <w:bookmarkStart w:id="1310" w:name="bookmark1310"/>
      <w:bookmarkStart w:id="1311" w:name="bookmark1311"/>
      <w:r>
        <w:rPr>
          <w:color w:val="000000"/>
          <w:spacing w:val="0"/>
          <w:w w:val="100"/>
          <w:position w:val="0"/>
        </w:rPr>
        <w:t>（</w:t>
      </w:r>
      <w:bookmarkEnd w:id="1310"/>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308"/>
      <w:bookmarkEnd w:id="1309"/>
      <w:bookmarkEnd w:id="1311"/>
    </w:p>
    <w:p>
      <w:pPr>
        <w:pStyle w:val="Style40"/>
        <w:keepNext/>
        <w:keepLines/>
        <w:widowControl w:val="0"/>
        <w:shd w:val="clear" w:color="auto" w:fill="auto"/>
        <w:bidi w:val="0"/>
        <w:spacing w:before="0" w:after="360" w:line="240" w:lineRule="auto"/>
        <w:ind w:left="0" w:right="0" w:firstLine="720"/>
        <w:jc w:val="both"/>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4</w:t>
      </w:r>
      <w:r>
        <w:rPr>
          <w:color w:val="000000"/>
          <w:spacing w:val="0"/>
          <w:w w:val="100"/>
          <w:position w:val="0"/>
        </w:rPr>
        <w:t>）合同履约成本本期摊销金额的说明</w:t>
      </w:r>
      <w:bookmarkEnd w:id="1312"/>
      <w:bookmarkEnd w:id="1313"/>
      <w:bookmarkEnd w:id="1315"/>
    </w:p>
    <w:p>
      <w:pPr>
        <w:pStyle w:val="Style31"/>
        <w:keepNext/>
        <w:keepLines/>
        <w:widowControl w:val="0"/>
        <w:shd w:val="clear" w:color="auto" w:fill="auto"/>
        <w:bidi w:val="0"/>
        <w:spacing w:before="0" w:line="240" w:lineRule="auto"/>
        <w:ind w:left="0" w:right="0" w:firstLine="720"/>
        <w:jc w:val="both"/>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316"/>
      <w:bookmarkEnd w:id="1317"/>
      <w:bookmarkEnd w:id="1319"/>
    </w:p>
    <w:p>
      <w:pPr>
        <w:pStyle w:val="Style21"/>
        <w:keepNext w:val="0"/>
        <w:keepLines w:val="0"/>
        <w:widowControl w:val="0"/>
        <w:shd w:val="clear" w:color="auto" w:fill="auto"/>
        <w:bidi w:val="0"/>
        <w:spacing w:before="0" w:line="240" w:lineRule="auto"/>
        <w:ind w:left="966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119" w:line="1" w:lineRule="exact"/>
      </w:pPr>
    </w:p>
    <w:p>
      <w:pPr>
        <w:pStyle w:val="Style21"/>
        <w:keepNext w:val="0"/>
        <w:keepLines w:val="0"/>
        <w:widowControl w:val="0"/>
        <w:shd w:val="clear" w:color="auto" w:fill="auto"/>
        <w:bidi w:val="0"/>
        <w:spacing w:before="0" w:line="240" w:lineRule="auto"/>
        <w:ind w:left="966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720"/>
        <w:jc w:val="left"/>
      </w:pPr>
      <w:r>
        <w:rPr>
          <w:color w:val="000000"/>
          <w:spacing w:val="0"/>
          <w:w w:val="100"/>
          <w:position w:val="0"/>
        </w:rPr>
        <w:t>如是按照预期信用损失一般模型计提合同资产坏账准备，请参照其他应收款的披露方式披露坏账准备的相关信息：</w:t>
      </w:r>
    </w:p>
    <w:p>
      <w:pPr>
        <w:pStyle w:val="Style21"/>
        <w:keepNext w:val="0"/>
        <w:keepLines w:val="0"/>
        <w:widowControl w:val="0"/>
        <w:shd w:val="clear" w:color="auto" w:fill="auto"/>
        <w:bidi w:val="0"/>
        <w:spacing w:before="0" w:line="240" w:lineRule="auto"/>
        <w:ind w:left="0" w:right="0" w:firstLine="7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720"/>
        <w:jc w:val="left"/>
      </w:pPr>
      <w:r>
        <w:rPr>
          <w:color w:val="000000"/>
          <w:spacing w:val="0"/>
          <w:w w:val="100"/>
          <w:position w:val="0"/>
        </w:rPr>
        <w:t>本期合同资产计提减值准备情况</w:t>
      </w:r>
    </w:p>
    <w:p>
      <w:pPr>
        <w:pStyle w:val="Style21"/>
        <w:keepNext w:val="0"/>
        <w:keepLines w:val="0"/>
        <w:widowControl w:val="0"/>
        <w:shd w:val="clear" w:color="auto" w:fill="auto"/>
        <w:bidi w:val="0"/>
        <w:spacing w:before="0" w:after="360" w:line="240" w:lineRule="auto"/>
        <w:ind w:left="966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320"/>
      <w:bookmarkEnd w:id="1321"/>
      <w:bookmarkEnd w:id="1323"/>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324" w:name="bookmark1324"/>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1</w:t>
      </w:r>
      <w:bookmarkEnd w:id="132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324"/>
      <w:bookmarkEnd w:id="1325"/>
      <w:bookmarkEnd w:id="1327"/>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7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1</w:t>
      </w:r>
      <w:bookmarkEnd w:id="133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328"/>
      <w:bookmarkEnd w:id="1329"/>
      <w:bookmarkEnd w:id="1331"/>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未来期间可抵扣的增值税进项税额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1,869,163.06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2,283,590.25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4,027,155.58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2,750,276.58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w:t>
            </w: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中介费用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2,811,946.88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554,624.06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598,331.08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80,451.50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6,586,301.14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8,524,596.29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bookmarkEnd w:id="1334"/>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332"/>
      <w:bookmarkEnd w:id="1333"/>
      <w:bookmarkEnd w:id="133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1"/>
        <w:keepNext w:val="0"/>
        <w:keepLines w:val="0"/>
        <w:widowControl w:val="0"/>
        <w:shd w:val="clear" w:color="auto" w:fill="auto"/>
        <w:bidi w:val="0"/>
        <w:spacing w:before="0" w:line="240" w:lineRule="auto"/>
        <w:ind w:left="96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72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336"/>
      <w:bookmarkEnd w:id="1337"/>
      <w:bookmarkEnd w:id="1339"/>
    </w:p>
    <w:p>
      <w:pPr>
        <w:pStyle w:val="Style21"/>
        <w:keepNext w:val="0"/>
        <w:keepLines w:val="0"/>
        <w:widowControl w:val="0"/>
        <w:shd w:val="clear" w:color="auto" w:fill="auto"/>
        <w:bidi w:val="0"/>
        <w:spacing w:before="0" w:line="240" w:lineRule="auto"/>
        <w:ind w:left="966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1"/>
        <w:keepNext w:val="0"/>
        <w:keepLines w:val="0"/>
        <w:widowControl w:val="0"/>
        <w:shd w:val="clear" w:color="auto" w:fill="auto"/>
        <w:bidi w:val="0"/>
        <w:spacing w:before="0" w:line="240" w:lineRule="auto"/>
        <w:ind w:left="96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72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line="240" w:lineRule="auto"/>
        <w:ind w:left="0" w:right="0" w:firstLine="72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72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bookmarkEnd w:id="1342"/>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340"/>
      <w:bookmarkEnd w:id="1341"/>
      <w:bookmarkEnd w:id="1343"/>
    </w:p>
    <w:p>
      <w:pPr>
        <w:pStyle w:val="Style40"/>
        <w:keepNext/>
        <w:keepLines/>
        <w:widowControl w:val="0"/>
        <w:shd w:val="clear" w:color="auto" w:fill="auto"/>
        <w:bidi w:val="0"/>
        <w:spacing w:before="0" w:line="240" w:lineRule="auto"/>
        <w:ind w:left="0" w:right="0" w:firstLine="72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44"/>
      <w:bookmarkEnd w:id="1345"/>
      <w:bookmarkEnd w:id="1347"/>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213" w:val="left"/>
        </w:tabs>
        <w:bidi w:val="0"/>
        <w:spacing w:before="0" w:line="240" w:lineRule="auto"/>
        <w:ind w:left="0" w:right="0" w:firstLine="72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48"/>
      <w:bookmarkEnd w:id="1349"/>
      <w:bookmarkEnd w:id="1351"/>
    </w:p>
    <w:p>
      <w:pPr>
        <w:pStyle w:val="Style40"/>
        <w:keepNext/>
        <w:keepLines/>
        <w:widowControl w:val="0"/>
        <w:shd w:val="clear" w:color="auto" w:fill="auto"/>
        <w:bidi w:val="0"/>
        <w:spacing w:before="0" w:line="240" w:lineRule="auto"/>
        <w:ind w:left="0" w:right="0" w:firstLine="72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352"/>
      <w:bookmarkEnd w:id="1353"/>
      <w:bookmarkEnd w:id="1355"/>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both"/>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1</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56"/>
      <w:bookmarkEnd w:id="1357"/>
      <w:bookmarkEnd w:id="1359"/>
    </w:p>
    <w:p>
      <w:pPr>
        <w:pStyle w:val="Style27"/>
        <w:keepNext w:val="0"/>
        <w:keepLines w:val="0"/>
        <w:widowControl w:val="0"/>
        <w:shd w:val="clear" w:color="auto" w:fill="auto"/>
        <w:bidi w:val="0"/>
        <w:spacing w:before="0" w:after="0" w:line="240" w:lineRule="auto"/>
        <w:ind w:left="9230" w:right="0" w:firstLine="0"/>
        <w:jc w:val="left"/>
      </w:pPr>
      <w:r>
        <w:rPr>
          <w:color w:val="000000"/>
          <w:spacing w:val="0"/>
          <w:w w:val="100"/>
          <w:position w:val="0"/>
        </w:rPr>
        <w:t>单位：元</w:t>
      </w:r>
    </w:p>
    <w:tbl>
      <w:tblPr>
        <w:tblOverlap w:val="never"/>
        <w:jc w:val="center"/>
        <w:tblLayout w:type="fixed"/>
      </w:tblPr>
      <w:tblGrid>
        <w:gridCol w:w="859"/>
        <w:gridCol w:w="1061"/>
        <w:gridCol w:w="797"/>
        <w:gridCol w:w="797"/>
        <w:gridCol w:w="1032"/>
        <w:gridCol w:w="850"/>
        <w:gridCol w:w="850"/>
        <w:gridCol w:w="710"/>
        <w:gridCol w:w="850"/>
        <w:gridCol w:w="710"/>
        <w:gridCol w:w="1133"/>
        <w:gridCol w:w="8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股利或</w:t>
            </w:r>
          </w:p>
          <w:p>
            <w:pPr>
              <w:pStyle w:val="Style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合肥耀安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8,024,715.41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852,792.40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8,864,516.71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8,024,715.41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852,792.40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8,864,516.71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8,024,715.41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852,792.40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-12,991.10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8,864,516.71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240" w:lineRule="auto"/>
        <w:ind w:left="307"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bookmarkEnd w:id="1362"/>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60"/>
      <w:bookmarkEnd w:id="1361"/>
      <w:bookmarkEnd w:id="1363"/>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720"/>
        <w:jc w:val="both"/>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1</w:t>
      </w:r>
      <w:bookmarkEnd w:id="1366"/>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64"/>
      <w:bookmarkEnd w:id="1365"/>
      <w:bookmarkEnd w:id="1367"/>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68"/>
      <w:bookmarkEnd w:id="1369"/>
      <w:bookmarkEnd w:id="1371"/>
    </w:p>
    <w:p>
      <w:pPr>
        <w:pStyle w:val="Style40"/>
        <w:keepNext/>
        <w:keepLines/>
        <w:widowControl w:val="0"/>
        <w:shd w:val="clear" w:color="auto" w:fill="auto"/>
        <w:bidi w:val="0"/>
        <w:spacing w:before="0" w:line="240" w:lineRule="auto"/>
        <w:ind w:left="0" w:right="0" w:firstLine="72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72"/>
      <w:bookmarkEnd w:id="1373"/>
      <w:bookmarkEnd w:id="1375"/>
    </w:p>
    <w:p>
      <w:pPr>
        <w:pStyle w:val="Style2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72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376"/>
      <w:bookmarkEnd w:id="1377"/>
      <w:bookmarkEnd w:id="1379"/>
    </w:p>
    <w:p>
      <w:pPr>
        <w:pStyle w:val="Style2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720"/>
        <w:jc w:val="left"/>
      </w:pPr>
      <w:bookmarkStart w:id="1380" w:name="bookmark1380"/>
      <w:bookmarkStart w:id="1381" w:name="bookmark1381"/>
      <w:bookmarkStart w:id="1382" w:name="bookmark1382"/>
      <w:bookmarkStart w:id="1383" w:name="bookmark1383"/>
      <w:r>
        <w:rPr>
          <w:color w:val="000000"/>
          <w:spacing w:val="0"/>
          <w:w w:val="100"/>
          <w:position w:val="0"/>
        </w:rPr>
        <w:t>（</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380"/>
      <w:bookmarkEnd w:id="1381"/>
      <w:bookmarkEnd w:id="1383"/>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84"/>
      <w:bookmarkEnd w:id="1385"/>
      <w:bookmarkEnd w:id="1387"/>
    </w:p>
    <w:p>
      <w:pPr>
        <w:pStyle w:val="Style21"/>
        <w:keepNext w:val="0"/>
        <w:keepLines w:val="0"/>
        <w:widowControl w:val="0"/>
        <w:shd w:val="clear" w:color="auto" w:fill="auto"/>
        <w:bidi w:val="0"/>
        <w:spacing w:before="0" w:after="10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7,683,787.01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5,605,834.84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7,683,787.01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5,605,834.84</w:t>
            </w:r>
          </w:p>
        </w:tc>
      </w:tr>
    </w:tbl>
    <w:p>
      <w:pPr>
        <w:spacing w:lineRule="exact" w:line="1"/>
        <w:rPr>
          <w:sz w:val="2"/>
          <w:szCs w:val="2"/>
        </w:rPr>
      </w:pPr>
      <w:r>
        <w:br w:type="page"/>
      </w:r>
    </w:p>
    <w:p>
      <w:pPr>
        <w:pStyle w:val="Style40"/>
        <w:keepNext/>
        <w:keepLines/>
        <w:widowControl w:val="0"/>
        <w:numPr>
          <w:ilvl w:val="0"/>
          <w:numId w:val="31"/>
        </w:numPr>
        <w:shd w:val="clear" w:color="auto" w:fill="auto"/>
        <w:bidi w:val="0"/>
        <w:spacing w:before="0" w:after="360" w:line="240" w:lineRule="auto"/>
        <w:ind w:left="0" w:right="0" w:firstLine="72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固定资产情况</w:t>
      </w:r>
      <w:bookmarkEnd w:id="1388"/>
      <w:bookmarkEnd w:id="1389"/>
      <w:bookmarkEnd w:id="139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家具及其他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15,986,323.13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3,074,129.52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2,789,794.42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21,850,247.07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4,115,739.88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62,694.67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5,320,877.03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4,178,624.21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67,753.39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5,388,820.08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1,916,351.38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38,297.20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2,363,622.45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1,916,351.38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38,297.20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2,363,622.45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18,185,711.63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3,807,598.13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2,814,191.89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24,807,501.65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11,718,143.20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2,542,751.34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1,983,517.69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16,244,412.23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2,563,228.27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323,186.29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3,119,903.72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2,620,465.54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233,489.16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325,517.47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3,179,472.17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-59,568.45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1,817,387.16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2,240,601.31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1,817,387.16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388,525.18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2,240,601.31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12,463,984.31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2,387,715.32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2,272,015.01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17,123,714.64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5,721,727.32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1,419,882.81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542,176.88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7,683,787.01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4,268,179.93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531,378.18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806,276.73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5,605,834.84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left"/>
      </w:pPr>
      <w:bookmarkStart w:id="1392" w:name="bookmark1392"/>
      <w:bookmarkStart w:id="1393" w:name="bookmark1393"/>
      <w:bookmarkStart w:id="1394" w:name="bookmark1394"/>
      <w:bookmarkStart w:id="1395" w:name="bookmark1395"/>
      <w:r>
        <w:rPr>
          <w:color w:val="000000"/>
          <w:spacing w:val="0"/>
          <w:w w:val="100"/>
          <w:position w:val="0"/>
        </w:rPr>
        <w:t>（</w:t>
      </w:r>
      <w:bookmarkEnd w:id="1394"/>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92"/>
      <w:bookmarkEnd w:id="1393"/>
      <w:bookmarkEnd w:id="1395"/>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left"/>
      </w:pPr>
      <w:bookmarkStart w:id="1396" w:name="bookmark1396"/>
      <w:bookmarkStart w:id="1397" w:name="bookmark1397"/>
      <w:bookmarkStart w:id="1398" w:name="bookmark1398"/>
      <w:bookmarkStart w:id="1399" w:name="bookmark1399"/>
      <w:r>
        <w:rPr>
          <w:color w:val="000000"/>
          <w:spacing w:val="0"/>
          <w:w w:val="100"/>
          <w:position w:val="0"/>
        </w:rPr>
        <w:t>（</w:t>
      </w:r>
      <w:bookmarkEnd w:id="1398"/>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96"/>
      <w:bookmarkEnd w:id="1397"/>
      <w:bookmarkEnd w:id="1399"/>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400"/>
      <w:bookmarkEnd w:id="1401"/>
      <w:bookmarkEnd w:id="1403"/>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720"/>
        <w:jc w:val="both"/>
      </w:pPr>
      <w:bookmarkStart w:id="1404" w:name="bookmark1404"/>
      <w:bookmarkStart w:id="1405" w:name="bookmark1405"/>
      <w:bookmarkStart w:id="1406" w:name="bookmark1406"/>
      <w:bookmarkStart w:id="1407" w:name="bookmark1407"/>
      <w:r>
        <w:rPr>
          <w:color w:val="000000"/>
          <w:spacing w:val="0"/>
          <w:w w:val="100"/>
          <w:position w:val="0"/>
        </w:rPr>
        <w:t>（</w:t>
      </w:r>
      <w:bookmarkEnd w:id="1406"/>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404"/>
      <w:bookmarkEnd w:id="1405"/>
      <w:bookmarkEnd w:id="1407"/>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both"/>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2</w:t>
      </w:r>
      <w:bookmarkEnd w:id="1410"/>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408"/>
      <w:bookmarkEnd w:id="1409"/>
      <w:bookmarkEnd w:id="1411"/>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both"/>
      </w:pPr>
      <w:bookmarkStart w:id="1412" w:name="bookmark1412"/>
      <w:bookmarkStart w:id="1413" w:name="bookmark1413"/>
      <w:bookmarkStart w:id="1414" w:name="bookmark1414"/>
      <w:bookmarkStart w:id="1415" w:name="bookmark1415"/>
      <w:r>
        <w:rPr>
          <w:color w:val="000000"/>
          <w:spacing w:val="0"/>
          <w:w w:val="100"/>
          <w:position w:val="0"/>
        </w:rPr>
        <w:t>（</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412"/>
      <w:bookmarkEnd w:id="1413"/>
      <w:bookmarkEnd w:id="1415"/>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40"/>
        <w:keepNext/>
        <w:keepLines/>
        <w:widowControl w:val="0"/>
        <w:shd w:val="clear" w:color="auto" w:fill="auto"/>
        <w:bidi w:val="0"/>
        <w:spacing w:before="0" w:line="240" w:lineRule="auto"/>
        <w:ind w:left="0" w:right="0" w:firstLine="720"/>
        <w:jc w:val="left"/>
      </w:pPr>
      <w:bookmarkStart w:id="1416" w:name="bookmark1416"/>
      <w:bookmarkStart w:id="1417" w:name="bookmark1417"/>
      <w:bookmarkStart w:id="1418" w:name="bookmark1418"/>
      <w:bookmarkStart w:id="1419" w:name="bookmark1419"/>
      <w:r>
        <w:rPr>
          <w:color w:val="000000"/>
          <w:spacing w:val="0"/>
          <w:w w:val="100"/>
          <w:position w:val="0"/>
        </w:rPr>
        <w:t>（</w:t>
      </w:r>
      <w:bookmarkEnd w:id="1418"/>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416"/>
      <w:bookmarkEnd w:id="1417"/>
      <w:bookmarkEnd w:id="1419"/>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息资本</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72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420"/>
      <w:bookmarkEnd w:id="1421"/>
      <w:bookmarkEnd w:id="1423"/>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72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424"/>
      <w:bookmarkEnd w:id="1425"/>
      <w:bookmarkEnd w:id="1427"/>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tabs>
          <w:tab w:pos="1203" w:val="left"/>
        </w:tabs>
        <w:bidi w:val="0"/>
        <w:spacing w:before="0" w:after="380" w:line="240" w:lineRule="auto"/>
        <w:ind w:left="0" w:right="0" w:firstLine="72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2</w:t>
      </w:r>
      <w:bookmarkEnd w:id="1430"/>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428"/>
      <w:bookmarkEnd w:id="1429"/>
      <w:bookmarkEnd w:id="1431"/>
    </w:p>
    <w:p>
      <w:pPr>
        <w:pStyle w:val="Style40"/>
        <w:keepNext/>
        <w:keepLines/>
        <w:widowControl w:val="0"/>
        <w:shd w:val="clear" w:color="auto" w:fill="auto"/>
        <w:tabs>
          <w:tab w:pos="1213" w:val="left"/>
        </w:tabs>
        <w:bidi w:val="0"/>
        <w:spacing w:before="0" w:line="240" w:lineRule="auto"/>
        <w:ind w:left="0" w:right="0" w:firstLine="720"/>
        <w:jc w:val="left"/>
      </w:pPr>
      <w:bookmarkStart w:id="1432" w:name="bookmark1432"/>
      <w:bookmarkStart w:id="1433" w:name="bookmark1433"/>
      <w:bookmarkStart w:id="1434" w:name="bookmark1434"/>
      <w:bookmarkStart w:id="1435" w:name="bookmark1435"/>
      <w:r>
        <w:rPr>
          <w:color w:val="000000"/>
          <w:spacing w:val="0"/>
          <w:w w:val="100"/>
          <w:position w:val="0"/>
        </w:rPr>
        <w:t>（</w:t>
      </w:r>
      <w:bookmarkEnd w:id="143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432"/>
      <w:bookmarkEnd w:id="1433"/>
      <w:bookmarkEnd w:id="1435"/>
    </w:p>
    <w:p>
      <w:pPr>
        <w:pStyle w:val="Style2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1213" w:val="left"/>
        </w:tabs>
        <w:bidi w:val="0"/>
        <w:spacing w:before="0" w:line="240" w:lineRule="auto"/>
        <w:ind w:left="0" w:right="0" w:firstLine="720"/>
        <w:jc w:val="left"/>
      </w:pPr>
      <w:bookmarkStart w:id="1436" w:name="bookmark1436"/>
      <w:bookmarkStart w:id="1437" w:name="bookmark1437"/>
      <w:bookmarkStart w:id="1438" w:name="bookmark1438"/>
      <w:bookmarkStart w:id="1439" w:name="bookmark1439"/>
      <w:r>
        <w:rPr>
          <w:color w:val="000000"/>
          <w:spacing w:val="0"/>
          <w:w w:val="100"/>
          <w:position w:val="0"/>
        </w:rPr>
        <w:t>（</w:t>
      </w:r>
      <w:bookmarkEnd w:id="143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436"/>
      <w:bookmarkEnd w:id="1437"/>
      <w:bookmarkEnd w:id="1439"/>
    </w:p>
    <w:p>
      <w:pPr>
        <w:pStyle w:val="Style2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1203" w:val="left"/>
        </w:tabs>
        <w:bidi w:val="0"/>
        <w:spacing w:before="0" w:after="380" w:line="240" w:lineRule="auto"/>
        <w:ind w:left="0" w:right="0" w:firstLine="72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2</w:t>
      </w:r>
      <w:bookmarkEnd w:id="144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440"/>
      <w:bookmarkEnd w:id="1441"/>
      <w:bookmarkEnd w:id="1443"/>
    </w:p>
    <w:p>
      <w:pPr>
        <w:pStyle w:val="Style21"/>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1203" w:val="left"/>
        </w:tabs>
        <w:bidi w:val="0"/>
        <w:spacing w:before="0" w:after="380" w:line="240" w:lineRule="auto"/>
        <w:ind w:left="0" w:right="0" w:firstLine="72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bookmarkEnd w:id="1446"/>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444"/>
      <w:bookmarkEnd w:id="1445"/>
      <w:bookmarkEnd w:id="144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13,373,613.68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13,373,613.68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383,217.79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383,217.79</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）租入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383,217.79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383,217.79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13,756,831.47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13,756,831.47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3,567,406.74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3,567,406.74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3,573,943.11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3,573,943.11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3,567,406.74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3,567,406.74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10,189,424.73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10,189,424.73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13,373,613.68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13,373,613.68</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720"/>
        <w:jc w:val="both"/>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bookmarkEnd w:id="1450"/>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448"/>
      <w:bookmarkEnd w:id="1449"/>
      <w:bookmarkEnd w:id="1451"/>
    </w:p>
    <w:p>
      <w:pPr>
        <w:pStyle w:val="Style40"/>
        <w:keepNext/>
        <w:keepLines/>
        <w:widowControl w:val="0"/>
        <w:shd w:val="clear" w:color="auto" w:fill="auto"/>
        <w:bidi w:val="0"/>
        <w:spacing w:before="0" w:line="240" w:lineRule="auto"/>
        <w:ind w:left="0" w:right="0" w:firstLine="720"/>
        <w:jc w:val="both"/>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52"/>
      <w:bookmarkEnd w:id="1453"/>
      <w:bookmarkEnd w:id="1455"/>
    </w:p>
    <w:p>
      <w:pPr>
        <w:pStyle w:val="Style21"/>
        <w:keepNext w:val="0"/>
        <w:keepLines w:val="0"/>
        <w:widowControl w:val="0"/>
        <w:shd w:val="clear" w:color="auto" w:fill="auto"/>
        <w:bidi w:val="0"/>
        <w:spacing w:before="0" w:after="80" w:line="240" w:lineRule="auto"/>
        <w:ind w:left="966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软件使用权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4,154,590.89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1,429,500.00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5,584,090.89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185,431.60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3,785,431.60</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8"/>
        <w:gridCol w:w="1368"/>
        <w:gridCol w:w="1373"/>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3,785,646.04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4,340,022.49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9,369,522.49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3,872,403.05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1,310,375.00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5,182,778.05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208,276.59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370,866.45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371,080.89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4,080,679.64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1,429,500.00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5,553,644.50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84" w:right="308" w:bottom="1507" w:left="379" w:header="0" w:footer="3" w:gutter="0"/>
          <w:cols w:space="720"/>
          <w:noEndnote/>
          <w:rtlGutter w:val="0"/>
          <w:docGrid w:linePitch="360"/>
        </w:sectPr>
      </w:pP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3,556,535.14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3,815,877.99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282,187.84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401,312.84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w:t>
      </w:r>
      <w:bookmarkEnd w:id="145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56"/>
      <w:bookmarkEnd w:id="1457"/>
      <w:bookmarkEnd w:id="145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60"/>
      <w:bookmarkEnd w:id="1461"/>
      <w:bookmarkEnd w:id="146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464"/>
      <w:bookmarkEnd w:id="1465"/>
      <w:bookmarkEnd w:id="1466"/>
    </w:p>
    <w:p>
      <w:pPr>
        <w:pStyle w:val="Style40"/>
        <w:keepNext/>
        <w:keepLines/>
        <w:widowControl w:val="0"/>
        <w:shd w:val="clear" w:color="auto" w:fill="auto"/>
        <w:bidi w:val="0"/>
        <w:spacing w:before="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w:t>
      </w:r>
      <w:bookmarkEnd w:id="146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67"/>
      <w:bookmarkEnd w:id="1468"/>
      <w:bookmarkEnd w:id="1470"/>
    </w:p>
    <w:p>
      <w:pPr>
        <w:pStyle w:val="Style21"/>
        <w:keepNext w:val="0"/>
        <w:keepLines w:val="0"/>
        <w:widowControl w:val="0"/>
        <w:shd w:val="clear" w:color="auto" w:fill="auto"/>
        <w:bidi w:val="0"/>
        <w:spacing w:before="0" w:after="80" w:line="240" w:lineRule="auto"/>
        <w:ind w:left="8940" w:right="0" w:firstLine="0"/>
        <w:jc w:val="left"/>
      </w:pPr>
      <w:bookmarkStart w:id="1471" w:name="bookmark1471"/>
      <w:r>
        <w:rPr>
          <w:color w:val="000000"/>
          <w:spacing w:val="0"/>
          <w:w w:val="100"/>
          <w:position w:val="0"/>
        </w:rPr>
        <w:t>单</w:t>
      </w:r>
      <w:bookmarkEnd w:id="1471"/>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普联中瑞（北京）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15,793,007.01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15,793,007.01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合肥普联朗霁软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8,107,654.70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8,107,654.70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23,900,661.71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23,900,661.71</w:t>
            </w:r>
          </w:p>
        </w:tc>
      </w:tr>
    </w:tbl>
    <w:p>
      <w:pPr>
        <w:pStyle w:val="Style40"/>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72"/>
      <w:bookmarkEnd w:id="1473"/>
      <w:bookmarkEnd w:id="147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普联中瑞（北京）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8,460,900.00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8,460,900.00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合肥普联朗霁软 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8,107,654.70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8,107,654.70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16,568,554.70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16,568,554.70</w:t>
            </w:r>
          </w:p>
        </w:tc>
      </w:tr>
    </w:tbl>
    <w:p>
      <w:pPr>
        <w:pStyle w:val="Style21"/>
        <w:keepNext w:val="0"/>
        <w:keepLines w:val="0"/>
        <w:widowControl w:val="0"/>
        <w:shd w:val="clear" w:color="auto" w:fill="auto"/>
        <w:bidi w:val="0"/>
        <w:spacing w:before="0" w:after="40" w:line="312" w:lineRule="exact"/>
        <w:ind w:left="0" w:right="0" w:firstLine="0"/>
        <w:jc w:val="both"/>
      </w:pPr>
      <w:r>
        <w:rPr>
          <w:color w:val="000000"/>
          <w:spacing w:val="0"/>
          <w:w w:val="100"/>
          <w:position w:val="0"/>
        </w:rPr>
        <w:t>商誉所在资产组或资产组组合的相关信息</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1"/>
        <w:keepNext w:val="0"/>
        <w:keepLines w:val="0"/>
        <w:widowControl w:val="0"/>
        <w:numPr>
          <w:ilvl w:val="0"/>
          <w:numId w:val="33"/>
        </w:numPr>
        <w:shd w:val="clear" w:color="auto" w:fill="auto"/>
        <w:tabs>
          <w:tab w:pos="373" w:val="left"/>
        </w:tabs>
        <w:bidi w:val="0"/>
        <w:spacing w:before="0" w:after="200" w:line="317" w:lineRule="exact"/>
        <w:ind w:left="0" w:right="0" w:firstLine="0"/>
        <w:jc w:val="both"/>
      </w:pPr>
      <w:bookmarkStart w:id="1476" w:name="bookmark1476"/>
      <w:bookmarkEnd w:id="1476"/>
      <w:r>
        <w:rPr>
          <w:color w:val="000000"/>
          <w:spacing w:val="0"/>
          <w:w w:val="100"/>
          <w:position w:val="0"/>
        </w:rPr>
        <w:t>为便于市场及业务协调，公司自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年开始对普联中瑞（北京）的人员和业务进行整合至普联软件股份有限公司巴州分公 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普联巴州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），因商誉依托的业务已转移至普联巴州，因此评估时兼顾普联中瑞（北京）与普联巴州。</w:t>
      </w:r>
    </w:p>
    <w:p>
      <w:pPr>
        <w:pStyle w:val="Style21"/>
        <w:keepNext w:val="0"/>
        <w:keepLines w:val="0"/>
        <w:widowControl w:val="0"/>
        <w:numPr>
          <w:ilvl w:val="0"/>
          <w:numId w:val="33"/>
        </w:numPr>
        <w:shd w:val="clear" w:color="auto" w:fill="auto"/>
        <w:tabs>
          <w:tab w:pos="373" w:val="left"/>
        </w:tabs>
        <w:bidi w:val="0"/>
        <w:spacing w:before="0" w:after="200" w:line="312" w:lineRule="exact"/>
        <w:ind w:left="0" w:right="0" w:firstLine="0"/>
        <w:jc w:val="both"/>
      </w:pPr>
      <w:bookmarkStart w:id="1477" w:name="bookmark1477"/>
      <w:bookmarkEnd w:id="1477"/>
      <w:r>
        <w:rPr>
          <w:color w:val="000000"/>
          <w:spacing w:val="0"/>
          <w:w w:val="100"/>
          <w:position w:val="0"/>
        </w:rPr>
        <w:t>普联中瑞（北京）的业务以中国石油天然气股份有限公司塔里木油田分公司的业务为主，公司将普联中瑞（北京）作为一 个资产组，自收购以来未发生变化。</w:t>
      </w:r>
    </w:p>
    <w:p>
      <w:pPr>
        <w:pStyle w:val="Style21"/>
        <w:keepNext w:val="0"/>
        <w:keepLines w:val="0"/>
        <w:widowControl w:val="0"/>
        <w:numPr>
          <w:ilvl w:val="0"/>
          <w:numId w:val="33"/>
        </w:numPr>
        <w:shd w:val="clear" w:color="auto" w:fill="auto"/>
        <w:tabs>
          <w:tab w:pos="373" w:val="left"/>
        </w:tabs>
        <w:bidi w:val="0"/>
        <w:spacing w:before="0" w:after="200" w:line="312" w:lineRule="exact"/>
        <w:ind w:left="0" w:right="0" w:firstLine="0"/>
        <w:jc w:val="both"/>
      </w:pPr>
      <w:bookmarkStart w:id="1478" w:name="bookmark1478"/>
      <w:bookmarkEnd w:id="1478"/>
      <w:r>
        <w:rPr>
          <w:color w:val="000000"/>
          <w:spacing w:val="0"/>
          <w:w w:val="100"/>
          <w:position w:val="0"/>
        </w:rPr>
        <w:t>普联朗霁定位于人力资源软件产品及解决方案供应商，主要客户分布在煤炭、教育等行业领域，公司将普联朗霁作为一个 资产组，自收购以来未发生变化。</w:t>
      </w:r>
    </w:p>
    <w:p>
      <w:pPr>
        <w:pStyle w:val="Style21"/>
        <w:keepNext w:val="0"/>
        <w:keepLines w:val="0"/>
        <w:widowControl w:val="0"/>
        <w:shd w:val="clear" w:color="auto" w:fill="auto"/>
        <w:bidi w:val="0"/>
        <w:spacing w:before="0" w:after="200" w:line="312"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）普联中瑞（北京）商誉减值测算情况</w:t>
      </w:r>
    </w:p>
    <w:p>
      <w:pPr>
        <w:pStyle w:val="Style21"/>
        <w:keepNext w:val="0"/>
        <w:keepLines w:val="0"/>
        <w:widowControl w:val="0"/>
        <w:shd w:val="clear" w:color="auto" w:fill="auto"/>
        <w:bidi w:val="0"/>
        <w:spacing w:before="0" w:after="200" w:line="309" w:lineRule="exact"/>
        <w:ind w:left="0" w:right="0" w:firstLine="240"/>
        <w:jc w:val="both"/>
      </w:pPr>
      <w:r>
        <w:rPr>
          <w:color w:val="000000"/>
          <w:spacing w:val="0"/>
          <w:w w:val="100"/>
          <w:position w:val="0"/>
        </w:rPr>
        <w:t>根据该资产组未来经营期内的预测指标，通过了解该资产组的财务计划、经营计划，分析资产组在未来年度中的收益、 成本和费用变化趋势，测算预期年限内的净现金流量。根据公司的发展规划、历史经营趋势、市场竞争情况等因素的综合分 析，公司预计未来期间段收入会有小幅上升，预测公司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年的销售增长率为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，计算未来现金流量现值所采用 的折现率为</w:t>
      </w:r>
      <w:r>
        <w:rPr>
          <w:rFonts w:ascii="Times New Roman" w:eastAsia="Times New Roman" w:hAnsi="Times New Roman" w:cs="Times New Roman"/>
          <w:color w:val="000000"/>
          <w:spacing w:val="0"/>
          <w:w w:val="100"/>
          <w:position w:val="0"/>
          <w:sz w:val="18"/>
          <w:szCs w:val="18"/>
        </w:rPr>
        <w:t>14.52%</w:t>
      </w:r>
      <w:r>
        <w:rPr>
          <w:color w:val="000000"/>
          <w:spacing w:val="0"/>
          <w:w w:val="100"/>
          <w:position w:val="0"/>
        </w:rPr>
        <w:t>。</w:t>
      </w:r>
    </w:p>
    <w:p>
      <w:pPr>
        <w:pStyle w:val="Style21"/>
        <w:keepNext w:val="0"/>
        <w:keepLines w:val="0"/>
        <w:widowControl w:val="0"/>
        <w:shd w:val="clear" w:color="auto" w:fill="auto"/>
        <w:bidi w:val="0"/>
        <w:spacing w:before="0" w:after="560" w:line="314" w:lineRule="exact"/>
        <w:ind w:left="0" w:right="0" w:firstLine="240"/>
        <w:jc w:val="both"/>
      </w:pPr>
      <w:r>
        <w:rPr>
          <w:color w:val="000000"/>
          <w:spacing w:val="0"/>
          <w:w w:val="100"/>
          <w:position w:val="0"/>
        </w:rPr>
        <w:t>同时开元资产评估有限公司出具了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开元评报字</w:t>
      </w:r>
      <w:r>
        <w:rPr>
          <w:rFonts w:ascii="Times New Roman" w:eastAsia="Times New Roman" w:hAnsi="Times New Roman" w:cs="Times New Roman"/>
          <w:color w:val="000000"/>
          <w:spacing w:val="0"/>
          <w:w w:val="100"/>
          <w:position w:val="0"/>
          <w:sz w:val="18"/>
          <w:szCs w:val="18"/>
        </w:rPr>
        <w:t>[2022]0174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普联软件股份有限公司以财务报告为目的所涉及的普联软 件股份有限公司巴州分公司含商誉资产组可回收价值评估报告，评估基准日为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日，普联软件合并报表列示的普 联中瑞（北京）商誉在合并报表日不存在减值。</w:t>
      </w:r>
    </w:p>
    <w:p>
      <w:pPr>
        <w:pStyle w:val="Style2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商誉减值测试的影响</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2</w:t>
      </w:r>
      <w:bookmarkEnd w:id="1481"/>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79"/>
      <w:bookmarkEnd w:id="1480"/>
      <w:bookmarkEnd w:id="1482"/>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1,655,712.87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143,914.82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793,437.06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1,006,190.63</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1,657,481.75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143,914.82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795,205.94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1,006,190.63</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3</w:t>
      </w:r>
      <w:bookmarkEnd w:id="1485"/>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83"/>
      <w:bookmarkEnd w:id="1484"/>
      <w:bookmarkEnd w:id="1486"/>
    </w:p>
    <w:p>
      <w:pPr>
        <w:pStyle w:val="Style40"/>
        <w:keepNext/>
        <w:keepLines/>
        <w:widowControl w:val="0"/>
        <w:shd w:val="clear" w:color="auto" w:fill="auto"/>
        <w:bidi w:val="0"/>
        <w:spacing w:before="0" w:after="360" w:line="240" w:lineRule="auto"/>
        <w:ind w:left="0" w:right="0" w:firstLine="0"/>
        <w:jc w:val="both"/>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87"/>
      <w:bookmarkEnd w:id="1488"/>
      <w:bookmarkEnd w:id="149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25,891,532.95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2,756,229.47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22,037,867.18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2,371,938.56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2,161,178.88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1,698,670.42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915,409.12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137,311.37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6,796,541.24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34,849,253.07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3,708,451.31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24,651,946.72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2,679,116.97</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both"/>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91"/>
      <w:bookmarkEnd w:id="1492"/>
      <w:bookmarkEnd w:id="14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233,167.10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233,167.10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17,868.75</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both"/>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95"/>
      <w:bookmarkEnd w:id="1496"/>
      <w:bookmarkEnd w:id="14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3,708,451.31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2,679,116.97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233,167.10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17,868.75</w:t>
            </w:r>
          </w:p>
        </w:tc>
      </w:tr>
    </w:tbl>
    <w:p>
      <w:pPr>
        <w:widowControl w:val="0"/>
        <w:spacing w:after="319" w:line="1" w:lineRule="exact"/>
      </w:pPr>
    </w:p>
    <w:p>
      <w:pPr>
        <w:pStyle w:val="Style40"/>
        <w:keepNext/>
        <w:keepLines/>
        <w:widowControl w:val="0"/>
        <w:shd w:val="clear" w:color="auto" w:fill="auto"/>
        <w:bidi w:val="0"/>
        <w:spacing w:before="0" w:after="360" w:line="240" w:lineRule="auto"/>
        <w:ind w:left="0" w:right="0" w:firstLine="0"/>
        <w:jc w:val="both"/>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499"/>
      <w:bookmarkEnd w:id="1500"/>
      <w:bookmarkEnd w:id="1502"/>
    </w:p>
    <w:p>
      <w:pPr>
        <w:pStyle w:val="Style21"/>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503"/>
      <w:bookmarkEnd w:id="1504"/>
      <w:bookmarkEnd w:id="150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507"/>
      <w:bookmarkEnd w:id="1508"/>
      <w:bookmarkEnd w:id="151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416"/>
        <w:gridCol w:w="854"/>
        <w:gridCol w:w="1416"/>
        <w:gridCol w:w="1094"/>
        <w:gridCol w:w="888"/>
        <w:gridCol w:w="124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山东火炬信息通信技术创新科研 基地建设有限公司出资款项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27,728,724.30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27,728,724.30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57,728,724.30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57,728,724.30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bl>
    <w:p>
      <w:pPr>
        <w:pStyle w:val="Style2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tabs>
          <w:tab w:pos="541" w:val="left"/>
        </w:tabs>
        <w:bidi w:val="0"/>
        <w:spacing w:before="0" w:after="140" w:line="310" w:lineRule="exact"/>
        <w:ind w:left="0" w:right="0" w:firstLine="0"/>
        <w:jc w:val="both"/>
      </w:pPr>
      <w:bookmarkStart w:id="1511" w:name="bookmark1511"/>
      <w:r>
        <w:rPr>
          <w:color w:val="000000"/>
          <w:spacing w:val="0"/>
          <w:w w:val="100"/>
          <w:position w:val="0"/>
        </w:rPr>
        <w:t>（</w:t>
      </w:r>
      <w:bookmarkEnd w:id="15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月，公司与山东信息通信技术研究院管理中心、济南齐鲁软件园发展中心有限公司等共</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家机构签订了《出资 合作协议书》，约定由各方共出资</w:t>
      </w:r>
      <w:r>
        <w:rPr>
          <w:rFonts w:ascii="Times New Roman" w:eastAsia="Times New Roman" w:hAnsi="Times New Roman" w:cs="Times New Roman"/>
          <w:color w:val="000000"/>
          <w:spacing w:val="0"/>
          <w:w w:val="100"/>
          <w:position w:val="0"/>
          <w:sz w:val="18"/>
          <w:szCs w:val="18"/>
        </w:rPr>
        <w:t>26,994</w:t>
      </w:r>
      <w:r>
        <w:rPr>
          <w:color w:val="000000"/>
          <w:spacing w:val="0"/>
          <w:w w:val="100"/>
          <w:position w:val="0"/>
        </w:rPr>
        <w:t>万元设立项目公司，以联合建设的形式合作建设、运作和分割山东信息通信技术创 新科研基地，不参与其他具体建设事宜。其中，公司出资</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11.11%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 支付</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万元，计入其他非流动资产核算。</w:t>
      </w:r>
    </w:p>
    <w:p>
      <w:pPr>
        <w:pStyle w:val="Style21"/>
        <w:keepNext w:val="0"/>
        <w:keepLines w:val="0"/>
        <w:widowControl w:val="0"/>
        <w:shd w:val="clear" w:color="auto" w:fill="auto"/>
        <w:tabs>
          <w:tab w:pos="445" w:val="left"/>
        </w:tabs>
        <w:bidi w:val="0"/>
        <w:spacing w:before="0" w:after="380" w:line="310" w:lineRule="exact"/>
        <w:ind w:left="0" w:right="0" w:firstLine="0"/>
        <w:jc w:val="both"/>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预付房屋款系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年新购买的房产及地下车位等。</w:t>
      </w:r>
    </w:p>
    <w:p>
      <w:pPr>
        <w:pStyle w:val="Style31"/>
        <w:keepNext/>
        <w:keepLines/>
        <w:widowControl w:val="0"/>
        <w:shd w:val="clear" w:color="auto" w:fill="auto"/>
        <w:bidi w:val="0"/>
        <w:spacing w:before="0" w:after="380" w:line="240" w:lineRule="auto"/>
        <w:ind w:left="0" w:right="0" w:firstLine="0"/>
        <w:jc w:val="both"/>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513"/>
      <w:bookmarkEnd w:id="1514"/>
      <w:bookmarkEnd w:id="1516"/>
    </w:p>
    <w:p>
      <w:pPr>
        <w:pStyle w:val="Style40"/>
        <w:keepNext/>
        <w:keepLines/>
        <w:widowControl w:val="0"/>
        <w:shd w:val="clear" w:color="auto" w:fill="auto"/>
        <w:bidi w:val="0"/>
        <w:spacing w:before="0" w:line="240" w:lineRule="auto"/>
        <w:ind w:left="0" w:right="0" w:firstLine="0"/>
        <w:jc w:val="both"/>
      </w:pPr>
      <w:bookmarkStart w:id="1517" w:name="bookmark1517"/>
      <w:bookmarkStart w:id="1518" w:name="bookmark1518"/>
      <w:bookmarkStart w:id="1519" w:name="bookmark1519"/>
      <w:bookmarkStart w:id="1520" w:name="bookmark1520"/>
      <w:r>
        <w:rPr>
          <w:color w:val="000000"/>
          <w:spacing w:val="0"/>
          <w:w w:val="100"/>
          <w:position w:val="0"/>
        </w:rPr>
        <w:t>（</w:t>
      </w:r>
      <w:bookmarkEnd w:id="1519"/>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517"/>
      <w:bookmarkEnd w:id="1518"/>
      <w:bookmarkEnd w:id="152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0"/>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w:t>
      </w:r>
      <w:bookmarkEnd w:id="152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521"/>
      <w:bookmarkEnd w:id="1522"/>
      <w:bookmarkEnd w:id="152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525"/>
      <w:bookmarkEnd w:id="1526"/>
      <w:bookmarkEnd w:id="152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3</w:t>
      </w:r>
      <w:bookmarkEnd w:id="1531"/>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529"/>
      <w:bookmarkEnd w:id="1530"/>
      <w:bookmarkEnd w:id="153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3</w:t>
      </w:r>
      <w:bookmarkEnd w:id="1535"/>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533"/>
      <w:bookmarkEnd w:id="1534"/>
      <w:bookmarkEnd w:id="153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1"/>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3</w:t>
      </w:r>
      <w:bookmarkEnd w:id="1539"/>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537"/>
      <w:bookmarkEnd w:id="1538"/>
      <w:bookmarkEnd w:id="1540"/>
    </w:p>
    <w:p>
      <w:pPr>
        <w:pStyle w:val="Style40"/>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541"/>
      <w:bookmarkEnd w:id="1542"/>
      <w:bookmarkEnd w:id="154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39,096,710.91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5,802,793.03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软件硬件款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16,114,069.18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2,692,602.83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292,996.30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310,906.45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55,503,776.39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8,806,302.31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545"/>
      <w:bookmarkEnd w:id="1546"/>
      <w:bookmarkEnd w:id="154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40" w:line="240" w:lineRule="auto"/>
        <w:ind w:left="0" w:right="0" w:firstLine="160"/>
        <w:jc w:val="left"/>
        <w:sectPr>
          <w:footnotePr>
            <w:pos w:val="pageBottom"/>
            <w:numFmt w:val="decimal"/>
            <w:numRestart w:val="continuous"/>
          </w:footnotePr>
          <w:pgSz w:w="11900" w:h="16840"/>
          <w:pgMar w:top="1441" w:right="1108" w:bottom="1647" w:left="1106" w:header="0" w:footer="3" w:gutter="0"/>
          <w:cols w:space="720"/>
          <w:noEndnote/>
          <w:rtlGutter w:val="0"/>
          <w:docGrid w:linePitch="360"/>
        </w:sectPr>
      </w:pPr>
      <w:r>
        <w:rPr>
          <w:color w:val="000000"/>
          <w:spacing w:val="0"/>
          <w:w w:val="100"/>
          <w:position w:val="0"/>
        </w:rPr>
        <w:t>报告期期末公司不存在账龄超过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年的大额应付账款。</w:t>
      </w:r>
    </w:p>
    <w:p>
      <w:pPr>
        <w:pStyle w:val="Style31"/>
        <w:keepNext/>
        <w:keepLines/>
        <w:widowControl w:val="0"/>
        <w:shd w:val="clear" w:color="auto" w:fill="auto"/>
        <w:bidi w:val="0"/>
        <w:spacing w:before="560" w:after="380" w:line="240" w:lineRule="auto"/>
        <w:ind w:left="0" w:right="0" w:firstLine="0"/>
        <w:jc w:val="left"/>
      </w:pPr>
      <w:bookmarkStart w:id="1549" w:name="bookmark1549"/>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3</w:t>
      </w:r>
      <w:bookmarkEnd w:id="155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549"/>
      <w:bookmarkEnd w:id="1550"/>
      <w:bookmarkEnd w:id="1552"/>
    </w:p>
    <w:p>
      <w:pPr>
        <w:pStyle w:val="Style40"/>
        <w:keepNext/>
        <w:keepLines/>
        <w:widowControl w:val="0"/>
        <w:shd w:val="clear" w:color="auto" w:fill="auto"/>
        <w:bidi w:val="0"/>
        <w:spacing w:before="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553"/>
      <w:bookmarkEnd w:id="1554"/>
      <w:bookmarkEnd w:id="155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557"/>
      <w:bookmarkEnd w:id="1558"/>
      <w:bookmarkEnd w:id="156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561"/>
      <w:bookmarkEnd w:id="1562"/>
      <w:bookmarkEnd w:id="156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9,364,159.50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12,336,931.09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2,534,614.40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2,425,408.67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1,370,792.29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500,096.02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138,041.23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13,370,316.79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15,400,477.01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565" w:name="bookmark1565"/>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3</w:t>
      </w:r>
      <w:bookmarkEnd w:id="1567"/>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565"/>
      <w:bookmarkEnd w:id="1566"/>
      <w:bookmarkEnd w:id="1568"/>
    </w:p>
    <w:p>
      <w:pPr>
        <w:pStyle w:val="Style40"/>
        <w:keepNext/>
        <w:keepLines/>
        <w:widowControl w:val="0"/>
        <w:shd w:val="clear" w:color="auto" w:fill="auto"/>
        <w:bidi w:val="0"/>
        <w:spacing w:before="0" w:line="240" w:lineRule="auto"/>
        <w:ind w:left="0" w:right="0" w:firstLine="0"/>
        <w:jc w:val="left"/>
      </w:pPr>
      <w:bookmarkStart w:id="1569" w:name="bookmark1569"/>
      <w:bookmarkStart w:id="1570" w:name="bookmark1570"/>
      <w:bookmarkStart w:id="1571" w:name="bookmark1571"/>
      <w:bookmarkStart w:id="1572" w:name="bookmark1572"/>
      <w:r>
        <w:rPr>
          <w:color w:val="000000"/>
          <w:spacing w:val="0"/>
          <w:w w:val="100"/>
          <w:position w:val="0"/>
        </w:rPr>
        <w:t>（</w:t>
      </w:r>
      <w:bookmarkEnd w:id="157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69"/>
      <w:bookmarkEnd w:id="1570"/>
      <w:bookmarkEnd w:id="157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66,531,393.28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282,429,955.77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267,125,254.14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81,836,094.91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1,245,072.10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20,568,635.89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20,151,278.15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1,662,429.84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67,776,465.38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302,998,591.66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287,276,532.29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83,498,524.75</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w:t>
      </w:r>
      <w:bookmarkEnd w:id="157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73"/>
      <w:bookmarkEnd w:id="1574"/>
      <w:bookmarkEnd w:id="1576"/>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57,695,588.30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244,591,571.08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231,800,780.56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70,486,378.82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10,469,162.71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10,469,162.71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10,464,795.09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10,315,482.14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247,495.97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9,865,600.60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9,734,469.57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221,853.02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377,602.27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372,483.99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208,528.58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21,306.85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13,224,758.60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13,222,312.60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8,752,699.96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3,679,668.29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1,317,516.13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11,114,852.12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66,531,393.28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282,429,955.77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267,125,254.14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81,836,094.91</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color w:val="000000"/>
          <w:spacing w:val="0"/>
          <w:w w:val="100"/>
          <w:position w:val="0"/>
        </w:rPr>
        <w:t>（</w:t>
      </w:r>
      <w:bookmarkEnd w:id="1579"/>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577"/>
      <w:bookmarkEnd w:id="1578"/>
      <w:bookmarkEnd w:id="158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19,796,349.73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19,386,619.26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400,254.37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772,286.16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759,658.89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1,256,533.56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1,251,533.56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1,245,072.10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20,568,635.89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20,151,278.15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1,662,429.84</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4</w:t>
      </w:r>
      <w:bookmarkEnd w:id="158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81"/>
      <w:bookmarkEnd w:id="1582"/>
      <w:bookmarkEnd w:id="158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19,726,216.69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15,608,804.98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407,772.96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417,287.10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8,286,087.79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2,368,570.29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685,504.98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364,869.04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1,927,786.35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1,474,920.68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857,860.87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653,528.96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521,633.64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402,487.51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107,397.28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个人住民税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11,209.85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法人府民税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法人市民税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32,449,325.23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21,428,520.76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585" w:name="bookmark1585"/>
      <w:bookmarkStart w:id="1586" w:name="bookmark1586"/>
      <w:bookmarkStart w:id="1587" w:name="bookmark1587"/>
      <w:bookmarkStart w:id="1588" w:name="bookmark1588"/>
      <w:r>
        <w:rPr>
          <w:rFonts w:ascii="Times New Roman" w:eastAsia="Times New Roman" w:hAnsi="Times New Roman" w:cs="Times New Roman"/>
          <w:color w:val="000000"/>
          <w:spacing w:val="0"/>
          <w:w w:val="100"/>
          <w:position w:val="0"/>
        </w:rPr>
        <w:t>4</w:t>
      </w:r>
      <w:bookmarkEnd w:id="158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85"/>
      <w:bookmarkEnd w:id="1586"/>
      <w:bookmarkEnd w:id="158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2,246,446.06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18,450,870.88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2,246,446.06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18,450,870.88</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both"/>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89"/>
      <w:bookmarkEnd w:id="1590"/>
      <w:bookmarkEnd w:id="15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both"/>
      </w:pPr>
      <w:bookmarkStart w:id="1593" w:name="bookmark1593"/>
      <w:bookmarkStart w:id="1594" w:name="bookmark1594"/>
      <w:bookmarkStart w:id="1595" w:name="bookmark1595"/>
      <w:bookmarkStart w:id="1596" w:name="bookmark1596"/>
      <w:r>
        <w:rPr>
          <w:color w:val="000000"/>
          <w:spacing w:val="0"/>
          <w:w w:val="100"/>
          <w:position w:val="0"/>
        </w:rPr>
        <w:t>（</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93"/>
      <w:bookmarkEnd w:id="1594"/>
      <w:bookmarkEnd w:id="159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40"/>
        <w:keepNext/>
        <w:keepLines/>
        <w:widowControl w:val="0"/>
        <w:shd w:val="clear" w:color="auto" w:fill="auto"/>
        <w:bidi w:val="0"/>
        <w:spacing w:before="0" w:line="240" w:lineRule="auto"/>
        <w:ind w:left="0" w:right="0" w:firstLine="0"/>
        <w:jc w:val="left"/>
      </w:pPr>
      <w:bookmarkStart w:id="1597" w:name="bookmark1597"/>
      <w:bookmarkStart w:id="1598" w:name="bookmark1598"/>
      <w:bookmarkStart w:id="1599" w:name="bookmark1599"/>
      <w:bookmarkStart w:id="1600" w:name="bookmark1600"/>
      <w:r>
        <w:rPr>
          <w:color w:val="000000"/>
          <w:spacing w:val="0"/>
          <w:w w:val="100"/>
          <w:position w:val="0"/>
        </w:rPr>
        <w:t>（</w:t>
      </w:r>
      <w:bookmarkEnd w:id="159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97"/>
      <w:bookmarkEnd w:id="1598"/>
      <w:bookmarkEnd w:id="1600"/>
    </w:p>
    <w:p>
      <w:pPr>
        <w:pStyle w:val="Style65"/>
        <w:keepNext/>
        <w:keepLines/>
        <w:widowControl w:val="0"/>
        <w:shd w:val="clear" w:color="auto" w:fill="auto"/>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1</w:t>
      </w:r>
      <w:bookmarkEnd w:id="1603"/>
      <w:r>
        <w:rPr>
          <w:color w:val="000000"/>
          <w:spacing w:val="0"/>
          <w:w w:val="100"/>
          <w:position w:val="0"/>
        </w:rPr>
        <w:t>）按款项性质列示其他应付款</w:t>
      </w:r>
      <w:bookmarkEnd w:id="1601"/>
      <w:bookmarkEnd w:id="1602"/>
      <w:bookmarkEnd w:id="160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1,679,694.57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1,289,124.13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分包业务款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16,671,609.75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566,751.49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490,137.00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2,246,446.06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18,450,870.88</w:t>
            </w:r>
          </w:p>
        </w:tc>
      </w:tr>
    </w:tbl>
    <w:p>
      <w:pPr>
        <w:pStyle w:val="Style65"/>
        <w:keepNext/>
        <w:keepLines/>
        <w:widowControl w:val="0"/>
        <w:shd w:val="clear" w:color="auto" w:fill="auto"/>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2</w:t>
      </w:r>
      <w:bookmarkEnd w:id="160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605"/>
      <w:bookmarkEnd w:id="1606"/>
      <w:bookmarkEnd w:id="160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tabs>
          <w:tab w:pos="445" w:val="left"/>
        </w:tabs>
        <w:bidi w:val="0"/>
        <w:spacing w:before="0" w:after="200" w:line="312" w:lineRule="exact"/>
        <w:ind w:left="0" w:right="0" w:firstLine="0"/>
        <w:jc w:val="both"/>
      </w:pPr>
      <w:bookmarkStart w:id="1609" w:name="bookmark1609"/>
      <w:r>
        <w:rPr>
          <w:color w:val="000000"/>
          <w:spacing w:val="0"/>
          <w:w w:val="100"/>
          <w:position w:val="0"/>
        </w:rPr>
        <w:t>（</w:t>
      </w:r>
      <w:bookmarkEnd w:id="160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各报告期期末无账龄超过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21"/>
        <w:keepNext w:val="0"/>
        <w:keepLines w:val="0"/>
        <w:widowControl w:val="0"/>
        <w:shd w:val="clear" w:color="auto" w:fill="auto"/>
        <w:bidi w:val="0"/>
        <w:spacing w:before="0" w:after="200" w:line="312" w:lineRule="exact"/>
        <w:ind w:left="0" w:right="0" w:firstLine="0"/>
        <w:jc w:val="both"/>
      </w:pPr>
      <w:bookmarkStart w:id="1610" w:name="bookmark1610"/>
      <w:r>
        <w:rPr>
          <w:color w:val="000000"/>
          <w:spacing w:val="0"/>
          <w:w w:val="100"/>
          <w:position w:val="0"/>
        </w:rPr>
        <w:t>（</w:t>
      </w:r>
      <w:bookmarkEnd w:id="1610"/>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日，公司收到公司与石化盈科信息技术有限责任公司（简称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石化盈科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）作为联合体中标的中国海洋石 油集团有限公司（简称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中海油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）采购的集团资金管理系统及财务共享报账系统建设项目的中标通知书，中标含税金额 </w:t>
      </w:r>
      <w:r>
        <w:rPr>
          <w:rFonts w:ascii="Times New Roman" w:eastAsia="Times New Roman" w:hAnsi="Times New Roman" w:cs="Times New Roman"/>
          <w:color w:val="000000"/>
          <w:spacing w:val="0"/>
          <w:w w:val="100"/>
          <w:position w:val="0"/>
          <w:sz w:val="18"/>
          <w:szCs w:val="18"/>
        </w:rPr>
        <w:t>58,330,745.18</w:t>
      </w:r>
      <w:r>
        <w:rPr>
          <w:color w:val="000000"/>
          <w:spacing w:val="0"/>
          <w:w w:val="100"/>
          <w:position w:val="0"/>
        </w:rPr>
        <w:t>元，其中中标的财务共享报账系统建设项目合同签署金额</w:t>
      </w:r>
      <w:r>
        <w:rPr>
          <w:rFonts w:ascii="Times New Roman" w:eastAsia="Times New Roman" w:hAnsi="Times New Roman" w:cs="Times New Roman"/>
          <w:color w:val="000000"/>
          <w:spacing w:val="0"/>
          <w:w w:val="100"/>
          <w:position w:val="0"/>
          <w:sz w:val="18"/>
          <w:szCs w:val="18"/>
        </w:rPr>
        <w:t>44,637,950.80</w:t>
      </w:r>
      <w:r>
        <w:rPr>
          <w:color w:val="000000"/>
          <w:spacing w:val="0"/>
          <w:w w:val="100"/>
          <w:position w:val="0"/>
        </w:rPr>
        <w:t xml:space="preserve">元，中标的集团资金管理系统合同签署 金额 </w:t>
      </w:r>
      <w:r>
        <w:rPr>
          <w:rFonts w:ascii="Times New Roman" w:eastAsia="Times New Roman" w:hAnsi="Times New Roman" w:cs="Times New Roman"/>
          <w:color w:val="000000"/>
          <w:spacing w:val="0"/>
          <w:w w:val="100"/>
          <w:position w:val="0"/>
          <w:sz w:val="18"/>
          <w:szCs w:val="18"/>
        </w:rPr>
        <w:t>13,692,794.38</w:t>
      </w:r>
      <w:r>
        <w:rPr>
          <w:color w:val="000000"/>
          <w:spacing w:val="0"/>
          <w:w w:val="100"/>
          <w:position w:val="0"/>
        </w:rPr>
        <w:t>元。</w:t>
      </w:r>
    </w:p>
    <w:p>
      <w:pPr>
        <w:pStyle w:val="Style21"/>
        <w:keepNext w:val="0"/>
        <w:keepLines w:val="0"/>
        <w:widowControl w:val="0"/>
        <w:shd w:val="clear" w:color="auto" w:fill="auto"/>
        <w:tabs>
          <w:tab w:pos="536" w:val="left"/>
        </w:tabs>
        <w:bidi w:val="0"/>
        <w:spacing w:before="0" w:after="200" w:line="326" w:lineRule="exact"/>
        <w:ind w:left="0" w:right="0" w:firstLine="0"/>
        <w:jc w:val="both"/>
      </w:pPr>
      <w:bookmarkStart w:id="1611" w:name="bookmark1611"/>
      <w:r>
        <w:rPr>
          <w:color w:val="000000"/>
          <w:spacing w:val="0"/>
          <w:w w:val="100"/>
          <w:position w:val="0"/>
        </w:rPr>
        <w:t>（</w:t>
      </w:r>
      <w:bookmarkEnd w:id="161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经三方协商，对中标的财务共享报账系统建设项目由公司与中海油签署项目服务合同，中海油同意公司向石化盈科进 行外协采购。</w:t>
      </w:r>
    </w:p>
    <w:p>
      <w:pPr>
        <w:pStyle w:val="Style21"/>
        <w:keepNext w:val="0"/>
        <w:keepLines w:val="0"/>
        <w:widowControl w:val="0"/>
        <w:shd w:val="clear" w:color="auto" w:fill="auto"/>
        <w:tabs>
          <w:tab w:pos="541" w:val="left"/>
        </w:tabs>
        <w:bidi w:val="0"/>
        <w:spacing w:before="0" w:after="200" w:line="312" w:lineRule="exact"/>
        <w:ind w:left="0" w:right="0" w:firstLine="0"/>
        <w:jc w:val="both"/>
      </w:pPr>
      <w:bookmarkStart w:id="1612" w:name="bookmark1612"/>
      <w:r>
        <w:rPr>
          <w:color w:val="000000"/>
          <w:spacing w:val="0"/>
          <w:w w:val="100"/>
          <w:position w:val="0"/>
        </w:rPr>
        <w:t>（</w:t>
      </w:r>
      <w:bookmarkEnd w:id="161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月与中海油签署财务共享财务报账系统建设项目实施服务合同，合同含税金额</w:t>
      </w:r>
      <w:r>
        <w:rPr>
          <w:rFonts w:ascii="Times New Roman" w:eastAsia="Times New Roman" w:hAnsi="Times New Roman" w:cs="Times New Roman"/>
          <w:color w:val="000000"/>
          <w:spacing w:val="0"/>
          <w:w w:val="100"/>
          <w:position w:val="0"/>
          <w:sz w:val="18"/>
          <w:szCs w:val="18"/>
        </w:rPr>
        <w:t>44,637,950.80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日年公司向中海油开具发票含税金额</w:t>
      </w:r>
      <w:r>
        <w:rPr>
          <w:rFonts w:ascii="Times New Roman" w:eastAsia="Times New Roman" w:hAnsi="Times New Roman" w:cs="Times New Roman"/>
          <w:color w:val="000000"/>
          <w:spacing w:val="0"/>
          <w:w w:val="100"/>
          <w:position w:val="0"/>
          <w:sz w:val="18"/>
          <w:szCs w:val="18"/>
        </w:rPr>
        <w:t>40,174,155.72</w:t>
      </w:r>
      <w:r>
        <w:rPr>
          <w:color w:val="000000"/>
          <w:spacing w:val="0"/>
          <w:w w:val="100"/>
          <w:position w:val="0"/>
        </w:rPr>
        <w:t>元并收取相等金额的款项。</w:t>
      </w:r>
    </w:p>
    <w:p>
      <w:pPr>
        <w:pStyle w:val="Style21"/>
        <w:keepNext w:val="0"/>
        <w:keepLines w:val="0"/>
        <w:widowControl w:val="0"/>
        <w:shd w:val="clear" w:color="auto" w:fill="auto"/>
        <w:tabs>
          <w:tab w:pos="550" w:val="left"/>
        </w:tabs>
        <w:bidi w:val="0"/>
        <w:spacing w:before="0" w:after="200" w:line="312" w:lineRule="exact"/>
        <w:ind w:left="0" w:right="0" w:firstLine="0"/>
        <w:jc w:val="both"/>
      </w:pPr>
      <w:bookmarkStart w:id="1613" w:name="bookmark1613"/>
      <w:r>
        <w:rPr>
          <w:color w:val="000000"/>
          <w:spacing w:val="0"/>
          <w:w w:val="100"/>
          <w:position w:val="0"/>
        </w:rPr>
        <w:t>（</w:t>
      </w:r>
      <w:bookmarkEnd w:id="161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同时公司于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月与石化盈科签署财务共享财务报账系统建设项目实施服务合同，合同含税金额</w:t>
      </w:r>
      <w:r>
        <w:rPr>
          <w:rFonts w:ascii="Times New Roman" w:eastAsia="Times New Roman" w:hAnsi="Times New Roman" w:cs="Times New Roman"/>
          <w:color w:val="000000"/>
          <w:spacing w:val="0"/>
          <w:w w:val="100"/>
          <w:position w:val="0"/>
          <w:sz w:val="18"/>
          <w:szCs w:val="18"/>
        </w:rPr>
        <w:t>40,264,482.76</w:t>
      </w:r>
      <w:r>
        <w:rPr>
          <w:color w:val="000000"/>
          <w:spacing w:val="0"/>
          <w:w w:val="100"/>
          <w:position w:val="0"/>
        </w:rPr>
        <w:t>元，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日石化盈科向公司开具发票含税金额</w:t>
      </w:r>
      <w:r>
        <w:rPr>
          <w:rFonts w:ascii="Times New Roman" w:eastAsia="Times New Roman" w:hAnsi="Times New Roman" w:cs="Times New Roman"/>
          <w:color w:val="000000"/>
          <w:spacing w:val="0"/>
          <w:w w:val="100"/>
          <w:position w:val="0"/>
          <w:sz w:val="18"/>
          <w:szCs w:val="18"/>
        </w:rPr>
        <w:t>35,343,723.74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日公司向石化盈科已支付款项 </w:t>
      </w:r>
      <w:r>
        <w:rPr>
          <w:rFonts w:ascii="Times New Roman" w:eastAsia="Times New Roman" w:hAnsi="Times New Roman" w:cs="Times New Roman"/>
          <w:color w:val="000000"/>
          <w:spacing w:val="0"/>
          <w:w w:val="100"/>
          <w:position w:val="0"/>
          <w:sz w:val="18"/>
          <w:szCs w:val="18"/>
        </w:rPr>
        <w:t>26,841,344.23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月支付</w:t>
      </w:r>
      <w:r>
        <w:rPr>
          <w:rFonts w:ascii="Times New Roman" w:eastAsia="Times New Roman" w:hAnsi="Times New Roman" w:cs="Times New Roman"/>
          <w:color w:val="000000"/>
          <w:spacing w:val="0"/>
          <w:w w:val="100"/>
          <w:position w:val="0"/>
          <w:sz w:val="18"/>
          <w:szCs w:val="18"/>
        </w:rPr>
        <w:t xml:space="preserve">8,502,379.51 </w:t>
      </w:r>
      <w:r>
        <w:rPr>
          <w:color w:val="000000"/>
          <w:spacing w:val="0"/>
          <w:w w:val="100"/>
          <w:position w:val="0"/>
        </w:rPr>
        <w:t>元。</w:t>
      </w:r>
    </w:p>
    <w:p>
      <w:pPr>
        <w:pStyle w:val="Style21"/>
        <w:keepNext w:val="0"/>
        <w:keepLines w:val="0"/>
        <w:widowControl w:val="0"/>
        <w:shd w:val="clear" w:color="auto" w:fill="auto"/>
        <w:tabs>
          <w:tab w:pos="536" w:val="left"/>
        </w:tabs>
        <w:bidi w:val="0"/>
        <w:spacing w:before="0" w:after="700" w:line="322" w:lineRule="exact"/>
        <w:ind w:left="0" w:right="0" w:firstLine="0"/>
        <w:jc w:val="both"/>
      </w:pPr>
      <w:bookmarkStart w:id="1614" w:name="bookmark1614"/>
      <w:r>
        <w:rPr>
          <w:color w:val="000000"/>
          <w:spacing w:val="0"/>
          <w:w w:val="100"/>
          <w:position w:val="0"/>
        </w:rPr>
        <w:t>（</w:t>
      </w:r>
      <w:bookmarkEnd w:id="161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公司与石化盈科作为联合体中标的中海油采购的集团资金管理系统及财务共享报账系统建设项目于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年已完成交付， 公司已按照净额法确认收入。</w:t>
      </w:r>
    </w:p>
    <w:p>
      <w:pPr>
        <w:pStyle w:val="Style31"/>
        <w:keepNext/>
        <w:keepLines/>
        <w:widowControl w:val="0"/>
        <w:shd w:val="clear" w:color="auto" w:fill="auto"/>
        <w:bidi w:val="0"/>
        <w:spacing w:before="0" w:after="380" w:line="240" w:lineRule="auto"/>
        <w:ind w:left="0" w:right="0" w:firstLine="0"/>
        <w:jc w:val="both"/>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615"/>
      <w:bookmarkEnd w:id="1616"/>
      <w:bookmarkEnd w:id="1618"/>
    </w:p>
    <w:p>
      <w:pPr>
        <w:pStyle w:val="Style21"/>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4</w:t>
      </w:r>
      <w:bookmarkEnd w:id="1621"/>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619"/>
      <w:bookmarkEnd w:id="1620"/>
      <w:bookmarkEnd w:id="1622"/>
    </w:p>
    <w:p>
      <w:pPr>
        <w:pStyle w:val="Style21"/>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23" w:name="bookmark1623"/>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4</w:t>
      </w:r>
      <w:bookmarkEnd w:id="1625"/>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623"/>
      <w:bookmarkEnd w:id="1624"/>
      <w:bookmarkEnd w:id="1626"/>
    </w:p>
    <w:p>
      <w:pPr>
        <w:pStyle w:val="Style21"/>
        <w:keepNext w:val="0"/>
        <w:keepLines w:val="0"/>
        <w:widowControl w:val="0"/>
        <w:shd w:val="clear" w:color="auto" w:fill="auto"/>
        <w:bidi w:val="0"/>
        <w:spacing w:before="0" w:after="100" w:line="240" w:lineRule="auto"/>
        <w:ind w:left="8940" w:right="0" w:firstLine="0"/>
        <w:jc w:val="both"/>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已背书未终止确认的应收票据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644,769.68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1,104,007.73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657,769.68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1,104,007.73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627" w:name="bookmark1627"/>
      <w:bookmarkStart w:id="1628" w:name="bookmark1628"/>
      <w:bookmarkStart w:id="1629" w:name="bookmark1629"/>
      <w:bookmarkStart w:id="1630" w:name="bookmark1630"/>
      <w:r>
        <w:rPr>
          <w:rFonts w:ascii="Times New Roman" w:eastAsia="Times New Roman" w:hAnsi="Times New Roman" w:cs="Times New Roman"/>
          <w:color w:val="000000"/>
          <w:spacing w:val="0"/>
          <w:w w:val="100"/>
          <w:position w:val="0"/>
        </w:rPr>
        <w:t>4</w:t>
      </w:r>
      <w:bookmarkEnd w:id="1629"/>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627"/>
      <w:bookmarkEnd w:id="1628"/>
      <w:bookmarkEnd w:id="1630"/>
    </w:p>
    <w:p>
      <w:pPr>
        <w:pStyle w:val="Style40"/>
        <w:keepNext/>
        <w:keepLines/>
        <w:widowControl w:val="0"/>
        <w:shd w:val="clear" w:color="auto" w:fill="auto"/>
        <w:bidi w:val="0"/>
        <w:spacing w:before="0" w:after="360" w:line="240" w:lineRule="auto"/>
        <w:ind w:left="0" w:right="0" w:firstLine="0"/>
        <w:jc w:val="both"/>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631"/>
      <w:bookmarkEnd w:id="1632"/>
      <w:bookmarkEnd w:id="163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2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其他说明，包括利率区间：</w:t>
      </w:r>
    </w:p>
    <w:p>
      <w:pPr>
        <w:pStyle w:val="Style31"/>
        <w:keepNext/>
        <w:keepLines/>
        <w:widowControl w:val="0"/>
        <w:shd w:val="clear" w:color="auto" w:fill="auto"/>
        <w:bidi w:val="0"/>
        <w:spacing w:before="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4</w:t>
      </w:r>
      <w:bookmarkEnd w:id="163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635"/>
      <w:bookmarkEnd w:id="1636"/>
      <w:bookmarkEnd w:id="1638"/>
    </w:p>
    <w:p>
      <w:pPr>
        <w:pStyle w:val="Style40"/>
        <w:keepNext/>
        <w:keepLines/>
        <w:widowControl w:val="0"/>
        <w:shd w:val="clear" w:color="auto" w:fill="auto"/>
        <w:bidi w:val="0"/>
        <w:spacing w:before="0" w:after="360" w:line="240" w:lineRule="auto"/>
        <w:ind w:left="0" w:right="0" w:firstLine="0"/>
        <w:jc w:val="both"/>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639"/>
      <w:bookmarkEnd w:id="1640"/>
      <w:bookmarkEnd w:id="1642"/>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643"/>
      <w:bookmarkEnd w:id="1644"/>
      <w:bookmarkEnd w:id="164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493" w:val="left"/>
        </w:tabs>
        <w:bidi w:val="0"/>
        <w:spacing w:before="0" w:after="36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647"/>
      <w:bookmarkEnd w:id="1648"/>
      <w:bookmarkEnd w:id="1650"/>
    </w:p>
    <w:p>
      <w:pPr>
        <w:pStyle w:val="Style40"/>
        <w:keepNext/>
        <w:keepLines/>
        <w:widowControl w:val="0"/>
        <w:shd w:val="clear" w:color="auto" w:fill="auto"/>
        <w:tabs>
          <w:tab w:pos="493" w:val="left"/>
        </w:tabs>
        <w:bidi w:val="0"/>
        <w:spacing w:before="0" w:after="36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651"/>
      <w:bookmarkEnd w:id="1652"/>
      <w:bookmarkEnd w:id="165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期末发行在外的优先股、永续债等金融工具变动情况表</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其他金融工具划分为金融负债的依据说明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4</w:t>
      </w:r>
      <w:bookmarkEnd w:id="165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655"/>
      <w:bookmarkEnd w:id="1656"/>
      <w:bookmarkEnd w:id="165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租赁房屋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10,064,726.53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13,639,279.46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10,064,726.53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13,639,279.46</w:t>
            </w:r>
          </w:p>
        </w:tc>
      </w:tr>
    </w:tbl>
    <w:p>
      <w:pPr>
        <w:widowControl w:val="0"/>
        <w:spacing w:after="79" w:line="1" w:lineRule="exact"/>
      </w:pPr>
    </w:p>
    <w:p>
      <w:pPr>
        <w:pStyle w:val="Style2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16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年计提的租赁负债利息费用金额为人民币</w:t>
      </w:r>
      <w:r>
        <w:rPr>
          <w:rFonts w:ascii="Times New Roman" w:eastAsia="Times New Roman" w:hAnsi="Times New Roman" w:cs="Times New Roman"/>
          <w:color w:val="000000"/>
          <w:spacing w:val="0"/>
          <w:w w:val="100"/>
          <w:position w:val="0"/>
          <w:sz w:val="18"/>
          <w:szCs w:val="18"/>
        </w:rPr>
        <w:t>593,406.39</w:t>
      </w:r>
      <w:r>
        <w:rPr>
          <w:color w:val="000000"/>
          <w:spacing w:val="0"/>
          <w:w w:val="100"/>
          <w:position w:val="0"/>
        </w:rPr>
        <w:t>元，计入到财务费用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利息支出中。</w:t>
      </w:r>
    </w:p>
    <w:p>
      <w:pPr>
        <w:pStyle w:val="Style31"/>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4</w:t>
      </w:r>
      <w:bookmarkEnd w:id="166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659"/>
      <w:bookmarkEnd w:id="1660"/>
      <w:bookmarkEnd w:id="166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663"/>
      <w:bookmarkEnd w:id="1664"/>
      <w:bookmarkEnd w:id="166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667" w:name="bookmark1667"/>
      <w:bookmarkStart w:id="1668" w:name="bookmark1668"/>
      <w:bookmarkStart w:id="1669" w:name="bookmark1669"/>
      <w:bookmarkStart w:id="1670" w:name="bookmark1670"/>
      <w:r>
        <w:rPr>
          <w:color w:val="000000"/>
          <w:spacing w:val="0"/>
          <w:w w:val="100"/>
          <w:position w:val="0"/>
        </w:rPr>
        <w:t>（</w:t>
      </w:r>
      <w:bookmarkEnd w:id="166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667"/>
      <w:bookmarkEnd w:id="1668"/>
      <w:bookmarkEnd w:id="167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4</w:t>
      </w:r>
      <w:bookmarkEnd w:id="167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671"/>
      <w:bookmarkEnd w:id="1672"/>
      <w:bookmarkEnd w:id="1674"/>
    </w:p>
    <w:p>
      <w:pPr>
        <w:pStyle w:val="Style40"/>
        <w:keepNext/>
        <w:keepLines/>
        <w:widowControl w:val="0"/>
        <w:shd w:val="clear" w:color="auto" w:fill="auto"/>
        <w:bidi w:val="0"/>
        <w:spacing w:before="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675"/>
      <w:bookmarkEnd w:id="1676"/>
      <w:bookmarkEnd w:id="167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40"/>
        <w:keepNext/>
        <w:keepLines/>
        <w:widowControl w:val="0"/>
        <w:numPr>
          <w:ilvl w:val="0"/>
          <w:numId w:val="35"/>
        </w:numPr>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设定受益计划变动情况</w:t>
      </w:r>
      <w:bookmarkEnd w:id="1678"/>
      <w:bookmarkEnd w:id="1679"/>
      <w:bookmarkEnd w:id="168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5</w:t>
      </w:r>
      <w:bookmarkEnd w:id="1684"/>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682"/>
      <w:bookmarkEnd w:id="1683"/>
      <w:bookmarkEnd w:id="168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after="3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5</w:t>
      </w:r>
      <w:bookmarkEnd w:id="1688"/>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86"/>
      <w:bookmarkEnd w:id="1687"/>
      <w:bookmarkEnd w:id="168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022"/>
        <w:gridCol w:w="581"/>
        <w:gridCol w:w="667"/>
        <w:gridCol w:w="984"/>
        <w:gridCol w:w="1037"/>
        <w:gridCol w:w="499"/>
        <w:gridCol w:w="509"/>
        <w:gridCol w:w="1032"/>
        <w:gridCol w:w="989"/>
        <w:gridCol w:w="662"/>
        <w:gridCol w:w="586"/>
        <w:gridCol w:w="1075"/>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54" w:hRule="exact"/>
        </w:trPr>
        <w:tc>
          <w:tcPr>
            <w:gridSpan w:val="12"/>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 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90"/>
      <w:bookmarkEnd w:id="1691"/>
      <w:bookmarkEnd w:id="1693"/>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94"/>
      <w:bookmarkEnd w:id="1695"/>
      <w:bookmarkEnd w:id="1696"/>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66,031,662.00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52,878,997.00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74,978,997.00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141,010,659.00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1"/>
        <w:keepNext w:val="0"/>
        <w:keepLines w:val="0"/>
        <w:widowControl w:val="0"/>
        <w:numPr>
          <w:ilvl w:val="0"/>
          <w:numId w:val="37"/>
        </w:numPr>
        <w:shd w:val="clear" w:color="auto" w:fill="auto"/>
        <w:tabs>
          <w:tab w:pos="373" w:val="left"/>
        </w:tabs>
        <w:bidi w:val="0"/>
        <w:spacing w:before="0" w:after="0" w:line="312" w:lineRule="exact"/>
        <w:ind w:left="0" w:right="0" w:firstLine="0"/>
        <w:jc w:val="left"/>
      </w:pPr>
      <w:bookmarkStart w:id="1697" w:name="bookmark1697"/>
      <w:bookmarkEnd w:id="1697"/>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日，经中国证券监督管理委员会《关于同意普联软件股份有限公司首次公开发行股票注册的批复》（证监许 可</w:t>
      </w:r>
      <w:r>
        <w:rPr>
          <w:rFonts w:ascii="Times New Roman" w:eastAsia="Times New Roman" w:hAnsi="Times New Roman" w:cs="Times New Roman"/>
          <w:color w:val="000000"/>
          <w:spacing w:val="0"/>
          <w:w w:val="100"/>
          <w:position w:val="0"/>
          <w:sz w:val="18"/>
          <w:szCs w:val="18"/>
        </w:rPr>
        <w:t>[2021]1358</w:t>
      </w:r>
      <w:r>
        <w:rPr>
          <w:color w:val="000000"/>
          <w:spacing w:val="0"/>
          <w:w w:val="100"/>
          <w:position w:val="0"/>
        </w:rPr>
        <w:t>号）同意注册，公司首次公开发行人民币普通股股票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22,100,000</w:t>
      </w:r>
      <w:r>
        <w:rPr>
          <w:color w:val="000000"/>
          <w:spacing w:val="0"/>
          <w:w w:val="100"/>
          <w:position w:val="0"/>
        </w:rPr>
        <w:t>股。经深圳证券交易所《关于普联软件 股份有限公司人民币普通股股票在创业板上市的通知》（深证上</w:t>
      </w:r>
      <w:r>
        <w:rPr>
          <w:rFonts w:ascii="Times New Roman" w:eastAsia="Times New Roman" w:hAnsi="Times New Roman" w:cs="Times New Roman"/>
          <w:color w:val="000000"/>
          <w:spacing w:val="0"/>
          <w:w w:val="100"/>
          <w:position w:val="0"/>
          <w:sz w:val="18"/>
          <w:szCs w:val="18"/>
        </w:rPr>
        <w:t>[2021]550</w:t>
      </w:r>
      <w:r>
        <w:rPr>
          <w:color w:val="000000"/>
          <w:spacing w:val="0"/>
          <w:w w:val="100"/>
          <w:position w:val="0"/>
        </w:rPr>
        <w:t>号）同意，本公司公开发行的人民币普通股股票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日在深圳证券交易所创业板上市交易，本次发行完毕后本公司注册资本由</w:t>
      </w:r>
      <w:r>
        <w:rPr>
          <w:rFonts w:ascii="Times New Roman" w:eastAsia="Times New Roman" w:hAnsi="Times New Roman" w:cs="Times New Roman"/>
          <w:color w:val="000000"/>
          <w:spacing w:val="0"/>
          <w:w w:val="100"/>
          <w:position w:val="0"/>
          <w:sz w:val="18"/>
          <w:szCs w:val="18"/>
        </w:rPr>
        <w:t>66,031,662.00</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88,131,662.00</w:t>
      </w:r>
      <w:r>
        <w:rPr>
          <w:color w:val="000000"/>
          <w:spacing w:val="0"/>
          <w:w w:val="100"/>
          <w:position w:val="0"/>
        </w:rPr>
        <w:t>元。</w:t>
      </w:r>
    </w:p>
    <w:p>
      <w:pPr>
        <w:pStyle w:val="Style21"/>
        <w:keepNext w:val="0"/>
        <w:keepLines w:val="0"/>
        <w:widowControl w:val="0"/>
        <w:numPr>
          <w:ilvl w:val="0"/>
          <w:numId w:val="37"/>
        </w:numPr>
        <w:shd w:val="clear" w:color="auto" w:fill="auto"/>
        <w:tabs>
          <w:tab w:pos="373" w:val="left"/>
        </w:tabs>
        <w:bidi w:val="0"/>
        <w:spacing w:before="0" w:after="380" w:line="312" w:lineRule="exact"/>
        <w:ind w:left="0" w:right="0" w:firstLine="0"/>
        <w:jc w:val="left"/>
      </w:pPr>
      <w:bookmarkStart w:id="1698" w:name="bookmark1698"/>
      <w:bookmarkEnd w:id="1698"/>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年度股东大会决议，本公司以截至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88,131,662</w:t>
      </w:r>
      <w:r>
        <w:rPr>
          <w:color w:val="000000"/>
          <w:spacing w:val="0"/>
          <w:w w:val="100"/>
          <w:position w:val="0"/>
        </w:rPr>
        <w:t>股为基数，向公司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26,439,498.60</w:t>
      </w:r>
      <w:r>
        <w:rPr>
          <w:color w:val="000000"/>
          <w:spacing w:val="0"/>
          <w:w w:val="100"/>
          <w:position w:val="0"/>
        </w:rPr>
        <w:t>元（含税），不送红股，同时以资本公积金向 公司全体股东每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52,878,997</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日完成权益分派。转增后，注册资本增至 </w:t>
      </w:r>
      <w:r>
        <w:rPr>
          <w:rFonts w:ascii="Times New Roman" w:eastAsia="Times New Roman" w:hAnsi="Times New Roman" w:cs="Times New Roman"/>
          <w:color w:val="000000"/>
          <w:spacing w:val="0"/>
          <w:w w:val="100"/>
          <w:position w:val="0"/>
          <w:sz w:val="18"/>
          <w:szCs w:val="18"/>
        </w:rPr>
        <w:t>141,010,659.00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99"/>
      <w:bookmarkEnd w:id="1700"/>
      <w:bookmarkEnd w:id="1702"/>
    </w:p>
    <w:p>
      <w:pPr>
        <w:pStyle w:val="Style40"/>
        <w:keepNext/>
        <w:keepLines/>
        <w:widowControl w:val="0"/>
        <w:shd w:val="clear" w:color="auto" w:fill="auto"/>
        <w:tabs>
          <w:tab w:pos="493" w:val="left"/>
        </w:tabs>
        <w:bidi w:val="0"/>
        <w:spacing w:before="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w:t>
      </w:r>
      <w:bookmarkEnd w:id="170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703"/>
      <w:bookmarkEnd w:id="1704"/>
      <w:bookmarkEnd w:id="1706"/>
    </w:p>
    <w:p>
      <w:pPr>
        <w:pStyle w:val="Style40"/>
        <w:keepNext/>
        <w:keepLines/>
        <w:widowControl w:val="0"/>
        <w:shd w:val="clear" w:color="auto" w:fill="auto"/>
        <w:tabs>
          <w:tab w:pos="493" w:val="left"/>
        </w:tabs>
        <w:bidi w:val="0"/>
        <w:spacing w:before="0" w:line="240" w:lineRule="auto"/>
        <w:ind w:left="0" w:right="0" w:firstLine="0"/>
        <w:jc w:val="left"/>
      </w:pPr>
      <w:bookmarkStart w:id="1707" w:name="bookmark1707"/>
      <w:bookmarkStart w:id="1708" w:name="bookmark1708"/>
      <w:bookmarkStart w:id="1709" w:name="bookmark1709"/>
      <w:bookmarkStart w:id="1710" w:name="bookmark1710"/>
      <w:r>
        <w:rPr>
          <w:color w:val="000000"/>
          <w:spacing w:val="0"/>
          <w:w w:val="100"/>
          <w:position w:val="0"/>
        </w:rPr>
        <w:t>（</w:t>
      </w:r>
      <w:bookmarkEnd w:id="170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707"/>
      <w:bookmarkEnd w:id="1708"/>
      <w:bookmarkEnd w:id="171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1"/>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其他权益工具本期增减变动情况、变动原因说明，以及相关会计处理的依据: 其他说明：</w:t>
      </w:r>
    </w:p>
    <w:p>
      <w:pPr>
        <w:pStyle w:val="Style31"/>
        <w:keepNext/>
        <w:keepLines/>
        <w:widowControl w:val="0"/>
        <w:shd w:val="clear" w:color="auto" w:fill="auto"/>
        <w:bidi w:val="0"/>
        <w:spacing w:before="0" w:after="38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5</w:t>
      </w:r>
      <w:bookmarkEnd w:id="171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711"/>
      <w:bookmarkEnd w:id="1712"/>
      <w:bookmarkEnd w:id="1714"/>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78,528,069.92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376,258,190.59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52,878,997.00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401,907,263.51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2,645,073.58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6,916,735.41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9,561,808.99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81,173,143.50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383,174,926.00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52,878,997.00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411,469,072.50</w:t>
            </w:r>
          </w:p>
        </w:tc>
      </w:tr>
    </w:tbl>
    <w:p>
      <w:pPr>
        <w:pStyle w:val="Style21"/>
        <w:keepNext w:val="0"/>
        <w:keepLines w:val="0"/>
        <w:widowControl w:val="0"/>
        <w:shd w:val="clear" w:color="auto" w:fill="auto"/>
        <w:bidi w:val="0"/>
        <w:spacing w:before="0" w:after="100" w:line="310" w:lineRule="exact"/>
        <w:ind w:left="0" w:right="0" w:firstLine="0"/>
        <w:jc w:val="left"/>
      </w:pPr>
      <w:r>
        <w:rPr>
          <w:color w:val="000000"/>
          <w:spacing w:val="0"/>
          <w:w w:val="100"/>
          <w:position w:val="0"/>
        </w:rPr>
        <w:t>其他说明，包括本期增减变动情况、变动原因说明：</w:t>
      </w:r>
    </w:p>
    <w:p>
      <w:pPr>
        <w:pStyle w:val="Style21"/>
        <w:keepNext w:val="0"/>
        <w:keepLines w:val="0"/>
        <w:widowControl w:val="0"/>
        <w:shd w:val="clear" w:color="auto" w:fill="auto"/>
        <w:tabs>
          <w:tab w:pos="402" w:val="left"/>
        </w:tabs>
        <w:bidi w:val="0"/>
        <w:spacing w:before="0" w:after="220" w:line="310" w:lineRule="exact"/>
        <w:ind w:left="0" w:right="0" w:firstLine="0"/>
        <w:jc w:val="left"/>
      </w:pPr>
      <w:bookmarkStart w:id="1715" w:name="bookmark1715"/>
      <w:r>
        <w:rPr>
          <w:rFonts w:ascii="Times New Roman" w:eastAsia="Times New Roman" w:hAnsi="Times New Roman" w:cs="Times New Roman"/>
          <w:color w:val="000000"/>
          <w:spacing w:val="0"/>
          <w:w w:val="100"/>
          <w:position w:val="0"/>
          <w:sz w:val="18"/>
          <w:szCs w:val="18"/>
        </w:rPr>
        <w:t>（</w:t>
      </w:r>
      <w:bookmarkEnd w:id="171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股本溢价本期增加系公司首次公开发行人民币普通股股票</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22,100,000</w:t>
      </w:r>
      <w:r>
        <w:rPr>
          <w:color w:val="000000"/>
          <w:spacing w:val="0"/>
          <w:w w:val="100"/>
          <w:position w:val="0"/>
        </w:rPr>
        <w:t>股，发行股份</w:t>
      </w:r>
      <w:r>
        <w:rPr>
          <w:rFonts w:ascii="Times New Roman" w:eastAsia="Times New Roman" w:hAnsi="Times New Roman" w:cs="Times New Roman"/>
          <w:color w:val="000000"/>
          <w:spacing w:val="0"/>
          <w:w w:val="100"/>
          <w:position w:val="0"/>
          <w:sz w:val="18"/>
          <w:szCs w:val="18"/>
        </w:rPr>
        <w:t>20.8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股，扣除发 行费用后实际募集资金净额为</w:t>
      </w:r>
      <w:r>
        <w:rPr>
          <w:rFonts w:ascii="Times New Roman" w:eastAsia="Times New Roman" w:hAnsi="Times New Roman" w:cs="Times New Roman"/>
          <w:color w:val="000000"/>
          <w:spacing w:val="0"/>
          <w:w w:val="100"/>
          <w:position w:val="0"/>
          <w:sz w:val="18"/>
          <w:szCs w:val="18"/>
        </w:rPr>
        <w:t>398,358,190.59</w:t>
      </w:r>
      <w:r>
        <w:rPr>
          <w:color w:val="000000"/>
          <w:spacing w:val="0"/>
          <w:w w:val="100"/>
          <w:position w:val="0"/>
        </w:rPr>
        <w:t>元，其中：新增注册资本</w:t>
      </w:r>
      <w:r>
        <w:rPr>
          <w:rFonts w:ascii="Times New Roman" w:eastAsia="Times New Roman" w:hAnsi="Times New Roman" w:cs="Times New Roman"/>
          <w:color w:val="000000"/>
          <w:spacing w:val="0"/>
          <w:w w:val="100"/>
          <w:position w:val="0"/>
          <w:sz w:val="18"/>
          <w:szCs w:val="18"/>
        </w:rPr>
        <w:t>22,100,000.00</w:t>
      </w:r>
      <w:r>
        <w:rPr>
          <w:color w:val="000000"/>
          <w:spacing w:val="0"/>
          <w:w w:val="100"/>
          <w:position w:val="0"/>
        </w:rPr>
        <w:t xml:space="preserve">元，扣除注册资本后的余额人民币 </w:t>
      </w:r>
      <w:r>
        <w:rPr>
          <w:rFonts w:ascii="Times New Roman" w:eastAsia="Times New Roman" w:hAnsi="Times New Roman" w:cs="Times New Roman"/>
          <w:color w:val="000000"/>
          <w:spacing w:val="0"/>
          <w:w w:val="100"/>
          <w:position w:val="0"/>
          <w:sz w:val="18"/>
          <w:szCs w:val="18"/>
        </w:rPr>
        <w:t>376,258,190.59</w:t>
      </w:r>
      <w:r>
        <w:rPr>
          <w:color w:val="000000"/>
          <w:spacing w:val="0"/>
          <w:w w:val="100"/>
          <w:position w:val="0"/>
        </w:rPr>
        <w:t>元转入资本公积。</w:t>
      </w:r>
    </w:p>
    <w:p>
      <w:pPr>
        <w:pStyle w:val="Style21"/>
        <w:keepNext w:val="0"/>
        <w:keepLines w:val="0"/>
        <w:widowControl w:val="0"/>
        <w:shd w:val="clear" w:color="auto" w:fill="auto"/>
        <w:tabs>
          <w:tab w:pos="402" w:val="left"/>
        </w:tabs>
        <w:bidi w:val="0"/>
        <w:spacing w:before="0" w:after="300" w:line="310" w:lineRule="exact"/>
        <w:ind w:left="0" w:right="0" w:firstLine="0"/>
        <w:jc w:val="left"/>
      </w:pPr>
      <w:bookmarkStart w:id="1716" w:name="bookmark1716"/>
      <w:r>
        <w:rPr>
          <w:rFonts w:ascii="Times New Roman" w:eastAsia="Times New Roman" w:hAnsi="Times New Roman" w:cs="Times New Roman"/>
          <w:color w:val="000000"/>
          <w:spacing w:val="0"/>
          <w:w w:val="100"/>
          <w:position w:val="0"/>
          <w:sz w:val="18"/>
          <w:szCs w:val="18"/>
        </w:rPr>
        <w:t>（</w:t>
      </w:r>
      <w:bookmarkEnd w:id="171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其他资本公积系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日以</w:t>
      </w:r>
      <w:r>
        <w:rPr>
          <w:rFonts w:ascii="Times New Roman" w:eastAsia="Times New Roman" w:hAnsi="Times New Roman" w:cs="Times New Roman"/>
          <w:color w:val="000000"/>
          <w:spacing w:val="0"/>
          <w:w w:val="100"/>
          <w:position w:val="0"/>
          <w:sz w:val="18"/>
          <w:szCs w:val="18"/>
        </w:rPr>
        <w:t>18.24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股的授予价格向符合授予条件的</w:t>
      </w:r>
      <w:r>
        <w:rPr>
          <w:rFonts w:ascii="Times New Roman" w:eastAsia="Times New Roman" w:hAnsi="Times New Roman" w:cs="Times New Roman"/>
          <w:color w:val="000000"/>
          <w:spacing w:val="0"/>
          <w:w w:val="100"/>
          <w:position w:val="0"/>
          <w:sz w:val="18"/>
          <w:szCs w:val="18"/>
        </w:rPr>
        <w:t>292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340.00</w:t>
      </w:r>
      <w:r>
        <w:rPr>
          <w:color w:val="000000"/>
          <w:spacing w:val="0"/>
          <w:w w:val="100"/>
          <w:position w:val="0"/>
        </w:rPr>
        <w:t xml:space="preserve">万股第二类限制 </w:t>
      </w:r>
      <w:r>
        <w:rPr>
          <w:color w:val="000000"/>
          <w:spacing w:val="0"/>
          <w:w w:val="100"/>
          <w:position w:val="0"/>
        </w:rPr>
        <w:t>性股票，公司实施第二类限制性股票激励计划而发生的成本在等待期内按期确认，本年确认金额</w:t>
      </w:r>
      <w:r>
        <w:rPr>
          <w:rFonts w:ascii="Times New Roman" w:eastAsia="Times New Roman" w:hAnsi="Times New Roman" w:cs="Times New Roman"/>
          <w:color w:val="000000"/>
          <w:spacing w:val="0"/>
          <w:w w:val="100"/>
          <w:position w:val="0"/>
          <w:sz w:val="18"/>
          <w:szCs w:val="18"/>
        </w:rPr>
        <w:t>6,929,726.5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2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年调整按照份额享有权益法核算的合肥耀安科技有限公司资本公积</w:t>
      </w:r>
      <w:r>
        <w:rPr>
          <w:rFonts w:ascii="Times New Roman" w:eastAsia="Times New Roman" w:hAnsi="Times New Roman" w:cs="Times New Roman"/>
          <w:color w:val="000000"/>
          <w:spacing w:val="0"/>
          <w:w w:val="100"/>
          <w:position w:val="0"/>
          <w:sz w:val="18"/>
          <w:szCs w:val="18"/>
        </w:rPr>
        <w:t>-12,991.10</w:t>
      </w:r>
      <w:r>
        <w:rPr>
          <w:color w:val="000000"/>
          <w:spacing w:val="0"/>
          <w:w w:val="100"/>
          <w:position w:val="0"/>
        </w:rPr>
        <w:t>元。</w:t>
      </w:r>
    </w:p>
    <w:p>
      <w:pPr>
        <w:pStyle w:val="Style21"/>
        <w:keepNext w:val="0"/>
        <w:keepLines w:val="0"/>
        <w:widowControl w:val="0"/>
        <w:numPr>
          <w:ilvl w:val="0"/>
          <w:numId w:val="35"/>
        </w:numPr>
        <w:shd w:val="clear" w:color="auto" w:fill="auto"/>
        <w:bidi w:val="0"/>
        <w:spacing w:before="0" w:after="380" w:line="240" w:lineRule="auto"/>
        <w:ind w:left="0" w:right="0" w:firstLine="0"/>
        <w:jc w:val="left"/>
      </w:pPr>
      <w:bookmarkStart w:id="1717" w:name="bookmark1717"/>
      <w:bookmarkEnd w:id="1717"/>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股本溢价本期减少见附注七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p>
    <w:p>
      <w:pPr>
        <w:pStyle w:val="Style31"/>
        <w:keepNext/>
        <w:keepLines/>
        <w:widowControl w:val="0"/>
        <w:shd w:val="clear" w:color="auto" w:fill="auto"/>
        <w:bidi w:val="0"/>
        <w:spacing w:before="0" w:after="38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5</w:t>
      </w:r>
      <w:bookmarkEnd w:id="172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718"/>
      <w:bookmarkEnd w:id="1719"/>
      <w:bookmarkEnd w:id="172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5</w:t>
      </w:r>
      <w:bookmarkEnd w:id="172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722"/>
      <w:bookmarkEnd w:id="1723"/>
      <w:bookmarkEnd w:id="172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86"/>
        <w:gridCol w:w="1152"/>
        <w:gridCol w:w="974"/>
        <w:gridCol w:w="931"/>
        <w:gridCol w:w="850"/>
        <w:gridCol w:w="854"/>
        <w:gridCol w:w="850"/>
        <w:gridCol w:w="624"/>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减：前期计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入其他综</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期转入损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375,054.44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-102,215.75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375,054.44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-102,215.75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375,054.44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-477,270.19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-477,270.1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-102,215.75</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5</w:t>
      </w:r>
      <w:bookmarkEnd w:id="1728"/>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726"/>
      <w:bookmarkEnd w:id="1727"/>
      <w:bookmarkEnd w:id="172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5</w:t>
      </w:r>
      <w:bookmarkEnd w:id="1732"/>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730"/>
      <w:bookmarkEnd w:id="1731"/>
      <w:bookmarkEnd w:id="173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13,434,868.46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45,199,964.63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31,765,096.17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13,434,868.46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45,199,964.63</w:t>
            </w:r>
          </w:p>
        </w:tc>
      </w:tr>
    </w:tbl>
    <w:p>
      <w:pPr>
        <w:spacing w:lineRule="exact" w:line="1"/>
        <w:rPr>
          <w:sz w:val="2"/>
          <w:szCs w:val="2"/>
        </w:rPr>
      </w:pPr>
      <w:r>
        <w:br w:type="page"/>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盈余公积说明，包括本期增减变动情况、变动原因说明：</w:t>
      </w:r>
    </w:p>
    <w:p>
      <w:pPr>
        <w:pStyle w:val="Style21"/>
        <w:keepNext w:val="0"/>
        <w:keepLines w:val="0"/>
        <w:widowControl w:val="0"/>
        <w:shd w:val="clear" w:color="auto" w:fill="auto"/>
        <w:bidi w:val="0"/>
        <w:spacing w:before="0" w:after="380" w:line="240" w:lineRule="auto"/>
        <w:ind w:left="0" w:right="0" w:firstLine="160"/>
        <w:jc w:val="left"/>
      </w:pPr>
      <w:r>
        <w:rPr>
          <w:color w:val="000000"/>
          <w:spacing w:val="0"/>
          <w:w w:val="100"/>
          <w:position w:val="0"/>
        </w:rPr>
        <w:t>根据公司章程，按照计提所得税后的利润提取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的法定盈余公积金。</w:t>
      </w:r>
    </w:p>
    <w:p>
      <w:pPr>
        <w:pStyle w:val="Style31"/>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6</w:t>
      </w:r>
      <w:bookmarkEnd w:id="1736"/>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734"/>
      <w:bookmarkEnd w:id="1735"/>
      <w:bookmarkEnd w:id="1737"/>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228,273,015.64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167,612,359.11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228,273,015.64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167,612,359.11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138,575,574.82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83,389,906.25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13,434,868.46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7,729,249.72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26,439,498.60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326,974,223.40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228,273,015.64</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line="240" w:lineRule="auto"/>
        <w:ind w:left="0" w:right="0" w:firstLine="0"/>
        <w:jc w:val="left"/>
      </w:pPr>
      <w:bookmarkStart w:id="1738" w:name="bookmark1738"/>
      <w:r>
        <w:rPr>
          <w:rFonts w:ascii="Times New Roman" w:eastAsia="Times New Roman" w:hAnsi="Times New Roman" w:cs="Times New Roman"/>
          <w:color w:val="000000"/>
          <w:spacing w:val="0"/>
          <w:w w:val="100"/>
          <w:position w:val="0"/>
          <w:sz w:val="18"/>
          <w:szCs w:val="18"/>
        </w:rPr>
        <w:t>1</w:t>
      </w:r>
      <w:bookmarkEnd w:id="17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line="240" w:lineRule="auto"/>
        <w:ind w:left="0" w:right="0" w:firstLine="0"/>
        <w:jc w:val="left"/>
      </w:pPr>
      <w:bookmarkStart w:id="1739" w:name="bookmark1739"/>
      <w:r>
        <w:rPr>
          <w:rFonts w:ascii="Times New Roman" w:eastAsia="Times New Roman" w:hAnsi="Times New Roman" w:cs="Times New Roman"/>
          <w:color w:val="000000"/>
          <w:spacing w:val="0"/>
          <w:w w:val="100"/>
          <w:position w:val="0"/>
          <w:sz w:val="18"/>
          <w:szCs w:val="18"/>
        </w:rPr>
        <w:t>2</w:t>
      </w:r>
      <w:bookmarkEnd w:id="17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line="240" w:lineRule="auto"/>
        <w:ind w:left="0" w:right="0" w:firstLine="0"/>
        <w:jc w:val="left"/>
      </w:pPr>
      <w:bookmarkStart w:id="1740" w:name="bookmark1740"/>
      <w:r>
        <w:rPr>
          <w:rFonts w:ascii="Times New Roman" w:eastAsia="Times New Roman" w:hAnsi="Times New Roman" w:cs="Times New Roman"/>
          <w:color w:val="000000"/>
          <w:spacing w:val="0"/>
          <w:w w:val="100"/>
          <w:position w:val="0"/>
          <w:sz w:val="18"/>
          <w:szCs w:val="18"/>
        </w:rPr>
        <w:t>3</w:t>
      </w:r>
      <w:bookmarkEnd w:id="17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line="240" w:lineRule="auto"/>
        <w:ind w:left="0" w:right="0" w:firstLine="0"/>
        <w:jc w:val="left"/>
      </w:pPr>
      <w:bookmarkStart w:id="1741" w:name="bookmark1741"/>
      <w:r>
        <w:rPr>
          <w:rFonts w:ascii="Times New Roman" w:eastAsia="Times New Roman" w:hAnsi="Times New Roman" w:cs="Times New Roman"/>
          <w:color w:val="000000"/>
          <w:spacing w:val="0"/>
          <w:w w:val="100"/>
          <w:position w:val="0"/>
          <w:sz w:val="18"/>
          <w:szCs w:val="18"/>
        </w:rPr>
        <w:t>4</w:t>
      </w:r>
      <w:bookmarkEnd w:id="17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380" w:line="240" w:lineRule="auto"/>
        <w:ind w:left="0" w:right="0" w:firstLine="0"/>
        <w:jc w:val="left"/>
      </w:pPr>
      <w:bookmarkStart w:id="1742" w:name="bookmark1742"/>
      <w:r>
        <w:rPr>
          <w:rFonts w:ascii="Times New Roman" w:eastAsia="Times New Roman" w:hAnsi="Times New Roman" w:cs="Times New Roman"/>
          <w:color w:val="000000"/>
          <w:spacing w:val="0"/>
          <w:w w:val="100"/>
          <w:position w:val="0"/>
          <w:sz w:val="18"/>
          <w:szCs w:val="18"/>
        </w:rPr>
        <w:t>5</w:t>
      </w:r>
      <w:bookmarkEnd w:id="17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6</w:t>
      </w:r>
      <w:bookmarkEnd w:id="1745"/>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743"/>
      <w:bookmarkEnd w:id="1744"/>
      <w:bookmarkEnd w:id="1746"/>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581,459,583.24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311,358,862.17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421,554,137.38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238,526,683.70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538,103.45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311,794,844.68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422,103,866.51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239,064,787.15</w:t>
            </w:r>
          </w:p>
        </w:tc>
      </w:tr>
    </w:tbl>
    <w:p>
      <w:pPr>
        <w:widowControl w:val="0"/>
        <w:spacing w:after="11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581,932,459.41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447,978,418.40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447,978,418.40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数字建造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11,534,433.97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11,534,433.97</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应用产品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24,827,167.39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24,827,167.39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68,942,995.84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68,942,995.84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21,694,203.56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21,694,203.56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6,482,364.08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6,482,364.08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581,932,459.41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49,665,600.97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49,665,600.97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18,369,195.92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18,369,195.92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10,672,635.60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10,672,635.60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404,273,225.02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404,273,225.02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50,517,316.43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50,517,316.43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7,002,123.54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7,002,123.54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13,189,658.55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13,189,658.55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28,242,703.38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28,242,703.38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581,932,459.41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299,819,333.85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299,819,333.85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183,019,677.90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183,019,677.90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38,460,686.93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38,460,686.93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18,552,680.14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18,552,680.14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15,993,029.79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15,993,029.79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3,965,461.40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3,965,461.40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22,121,589.40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22,121,589.40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581,932,459.41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581,932,459.41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379,852,969.17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379,852,969.17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112,326,430.19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112,326,430.19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61,103,616.24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61,103,616.24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6,482,364.08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6,482,364.08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21,694,203.56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21,694,203.56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379" w:line="1" w:lineRule="exact"/>
      </w:pP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216,868,434.56</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185,829,583.84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23,564,631.78</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7,474,218.94</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2024-2026</w:t>
      </w:r>
      <w:r>
        <w:rPr>
          <w:color w:val="000000"/>
          <w:spacing w:val="0"/>
          <w:w w:val="100"/>
          <w:position w:val="0"/>
        </w:rPr>
        <w:t>年度确 认收入。</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747"/>
      <w:bookmarkEnd w:id="1748"/>
      <w:bookmarkEnd w:id="1750"/>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1,705,709.04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902,499.97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729,669.32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261,920.65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147,770.90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601,669.25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485,814.96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106,093.76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3,818,499.47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3,175,245.48</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680" w:line="240" w:lineRule="auto"/>
        <w:ind w:left="0" w:right="0" w:firstLine="0"/>
        <w:jc w:val="left"/>
      </w:pPr>
      <w:r>
        <w:rPr>
          <w:color w:val="000000"/>
          <w:spacing w:val="0"/>
          <w:w w:val="100"/>
          <w:position w:val="0"/>
        </w:rPr>
        <w:t>①各项税金及附加的计缴标准详见本附注六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主要税种及税率 </w:t>
      </w:r>
      <w:r>
        <w:rPr>
          <w:color w:val="000000"/>
          <w:spacing w:val="0"/>
          <w:w w:val="100"/>
          <w:position w:val="0"/>
        </w:rPr>
        <w:t>②根据鲁财税〔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日起，山东省免征地方水利建设基金，即对本省行政区域内缴纳增值税、消 费税的企事业单位和个体经营者，其地方水利建设基金征收比例，由原按增值税、消费税实际缴纳额的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调减为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。本期 将前期计提的地方水利建设基金冲回。</w:t>
      </w:r>
    </w:p>
    <w:p>
      <w:pPr>
        <w:pStyle w:val="Style31"/>
        <w:keepNext/>
        <w:keepLines/>
        <w:widowControl w:val="0"/>
        <w:shd w:val="clear" w:color="auto" w:fill="auto"/>
        <w:bidi w:val="0"/>
        <w:spacing w:before="0" w:after="380" w:line="240" w:lineRule="auto"/>
        <w:ind w:left="0" w:right="0" w:firstLine="0"/>
        <w:jc w:val="left"/>
      </w:pPr>
      <w:bookmarkStart w:id="1751" w:name="bookmark1751"/>
      <w:bookmarkStart w:id="1752" w:name="bookmark1752"/>
      <w:bookmarkStart w:id="1753" w:name="bookmark1753"/>
      <w:bookmarkStart w:id="1754" w:name="bookmark1754"/>
      <w:r>
        <w:rPr>
          <w:rFonts w:ascii="Times New Roman" w:eastAsia="Times New Roman" w:hAnsi="Times New Roman" w:cs="Times New Roman"/>
          <w:color w:val="000000"/>
          <w:spacing w:val="0"/>
          <w:w w:val="100"/>
          <w:position w:val="0"/>
        </w:rPr>
        <w:t>6</w:t>
      </w:r>
      <w:bookmarkEnd w:id="1753"/>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751"/>
      <w:bookmarkEnd w:id="1752"/>
      <w:bookmarkEnd w:id="1754"/>
    </w:p>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9,480,299.54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8,903,469.20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1,711,246.25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1,285,143.88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2,683,148.54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1,813,251.34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454,725.96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203,338.19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92,926.13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70,024.39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77,492.68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85,870.39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87,566.62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900,902.44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124,869.75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65,406.39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310,067.11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15,469,354.99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12,883,600.87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6</w:t>
      </w:r>
      <w:bookmarkEnd w:id="1757"/>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755"/>
      <w:bookmarkEnd w:id="1756"/>
      <w:bookmarkEnd w:id="175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21,001,170.32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19,203,061.84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5,677,876.57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5,760,872.08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2,401,339.46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1,808,072.93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922,676.48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651,334.47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328,755.64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306,479.03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4,872,848.04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1,267,580.50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282,563.38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294,803.59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2,763,172.68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792,843.64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6,929,726.51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1,594,597.66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37,870.56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46,774,726.74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30,122,918.64</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59" w:name="bookmark1759"/>
      <w:bookmarkStart w:id="1760" w:name="bookmark1760"/>
      <w:bookmarkStart w:id="1761" w:name="bookmark1761"/>
      <w:bookmarkStart w:id="1762" w:name="bookmark1762"/>
      <w:r>
        <w:rPr>
          <w:rFonts w:ascii="Times New Roman" w:eastAsia="Times New Roman" w:hAnsi="Times New Roman" w:cs="Times New Roman"/>
          <w:color w:val="000000"/>
          <w:spacing w:val="0"/>
          <w:w w:val="100"/>
          <w:position w:val="0"/>
        </w:rPr>
        <w:t>6</w:t>
      </w:r>
      <w:bookmarkEnd w:id="1761"/>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759"/>
      <w:bookmarkEnd w:id="1760"/>
      <w:bookmarkEnd w:id="176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66,254,331.53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46,820,834.21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4,137,988.53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3,637,244.04</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材料费及外协费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2,032,364.96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354,307.76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663,138.27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507,831.69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535,761.24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394,954.01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73,623,584.53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51,715,171.71</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63" w:name="bookmark1763"/>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rPr>
        <w:t>6</w:t>
      </w:r>
      <w:bookmarkEnd w:id="1765"/>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763"/>
      <w:bookmarkEnd w:id="1764"/>
      <w:bookmarkEnd w:id="176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612,360.13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1,623,896.33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306,259.68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-39,332.26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91,034.96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-998,545.16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-232,925.06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67" w:name="bookmark1767"/>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6</w:t>
      </w:r>
      <w:bookmarkEnd w:id="1769"/>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767"/>
      <w:bookmarkEnd w:id="1768"/>
      <w:bookmarkEnd w:id="177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2,614,300.88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3,082,499.31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税负返还金额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3,764,171.41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1,829,024.99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增值税进项税加计抵减额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1,374,067.29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496,550.17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7,752,539.58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5,408,074.47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6</w:t>
      </w:r>
      <w:bookmarkEnd w:id="1773"/>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771"/>
      <w:bookmarkEnd w:id="1772"/>
      <w:bookmarkEnd w:id="177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459,103.35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2,595,392.00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7,208,659.45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1,415,140.77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10,656,843.85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1,654,224.12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80" w:line="240" w:lineRule="auto"/>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6</w:t>
      </w:r>
      <w:bookmarkEnd w:id="1777"/>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775"/>
      <w:bookmarkEnd w:id="1776"/>
      <w:bookmarkEnd w:id="177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7</w:t>
      </w:r>
      <w:bookmarkEnd w:id="178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79"/>
      <w:bookmarkEnd w:id="1780"/>
      <w:bookmarkEnd w:id="178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7</w:t>
      </w:r>
      <w:bookmarkEnd w:id="1785"/>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83"/>
      <w:bookmarkEnd w:id="1784"/>
      <w:bookmarkEnd w:id="178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42,082.12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-4,570,930.91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-520,331.01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1,413,023.36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-2,509,305.30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-3,172,553.45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-2,987,554.19</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7</w:t>
      </w:r>
      <w:bookmarkEnd w:id="1789"/>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87"/>
      <w:bookmarkEnd w:id="1788"/>
      <w:bookmarkEnd w:id="179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-188,574.77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-188,574.77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7</w:t>
      </w:r>
      <w:bookmarkEnd w:id="1793"/>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91"/>
      <w:bookmarkEnd w:id="1792"/>
      <w:bookmarkEnd w:id="179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-2,825.32</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7</w:t>
      </w:r>
      <w:bookmarkEnd w:id="1797"/>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95"/>
      <w:bookmarkEnd w:id="1796"/>
      <w:bookmarkEnd w:id="1798"/>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42,611.70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42,611.70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43,694.82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43,694.82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7</w:t>
      </w:r>
      <w:bookmarkEnd w:id="1801"/>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99"/>
      <w:bookmarkEnd w:id="1800"/>
      <w:bookmarkEnd w:id="180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29,993.02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29,993.02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53,528.03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53,528.03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20,508.41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20,508.41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104,029.46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114,627.54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104,029.46</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1803" w:name="bookmark1803"/>
      <w:bookmarkStart w:id="1804" w:name="bookmark1804"/>
      <w:bookmarkStart w:id="1805" w:name="bookmark1805"/>
      <w:bookmarkStart w:id="1806" w:name="bookmark1806"/>
      <w:r>
        <w:rPr>
          <w:rFonts w:ascii="Times New Roman" w:eastAsia="Times New Roman" w:hAnsi="Times New Roman" w:cs="Times New Roman"/>
          <w:color w:val="000000"/>
          <w:spacing w:val="0"/>
          <w:w w:val="100"/>
          <w:position w:val="0"/>
        </w:rPr>
        <w:t>7</w:t>
      </w:r>
      <w:bookmarkEnd w:id="1805"/>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803"/>
      <w:bookmarkEnd w:id="1804"/>
      <w:bookmarkEnd w:id="1806"/>
    </w:p>
    <w:p>
      <w:pPr>
        <w:pStyle w:val="Style40"/>
        <w:keepNext/>
        <w:keepLines/>
        <w:widowControl w:val="0"/>
        <w:shd w:val="clear" w:color="auto" w:fill="auto"/>
        <w:bidi w:val="0"/>
        <w:spacing w:before="0" w:line="240" w:lineRule="auto"/>
        <w:ind w:left="0" w:right="0" w:firstLine="0"/>
        <w:jc w:val="left"/>
      </w:pPr>
      <w:bookmarkStart w:id="1807" w:name="bookmark1807"/>
      <w:bookmarkStart w:id="1808" w:name="bookmark1808"/>
      <w:bookmarkStart w:id="1809" w:name="bookmark18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807"/>
      <w:bookmarkEnd w:id="1808"/>
      <w:bookmarkEnd w:id="1809"/>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12,641,033.56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5,229,484.77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-814,035.99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527,943.47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11,826,997.57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5,757,428.24</w:t>
            </w:r>
          </w:p>
        </w:tc>
      </w:tr>
    </w:tbl>
    <w:p>
      <w:pPr>
        <w:widowControl w:val="0"/>
        <w:spacing w:after="379" w:line="1" w:lineRule="exact"/>
      </w:pPr>
    </w:p>
    <w:p>
      <w:pPr>
        <w:pStyle w:val="Style40"/>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810"/>
      <w:bookmarkEnd w:id="1811"/>
      <w:bookmarkEnd w:id="181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spacing w:lineRule="exact" w:line="1"/>
        <w:rPr>
          <w:sz w:val="2"/>
          <w:szCs w:val="2"/>
        </w:rPr>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148,218,978.58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14,821,897.86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-431,402.01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662,980.03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678,453.16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1,097,312.11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权益法核算的合营企业和联营企业损益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-318,205.13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-4,878,660.04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200,204.54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11,826,997.57</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7</w:t>
      </w:r>
      <w:bookmarkEnd w:id="1815"/>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813"/>
      <w:bookmarkEnd w:id="1814"/>
      <w:bookmarkEnd w:id="181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其他综合收益部分的说明。</w:t>
      </w:r>
    </w:p>
    <w:p>
      <w:pPr>
        <w:pStyle w:val="Style31"/>
        <w:keepNext/>
        <w:keepLines/>
        <w:widowControl w:val="0"/>
        <w:shd w:val="clear" w:color="auto" w:fill="auto"/>
        <w:tabs>
          <w:tab w:pos="478" w:val="left"/>
        </w:tabs>
        <w:bidi w:val="0"/>
        <w:spacing w:before="0" w:after="380" w:line="240" w:lineRule="auto"/>
        <w:ind w:left="0" w:right="0" w:firstLine="0"/>
        <w:jc w:val="left"/>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7</w:t>
      </w:r>
      <w:bookmarkEnd w:id="1819"/>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817"/>
      <w:bookmarkEnd w:id="1818"/>
      <w:bookmarkEnd w:id="1820"/>
    </w:p>
    <w:p>
      <w:pPr>
        <w:pStyle w:val="Style40"/>
        <w:keepNext/>
        <w:keepLines/>
        <w:widowControl w:val="0"/>
        <w:shd w:val="clear" w:color="auto" w:fill="auto"/>
        <w:bidi w:val="0"/>
        <w:spacing w:before="0" w:line="240" w:lineRule="auto"/>
        <w:ind w:left="0" w:right="0" w:firstLine="0"/>
        <w:jc w:val="left"/>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821"/>
      <w:bookmarkEnd w:id="1822"/>
      <w:bookmarkEnd w:id="182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2,614,300.88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1,382,499.31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1,623,896.33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306,259.68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财务共享财务报账系统建设项目款项净 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5,335,385.24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收回履约保函净增加额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841,245.31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4,362,047.49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5,079,442.52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11,386,191.72</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824"/>
      <w:bookmarkEnd w:id="1825"/>
      <w:bookmarkEnd w:id="182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6,879,215.39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4,510,837.83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2,040,001.89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1,591,622.91</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2,856,065.42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2,011,411.12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5,446,321.22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2,606,094.98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5,677,876.57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5,760,872.08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922,676.48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651,334.47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125,311.84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财务共享财务报账系统建设项目款项净 减少额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3,602,789.35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3,861,144.28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904,092.97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31,930,808.09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18,161,578.20</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827"/>
      <w:bookmarkEnd w:id="1828"/>
      <w:bookmarkEnd w:id="183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831" w:name="bookmark1831"/>
      <w:bookmarkStart w:id="1832" w:name="bookmark1832"/>
      <w:bookmarkStart w:id="1833" w:name="bookmark1833"/>
      <w:bookmarkStart w:id="1834" w:name="bookmark1834"/>
      <w:r>
        <w:rPr>
          <w:color w:val="000000"/>
          <w:spacing w:val="0"/>
          <w:w w:val="100"/>
          <w:position w:val="0"/>
        </w:rPr>
        <w:t>（</w:t>
      </w:r>
      <w:bookmarkEnd w:id="1833"/>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831"/>
      <w:bookmarkEnd w:id="1832"/>
      <w:bookmarkEnd w:id="1834"/>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子公司清算向少数股东支付的款项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3,034.63</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line="240" w:lineRule="auto"/>
        <w:ind w:left="0" w:right="0" w:firstLine="0"/>
        <w:jc w:val="left"/>
      </w:pPr>
      <w:bookmarkStart w:id="1835" w:name="bookmark1835"/>
      <w:bookmarkStart w:id="1836" w:name="bookmark1836"/>
      <w:bookmarkStart w:id="1837" w:name="bookmark1837"/>
      <w:bookmarkStart w:id="1838" w:name="bookmark1838"/>
      <w:r>
        <w:rPr>
          <w:color w:val="000000"/>
          <w:spacing w:val="0"/>
          <w:w w:val="100"/>
          <w:position w:val="0"/>
        </w:rPr>
        <w:t>（</w:t>
      </w:r>
      <w:bookmarkEnd w:id="1837"/>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835"/>
      <w:bookmarkEnd w:id="1836"/>
      <w:bookmarkEnd w:id="1838"/>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bookmarkStart w:id="1842" w:name="bookmark1842"/>
      <w:r>
        <w:rPr>
          <w:color w:val="000000"/>
          <w:spacing w:val="0"/>
          <w:w w:val="100"/>
          <w:position w:val="0"/>
        </w:rPr>
        <w:t>（</w:t>
      </w:r>
      <w:bookmarkEnd w:id="184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839"/>
      <w:bookmarkEnd w:id="1840"/>
      <w:bookmarkEnd w:id="1842"/>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相关费用、股权登记费及分红派息手 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24,475,367.20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2,985,000.00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偿还租赁负债支付的金额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4,423,153.98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28,898,521.18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2,985,000.00</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after="380" w:line="240" w:lineRule="auto"/>
        <w:ind w:left="0" w:right="0" w:firstLine="0"/>
        <w:jc w:val="left"/>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7</w:t>
      </w:r>
      <w:bookmarkEnd w:id="184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843"/>
      <w:bookmarkEnd w:id="1844"/>
      <w:bookmarkEnd w:id="1846"/>
    </w:p>
    <w:p>
      <w:pPr>
        <w:pStyle w:val="Style40"/>
        <w:keepNext/>
        <w:keepLines/>
        <w:widowControl w:val="0"/>
        <w:shd w:val="clear" w:color="auto" w:fill="auto"/>
        <w:bidi w:val="0"/>
        <w:spacing w:before="0" w:line="240" w:lineRule="auto"/>
        <w:ind w:left="0" w:right="0" w:firstLine="0"/>
        <w:jc w:val="left"/>
      </w:pPr>
      <w:bookmarkStart w:id="1847" w:name="bookmark1847"/>
      <w:bookmarkStart w:id="1848" w:name="bookmark1848"/>
      <w:bookmarkStart w:id="1849" w:name="bookmark18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847"/>
      <w:bookmarkEnd w:id="1848"/>
      <w:bookmarkEnd w:id="184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136,391,981.01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83,389,906.25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842,502.08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3,172,553.45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2,987,554.19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3,179,472.17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3,214,320.43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3,573,943.11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371,080.89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327,286.01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795,205.94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785,488.94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111,037.73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-2,310,042.73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476,225.12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-10,656,843.85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-1,874,244.12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-1,029,334.34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549,385.97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215,298.35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-1,558,977.90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18,961,517.92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-35,744,396.70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-41,426,960.46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59,620,215.29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26,375,294.61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6,929,726.51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164,172,569.87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92,530,291.89</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当期新增的使用权资产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3,567,406.74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367,421,311.99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79,071,832.05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79,071,832.05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124,888,007.40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288,349,479.94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-45,816,175.35</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850"/>
      <w:bookmarkEnd w:id="1851"/>
      <w:bookmarkEnd w:id="1852"/>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853"/>
      <w:bookmarkEnd w:id="1854"/>
      <w:bookmarkEnd w:id="1856"/>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857"/>
      <w:bookmarkEnd w:id="1858"/>
      <w:bookmarkEnd w:id="1860"/>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367,421,311.99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79,071,832.05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367,421,311.99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79,071,832.05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367,421,311.99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79,071,832.05</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8</w:t>
      </w:r>
      <w:bookmarkEnd w:id="1863"/>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861"/>
      <w:bookmarkEnd w:id="1862"/>
      <w:bookmarkEnd w:id="1864"/>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8</w:t>
      </w:r>
      <w:bookmarkEnd w:id="1867"/>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865"/>
      <w:bookmarkEnd w:id="1866"/>
      <w:bookmarkEnd w:id="186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4,137,503.00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4,137,503.00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both"/>
      </w:pPr>
      <w:bookmarkStart w:id="1869" w:name="bookmark1869"/>
      <w:bookmarkStart w:id="1870" w:name="bookmark1870"/>
      <w:bookmarkStart w:id="1871" w:name="bookmark1871"/>
      <w:bookmarkStart w:id="1872" w:name="bookmark1872"/>
      <w:r>
        <w:rPr>
          <w:rFonts w:ascii="Times New Roman" w:eastAsia="Times New Roman" w:hAnsi="Times New Roman" w:cs="Times New Roman"/>
          <w:color w:val="000000"/>
          <w:spacing w:val="0"/>
          <w:w w:val="100"/>
          <w:position w:val="0"/>
        </w:rPr>
        <w:t>8</w:t>
      </w:r>
      <w:bookmarkEnd w:id="1871"/>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869"/>
      <w:bookmarkEnd w:id="1870"/>
      <w:bookmarkEnd w:id="1872"/>
    </w:p>
    <w:p>
      <w:pPr>
        <w:pStyle w:val="Style40"/>
        <w:keepNext/>
        <w:keepLines/>
        <w:widowControl w:val="0"/>
        <w:shd w:val="clear" w:color="auto" w:fill="auto"/>
        <w:bidi w:val="0"/>
        <w:spacing w:before="0" w:line="240" w:lineRule="auto"/>
        <w:ind w:left="0" w:right="0" w:firstLine="0"/>
        <w:jc w:val="both"/>
      </w:pPr>
      <w:bookmarkStart w:id="1873" w:name="bookmark1873"/>
      <w:bookmarkStart w:id="1874" w:name="bookmark1874"/>
      <w:bookmarkStart w:id="1875" w:name="bookmark18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873"/>
      <w:bookmarkEnd w:id="1874"/>
      <w:bookmarkEnd w:id="187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8,867,952.52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7,250,437.97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43,242,617.00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2,396,289.63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152,073.60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8,345,919.00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462,489.10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222,707.70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63,727.25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21,651.92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865,448.00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0.055415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47,958.78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59" w:line="1" w:lineRule="exact"/>
      </w:pPr>
    </w:p>
    <w:p>
      <w:pPr>
        <w:pStyle w:val="Style40"/>
        <w:keepNext/>
        <w:keepLines/>
        <w:widowControl w:val="0"/>
        <w:shd w:val="clear" w:color="auto" w:fill="auto"/>
        <w:bidi w:val="0"/>
        <w:spacing w:before="0" w:line="331" w:lineRule="exact"/>
        <w:ind w:left="0" w:right="0" w:firstLine="0"/>
        <w:jc w:val="left"/>
      </w:pPr>
      <w:bookmarkStart w:id="1876" w:name="bookmark1876"/>
      <w:bookmarkStart w:id="1877" w:name="bookmark1877"/>
      <w:bookmarkStart w:id="1878" w:name="bookmark18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876"/>
      <w:bookmarkEnd w:id="1877"/>
      <w:bookmarkEnd w:id="1878"/>
    </w:p>
    <w:p>
      <w:pPr>
        <w:pStyle w:val="Style27"/>
        <w:keepNext w:val="0"/>
        <w:keepLines w:val="0"/>
        <w:widowControl w:val="0"/>
        <w:shd w:val="clear" w:color="auto" w:fill="auto"/>
        <w:bidi w:val="0"/>
        <w:spacing w:before="0" w:after="0" w:line="240" w:lineRule="auto"/>
        <w:ind w:left="2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2"/>
        <w:gridCol w:w="1042"/>
        <w:gridCol w:w="1224"/>
        <w:gridCol w:w="1978"/>
        <w:gridCol w:w="2842"/>
      </w:tblGrid>
      <w:tr>
        <w:trPr>
          <w:trHeight w:val="682" w:hRule="exact"/>
        </w:trPr>
        <w:tc>
          <w:tcPr>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项目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境外主要经 营地</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记账本位币</w:t>
            </w:r>
          </w:p>
        </w:tc>
        <w:tc>
          <w:tcPr>
            <w:tcBorders>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选择依据</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备注</w:t>
            </w:r>
          </w:p>
        </w:tc>
      </w:tr>
      <w:tr>
        <w:trPr>
          <w:trHeight w:val="65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普联软件（香港）有限公司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根据其经营所处的主要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经济环境确定</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r>
      <w:tr>
        <w:trPr>
          <w:trHeight w:val="9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日本普联软件株式会社（简称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 联大阪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日本大阪</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根据其经营所处的主要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经济环境确定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普联香港持有</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股权;全资子公 司普联数字科技（济南）有限公司的 持有</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股权</w:t>
            </w:r>
          </w:p>
        </w:tc>
      </w:tr>
    </w:tbl>
    <w:p>
      <w:pPr>
        <w:widowControl w:val="0"/>
        <w:spacing w:after="619" w:line="1" w:lineRule="exact"/>
      </w:pPr>
    </w:p>
    <w:p>
      <w:pPr>
        <w:pStyle w:val="Style31"/>
        <w:keepNext/>
        <w:keepLines/>
        <w:widowControl w:val="0"/>
        <w:shd w:val="clear" w:color="auto" w:fill="auto"/>
        <w:tabs>
          <w:tab w:pos="483" w:val="left"/>
        </w:tabs>
        <w:bidi w:val="0"/>
        <w:spacing w:before="0" w:after="380" w:line="240" w:lineRule="auto"/>
        <w:ind w:left="0" w:right="0" w:firstLine="0"/>
        <w:jc w:val="left"/>
      </w:pPr>
      <w:bookmarkStart w:id="1879" w:name="bookmark1879"/>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8</w:t>
      </w:r>
      <w:bookmarkEnd w:id="1881"/>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79"/>
      <w:bookmarkEnd w:id="1880"/>
      <w:bookmarkEnd w:id="188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83" w:val="left"/>
        </w:tabs>
        <w:bidi w:val="0"/>
        <w:spacing w:before="0" w:after="380" w:line="240" w:lineRule="auto"/>
        <w:ind w:left="0" w:right="0" w:firstLine="0"/>
        <w:jc w:val="left"/>
      </w:pPr>
      <w:bookmarkStart w:id="1883" w:name="bookmark1883"/>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8</w:t>
      </w:r>
      <w:bookmarkEnd w:id="1885"/>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83"/>
      <w:bookmarkEnd w:id="1884"/>
      <w:bookmarkEnd w:id="1886"/>
    </w:p>
    <w:p>
      <w:pPr>
        <w:pStyle w:val="Style40"/>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87"/>
      <w:bookmarkEnd w:id="1888"/>
      <w:bookmarkEnd w:id="188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增值税超</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税负返还金额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3,764,171.41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3,764,171.41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949,400.00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949,400.00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181,984.59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181,984.59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增值税进项税加计抵减额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1,374,067.29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1,374,067.29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科技项目经费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区块链平台研 发项目补助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金融创新发展引导资金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创新创业政策扶持资金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安排残疾人就业奖励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减免税款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7,752,539.58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7,752,539.58</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1890" w:name="bookmark1890"/>
      <w:bookmarkStart w:id="1891" w:name="bookmark1891"/>
      <w:bookmarkStart w:id="1892" w:name="bookmark18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90"/>
      <w:bookmarkEnd w:id="1891"/>
      <w:bookmarkEnd w:id="189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893"/>
      <w:bookmarkEnd w:id="1894"/>
      <w:bookmarkEnd w:id="1895"/>
    </w:p>
    <w:p>
      <w:pPr>
        <w:pStyle w:val="Style25"/>
        <w:keepNext/>
        <w:keepLines/>
        <w:widowControl w:val="0"/>
        <w:shd w:val="clear" w:color="auto" w:fill="auto"/>
        <w:bidi w:val="0"/>
        <w:spacing w:before="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八</w:t>
      </w:r>
      <w:bookmarkEnd w:id="1898"/>
      <w:r>
        <w:rPr>
          <w:color w:val="000000"/>
          <w:spacing w:val="0"/>
          <w:w w:val="100"/>
          <w:position w:val="0"/>
        </w:rPr>
        <w:t>、合并范围的变更</w:t>
      </w:r>
      <w:bookmarkEnd w:id="1896"/>
      <w:bookmarkEnd w:id="1897"/>
      <w:bookmarkEnd w:id="1899"/>
    </w:p>
    <w:p>
      <w:pPr>
        <w:pStyle w:val="Style31"/>
        <w:keepNext/>
        <w:keepLines/>
        <w:widowControl w:val="0"/>
        <w:shd w:val="clear" w:color="auto" w:fill="auto"/>
        <w:bidi w:val="0"/>
        <w:spacing w:before="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1</w:t>
      </w:r>
      <w:bookmarkEnd w:id="1902"/>
      <w:r>
        <w:rPr>
          <w:color w:val="000000"/>
          <w:spacing w:val="0"/>
          <w:w w:val="100"/>
          <w:position w:val="0"/>
        </w:rPr>
        <w:t>、非同一控制下企业合并</w:t>
      </w:r>
      <w:bookmarkEnd w:id="1900"/>
      <w:bookmarkEnd w:id="1901"/>
      <w:bookmarkEnd w:id="1903"/>
    </w:p>
    <w:p>
      <w:pPr>
        <w:pStyle w:val="Style40"/>
        <w:keepNext/>
        <w:keepLines/>
        <w:widowControl w:val="0"/>
        <w:shd w:val="clear" w:color="auto" w:fill="auto"/>
        <w:bidi w:val="0"/>
        <w:spacing w:before="0" w:after="360" w:line="240" w:lineRule="auto"/>
        <w:ind w:left="0" w:right="0" w:firstLine="0"/>
        <w:jc w:val="left"/>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904"/>
      <w:bookmarkEnd w:id="1905"/>
      <w:bookmarkEnd w:id="190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0"/>
        <w:keepNext/>
        <w:keepLines/>
        <w:widowControl w:val="0"/>
        <w:shd w:val="clear" w:color="auto" w:fill="auto"/>
        <w:bidi w:val="0"/>
        <w:spacing w:before="0" w:after="360" w:line="240" w:lineRule="auto"/>
        <w:ind w:left="0" w:right="0" w:firstLine="0"/>
        <w:jc w:val="left"/>
      </w:pPr>
      <w:bookmarkStart w:id="1907" w:name="bookmark1907"/>
      <w:bookmarkStart w:id="1908" w:name="bookmark1908"/>
      <w:bookmarkStart w:id="1909" w:name="bookmark19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907"/>
      <w:bookmarkEnd w:id="1908"/>
      <w:bookmarkEnd w:id="190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合并成本公允价值的确定方法、或有对价及其变动的说明:</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大额商誉形成的主要原因：</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both"/>
      </w:pPr>
      <w:bookmarkStart w:id="1910" w:name="bookmark1910"/>
      <w:bookmarkStart w:id="1911" w:name="bookmark1911"/>
      <w:bookmarkStart w:id="1912" w:name="bookmark1912"/>
      <w:bookmarkStart w:id="1913" w:name="bookmark1913"/>
      <w:r>
        <w:rPr>
          <w:color w:val="000000"/>
          <w:spacing w:val="0"/>
          <w:w w:val="100"/>
          <w:position w:val="0"/>
        </w:rPr>
        <w:t>（</w:t>
      </w:r>
      <w:bookmarkEnd w:id="1912"/>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910"/>
      <w:bookmarkEnd w:id="1911"/>
      <w:bookmarkEnd w:id="19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可辨认资产、负债公允价值的确定方法：</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企业合并中承担的被购买方的或有负债：</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both"/>
      </w:pPr>
      <w:bookmarkStart w:id="1914" w:name="bookmark1914"/>
      <w:bookmarkStart w:id="1915" w:name="bookmark1915"/>
      <w:bookmarkStart w:id="1916" w:name="bookmark1916"/>
      <w:bookmarkStart w:id="1917" w:name="bookmark1917"/>
      <w:r>
        <w:rPr>
          <w:color w:val="000000"/>
          <w:spacing w:val="0"/>
          <w:w w:val="100"/>
          <w:position w:val="0"/>
        </w:rPr>
        <w:t>（</w:t>
      </w:r>
      <w:bookmarkEnd w:id="1916"/>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914"/>
      <w:bookmarkEnd w:id="1915"/>
      <w:bookmarkEnd w:id="1917"/>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93" w:val="left"/>
        </w:tabs>
        <w:bidi w:val="0"/>
        <w:spacing w:before="0" w:line="240" w:lineRule="auto"/>
        <w:ind w:left="0" w:right="0" w:firstLine="0"/>
        <w:jc w:val="both"/>
      </w:pPr>
      <w:bookmarkStart w:id="1918" w:name="bookmark1918"/>
      <w:bookmarkStart w:id="1919" w:name="bookmark1919"/>
      <w:bookmarkStart w:id="1920" w:name="bookmark1920"/>
      <w:bookmarkStart w:id="1921" w:name="bookmark1921"/>
      <w:r>
        <w:rPr>
          <w:color w:val="000000"/>
          <w:spacing w:val="0"/>
          <w:w w:val="100"/>
          <w:position w:val="0"/>
        </w:rPr>
        <w:t>（</w:t>
      </w:r>
      <w:bookmarkEnd w:id="192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918"/>
      <w:bookmarkEnd w:id="1919"/>
      <w:bookmarkEnd w:id="1921"/>
    </w:p>
    <w:p>
      <w:pPr>
        <w:pStyle w:val="Style40"/>
        <w:keepNext/>
        <w:keepLines/>
        <w:widowControl w:val="0"/>
        <w:shd w:val="clear" w:color="auto" w:fill="auto"/>
        <w:tabs>
          <w:tab w:pos="493" w:val="left"/>
        </w:tabs>
        <w:bidi w:val="0"/>
        <w:spacing w:before="0" w:after="260" w:line="240" w:lineRule="auto"/>
        <w:ind w:left="0" w:right="0" w:firstLine="0"/>
        <w:jc w:val="both"/>
      </w:pPr>
      <w:bookmarkStart w:id="1922" w:name="bookmark1922"/>
      <w:bookmarkStart w:id="1923" w:name="bookmark1923"/>
      <w:bookmarkStart w:id="1924" w:name="bookmark1924"/>
      <w:bookmarkStart w:id="1925" w:name="bookmark1925"/>
      <w:r>
        <w:rPr>
          <w:color w:val="000000"/>
          <w:spacing w:val="0"/>
          <w:w w:val="100"/>
          <w:position w:val="0"/>
        </w:rPr>
        <w:t>（</w:t>
      </w:r>
      <w:bookmarkEnd w:id="192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922"/>
      <w:bookmarkEnd w:id="1923"/>
      <w:bookmarkEnd w:id="1925"/>
    </w:p>
    <w:p>
      <w:pPr>
        <w:pStyle w:val="Style21"/>
        <w:keepNext w:val="0"/>
        <w:keepLines w:val="0"/>
        <w:widowControl w:val="0"/>
        <w:shd w:val="clear" w:color="auto" w:fill="auto"/>
        <w:bidi w:val="0"/>
        <w:spacing w:before="0" w:after="220" w:line="313" w:lineRule="exact"/>
        <w:ind w:left="0" w:right="0" w:firstLine="160"/>
        <w:jc w:val="both"/>
      </w:pPr>
      <w:r>
        <w:rPr>
          <w:color w:val="000000"/>
          <w:spacing w:val="0"/>
          <w:w w:val="100"/>
          <w:position w:val="0"/>
        </w:rPr>
        <w:t>本公司本年度合并范围与上年度相比出资设立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户一级子公司。</w:t>
      </w:r>
    </w:p>
    <w:p>
      <w:pPr>
        <w:pStyle w:val="Style21"/>
        <w:keepNext w:val="0"/>
        <w:keepLines w:val="0"/>
        <w:widowControl w:val="0"/>
        <w:shd w:val="clear" w:color="auto" w:fill="auto"/>
        <w:bidi w:val="0"/>
        <w:spacing w:before="0" w:after="380" w:line="313" w:lineRule="exact"/>
        <w:ind w:left="0" w:right="0" w:firstLine="160"/>
        <w:jc w:val="both"/>
      </w:pPr>
      <w:r>
        <w:rPr>
          <w:color w:val="000000"/>
          <w:spacing w:val="0"/>
          <w:w w:val="100"/>
          <w:position w:val="0"/>
        </w:rPr>
        <w:t>普联智能数建科技（北京）有限公司成立于</w:t>
      </w:r>
      <w:r>
        <w:rPr>
          <w:rFonts w:ascii="Times New Roman" w:eastAsia="Times New Roman" w:hAnsi="Times New Roman" w:cs="Times New Roman"/>
          <w:color w:val="000000"/>
          <w:spacing w:val="0"/>
          <w:w w:val="100"/>
          <w:position w:val="0"/>
          <w:sz w:val="18"/>
          <w:szCs w:val="18"/>
        </w:rPr>
        <w:t>2021-09-10</w:t>
      </w:r>
      <w:r>
        <w:rPr>
          <w:color w:val="000000"/>
          <w:spacing w:val="0"/>
          <w:w w:val="100"/>
          <w:position w:val="0"/>
        </w:rPr>
        <w:t>，</w:t>
      </w:r>
      <w:r>
        <w:rPr>
          <w:color w:val="000000"/>
          <w:spacing w:val="0"/>
          <w:w w:val="100"/>
          <w:position w:val="0"/>
        </w:rPr>
        <w:t>法定代表人为蔺国强，注册资本为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万元人民币，统一社会 信用代码为</w:t>
      </w:r>
      <w:r>
        <w:rPr>
          <w:rFonts w:ascii="Times New Roman" w:eastAsia="Times New Roman" w:hAnsi="Times New Roman" w:cs="Times New Roman"/>
          <w:color w:val="000000"/>
          <w:spacing w:val="0"/>
          <w:w w:val="100"/>
          <w:position w:val="0"/>
          <w:sz w:val="18"/>
          <w:szCs w:val="18"/>
        </w:rPr>
        <w:t>91110101MA04F4GD1U</w:t>
      </w:r>
      <w:r>
        <w:rPr>
          <w:color w:val="000000"/>
          <w:spacing w:val="0"/>
          <w:w w:val="100"/>
          <w:position w:val="0"/>
        </w:rPr>
        <w:t>，</w:t>
      </w:r>
      <w:r>
        <w:rPr>
          <w:color w:val="000000"/>
          <w:spacing w:val="0"/>
          <w:w w:val="100"/>
          <w:position w:val="0"/>
        </w:rPr>
        <w:t>位于北京市东城区后永康胡同</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1501</w:t>
      </w:r>
      <w:r>
        <w:rPr>
          <w:color w:val="000000"/>
          <w:spacing w:val="0"/>
          <w:w w:val="100"/>
          <w:position w:val="0"/>
        </w:rPr>
        <w:t>室，所属行业为科技推广和应用服务 业，经营范围包含：技术开发；技术咨询；技术交流；技术转让；技术推广；技术服务；软件服务；软件开发；基础软件服 务；应用软件服务；计算机系统服务。（市场主体依法自主选择经营项目，开展经营活动；依法须经批准的项目，经相关部 门批准后依批准的内容开展经营活动；不得从事国家和本市产业政策禁止和限制类项目的经营活动。）。</w:t>
      </w:r>
    </w:p>
    <w:p>
      <w:pPr>
        <w:pStyle w:val="Style31"/>
        <w:keepNext/>
        <w:keepLines/>
        <w:widowControl w:val="0"/>
        <w:shd w:val="clear" w:color="auto" w:fill="auto"/>
        <w:bidi w:val="0"/>
        <w:spacing w:before="0" w:after="380" w:line="240" w:lineRule="auto"/>
        <w:ind w:left="0" w:right="0" w:firstLine="0"/>
        <w:jc w:val="left"/>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2</w:t>
      </w:r>
      <w:bookmarkEnd w:id="1928"/>
      <w:r>
        <w:rPr>
          <w:color w:val="000000"/>
          <w:spacing w:val="0"/>
          <w:w w:val="100"/>
          <w:position w:val="0"/>
        </w:rPr>
        <w:t>、同一控制下企业合并</w:t>
      </w:r>
      <w:bookmarkEnd w:id="1926"/>
      <w:bookmarkEnd w:id="1927"/>
      <w:bookmarkEnd w:id="1929"/>
    </w:p>
    <w:p>
      <w:pPr>
        <w:pStyle w:val="Style40"/>
        <w:keepNext/>
        <w:keepLines/>
        <w:widowControl w:val="0"/>
        <w:shd w:val="clear" w:color="auto" w:fill="auto"/>
        <w:bidi w:val="0"/>
        <w:spacing w:before="0" w:after="260" w:line="240" w:lineRule="auto"/>
        <w:ind w:left="0" w:right="0" w:firstLine="0"/>
        <w:jc w:val="left"/>
      </w:pPr>
      <w:bookmarkStart w:id="1930" w:name="bookmark1930"/>
      <w:bookmarkStart w:id="1931" w:name="bookmark1931"/>
      <w:bookmarkStart w:id="1932" w:name="bookmark19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930"/>
      <w:bookmarkEnd w:id="1931"/>
      <w:bookmarkEnd w:id="1932"/>
    </w:p>
    <w:p>
      <w:pPr>
        <w:pStyle w:val="Style21"/>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初至合并日</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被合并方的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both"/>
      </w:pPr>
      <w:bookmarkStart w:id="1933" w:name="bookmark1933"/>
      <w:bookmarkStart w:id="1934" w:name="bookmark1934"/>
      <w:bookmarkStart w:id="1935" w:name="bookmark19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933"/>
      <w:bookmarkEnd w:id="1934"/>
      <w:bookmarkEnd w:id="193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或有对价及其变动的说明:</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0"/>
        <w:jc w:val="both"/>
      </w:pPr>
      <w:bookmarkStart w:id="1936" w:name="bookmark1936"/>
      <w:bookmarkStart w:id="1937" w:name="bookmark1937"/>
      <w:bookmarkStart w:id="1938" w:name="bookmark1938"/>
      <w:bookmarkStart w:id="1939" w:name="bookmark1939"/>
      <w:r>
        <w:rPr>
          <w:color w:val="000000"/>
          <w:spacing w:val="0"/>
          <w:w w:val="100"/>
          <w:position w:val="0"/>
        </w:rPr>
        <w:t>（</w:t>
      </w:r>
      <w:bookmarkEnd w:id="193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936"/>
      <w:bookmarkEnd w:id="1937"/>
      <w:bookmarkEnd w:id="193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企业合并中承担的被合并方的或有负债:</w:t>
      </w:r>
    </w:p>
    <w:p>
      <w:pPr>
        <w:pStyle w:val="Style2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其他说明：</w:t>
      </w:r>
    </w:p>
    <w:p>
      <w:pPr>
        <w:pStyle w:val="Style31"/>
        <w:keepNext/>
        <w:keepLines/>
        <w:widowControl w:val="0"/>
        <w:shd w:val="clear" w:color="auto" w:fill="auto"/>
        <w:tabs>
          <w:tab w:pos="818" w:val="left"/>
        </w:tabs>
        <w:bidi w:val="0"/>
        <w:spacing w:before="0" w:after="260" w:line="240" w:lineRule="auto"/>
        <w:ind w:left="0" w:right="0" w:firstLine="440"/>
        <w:jc w:val="both"/>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3</w:t>
      </w:r>
      <w:bookmarkEnd w:id="1942"/>
      <w:r>
        <w:rPr>
          <w:color w:val="000000"/>
          <w:spacing w:val="0"/>
          <w:w w:val="100"/>
          <w:position w:val="0"/>
        </w:rPr>
        <w:t>、</w:t>
        <w:tab/>
        <w:t>反向购买</w:t>
      </w:r>
      <w:bookmarkEnd w:id="1940"/>
      <w:bookmarkEnd w:id="1941"/>
      <w:bookmarkEnd w:id="1943"/>
    </w:p>
    <w:p>
      <w:pPr>
        <w:pStyle w:val="Style21"/>
        <w:keepNext w:val="0"/>
        <w:keepLines w:val="0"/>
        <w:widowControl w:val="0"/>
        <w:shd w:val="clear" w:color="auto" w:fill="auto"/>
        <w:bidi w:val="0"/>
        <w:spacing w:before="0" w:after="380" w:line="317" w:lineRule="exact"/>
        <w:ind w:left="440" w:right="0" w:firstLine="2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31"/>
        <w:keepNext/>
        <w:keepLines/>
        <w:widowControl w:val="0"/>
        <w:shd w:val="clear" w:color="auto" w:fill="auto"/>
        <w:tabs>
          <w:tab w:pos="818" w:val="left"/>
        </w:tabs>
        <w:bidi w:val="0"/>
        <w:spacing w:before="0" w:after="260" w:line="240" w:lineRule="auto"/>
        <w:ind w:left="0" w:right="0" w:firstLine="44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4</w:t>
      </w:r>
      <w:bookmarkEnd w:id="1946"/>
      <w:r>
        <w:rPr>
          <w:color w:val="000000"/>
          <w:spacing w:val="0"/>
          <w:w w:val="100"/>
          <w:position w:val="0"/>
        </w:rPr>
        <w:t>、</w:t>
        <w:tab/>
        <w:t>处置子公司</w:t>
      </w:r>
      <w:bookmarkEnd w:id="1944"/>
      <w:bookmarkEnd w:id="1945"/>
      <w:bookmarkEnd w:id="1947"/>
    </w:p>
    <w:p>
      <w:pPr>
        <w:pStyle w:val="Style2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是否存在单次处置对子公司投资即丧失控制权的情形</w:t>
      </w:r>
    </w:p>
    <w:p>
      <w:pPr>
        <w:pStyle w:val="Style21"/>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是否存在通过多次交易分步处置对子公司投资且在本期丧失控制权的情形</w:t>
      </w:r>
    </w:p>
    <w:p>
      <w:pPr>
        <w:pStyle w:val="Style21"/>
        <w:keepNext w:val="0"/>
        <w:keepLines w:val="0"/>
        <w:widowControl w:val="0"/>
        <w:shd w:val="clear" w:color="auto" w:fill="auto"/>
        <w:bidi w:val="0"/>
        <w:spacing w:before="0" w:after="380" w:line="317"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818" w:val="left"/>
        </w:tabs>
        <w:bidi w:val="0"/>
        <w:spacing w:before="0" w:after="260" w:line="240" w:lineRule="auto"/>
        <w:ind w:left="0" w:right="0" w:firstLine="44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5</w:t>
      </w:r>
      <w:bookmarkEnd w:id="1950"/>
      <w:r>
        <w:rPr>
          <w:color w:val="000000"/>
          <w:spacing w:val="0"/>
          <w:w w:val="100"/>
          <w:position w:val="0"/>
        </w:rPr>
        <w:t>、</w:t>
        <w:tab/>
        <w:t>其他原因的合并范围变动</w:t>
      </w:r>
      <w:bookmarkEnd w:id="1948"/>
      <w:bookmarkEnd w:id="1949"/>
      <w:bookmarkEnd w:id="1951"/>
    </w:p>
    <w:p>
      <w:pPr>
        <w:pStyle w:val="Style21"/>
        <w:keepNext w:val="0"/>
        <w:keepLines w:val="0"/>
        <w:widowControl w:val="0"/>
        <w:shd w:val="clear" w:color="auto" w:fill="auto"/>
        <w:bidi w:val="0"/>
        <w:spacing w:before="0" w:after="260" w:line="317" w:lineRule="exact"/>
        <w:ind w:left="0" w:right="0" w:firstLine="440"/>
        <w:jc w:val="left"/>
      </w:pPr>
      <w:r>
        <w:rPr>
          <w:color w:val="000000"/>
          <w:spacing w:val="0"/>
          <w:w w:val="100"/>
          <w:position w:val="0"/>
        </w:rPr>
        <w:t>说明其他原因导致的合并范围变动（如，新设子公司、清算子公司等）及其相关情况：</w:t>
      </w:r>
      <w:r>
        <w:br w:type="page"/>
      </w:r>
    </w:p>
    <w:p>
      <w:pPr>
        <w:pStyle w:val="Style31"/>
        <w:keepNext/>
        <w:keepLines/>
        <w:widowControl w:val="0"/>
        <w:shd w:val="clear" w:color="auto" w:fill="auto"/>
        <w:bidi w:val="0"/>
        <w:spacing w:before="0" w:line="240" w:lineRule="auto"/>
        <w:ind w:left="0" w:right="0" w:firstLine="44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6</w:t>
      </w:r>
      <w:bookmarkEnd w:id="1954"/>
      <w:r>
        <w:rPr>
          <w:color w:val="000000"/>
          <w:spacing w:val="0"/>
          <w:w w:val="100"/>
          <w:position w:val="0"/>
        </w:rPr>
        <w:t>、其他</w:t>
      </w:r>
      <w:bookmarkEnd w:id="1952"/>
      <w:bookmarkEnd w:id="1953"/>
      <w:bookmarkEnd w:id="1955"/>
    </w:p>
    <w:p>
      <w:pPr>
        <w:pStyle w:val="Style25"/>
        <w:keepNext/>
        <w:keepLines/>
        <w:widowControl w:val="0"/>
        <w:shd w:val="clear" w:color="auto" w:fill="auto"/>
        <w:bidi w:val="0"/>
        <w:spacing w:before="0" w:line="240" w:lineRule="auto"/>
        <w:ind w:left="0" w:right="0" w:firstLine="440"/>
        <w:jc w:val="left"/>
      </w:pPr>
      <w:bookmarkStart w:id="1956" w:name="bookmark1956"/>
      <w:bookmarkStart w:id="1957" w:name="bookmark1957"/>
      <w:bookmarkStart w:id="1958" w:name="bookmark1958"/>
      <w:bookmarkStart w:id="1959" w:name="bookmark1959"/>
      <w:r>
        <w:rPr>
          <w:color w:val="000000"/>
          <w:spacing w:val="0"/>
          <w:w w:val="100"/>
          <w:position w:val="0"/>
        </w:rPr>
        <w:t>九</w:t>
      </w:r>
      <w:bookmarkEnd w:id="1958"/>
      <w:r>
        <w:rPr>
          <w:color w:val="000000"/>
          <w:spacing w:val="0"/>
          <w:w w:val="100"/>
          <w:position w:val="0"/>
        </w:rPr>
        <w:t>、在其他主体中的权益</w:t>
      </w:r>
      <w:bookmarkEnd w:id="1956"/>
      <w:bookmarkEnd w:id="1957"/>
      <w:bookmarkEnd w:id="1959"/>
    </w:p>
    <w:p>
      <w:pPr>
        <w:pStyle w:val="Style31"/>
        <w:keepNext/>
        <w:keepLines/>
        <w:widowControl w:val="0"/>
        <w:shd w:val="clear" w:color="auto" w:fill="auto"/>
        <w:bidi w:val="0"/>
        <w:spacing w:before="0" w:line="240" w:lineRule="auto"/>
        <w:ind w:left="0" w:right="0" w:firstLine="44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1</w:t>
      </w:r>
      <w:bookmarkEnd w:id="1962"/>
      <w:r>
        <w:rPr>
          <w:color w:val="000000"/>
          <w:spacing w:val="0"/>
          <w:w w:val="100"/>
          <w:position w:val="0"/>
        </w:rPr>
        <w:t>、在子公司中的权益</w:t>
      </w:r>
      <w:bookmarkEnd w:id="1960"/>
      <w:bookmarkEnd w:id="1961"/>
      <w:bookmarkEnd w:id="1963"/>
    </w:p>
    <w:p>
      <w:pPr>
        <w:pStyle w:val="Style40"/>
        <w:keepNext/>
        <w:keepLines/>
        <w:widowControl w:val="0"/>
        <w:shd w:val="clear" w:color="auto" w:fill="auto"/>
        <w:bidi w:val="0"/>
        <w:spacing w:before="0" w:after="360" w:line="240" w:lineRule="auto"/>
        <w:ind w:left="0" w:right="0" w:firstLine="44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964"/>
      <w:bookmarkEnd w:id="1965"/>
      <w:bookmarkEnd w:id="1966"/>
    </w:p>
    <w:tbl>
      <w:tblPr>
        <w:tblOverlap w:val="never"/>
        <w:jc w:val="center"/>
        <w:tblLayout w:type="fixed"/>
      </w:tblPr>
      <w:tblGrid>
        <w:gridCol w:w="2558"/>
        <w:gridCol w:w="994"/>
        <w:gridCol w:w="1018"/>
        <w:gridCol w:w="2381"/>
        <w:gridCol w:w="854"/>
        <w:gridCol w:w="864"/>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普联软件（香港）有限公司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普联中瑞（北京）软件有限公司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合肥普联朗霁软件有限公司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普联数字科技（济南）有限公司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信息技术服务、软件开发及测 试行业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普联智能数建科技（北京）有限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日本普联软件株式会社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计算机应用软件服务行业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出资设立</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440"/>
        <w:jc w:val="left"/>
      </w:pPr>
      <w:bookmarkStart w:id="1967" w:name="bookmark1967"/>
      <w:bookmarkStart w:id="1968" w:name="bookmark1968"/>
      <w:bookmarkStart w:id="1969" w:name="bookmark19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967"/>
      <w:bookmarkEnd w:id="1968"/>
      <w:bookmarkEnd w:id="19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30"/>
        <w:gridCol w:w="1896"/>
        <w:gridCol w:w="1901"/>
        <w:gridCol w:w="1939"/>
      </w:tblGrid>
      <w:tr>
        <w:trPr>
          <w:trHeight w:val="7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子公司少数股东的持股比例不同于表决权比例的说明:</w:t>
      </w:r>
    </w:p>
    <w:p>
      <w:pPr>
        <w:pStyle w:val="Style2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其他说明：</w:t>
      </w:r>
    </w:p>
    <w:p>
      <w:pPr>
        <w:pStyle w:val="Style40"/>
        <w:keepNext/>
        <w:keepLines/>
        <w:widowControl w:val="0"/>
        <w:shd w:val="clear" w:color="auto" w:fill="auto"/>
        <w:bidi w:val="0"/>
        <w:spacing w:before="0" w:after="400" w:line="240" w:lineRule="auto"/>
        <w:ind w:left="0" w:right="0" w:firstLine="440"/>
        <w:jc w:val="left"/>
      </w:pPr>
      <w:bookmarkStart w:id="1970" w:name="bookmark1970"/>
      <w:bookmarkStart w:id="1971" w:name="bookmark1971"/>
      <w:bookmarkStart w:id="1972" w:name="bookmark1972"/>
      <w:bookmarkStart w:id="1973" w:name="bookmark1973"/>
      <w:r>
        <w:rPr>
          <w:color w:val="000000"/>
          <w:spacing w:val="0"/>
          <w:w w:val="100"/>
          <w:position w:val="0"/>
        </w:rPr>
        <w:t>（</w:t>
      </w:r>
      <w:bookmarkEnd w:id="197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970"/>
      <w:bookmarkEnd w:id="1971"/>
      <w:bookmarkEnd w:id="197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spacing w:lineRule="exact" w:line="1"/>
        <w:rPr>
          <w:sz w:val="2"/>
          <w:szCs w:val="2"/>
        </w:rPr>
      </w:pPr>
      <w:r>
        <w:br w:type="page"/>
      </w:r>
    </w:p>
    <w:p>
      <w:pPr>
        <w:pStyle w:val="Style21"/>
        <w:keepNext w:val="0"/>
        <w:keepLines w:val="0"/>
        <w:widowControl w:val="0"/>
        <w:shd w:val="clear" w:color="auto" w:fill="auto"/>
        <w:bidi w:val="0"/>
        <w:spacing w:before="0" w:after="80" w:line="240" w:lineRule="auto"/>
        <w:ind w:left="936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40"/>
        <w:keepNext/>
        <w:keepLines/>
        <w:widowControl w:val="0"/>
        <w:shd w:val="clear" w:color="auto" w:fill="auto"/>
        <w:tabs>
          <w:tab w:pos="913" w:val="left"/>
        </w:tabs>
        <w:bidi w:val="0"/>
        <w:spacing w:before="0" w:line="240" w:lineRule="auto"/>
        <w:ind w:left="0" w:right="0" w:firstLine="420"/>
        <w:jc w:val="left"/>
      </w:pPr>
      <w:bookmarkStart w:id="1974" w:name="bookmark1974"/>
      <w:bookmarkStart w:id="1975" w:name="bookmark1975"/>
      <w:bookmarkStart w:id="1976" w:name="bookmark1976"/>
      <w:bookmarkStart w:id="1977" w:name="bookmark1977"/>
      <w:r>
        <w:rPr>
          <w:color w:val="000000"/>
          <w:spacing w:val="0"/>
          <w:w w:val="100"/>
          <w:position w:val="0"/>
        </w:rPr>
        <w:t>（</w:t>
      </w:r>
      <w:bookmarkEnd w:id="197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974"/>
      <w:bookmarkEnd w:id="1975"/>
      <w:bookmarkEnd w:id="1977"/>
    </w:p>
    <w:p>
      <w:pPr>
        <w:pStyle w:val="Style40"/>
        <w:keepNext/>
        <w:keepLines/>
        <w:widowControl w:val="0"/>
        <w:shd w:val="clear" w:color="auto" w:fill="auto"/>
        <w:tabs>
          <w:tab w:pos="913" w:val="left"/>
        </w:tabs>
        <w:bidi w:val="0"/>
        <w:spacing w:before="0" w:line="240" w:lineRule="auto"/>
        <w:ind w:left="0" w:right="0" w:firstLine="420"/>
        <w:jc w:val="left"/>
      </w:pPr>
      <w:bookmarkStart w:id="1978" w:name="bookmark1978"/>
      <w:bookmarkStart w:id="1979" w:name="bookmark1979"/>
      <w:bookmarkStart w:id="1980" w:name="bookmark1980"/>
      <w:bookmarkStart w:id="1981" w:name="bookmark1981"/>
      <w:r>
        <w:rPr>
          <w:color w:val="000000"/>
          <w:spacing w:val="0"/>
          <w:w w:val="100"/>
          <w:position w:val="0"/>
        </w:rPr>
        <w:t>（</w:t>
      </w:r>
      <w:bookmarkEnd w:id="198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978"/>
      <w:bookmarkEnd w:id="1979"/>
      <w:bookmarkEnd w:id="1981"/>
    </w:p>
    <w:p>
      <w:pPr>
        <w:pStyle w:val="Style21"/>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42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2</w:t>
      </w:r>
      <w:bookmarkEnd w:id="1984"/>
      <w:r>
        <w:rPr>
          <w:color w:val="000000"/>
          <w:spacing w:val="0"/>
          <w:w w:val="100"/>
          <w:position w:val="0"/>
        </w:rPr>
        <w:t>、在子公司的所有者权益份额发生变化且仍控制子公司的交易</w:t>
      </w:r>
      <w:bookmarkEnd w:id="1982"/>
      <w:bookmarkEnd w:id="1983"/>
      <w:bookmarkEnd w:id="1985"/>
    </w:p>
    <w:p>
      <w:pPr>
        <w:pStyle w:val="Style40"/>
        <w:keepNext/>
        <w:keepLines/>
        <w:widowControl w:val="0"/>
        <w:shd w:val="clear" w:color="auto" w:fill="auto"/>
        <w:tabs>
          <w:tab w:pos="913" w:val="left"/>
        </w:tabs>
        <w:bidi w:val="0"/>
        <w:spacing w:before="0" w:line="240" w:lineRule="auto"/>
        <w:ind w:left="0" w:right="0" w:firstLine="420"/>
        <w:jc w:val="left"/>
      </w:pPr>
      <w:bookmarkStart w:id="1986" w:name="bookmark1986"/>
      <w:bookmarkStart w:id="1987" w:name="bookmark1987"/>
      <w:bookmarkStart w:id="1988" w:name="bookmark1988"/>
      <w:bookmarkStart w:id="1989" w:name="bookmark1989"/>
      <w:r>
        <w:rPr>
          <w:color w:val="000000"/>
          <w:spacing w:val="0"/>
          <w:w w:val="100"/>
          <w:position w:val="0"/>
        </w:rPr>
        <w:t>（</w:t>
      </w:r>
      <w:bookmarkEnd w:id="1988"/>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86"/>
      <w:bookmarkEnd w:id="1987"/>
      <w:bookmarkEnd w:id="1989"/>
    </w:p>
    <w:p>
      <w:pPr>
        <w:pStyle w:val="Style40"/>
        <w:keepNext/>
        <w:keepLines/>
        <w:widowControl w:val="0"/>
        <w:shd w:val="clear" w:color="auto" w:fill="auto"/>
        <w:tabs>
          <w:tab w:pos="913" w:val="left"/>
        </w:tabs>
        <w:bidi w:val="0"/>
        <w:spacing w:before="0" w:line="240" w:lineRule="auto"/>
        <w:ind w:left="0" w:right="0" w:firstLine="420"/>
        <w:jc w:val="left"/>
      </w:pPr>
      <w:bookmarkStart w:id="1990" w:name="bookmark1990"/>
      <w:bookmarkStart w:id="1991" w:name="bookmark1991"/>
      <w:bookmarkStart w:id="1992" w:name="bookmark1992"/>
      <w:bookmarkStart w:id="1993" w:name="bookmark1993"/>
      <w:r>
        <w:rPr>
          <w:color w:val="000000"/>
          <w:spacing w:val="0"/>
          <w:w w:val="100"/>
          <w:position w:val="0"/>
        </w:rPr>
        <w:t>（</w:t>
      </w:r>
      <w:bookmarkEnd w:id="1992"/>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90"/>
      <w:bookmarkEnd w:id="1991"/>
      <w:bookmarkEnd w:id="199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after="380" w:line="240" w:lineRule="auto"/>
        <w:ind w:left="0" w:right="0" w:firstLine="420"/>
        <w:jc w:val="left"/>
      </w:pPr>
      <w:bookmarkStart w:id="1994" w:name="bookmark1994"/>
      <w:bookmarkStart w:id="1995" w:name="bookmark1995"/>
      <w:bookmarkStart w:id="1996" w:name="bookmark1996"/>
      <w:bookmarkStart w:id="1997" w:name="bookmark1997"/>
      <w:r>
        <w:rPr>
          <w:rFonts w:ascii="Times New Roman" w:eastAsia="Times New Roman" w:hAnsi="Times New Roman" w:cs="Times New Roman"/>
          <w:color w:val="000000"/>
          <w:spacing w:val="0"/>
          <w:w w:val="100"/>
          <w:position w:val="0"/>
        </w:rPr>
        <w:t>3</w:t>
      </w:r>
      <w:bookmarkEnd w:id="1996"/>
      <w:r>
        <w:rPr>
          <w:color w:val="000000"/>
          <w:spacing w:val="0"/>
          <w:w w:val="100"/>
          <w:position w:val="0"/>
        </w:rPr>
        <w:t>、在合营安排或联营企业中的权益</w:t>
      </w:r>
      <w:bookmarkEnd w:id="1994"/>
      <w:bookmarkEnd w:id="1995"/>
      <w:bookmarkEnd w:id="1997"/>
    </w:p>
    <w:p>
      <w:pPr>
        <w:pStyle w:val="Style40"/>
        <w:keepNext/>
        <w:keepLines/>
        <w:widowControl w:val="0"/>
        <w:shd w:val="clear" w:color="auto" w:fill="auto"/>
        <w:bidi w:val="0"/>
        <w:spacing w:before="0" w:after="320" w:line="240" w:lineRule="auto"/>
        <w:ind w:left="0" w:right="0" w:firstLine="420"/>
        <w:jc w:val="left"/>
      </w:pPr>
      <w:bookmarkStart w:id="1998" w:name="bookmark1998"/>
      <w:bookmarkStart w:id="1999" w:name="bookmark1999"/>
      <w:bookmarkStart w:id="2000" w:name="bookmark20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98"/>
      <w:bookmarkEnd w:id="1999"/>
      <w:bookmarkEnd w:id="200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合营企业或联营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r>
        <w:br w:type="page"/>
      </w:r>
    </w:p>
    <w:p>
      <w:pPr>
        <w:pStyle w:val="Style2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40"/>
        <w:keepNext/>
        <w:keepLines/>
        <w:widowControl w:val="0"/>
        <w:shd w:val="clear" w:color="auto" w:fill="auto"/>
        <w:bidi w:val="0"/>
        <w:spacing w:before="0" w:line="240" w:lineRule="auto"/>
        <w:ind w:left="0" w:right="0" w:firstLine="440"/>
        <w:jc w:val="left"/>
      </w:pPr>
      <w:bookmarkStart w:id="2001" w:name="bookmark2001"/>
      <w:bookmarkStart w:id="2002" w:name="bookmark2002"/>
      <w:bookmarkStart w:id="2003" w:name="bookmark20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2001"/>
      <w:bookmarkEnd w:id="2002"/>
      <w:bookmarkEnd w:id="200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0"/>
        <w:keepNext/>
        <w:keepLines/>
        <w:widowControl w:val="0"/>
        <w:numPr>
          <w:ilvl w:val="0"/>
          <w:numId w:val="39"/>
        </w:numPr>
        <w:shd w:val="clear" w:color="auto" w:fill="auto"/>
        <w:bidi w:val="0"/>
        <w:spacing w:before="0" w:line="240" w:lineRule="auto"/>
        <w:ind w:left="0" w:right="0" w:firstLine="44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重要联营企业的主要财务信息</w:t>
      </w:r>
      <w:bookmarkEnd w:id="2004"/>
      <w:bookmarkEnd w:id="2005"/>
      <w:bookmarkEnd w:id="2007"/>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其他说明</w:t>
      </w:r>
    </w:p>
    <w:p>
      <w:pPr>
        <w:pStyle w:val="Style40"/>
        <w:keepNext/>
        <w:keepLines/>
        <w:widowControl w:val="0"/>
        <w:numPr>
          <w:ilvl w:val="0"/>
          <w:numId w:val="39"/>
        </w:numPr>
        <w:shd w:val="clear" w:color="auto" w:fill="auto"/>
        <w:bidi w:val="0"/>
        <w:spacing w:before="0" w:line="240" w:lineRule="auto"/>
        <w:ind w:left="0" w:right="0" w:firstLine="440"/>
        <w:jc w:val="left"/>
      </w:pPr>
      <w:bookmarkStart w:id="2008" w:name="bookmark2008"/>
      <w:bookmarkStart w:id="2009" w:name="bookmark2009"/>
      <w:bookmarkStart w:id="2010" w:name="bookmark2010"/>
      <w:bookmarkStart w:id="2011" w:name="bookmark2011"/>
      <w:bookmarkEnd w:id="2010"/>
      <w:r>
        <w:rPr>
          <w:color w:val="000000"/>
          <w:spacing w:val="0"/>
          <w:w w:val="100"/>
          <w:position w:val="0"/>
        </w:rPr>
        <w:t>不重要的合营企业和联营企业的汇总财务信息</w:t>
      </w:r>
      <w:bookmarkEnd w:id="2008"/>
      <w:bookmarkEnd w:id="2009"/>
      <w:bookmarkEnd w:id="2011"/>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8,864,516.71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8,024,715.41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459,103.35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852,792.40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459,103.35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40"/>
        <w:keepNext/>
        <w:keepLines/>
        <w:widowControl w:val="0"/>
        <w:shd w:val="clear" w:color="auto" w:fill="auto"/>
        <w:tabs>
          <w:tab w:pos="933" w:val="left"/>
        </w:tabs>
        <w:bidi w:val="0"/>
        <w:spacing w:before="0" w:line="240" w:lineRule="auto"/>
        <w:ind w:left="0" w:right="0" w:firstLine="440"/>
        <w:jc w:val="both"/>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012"/>
      <w:bookmarkEnd w:id="2013"/>
      <w:bookmarkEnd w:id="2015"/>
    </w:p>
    <w:p>
      <w:pPr>
        <w:pStyle w:val="Style40"/>
        <w:keepNext/>
        <w:keepLines/>
        <w:widowControl w:val="0"/>
        <w:shd w:val="clear" w:color="auto" w:fill="auto"/>
        <w:tabs>
          <w:tab w:pos="933" w:val="left"/>
        </w:tabs>
        <w:bidi w:val="0"/>
        <w:spacing w:before="0" w:line="240" w:lineRule="auto"/>
        <w:ind w:left="0" w:right="0" w:firstLine="440"/>
        <w:jc w:val="both"/>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016"/>
      <w:bookmarkEnd w:id="2017"/>
      <w:bookmarkEnd w:id="201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其他说明</w:t>
      </w:r>
    </w:p>
    <w:p>
      <w:pPr>
        <w:pStyle w:val="Style40"/>
        <w:keepNext/>
        <w:keepLines/>
        <w:widowControl w:val="0"/>
        <w:shd w:val="clear" w:color="auto" w:fill="auto"/>
        <w:tabs>
          <w:tab w:pos="933" w:val="left"/>
        </w:tabs>
        <w:bidi w:val="0"/>
        <w:spacing w:before="0" w:line="240" w:lineRule="auto"/>
        <w:ind w:left="0" w:right="0" w:firstLine="440"/>
        <w:jc w:val="both"/>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020"/>
      <w:bookmarkEnd w:id="2021"/>
      <w:bookmarkEnd w:id="2023"/>
    </w:p>
    <w:p>
      <w:pPr>
        <w:pStyle w:val="Style40"/>
        <w:keepNext/>
        <w:keepLines/>
        <w:widowControl w:val="0"/>
        <w:shd w:val="clear" w:color="auto" w:fill="auto"/>
        <w:tabs>
          <w:tab w:pos="933" w:val="left"/>
        </w:tabs>
        <w:bidi w:val="0"/>
        <w:spacing w:before="0" w:line="240" w:lineRule="auto"/>
        <w:ind w:left="0" w:right="0" w:firstLine="440"/>
        <w:jc w:val="both"/>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024"/>
      <w:bookmarkEnd w:id="2025"/>
      <w:bookmarkEnd w:id="2027"/>
    </w:p>
    <w:p>
      <w:pPr>
        <w:pStyle w:val="Style31"/>
        <w:keepNext/>
        <w:keepLines/>
        <w:widowControl w:val="0"/>
        <w:shd w:val="clear" w:color="auto" w:fill="auto"/>
        <w:bidi w:val="0"/>
        <w:spacing w:before="0" w:after="380" w:line="240" w:lineRule="auto"/>
        <w:ind w:left="0" w:right="0" w:firstLine="440"/>
        <w:jc w:val="both"/>
      </w:pPr>
      <w:bookmarkStart w:id="2028" w:name="bookmark2028"/>
      <w:bookmarkStart w:id="2029" w:name="bookmark2029"/>
      <w:bookmarkStart w:id="2030" w:name="bookmark2030"/>
      <w:bookmarkStart w:id="2031" w:name="bookmark2031"/>
      <w:r>
        <w:rPr>
          <w:rFonts w:ascii="Times New Roman" w:eastAsia="Times New Roman" w:hAnsi="Times New Roman" w:cs="Times New Roman"/>
          <w:color w:val="000000"/>
          <w:spacing w:val="0"/>
          <w:w w:val="100"/>
          <w:position w:val="0"/>
        </w:rPr>
        <w:t>4</w:t>
      </w:r>
      <w:bookmarkEnd w:id="2030"/>
      <w:r>
        <w:rPr>
          <w:color w:val="000000"/>
          <w:spacing w:val="0"/>
          <w:w w:val="100"/>
          <w:position w:val="0"/>
        </w:rPr>
        <w:t>、重要的共同经营</w:t>
      </w:r>
      <w:bookmarkEnd w:id="2028"/>
      <w:bookmarkEnd w:id="2029"/>
      <w:bookmarkEnd w:id="2031"/>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1"/>
        <w:keepNext w:val="0"/>
        <w:keepLines w:val="0"/>
        <w:widowControl w:val="0"/>
        <w:shd w:val="clear" w:color="auto" w:fill="auto"/>
        <w:bidi w:val="0"/>
        <w:spacing w:before="0" w:after="0" w:line="341" w:lineRule="exact"/>
        <w:ind w:left="0" w:right="0" w:firstLine="440"/>
        <w:jc w:val="both"/>
      </w:pPr>
      <w:r>
        <w:rPr>
          <w:color w:val="000000"/>
          <w:spacing w:val="0"/>
          <w:w w:val="100"/>
          <w:position w:val="0"/>
        </w:rPr>
        <w:t>在共同经营中的持股比例或享有的份额不同于表决权比例的说明：</w:t>
      </w:r>
    </w:p>
    <w:p>
      <w:pPr>
        <w:pStyle w:val="Style21"/>
        <w:keepNext w:val="0"/>
        <w:keepLines w:val="0"/>
        <w:widowControl w:val="0"/>
        <w:shd w:val="clear" w:color="auto" w:fill="auto"/>
        <w:bidi w:val="0"/>
        <w:spacing w:before="0" w:after="380" w:line="341" w:lineRule="exact"/>
        <w:ind w:left="440" w:right="0" w:firstLine="0"/>
        <w:jc w:val="both"/>
      </w:pPr>
      <w:r>
        <w:rPr>
          <w:color w:val="000000"/>
          <w:spacing w:val="0"/>
          <w:w w:val="100"/>
          <w:position w:val="0"/>
        </w:rPr>
        <w:t>共同经营为单独主体的，分类为共同经营的依据： 其他说明</w:t>
      </w:r>
    </w:p>
    <w:p>
      <w:pPr>
        <w:pStyle w:val="Style31"/>
        <w:keepNext/>
        <w:keepLines/>
        <w:widowControl w:val="0"/>
        <w:shd w:val="clear" w:color="auto" w:fill="auto"/>
        <w:tabs>
          <w:tab w:pos="818" w:val="left"/>
        </w:tabs>
        <w:bidi w:val="0"/>
        <w:spacing w:before="0" w:after="260" w:line="240" w:lineRule="auto"/>
        <w:ind w:left="440" w:right="0" w:firstLine="0"/>
        <w:jc w:val="both"/>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5</w:t>
      </w:r>
      <w:bookmarkEnd w:id="2034"/>
      <w:r>
        <w:rPr>
          <w:color w:val="000000"/>
          <w:spacing w:val="0"/>
          <w:w w:val="100"/>
          <w:position w:val="0"/>
        </w:rPr>
        <w:t>、</w:t>
        <w:tab/>
        <w:t>在未纳入合并财务报表范围的结构化主体中的权益</w:t>
      </w:r>
      <w:bookmarkEnd w:id="2032"/>
      <w:bookmarkEnd w:id="2033"/>
      <w:bookmarkEnd w:id="2035"/>
    </w:p>
    <w:p>
      <w:pPr>
        <w:pStyle w:val="Style21"/>
        <w:keepNext w:val="0"/>
        <w:keepLines w:val="0"/>
        <w:widowControl w:val="0"/>
        <w:shd w:val="clear" w:color="auto" w:fill="auto"/>
        <w:bidi w:val="0"/>
        <w:spacing w:before="0" w:after="380" w:line="327" w:lineRule="exact"/>
        <w:ind w:left="440" w:right="0" w:firstLine="0"/>
        <w:jc w:val="both"/>
      </w:pPr>
      <w:r>
        <w:rPr>
          <w:color w:val="000000"/>
          <w:spacing w:val="0"/>
          <w:w w:val="100"/>
          <w:position w:val="0"/>
        </w:rPr>
        <w:t>未纳入合并财务报表范围的结构化主体的相关说明：</w:t>
      </w:r>
    </w:p>
    <w:p>
      <w:pPr>
        <w:pStyle w:val="Style31"/>
        <w:keepNext/>
        <w:keepLines/>
        <w:widowControl w:val="0"/>
        <w:shd w:val="clear" w:color="auto" w:fill="auto"/>
        <w:tabs>
          <w:tab w:pos="818" w:val="left"/>
        </w:tabs>
        <w:bidi w:val="0"/>
        <w:spacing w:before="0" w:after="380" w:line="240" w:lineRule="auto"/>
        <w:ind w:left="440" w:right="0" w:firstLine="0"/>
        <w:jc w:val="both"/>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6</w:t>
      </w:r>
      <w:bookmarkEnd w:id="2038"/>
      <w:r>
        <w:rPr>
          <w:color w:val="000000"/>
          <w:spacing w:val="0"/>
          <w:w w:val="100"/>
          <w:position w:val="0"/>
        </w:rPr>
        <w:t>、</w:t>
        <w:tab/>
        <w:t>其他</w:t>
      </w:r>
      <w:bookmarkEnd w:id="2036"/>
      <w:bookmarkEnd w:id="2037"/>
      <w:bookmarkEnd w:id="2039"/>
    </w:p>
    <w:p>
      <w:pPr>
        <w:pStyle w:val="Style25"/>
        <w:keepNext/>
        <w:keepLines/>
        <w:widowControl w:val="0"/>
        <w:shd w:val="clear" w:color="auto" w:fill="auto"/>
        <w:bidi w:val="0"/>
        <w:spacing w:before="0" w:after="260" w:line="240" w:lineRule="auto"/>
        <w:ind w:left="440" w:right="0" w:firstLine="0"/>
        <w:jc w:val="both"/>
      </w:pPr>
      <w:bookmarkStart w:id="2040" w:name="bookmark2040"/>
      <w:bookmarkStart w:id="2041" w:name="bookmark2041"/>
      <w:bookmarkStart w:id="2042" w:name="bookmark2042"/>
      <w:r>
        <w:rPr>
          <w:color w:val="000000"/>
          <w:spacing w:val="0"/>
          <w:w w:val="100"/>
          <w:position w:val="0"/>
        </w:rPr>
        <w:t>十、与金融工具相关的风险</w:t>
      </w:r>
      <w:bookmarkEnd w:id="2040"/>
      <w:bookmarkEnd w:id="2041"/>
      <w:bookmarkEnd w:id="2042"/>
    </w:p>
    <w:p>
      <w:pPr>
        <w:pStyle w:val="Style21"/>
        <w:keepNext w:val="0"/>
        <w:keepLines w:val="0"/>
        <w:widowControl w:val="0"/>
        <w:shd w:val="clear" w:color="auto" w:fill="auto"/>
        <w:bidi w:val="0"/>
        <w:spacing w:before="0" w:after="380" w:line="314" w:lineRule="exact"/>
        <w:ind w:left="440" w:right="0" w:firstLine="380"/>
        <w:jc w:val="both"/>
      </w:pPr>
      <w:r>
        <w:rPr>
          <w:color w:val="000000"/>
          <w:spacing w:val="0"/>
          <w:w w:val="100"/>
          <w:position w:val="0"/>
        </w:rPr>
        <w:t>本公司的主要金融工具包括货币资金、应收票据、应收账款、其他应收款、其他流动资产、交易性金融资产、应付账款、 其他应付款及租赁负债。各项金融工具的详细情况已于相关附注内披露。与这些金融工具有关的风险，以及本公司为降低这 些风险所采取的风险管理政策如下所述。本公司管理层对这些风险敞口进行管理和监控以确保将上述风险控制在限定的范围 之内。</w:t>
      </w:r>
    </w:p>
    <w:p>
      <w:pPr>
        <w:pStyle w:val="Style21"/>
        <w:keepNext w:val="0"/>
        <w:keepLines w:val="0"/>
        <w:widowControl w:val="0"/>
        <w:numPr>
          <w:ilvl w:val="0"/>
          <w:numId w:val="41"/>
        </w:numPr>
        <w:shd w:val="clear" w:color="auto" w:fill="auto"/>
        <w:bidi w:val="0"/>
        <w:spacing w:before="0" w:after="200" w:line="312" w:lineRule="exact"/>
        <w:ind w:left="0" w:right="0" w:firstLine="740"/>
        <w:jc w:val="both"/>
      </w:pPr>
      <w:bookmarkStart w:id="2043" w:name="bookmark2043"/>
      <w:bookmarkEnd w:id="2043"/>
      <w:r>
        <w:rPr>
          <w:color w:val="000000"/>
          <w:spacing w:val="0"/>
          <w:w w:val="100"/>
          <w:position w:val="0"/>
        </w:rPr>
        <w:t>风险管理目标和政策</w:t>
      </w:r>
    </w:p>
    <w:p>
      <w:pPr>
        <w:pStyle w:val="Style21"/>
        <w:keepNext w:val="0"/>
        <w:keepLines w:val="0"/>
        <w:widowControl w:val="0"/>
        <w:shd w:val="clear" w:color="auto" w:fill="auto"/>
        <w:bidi w:val="0"/>
        <w:spacing w:before="0" w:after="200" w:line="312" w:lineRule="exact"/>
        <w:ind w:left="380" w:right="0"/>
        <w:jc w:val="both"/>
      </w:pPr>
      <w:r>
        <w:rPr>
          <w:color w:val="000000"/>
          <w:spacing w:val="0"/>
          <w:w w:val="100"/>
          <w:position w:val="0"/>
        </w:rPr>
        <w:t>本公司从事风险管理的目标是在风险和收益之间取得适当的平衡，力求降低金融风险对本公司财务业绩的不利影响。基 于该风险管理目标，本公司已制定风险管理政策以辨别和分析本公司所面临的风险，设定适当的风险可接受水平并设计相应 的内部控制程序，以监控本公司的风险水平。本公司会定期审阅这些风险管理政策及有关内部控制系统，以适应市场情况或 本公司经营活动的改变。本公司的内部审计部门也定期或随机检查内部控制系统的执行是否符合风险管理政策。</w:t>
      </w:r>
    </w:p>
    <w:p>
      <w:pPr>
        <w:pStyle w:val="Style21"/>
        <w:keepNext w:val="0"/>
        <w:keepLines w:val="0"/>
        <w:widowControl w:val="0"/>
        <w:shd w:val="clear" w:color="auto" w:fill="auto"/>
        <w:bidi w:val="0"/>
        <w:spacing w:before="0" w:after="200" w:line="312" w:lineRule="exact"/>
        <w:ind w:left="380" w:right="0"/>
        <w:jc w:val="both"/>
      </w:pPr>
      <w:r>
        <w:rPr>
          <w:color w:val="000000"/>
          <w:spacing w:val="0"/>
          <w:w w:val="100"/>
          <w:position w:val="0"/>
        </w:rPr>
        <w:t>本公司的金融工具导致的主要风险是信用风险、流动性风险、市场风险（包括汇率风险、利率风险和商品价格风险）。</w:t>
      </w:r>
    </w:p>
    <w:p>
      <w:pPr>
        <w:pStyle w:val="Style21"/>
        <w:keepNext w:val="0"/>
        <w:keepLines w:val="0"/>
        <w:widowControl w:val="0"/>
        <w:shd w:val="clear" w:color="auto" w:fill="auto"/>
        <w:bidi w:val="0"/>
        <w:spacing w:before="0" w:after="200" w:line="310" w:lineRule="exact"/>
        <w:ind w:left="380" w:right="0"/>
        <w:jc w:val="both"/>
      </w:pPr>
      <w:r>
        <w:rPr>
          <w:color w:val="000000"/>
          <w:spacing w:val="0"/>
          <w:w w:val="100"/>
          <w:position w:val="0"/>
        </w:rPr>
        <w:t>本公司与金融工具相关的各类风险的管理目标和政策的制度由本公司管理层负责。经营管理通过职能部门负责日常的风 险管理。本公司内部审计部门对公司风险管理的政策和程序的执行情况进行日常监督，并且将有关发现及时报告给本公司审 计委员会。本公司风险管理的总体目标是在不过度影响公司竞争力和应变力的情况下，制定尽可能降低各类与金融工具相关 风险的风险管理政策。</w:t>
      </w:r>
    </w:p>
    <w:p>
      <w:pPr>
        <w:pStyle w:val="Style21"/>
        <w:keepNext w:val="0"/>
        <w:keepLines w:val="0"/>
        <w:widowControl w:val="0"/>
        <w:shd w:val="clear" w:color="auto" w:fill="auto"/>
        <w:tabs>
          <w:tab w:pos="1166" w:val="left"/>
        </w:tabs>
        <w:bidi w:val="0"/>
        <w:spacing w:before="0" w:after="200" w:line="312" w:lineRule="exact"/>
        <w:ind w:left="380" w:right="0"/>
        <w:jc w:val="both"/>
      </w:pPr>
      <w:bookmarkStart w:id="2044" w:name="bookmark2044"/>
      <w:r>
        <w:rPr>
          <w:color w:val="000000"/>
          <w:spacing w:val="0"/>
          <w:w w:val="100"/>
          <w:position w:val="0"/>
        </w:rPr>
        <w:t>（</w:t>
      </w:r>
      <w:bookmarkEnd w:id="204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信用风险</w:t>
      </w:r>
    </w:p>
    <w:p>
      <w:pPr>
        <w:pStyle w:val="Style21"/>
        <w:keepNext w:val="0"/>
        <w:keepLines w:val="0"/>
        <w:widowControl w:val="0"/>
        <w:shd w:val="clear" w:color="auto" w:fill="auto"/>
        <w:bidi w:val="0"/>
        <w:spacing w:before="0" w:after="200" w:line="312" w:lineRule="exact"/>
        <w:ind w:left="380" w:right="0"/>
        <w:jc w:val="both"/>
      </w:pPr>
      <w:r>
        <w:rPr>
          <w:color w:val="000000"/>
          <w:spacing w:val="0"/>
          <w:w w:val="100"/>
          <w:position w:val="0"/>
        </w:rPr>
        <w:t>信用风险，是指交易对手未能履行合同义务而导致本公司产生财务损失的风险。</w:t>
      </w:r>
    </w:p>
    <w:p>
      <w:pPr>
        <w:pStyle w:val="Style21"/>
        <w:keepNext w:val="0"/>
        <w:keepLines w:val="0"/>
        <w:widowControl w:val="0"/>
        <w:shd w:val="clear" w:color="auto" w:fill="auto"/>
        <w:bidi w:val="0"/>
        <w:spacing w:before="0" w:after="200" w:line="312" w:lineRule="exact"/>
        <w:ind w:left="0" w:right="0" w:firstLine="740"/>
        <w:jc w:val="both"/>
      </w:pPr>
      <w:r>
        <w:rPr>
          <w:color w:val="000000"/>
          <w:spacing w:val="0"/>
          <w:w w:val="100"/>
          <w:position w:val="0"/>
        </w:rPr>
        <w:t>本公司对信用风险按组合分类进行管理。信用风险主要产生于银行存款、应收票据、应收账款、其他应收款等。</w:t>
      </w:r>
    </w:p>
    <w:p>
      <w:pPr>
        <w:pStyle w:val="Style21"/>
        <w:keepNext w:val="0"/>
        <w:keepLines w:val="0"/>
        <w:widowControl w:val="0"/>
        <w:shd w:val="clear" w:color="auto" w:fill="auto"/>
        <w:bidi w:val="0"/>
        <w:spacing w:before="0" w:after="200" w:line="312" w:lineRule="exact"/>
        <w:ind w:left="0" w:right="0" w:firstLine="740"/>
        <w:jc w:val="both"/>
      </w:pPr>
      <w:r>
        <w:rPr>
          <w:color w:val="000000"/>
          <w:spacing w:val="0"/>
          <w:w w:val="100"/>
          <w:position w:val="0"/>
        </w:rPr>
        <w:t>本公司银行存款主要存放于声誉良好并拥有较高信用评级的金融机构，本公司预期银行存款不存在重大的信用风险。</w:t>
      </w:r>
    </w:p>
    <w:p>
      <w:pPr>
        <w:pStyle w:val="Style21"/>
        <w:keepNext w:val="0"/>
        <w:keepLines w:val="0"/>
        <w:widowControl w:val="0"/>
        <w:shd w:val="clear" w:color="auto" w:fill="auto"/>
        <w:bidi w:val="0"/>
        <w:spacing w:before="0" w:after="200" w:line="312" w:lineRule="exact"/>
        <w:ind w:left="380" w:right="0"/>
        <w:jc w:val="both"/>
      </w:pPr>
      <w:r>
        <w:rPr>
          <w:color w:val="000000"/>
          <w:spacing w:val="0"/>
          <w:w w:val="100"/>
          <w:position w:val="0"/>
        </w:rPr>
        <w:t>对于应收票据、应收账款和其他应收款，本公司设定相关政策以控制信用风险敞口。本公司基于对客户的财务状况、信 用记录及其他因素诸如目前市场状况等评估客户的信用资质并设置相应信用期。本公司会定期对客户信用记录进行监控，对 于信用记录不良的客户，本公司会采用书面催款、缩短信用期或取消信用期等方式，以确保本公司的整体信用风险在可控的 范围内。</w:t>
      </w:r>
    </w:p>
    <w:p>
      <w:pPr>
        <w:pStyle w:val="Style21"/>
        <w:keepNext w:val="0"/>
        <w:keepLines w:val="0"/>
        <w:widowControl w:val="0"/>
        <w:shd w:val="clear" w:color="auto" w:fill="auto"/>
        <w:bidi w:val="0"/>
        <w:spacing w:before="0" w:after="200" w:line="317" w:lineRule="exact"/>
        <w:ind w:left="380" w:right="0"/>
        <w:jc w:val="both"/>
      </w:pPr>
      <w:r>
        <w:rPr>
          <w:color w:val="000000"/>
          <w:spacing w:val="0"/>
          <w:w w:val="100"/>
          <w:position w:val="0"/>
        </w:rPr>
        <w:t>本公司应收账款的债务人比较集中，主要为中石油、中石化、中国建筑及其分子公司等大型集团客户，本公司持续对应 收账款的财务状况实施信用评估。</w:t>
      </w:r>
    </w:p>
    <w:p>
      <w:pPr>
        <w:pStyle w:val="Style21"/>
        <w:keepNext w:val="0"/>
        <w:keepLines w:val="0"/>
        <w:widowControl w:val="0"/>
        <w:shd w:val="clear" w:color="auto" w:fill="auto"/>
        <w:bidi w:val="0"/>
        <w:spacing w:before="0" w:after="200" w:line="312" w:lineRule="exact"/>
        <w:ind w:left="380" w:right="0"/>
        <w:jc w:val="both"/>
      </w:pPr>
      <w:r>
        <w:rPr>
          <w:color w:val="000000"/>
          <w:spacing w:val="0"/>
          <w:w w:val="100"/>
          <w:position w:val="0"/>
        </w:rPr>
        <w:t>本公司所承受的最大信用风险敞口为资产负债表中每项金融资产的账面金额。本公司没有提供任何其他可能令本公司承 受信用风险的担保。</w:t>
      </w:r>
    </w:p>
    <w:p>
      <w:pPr>
        <w:pStyle w:val="Style21"/>
        <w:keepNext w:val="0"/>
        <w:keepLines w:val="0"/>
        <w:widowControl w:val="0"/>
        <w:shd w:val="clear" w:color="auto" w:fill="auto"/>
        <w:bidi w:val="0"/>
        <w:spacing w:before="0" w:after="200" w:line="312" w:lineRule="exact"/>
        <w:ind w:left="380" w:right="0"/>
        <w:jc w:val="both"/>
      </w:pPr>
      <w:r>
        <w:rPr>
          <w:color w:val="000000"/>
          <w:spacing w:val="0"/>
          <w:w w:val="100"/>
          <w:position w:val="0"/>
        </w:rPr>
        <w:t>本公司应收账款中，前五大客户的应收账款占本公司应收账款总额的</w:t>
      </w:r>
      <w:r>
        <w:rPr>
          <w:rFonts w:ascii="Times New Roman" w:eastAsia="Times New Roman" w:hAnsi="Times New Roman" w:cs="Times New Roman"/>
          <w:color w:val="000000"/>
          <w:spacing w:val="0"/>
          <w:w w:val="100"/>
          <w:position w:val="0"/>
          <w:sz w:val="18"/>
          <w:szCs w:val="18"/>
        </w:rPr>
        <w:t>51.07%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45.18%</w:t>
      </w:r>
      <w:r>
        <w:rPr>
          <w:color w:val="000000"/>
          <w:spacing w:val="0"/>
          <w:w w:val="100"/>
          <w:position w:val="0"/>
        </w:rPr>
        <w:t>）；本公司其他应收款 中，欠款金额前五大公司的其他应收款占本公司其他应收款总额的</w:t>
      </w:r>
      <w:r>
        <w:rPr>
          <w:rFonts w:ascii="Times New Roman" w:eastAsia="Times New Roman" w:hAnsi="Times New Roman" w:cs="Times New Roman"/>
          <w:color w:val="000000"/>
          <w:spacing w:val="0"/>
          <w:w w:val="100"/>
          <w:position w:val="0"/>
          <w:sz w:val="18"/>
          <w:szCs w:val="18"/>
        </w:rPr>
        <w:t>42.95%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17.68%</w:t>
      </w:r>
      <w:r>
        <w:rPr>
          <w:color w:val="000000"/>
          <w:spacing w:val="0"/>
          <w:w w:val="100"/>
          <w:position w:val="0"/>
        </w:rPr>
        <w:t>）。</w:t>
      </w:r>
    </w:p>
    <w:p>
      <w:pPr>
        <w:pStyle w:val="Style21"/>
        <w:keepNext w:val="0"/>
        <w:keepLines w:val="0"/>
        <w:widowControl w:val="0"/>
        <w:shd w:val="clear" w:color="auto" w:fill="auto"/>
        <w:tabs>
          <w:tab w:pos="1166" w:val="left"/>
        </w:tabs>
        <w:bidi w:val="0"/>
        <w:spacing w:before="0" w:after="200" w:line="312" w:lineRule="exact"/>
        <w:ind w:left="0" w:right="0" w:firstLine="740"/>
        <w:jc w:val="both"/>
      </w:pPr>
      <w:bookmarkStart w:id="2045" w:name="bookmark2045"/>
      <w:r>
        <w:rPr>
          <w:color w:val="000000"/>
          <w:spacing w:val="0"/>
          <w:w w:val="100"/>
          <w:position w:val="0"/>
        </w:rPr>
        <w:t>（</w:t>
      </w:r>
      <w:bookmarkEnd w:id="204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流动性风险</w:t>
      </w:r>
    </w:p>
    <w:p>
      <w:pPr>
        <w:pStyle w:val="Style21"/>
        <w:keepNext w:val="0"/>
        <w:keepLines w:val="0"/>
        <w:widowControl w:val="0"/>
        <w:shd w:val="clear" w:color="auto" w:fill="auto"/>
        <w:bidi w:val="0"/>
        <w:spacing w:before="0" w:after="200" w:line="312" w:lineRule="exact"/>
        <w:ind w:left="0" w:right="0" w:firstLine="740"/>
        <w:jc w:val="both"/>
      </w:pPr>
      <w:r>
        <w:rPr>
          <w:color w:val="000000"/>
          <w:spacing w:val="0"/>
          <w:w w:val="100"/>
          <w:position w:val="0"/>
        </w:rPr>
        <w:t>流动性风险，是指本公司在履行以交付现金或其他金融资产结算的义务时遇到资金短缺的风险。</w:t>
      </w:r>
    </w:p>
    <w:p>
      <w:pPr>
        <w:pStyle w:val="Style21"/>
        <w:keepNext w:val="0"/>
        <w:keepLines w:val="0"/>
        <w:widowControl w:val="0"/>
        <w:shd w:val="clear" w:color="auto" w:fill="auto"/>
        <w:bidi w:val="0"/>
        <w:spacing w:before="0" w:after="200" w:line="312" w:lineRule="exact"/>
        <w:ind w:left="380" w:right="0"/>
        <w:jc w:val="both"/>
      </w:pPr>
      <w:r>
        <w:rPr>
          <w:color w:val="000000"/>
          <w:spacing w:val="0"/>
          <w:w w:val="100"/>
          <w:position w:val="0"/>
        </w:rPr>
        <w:t>管理流动风险时，本公司保持管理层认为充分的现金及现金等价物并对其进行监控，以满足本公司经营需要，并降低现 金流量波动的影响。本公司管理层对银行借款的使用情况进行监控并确保遵守借款协议。同时从主要金融机构获得提供足够 备用资金的承诺，以满足短期和长期的资金需求。</w:t>
      </w:r>
    </w:p>
    <w:p>
      <w:pPr>
        <w:pStyle w:val="Style21"/>
        <w:keepNext w:val="0"/>
        <w:keepLines w:val="0"/>
        <w:widowControl w:val="0"/>
        <w:shd w:val="clear" w:color="auto" w:fill="auto"/>
        <w:bidi w:val="0"/>
        <w:spacing w:before="0" w:after="200" w:line="307" w:lineRule="exact"/>
        <w:ind w:left="380" w:right="0"/>
        <w:jc w:val="both"/>
      </w:pPr>
      <w:r>
        <w:rPr>
          <w:color w:val="000000"/>
          <w:spacing w:val="0"/>
          <w:w w:val="100"/>
          <w:position w:val="0"/>
        </w:rPr>
        <w:t>本公司通过经营业务产生的资金及银行及其他借款来筹措营运资金。于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日，本公司尚未使用的银行借款额 度为 </w:t>
      </w:r>
      <w:r>
        <w:rPr>
          <w:rFonts w:ascii="Times New Roman" w:eastAsia="Times New Roman" w:hAnsi="Times New Roman" w:cs="Times New Roman"/>
          <w:color w:val="000000"/>
          <w:spacing w:val="0"/>
          <w:w w:val="100"/>
          <w:position w:val="0"/>
          <w:sz w:val="18"/>
          <w:szCs w:val="18"/>
        </w:rPr>
        <w:t>12,590.00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3,649.0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1"/>
        <w:keepNext w:val="0"/>
        <w:keepLines w:val="0"/>
        <w:widowControl w:val="0"/>
        <w:shd w:val="clear" w:color="auto" w:fill="auto"/>
        <w:tabs>
          <w:tab w:pos="1166" w:val="left"/>
        </w:tabs>
        <w:bidi w:val="0"/>
        <w:spacing w:before="0" w:after="200" w:line="312" w:lineRule="exact"/>
        <w:ind w:left="0" w:right="0" w:firstLine="740"/>
        <w:jc w:val="both"/>
      </w:pPr>
      <w:bookmarkStart w:id="2046" w:name="bookmark2046"/>
      <w:r>
        <w:rPr>
          <w:color w:val="000000"/>
          <w:spacing w:val="0"/>
          <w:w w:val="100"/>
          <w:position w:val="0"/>
        </w:rPr>
        <w:t>（</w:t>
      </w:r>
      <w:bookmarkEnd w:id="204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市场风险</w:t>
      </w:r>
    </w:p>
    <w:p>
      <w:pPr>
        <w:pStyle w:val="Style21"/>
        <w:keepNext w:val="0"/>
        <w:keepLines w:val="0"/>
        <w:widowControl w:val="0"/>
        <w:shd w:val="clear" w:color="auto" w:fill="auto"/>
        <w:bidi w:val="0"/>
        <w:spacing w:before="0" w:after="200" w:line="312" w:lineRule="exact"/>
        <w:ind w:left="0" w:right="0" w:firstLine="740"/>
        <w:jc w:val="both"/>
      </w:pPr>
      <w:r>
        <w:rPr>
          <w:color w:val="000000"/>
          <w:spacing w:val="0"/>
          <w:w w:val="100"/>
          <w:position w:val="0"/>
        </w:rPr>
        <w:t>金融工具的市场风险，是指金融工具的公允价值或未来现金流量因市场价格变动而发生波动的风险，包括利率风险、汇</w:t>
      </w:r>
    </w:p>
    <w:p>
      <w:pPr>
        <w:pStyle w:val="Style21"/>
        <w:keepNext w:val="0"/>
        <w:keepLines w:val="0"/>
        <w:widowControl w:val="0"/>
        <w:shd w:val="clear" w:color="auto" w:fill="auto"/>
        <w:bidi w:val="0"/>
        <w:spacing w:before="0" w:after="200" w:line="312" w:lineRule="exact"/>
        <w:ind w:left="0" w:right="0"/>
        <w:jc w:val="both"/>
      </w:pPr>
      <w:r>
        <w:rPr>
          <w:color w:val="000000"/>
          <w:spacing w:val="0"/>
          <w:w w:val="100"/>
          <w:position w:val="0"/>
        </w:rPr>
        <w:t>率风险和其他价格风险。</w:t>
      </w:r>
    </w:p>
    <w:p>
      <w:pPr>
        <w:pStyle w:val="Style21"/>
        <w:keepNext w:val="0"/>
        <w:keepLines w:val="0"/>
        <w:widowControl w:val="0"/>
        <w:shd w:val="clear" w:color="auto" w:fill="auto"/>
        <w:bidi w:val="0"/>
        <w:spacing w:before="0" w:after="200" w:line="312" w:lineRule="exact"/>
        <w:ind w:left="360" w:right="0" w:firstLine="380"/>
        <w:jc w:val="both"/>
      </w:pPr>
      <w:r>
        <w:rPr>
          <w:color w:val="000000"/>
          <w:spacing w:val="0"/>
          <w:w w:val="100"/>
          <w:position w:val="0"/>
        </w:rPr>
        <w:t>利率风险</w:t>
      </w:r>
    </w:p>
    <w:p>
      <w:pPr>
        <w:pStyle w:val="Style21"/>
        <w:keepNext w:val="0"/>
        <w:keepLines w:val="0"/>
        <w:widowControl w:val="0"/>
        <w:shd w:val="clear" w:color="auto" w:fill="auto"/>
        <w:bidi w:val="0"/>
        <w:spacing w:before="0" w:after="200" w:line="312" w:lineRule="exact"/>
        <w:ind w:left="360" w:right="0" w:firstLine="380"/>
        <w:jc w:val="both"/>
      </w:pPr>
      <w:r>
        <w:rPr>
          <w:color w:val="000000"/>
          <w:spacing w:val="0"/>
          <w:w w:val="100"/>
          <w:position w:val="0"/>
        </w:rPr>
        <w:t>利率风险，是指金融工具的公允价值或未来现金流量因市场利率变动而发生波动的风险。利率风险可源于已确认的计息 金融工具和未确认的金融工具（如某些贷款承诺）。</w:t>
      </w:r>
    </w:p>
    <w:p>
      <w:pPr>
        <w:pStyle w:val="Style21"/>
        <w:keepNext w:val="0"/>
        <w:keepLines w:val="0"/>
        <w:widowControl w:val="0"/>
        <w:shd w:val="clear" w:color="auto" w:fill="auto"/>
        <w:bidi w:val="0"/>
        <w:spacing w:before="0" w:after="200" w:line="312" w:lineRule="exact"/>
        <w:ind w:left="360" w:right="0" w:firstLine="380"/>
        <w:jc w:val="both"/>
      </w:pPr>
      <w:r>
        <w:rPr>
          <w:color w:val="000000"/>
          <w:spacing w:val="0"/>
          <w:w w:val="100"/>
          <w:position w:val="0"/>
        </w:rPr>
        <w:t>本公司密切关注利率变动对本公司利率风险的影响。</w:t>
      </w:r>
    </w:p>
    <w:p>
      <w:pPr>
        <w:pStyle w:val="Style21"/>
        <w:keepNext w:val="0"/>
        <w:keepLines w:val="0"/>
        <w:widowControl w:val="0"/>
        <w:shd w:val="clear" w:color="auto" w:fill="auto"/>
        <w:bidi w:val="0"/>
        <w:spacing w:before="0" w:after="260" w:line="312" w:lineRule="exact"/>
        <w:ind w:left="360" w:right="0" w:firstLine="380"/>
        <w:jc w:val="both"/>
      </w:pPr>
      <w:r>
        <w:rPr>
          <w:color w:val="000000"/>
          <w:spacing w:val="0"/>
          <w:w w:val="100"/>
          <w:position w:val="0"/>
        </w:rPr>
        <w:t>本公司持有的计息金融工具如下（单位：人民币万元）：</w:t>
      </w:r>
    </w:p>
    <w:tbl>
      <w:tblPr>
        <w:tblOverlap w:val="never"/>
        <w:jc w:val="center"/>
        <w:tblLayout w:type="fixed"/>
      </w:tblPr>
      <w:tblGrid>
        <w:gridCol w:w="3034"/>
        <w:gridCol w:w="3024"/>
        <w:gridCol w:w="3034"/>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8,405.06</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8,405.06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8,405.06</w:t>
            </w:r>
          </w:p>
        </w:tc>
      </w:tr>
    </w:tbl>
    <w:p>
      <w:pPr>
        <w:widowControl w:val="0"/>
        <w:spacing w:after="39" w:line="1" w:lineRule="exact"/>
      </w:pPr>
    </w:p>
    <w:p>
      <w:pPr>
        <w:pStyle w:val="Style21"/>
        <w:keepNext w:val="0"/>
        <w:keepLines w:val="0"/>
        <w:widowControl w:val="0"/>
        <w:shd w:val="clear" w:color="auto" w:fill="auto"/>
        <w:bidi w:val="0"/>
        <w:spacing w:before="0" w:after="200" w:line="312" w:lineRule="exact"/>
        <w:ind w:left="360" w:right="0" w:firstLine="380"/>
        <w:jc w:val="both"/>
      </w:pPr>
      <w:r>
        <w:rPr>
          <w:color w:val="000000"/>
          <w:spacing w:val="0"/>
          <w:w w:val="100"/>
          <w:position w:val="0"/>
        </w:rPr>
        <w:t>对于资产负债表日持有的、使本公司面临公允价值利率风险的金融工具，上述敏感性分析中的净利润及股东权益的影响 是假设在资产负债表日利率发生变动，按照新利率对上述金融工具进行重新计量后的影响。对于资产负债表日持有的、使本 公司面临现金流量利率风险的浮动利率非衍生工具，上述敏感性分析中的净利润及股东权益的影响是上述利率变动对按年度 估算的利息费用或收入的影响。上一年度的分析基于同样的假设和方法。</w:t>
      </w:r>
    </w:p>
    <w:p>
      <w:pPr>
        <w:pStyle w:val="Style21"/>
        <w:keepNext w:val="0"/>
        <w:keepLines w:val="0"/>
        <w:widowControl w:val="0"/>
        <w:shd w:val="clear" w:color="auto" w:fill="auto"/>
        <w:bidi w:val="0"/>
        <w:spacing w:before="0" w:after="200" w:line="312" w:lineRule="exact"/>
        <w:ind w:left="360" w:right="0" w:firstLine="380"/>
        <w:jc w:val="both"/>
      </w:pPr>
      <w:r>
        <w:rPr>
          <w:color w:val="000000"/>
          <w:spacing w:val="0"/>
          <w:w w:val="100"/>
          <w:position w:val="0"/>
        </w:rPr>
        <w:t>汇率风险</w:t>
      </w:r>
    </w:p>
    <w:p>
      <w:pPr>
        <w:pStyle w:val="Style21"/>
        <w:keepNext w:val="0"/>
        <w:keepLines w:val="0"/>
        <w:widowControl w:val="0"/>
        <w:shd w:val="clear" w:color="auto" w:fill="auto"/>
        <w:bidi w:val="0"/>
        <w:spacing w:before="0" w:after="200" w:line="307" w:lineRule="exact"/>
        <w:ind w:left="360" w:right="0" w:firstLine="380"/>
        <w:jc w:val="both"/>
      </w:pPr>
      <w:r>
        <w:rPr>
          <w:color w:val="000000"/>
          <w:spacing w:val="0"/>
          <w:w w:val="100"/>
          <w:position w:val="0"/>
        </w:rPr>
        <w:t>汇率风险，是指金融工具的公允价值或未来现金流量因外汇汇率变动而发生波动的风险。汇率风险可源于以记账本位币 之外的外币进行计价的金融工具。</w:t>
      </w:r>
    </w:p>
    <w:p>
      <w:pPr>
        <w:pStyle w:val="Style21"/>
        <w:keepNext w:val="0"/>
        <w:keepLines w:val="0"/>
        <w:widowControl w:val="0"/>
        <w:shd w:val="clear" w:color="auto" w:fill="auto"/>
        <w:bidi w:val="0"/>
        <w:spacing w:before="0" w:after="200" w:line="314" w:lineRule="exact"/>
        <w:ind w:left="360" w:right="0" w:firstLine="380"/>
        <w:jc w:val="both"/>
      </w:pPr>
      <w:r>
        <w:rPr>
          <w:color w:val="000000"/>
          <w:spacing w:val="0"/>
          <w:w w:val="100"/>
          <w:position w:val="0"/>
        </w:rPr>
        <w:t>汇率风险主要为本公司的财务状况和现金流量受外汇汇率波动的影响。除了在香港、日本设立的子公司持有以港币、日 元为结算货币的资产外，本公司持有的外币资产及负债占整体的资产及负债比例并不重大。因此本公司认为面临的汇率风险 并不重大。</w:t>
      </w:r>
    </w:p>
    <w:p>
      <w:pPr>
        <w:pStyle w:val="Style21"/>
        <w:keepNext w:val="0"/>
        <w:keepLines w:val="0"/>
        <w:widowControl w:val="0"/>
        <w:shd w:val="clear" w:color="auto" w:fill="auto"/>
        <w:bidi w:val="0"/>
        <w:spacing w:before="0" w:after="260" w:line="312" w:lineRule="exact"/>
        <w:ind w:left="360" w:right="0" w:firstLine="38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日，本公司持有的外币金融资产和外币金融负债折算成人民币的金额列示如下（单位：人民币万元）：</w:t>
      </w:r>
    </w:p>
    <w:tbl>
      <w:tblPr>
        <w:tblOverlap w:val="never"/>
        <w:jc w:val="center"/>
        <w:tblLayout w:type="fixed"/>
      </w:tblPr>
      <w:tblGrid>
        <w:gridCol w:w="2688"/>
        <w:gridCol w:w="1598"/>
        <w:gridCol w:w="1598"/>
        <w:gridCol w:w="1598"/>
        <w:gridCol w:w="1608"/>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外币负债</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外币资产</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期初数</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762.52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466.91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337.02</w:t>
            </w:r>
          </w:p>
        </w:tc>
      </w:tr>
      <w:tr>
        <w:trPr>
          <w:trHeight w:val="4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b/>
                <w:bCs/>
                <w:color w:val="000000"/>
                <w:spacing w:val="0"/>
                <w:w w:val="100"/>
                <w:position w:val="0"/>
                <w:sz w:val="18"/>
                <w:szCs w:val="18"/>
              </w:rPr>
              <w:t>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1,136.76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b/>
                <w:bCs/>
                <w:color w:val="000000"/>
                <w:spacing w:val="0"/>
                <w:w w:val="100"/>
                <w:position w:val="0"/>
                <w:sz w:val="18"/>
                <w:szCs w:val="18"/>
              </w:rPr>
              <w:t>888.35</w:t>
            </w:r>
          </w:p>
        </w:tc>
      </w:tr>
    </w:tbl>
    <w:p>
      <w:pPr>
        <w:widowControl w:val="0"/>
        <w:spacing w:after="39" w:line="1" w:lineRule="exact"/>
      </w:pPr>
    </w:p>
    <w:p>
      <w:pPr>
        <w:pStyle w:val="Style21"/>
        <w:keepNext w:val="0"/>
        <w:keepLines w:val="0"/>
        <w:widowControl w:val="0"/>
        <w:shd w:val="clear" w:color="auto" w:fill="auto"/>
        <w:bidi w:val="0"/>
        <w:spacing w:before="0" w:after="200" w:line="317" w:lineRule="exact"/>
        <w:ind w:left="360" w:right="0" w:firstLine="380"/>
        <w:jc w:val="both"/>
      </w:pPr>
      <w:r>
        <w:rPr>
          <w:color w:val="000000"/>
          <w:spacing w:val="0"/>
          <w:w w:val="100"/>
          <w:position w:val="0"/>
        </w:rPr>
        <w:t>本公司密切关注汇率变动对本公司汇率风险的影响。本公司目前并未采取任何措施规避汇率风险。但管理层负责监控汇 率风险，并将于需要时考虑对冲重大汇率风险。</w:t>
      </w:r>
    </w:p>
    <w:p>
      <w:pPr>
        <w:pStyle w:val="Style21"/>
        <w:keepNext w:val="0"/>
        <w:keepLines w:val="0"/>
        <w:widowControl w:val="0"/>
        <w:shd w:val="clear" w:color="auto" w:fill="auto"/>
        <w:bidi w:val="0"/>
        <w:spacing w:before="0" w:after="200" w:line="317" w:lineRule="exact"/>
        <w:ind w:left="360" w:right="0" w:firstLine="380"/>
        <w:jc w:val="both"/>
      </w:pPr>
      <w:r>
        <w:rPr>
          <w:color w:val="000000"/>
          <w:spacing w:val="0"/>
          <w:w w:val="100"/>
          <w:position w:val="0"/>
        </w:rPr>
        <w:t>其他价格风险</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其他价格风险，是指汇率风险和利率风险以外的市场价格变动而发生波动的风险，无论这些变动是由于与单项金融工具 或其发行方有关的因素而引起的，还是由于与市场内交易的所有类似金融工具有关的因素而引起的。其他价格风险可源于商 品价格、股票市场指数、权益工具价格以及其他风险变量的变化</w:t>
      </w:r>
    </w:p>
    <w:p>
      <w:pPr>
        <w:pStyle w:val="Style21"/>
        <w:keepNext w:val="0"/>
        <w:keepLines w:val="0"/>
        <w:widowControl w:val="0"/>
        <w:shd w:val="clear" w:color="auto" w:fill="auto"/>
        <w:bidi w:val="0"/>
        <w:spacing w:before="0" w:after="200" w:line="312" w:lineRule="exact"/>
        <w:ind w:left="0" w:right="0" w:firstLine="380"/>
        <w:jc w:val="left"/>
      </w:pPr>
      <w:r>
        <w:rPr>
          <w:color w:val="000000"/>
          <w:spacing w:val="0"/>
          <w:w w:val="100"/>
          <w:position w:val="0"/>
        </w:rPr>
        <w:t>本公司持有的分类为交易性金融资产在资产负债表日以公允价值计量。因此，本公司承担着证券市场变动的风险。</w:t>
      </w:r>
    </w:p>
    <w:p>
      <w:pPr>
        <w:pStyle w:val="Style21"/>
        <w:keepNext w:val="0"/>
        <w:keepLines w:val="0"/>
        <w:widowControl w:val="0"/>
        <w:shd w:val="clear" w:color="auto" w:fill="auto"/>
        <w:bidi w:val="0"/>
        <w:spacing w:before="0" w:after="300" w:line="317" w:lineRule="exact"/>
        <w:ind w:left="0" w:right="0" w:firstLine="380"/>
        <w:jc w:val="left"/>
      </w:pPr>
      <w:r>
        <w:rPr>
          <w:color w:val="000000"/>
          <w:spacing w:val="0"/>
          <w:w w:val="100"/>
          <w:position w:val="0"/>
        </w:rPr>
        <w:t>本公司密切关注价格变动对本公司权益证券投资价格风险的影响。本公司目前并未采取任何措施规避其他价格风险。但 管理层负责监控其他价格风险，并将于需要时考虑采取持有多种权益证券组合的方式降低权益证券投资的价格风险。</w:t>
      </w:r>
    </w:p>
    <w:p>
      <w:pPr>
        <w:pStyle w:val="Style21"/>
        <w:keepNext w:val="0"/>
        <w:keepLines w:val="0"/>
        <w:widowControl w:val="0"/>
        <w:shd w:val="clear" w:color="auto" w:fill="auto"/>
        <w:bidi w:val="0"/>
        <w:spacing w:before="0" w:after="100" w:line="360" w:lineRule="auto"/>
        <w:ind w:left="0" w:right="0" w:firstLine="380"/>
        <w:jc w:val="left"/>
      </w:pPr>
      <w:bookmarkStart w:id="2047" w:name="bookmark2047"/>
      <w:r>
        <w:rPr>
          <w:rFonts w:ascii="Times New Roman" w:eastAsia="Times New Roman" w:hAnsi="Times New Roman" w:cs="Times New Roman"/>
          <w:color w:val="000000"/>
          <w:spacing w:val="0"/>
          <w:w w:val="100"/>
          <w:position w:val="0"/>
          <w:sz w:val="18"/>
          <w:szCs w:val="18"/>
        </w:rPr>
        <w:t>2</w:t>
      </w:r>
      <w:bookmarkEnd w:id="2047"/>
      <w:r>
        <w:rPr>
          <w:color w:val="000000"/>
          <w:spacing w:val="0"/>
          <w:w w:val="100"/>
          <w:position w:val="0"/>
        </w:rPr>
        <w:t>、资本管理</w:t>
      </w:r>
    </w:p>
    <w:p>
      <w:pPr>
        <w:pStyle w:val="Style21"/>
        <w:keepNext w:val="0"/>
        <w:keepLines w:val="0"/>
        <w:widowControl w:val="0"/>
        <w:shd w:val="clear" w:color="auto" w:fill="auto"/>
        <w:bidi w:val="0"/>
        <w:spacing w:before="0" w:after="200" w:line="317" w:lineRule="exact"/>
        <w:ind w:left="0" w:right="0" w:firstLine="380"/>
        <w:jc w:val="left"/>
      </w:pPr>
      <w:r>
        <w:rPr>
          <w:color w:val="000000"/>
          <w:spacing w:val="0"/>
          <w:w w:val="100"/>
          <w:position w:val="0"/>
        </w:rPr>
        <w:t>本公司资本管理政策的目标是为了保障本公司能够持续经营，从而为股东提供回报，并使其他利益相关者获益，同时维 持最佳的资本结构以降低资本成本。</w:t>
      </w:r>
    </w:p>
    <w:p>
      <w:pPr>
        <w:pStyle w:val="Style21"/>
        <w:keepNext w:val="0"/>
        <w:keepLines w:val="0"/>
        <w:widowControl w:val="0"/>
        <w:shd w:val="clear" w:color="auto" w:fill="auto"/>
        <w:bidi w:val="0"/>
        <w:spacing w:before="0" w:after="200" w:line="307" w:lineRule="exact"/>
        <w:ind w:left="0" w:right="0" w:firstLine="380"/>
        <w:jc w:val="left"/>
      </w:pPr>
      <w:r>
        <w:rPr>
          <w:color w:val="000000"/>
          <w:spacing w:val="0"/>
          <w:w w:val="100"/>
          <w:position w:val="0"/>
        </w:rPr>
        <w:t>为了维持或调整资本结构，本公司可能会调整融资方式、调整支付给股东的股利金额、向股东返还资本、发行新股与其 他权益工具或出售资产以减低债务。</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本公司以资产负债率（即总负债除以总资产）为基础对资本结构进行监控。于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日，本公司的资产负债率为</w:t>
      </w:r>
      <w:r>
        <w:rPr>
          <w:rFonts w:ascii="Times New Roman" w:eastAsia="Times New Roman" w:hAnsi="Times New Roman" w:cs="Times New Roman"/>
          <w:color w:val="000000"/>
          <w:spacing w:val="0"/>
          <w:w w:val="100"/>
          <w:position w:val="0"/>
          <w:sz w:val="18"/>
          <w:szCs w:val="18"/>
        </w:rPr>
        <w:t xml:space="preserve">17.59%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24.74%</w:t>
      </w:r>
      <w:r>
        <w:rPr>
          <w:color w:val="000000"/>
          <w:spacing w:val="0"/>
          <w:w w:val="100"/>
          <w:position w:val="0"/>
        </w:rPr>
        <w:t>）。</w:t>
      </w:r>
    </w:p>
    <w:p>
      <w:pPr>
        <w:pStyle w:val="Style25"/>
        <w:keepNext/>
        <w:keepLines/>
        <w:widowControl w:val="0"/>
        <w:shd w:val="clear" w:color="auto" w:fill="auto"/>
        <w:bidi w:val="0"/>
        <w:spacing w:before="0" w:after="380" w:line="240" w:lineRule="auto"/>
        <w:ind w:left="0" w:right="0" w:firstLine="0"/>
        <w:jc w:val="left"/>
      </w:pPr>
      <w:bookmarkStart w:id="2048" w:name="bookmark2048"/>
      <w:bookmarkStart w:id="2049" w:name="bookmark2049"/>
      <w:bookmarkStart w:id="2050" w:name="bookmark2050"/>
      <w:r>
        <w:rPr>
          <w:color w:val="000000"/>
          <w:spacing w:val="0"/>
          <w:w w:val="100"/>
          <w:position w:val="0"/>
        </w:rPr>
        <w:t>十一、公允价值的披露</w:t>
      </w:r>
      <w:bookmarkEnd w:id="2048"/>
      <w:bookmarkEnd w:id="2049"/>
      <w:bookmarkEnd w:id="2050"/>
    </w:p>
    <w:p>
      <w:pPr>
        <w:pStyle w:val="Style31"/>
        <w:keepNext/>
        <w:keepLines/>
        <w:widowControl w:val="0"/>
        <w:shd w:val="clear" w:color="auto" w:fill="auto"/>
        <w:bidi w:val="0"/>
        <w:spacing w:before="0" w:after="380" w:line="240" w:lineRule="auto"/>
        <w:ind w:left="0" w:right="0" w:firstLine="0"/>
        <w:jc w:val="left"/>
      </w:pPr>
      <w:bookmarkStart w:id="2051" w:name="bookmark2051"/>
      <w:bookmarkStart w:id="2052" w:name="bookmark2052"/>
      <w:bookmarkStart w:id="2053" w:name="bookmark205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051"/>
      <w:bookmarkEnd w:id="2052"/>
      <w:bookmarkEnd w:id="2053"/>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354,210,042.73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354,210,042.73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354,210,042.73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354,210,042.73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1"/>
        <w:keepNext/>
        <w:keepLines/>
        <w:widowControl w:val="0"/>
        <w:shd w:val="clear" w:color="auto" w:fill="auto"/>
        <w:tabs>
          <w:tab w:pos="378" w:val="left"/>
        </w:tabs>
        <w:bidi w:val="0"/>
        <w:spacing w:before="0" w:after="380" w:line="240" w:lineRule="auto"/>
        <w:ind w:left="0" w:right="0" w:firstLine="0"/>
        <w:jc w:val="left"/>
      </w:pPr>
      <w:bookmarkStart w:id="2054" w:name="bookmark2054"/>
      <w:bookmarkStart w:id="2055" w:name="bookmark2055"/>
      <w:bookmarkStart w:id="2056" w:name="bookmark2056"/>
      <w:bookmarkStart w:id="2057" w:name="bookmark2057"/>
      <w:r>
        <w:rPr>
          <w:rFonts w:ascii="Times New Roman" w:eastAsia="Times New Roman" w:hAnsi="Times New Roman" w:cs="Times New Roman"/>
          <w:color w:val="000000"/>
          <w:spacing w:val="0"/>
          <w:w w:val="100"/>
          <w:position w:val="0"/>
        </w:rPr>
        <w:t>2</w:t>
      </w:r>
      <w:bookmarkEnd w:id="2056"/>
      <w:r>
        <w:rPr>
          <w:color w:val="000000"/>
          <w:spacing w:val="0"/>
          <w:w w:val="100"/>
          <w:position w:val="0"/>
        </w:rPr>
        <w:t>、</w:t>
        <w:tab/>
        <w:t>持续和非持续第一层次公允价值计量项目市价的确定依据</w:t>
      </w:r>
      <w:bookmarkEnd w:id="2054"/>
      <w:bookmarkEnd w:id="2055"/>
      <w:bookmarkEnd w:id="2057"/>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相同资产或负债在活跃市场中的报价（未经调整的）。</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58" w:name="bookmark2058"/>
      <w:bookmarkStart w:id="2059" w:name="bookmark2059"/>
      <w:bookmarkStart w:id="2060" w:name="bookmark2060"/>
      <w:bookmarkStart w:id="2061" w:name="bookmark2061"/>
      <w:r>
        <w:rPr>
          <w:rFonts w:ascii="Times New Roman" w:eastAsia="Times New Roman" w:hAnsi="Times New Roman" w:cs="Times New Roman"/>
          <w:color w:val="000000"/>
          <w:spacing w:val="0"/>
          <w:w w:val="100"/>
          <w:position w:val="0"/>
        </w:rPr>
        <w:t>3</w:t>
      </w:r>
      <w:bookmarkEnd w:id="2060"/>
      <w:r>
        <w:rPr>
          <w:color w:val="000000"/>
          <w:spacing w:val="0"/>
          <w:w w:val="100"/>
          <w:position w:val="0"/>
        </w:rPr>
        <w:t>、</w:t>
        <w:tab/>
        <w:t>持续和非持续第二层次公允价值计量项目，采用的估值技术和重要参数的定性及定量信息</w:t>
      </w:r>
      <w:bookmarkEnd w:id="2058"/>
      <w:bookmarkEnd w:id="2059"/>
      <w:bookmarkEnd w:id="2061"/>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直接（即价格）或间接（即从价格推导出）地使用除第一层次中的资产或负债的市场报价之外的可观察输入值。</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062" w:name="bookmark2062"/>
      <w:bookmarkStart w:id="2063" w:name="bookmark2063"/>
      <w:bookmarkStart w:id="2064" w:name="bookmark2064"/>
      <w:bookmarkStart w:id="2065" w:name="bookmark2065"/>
      <w:r>
        <w:rPr>
          <w:rFonts w:ascii="Times New Roman" w:eastAsia="Times New Roman" w:hAnsi="Times New Roman" w:cs="Times New Roman"/>
          <w:color w:val="000000"/>
          <w:spacing w:val="0"/>
          <w:w w:val="100"/>
          <w:position w:val="0"/>
        </w:rPr>
        <w:t>4</w:t>
      </w:r>
      <w:bookmarkEnd w:id="2064"/>
      <w:r>
        <w:rPr>
          <w:color w:val="000000"/>
          <w:spacing w:val="0"/>
          <w:w w:val="100"/>
          <w:position w:val="0"/>
        </w:rPr>
        <w:t>、</w:t>
        <w:tab/>
        <w:t>持续和非持续第三层次公允价值计量项目，采用的估值技术和重要参数的定性及定量信息</w:t>
      </w:r>
      <w:bookmarkEnd w:id="2062"/>
      <w:bookmarkEnd w:id="2063"/>
      <w:bookmarkEnd w:id="2065"/>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资产或负债使用了任何非基于可观察市场数据的输入值（不可观察输入值）。</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5</w:t>
      </w:r>
      <w:bookmarkEnd w:id="2068"/>
      <w:r>
        <w:rPr>
          <w:color w:val="000000"/>
          <w:spacing w:val="0"/>
          <w:w w:val="100"/>
          <w:position w:val="0"/>
        </w:rPr>
        <w:t>、</w:t>
        <w:tab/>
        <w:t>持续的第三层次公允价值计量项目，期初与期末账面价值间的调节信息及不可观察参数敏感性分析</w:t>
      </w:r>
      <w:bookmarkEnd w:id="2066"/>
      <w:bookmarkEnd w:id="2067"/>
      <w:bookmarkEnd w:id="2069"/>
    </w:p>
    <w:p>
      <w:pPr>
        <w:pStyle w:val="Style31"/>
        <w:keepNext/>
        <w:keepLines/>
        <w:widowControl w:val="0"/>
        <w:shd w:val="clear" w:color="auto" w:fill="auto"/>
        <w:tabs>
          <w:tab w:pos="378" w:val="left"/>
        </w:tabs>
        <w:bidi w:val="0"/>
        <w:spacing w:before="0" w:after="380" w:line="240" w:lineRule="auto"/>
        <w:ind w:left="0" w:right="0" w:firstLine="0"/>
        <w:jc w:val="left"/>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6</w:t>
      </w:r>
      <w:bookmarkEnd w:id="2072"/>
      <w:r>
        <w:rPr>
          <w:color w:val="000000"/>
          <w:spacing w:val="0"/>
          <w:w w:val="100"/>
          <w:position w:val="0"/>
        </w:rPr>
        <w:t>、</w:t>
        <w:tab/>
        <w:t>持续的公允价值计量项目，本期内发生各层级之间转换的，转换的原因及确定转换时点的政策</w:t>
      </w:r>
      <w:bookmarkEnd w:id="2070"/>
      <w:bookmarkEnd w:id="2071"/>
      <w:bookmarkEnd w:id="2073"/>
    </w:p>
    <w:p>
      <w:pPr>
        <w:pStyle w:val="Style31"/>
        <w:keepNext/>
        <w:keepLines/>
        <w:widowControl w:val="0"/>
        <w:shd w:val="clear" w:color="auto" w:fill="auto"/>
        <w:tabs>
          <w:tab w:pos="378" w:val="left"/>
        </w:tabs>
        <w:bidi w:val="0"/>
        <w:spacing w:before="0" w:after="38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7</w:t>
      </w:r>
      <w:bookmarkEnd w:id="2076"/>
      <w:r>
        <w:rPr>
          <w:color w:val="000000"/>
          <w:spacing w:val="0"/>
          <w:w w:val="100"/>
          <w:position w:val="0"/>
        </w:rPr>
        <w:t>、</w:t>
        <w:tab/>
        <w:t>本期内发生的估值技术变更及变更原因</w:t>
      </w:r>
      <w:bookmarkEnd w:id="2074"/>
      <w:bookmarkEnd w:id="2075"/>
      <w:bookmarkEnd w:id="2077"/>
    </w:p>
    <w:p>
      <w:pPr>
        <w:pStyle w:val="Style31"/>
        <w:keepNext/>
        <w:keepLines/>
        <w:widowControl w:val="0"/>
        <w:shd w:val="clear" w:color="auto" w:fill="auto"/>
        <w:tabs>
          <w:tab w:pos="378" w:val="left"/>
        </w:tabs>
        <w:bidi w:val="0"/>
        <w:spacing w:before="0" w:after="26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8</w:t>
      </w:r>
      <w:bookmarkEnd w:id="2080"/>
      <w:r>
        <w:rPr>
          <w:color w:val="000000"/>
          <w:spacing w:val="0"/>
          <w:w w:val="100"/>
          <w:position w:val="0"/>
        </w:rPr>
        <w:t>、</w:t>
        <w:tab/>
        <w:t>不以公允价值计量的金融资产和金融负债的公允价值情况</w:t>
      </w:r>
      <w:bookmarkEnd w:id="2078"/>
      <w:bookmarkEnd w:id="2079"/>
      <w:bookmarkEnd w:id="2081"/>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不以公允价值计量的金融资产和负债主要包括：预付款项、应收款项、应付款项、合同负债。上述不以公允价值计量的金融 资产和负债的账面价值与公允价值相差很小。</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9</w:t>
      </w:r>
      <w:bookmarkEnd w:id="2084"/>
      <w:r>
        <w:rPr>
          <w:color w:val="000000"/>
          <w:spacing w:val="0"/>
          <w:w w:val="100"/>
          <w:position w:val="0"/>
        </w:rPr>
        <w:t>、</w:t>
        <w:tab/>
        <w:t>其他</w:t>
      </w:r>
      <w:bookmarkEnd w:id="2082"/>
      <w:bookmarkEnd w:id="2083"/>
      <w:bookmarkEnd w:id="2085"/>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本年度，本公司的金融资产及金融负债的公允价值计量未发生第一层次和第二层次之间的转换，亦无转入或转出第三层次的 情况。</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对于在活跃市场上交易的金融工具，本公司以其活跃市场报价确定其公允价值；对于不在活跃市场上交易的金融工具，本公 司采用估值技术确定其公允价值。所使用的估值模型主要为现金流量折现模型和市场可比公司模型等。估值技术的输入值主 要包括无风险利率、基准利率、汇率、信用点差、流动性溢价、缺乏流动性折扣等。</w:t>
      </w:r>
    </w:p>
    <w:p>
      <w:pPr>
        <w:pStyle w:val="Style25"/>
        <w:keepNext/>
        <w:keepLines/>
        <w:widowControl w:val="0"/>
        <w:shd w:val="clear" w:color="auto" w:fill="auto"/>
        <w:bidi w:val="0"/>
        <w:spacing w:before="0" w:after="380" w:line="240" w:lineRule="auto"/>
        <w:ind w:left="0" w:right="0" w:firstLine="0"/>
        <w:jc w:val="left"/>
      </w:pPr>
      <w:bookmarkStart w:id="2086" w:name="bookmark2086"/>
      <w:bookmarkStart w:id="2087" w:name="bookmark2087"/>
      <w:bookmarkStart w:id="2088" w:name="bookmark2088"/>
      <w:r>
        <w:rPr>
          <w:color w:val="000000"/>
          <w:spacing w:val="0"/>
          <w:w w:val="100"/>
          <w:position w:val="0"/>
        </w:rPr>
        <w:t>十二、关联方及关联交易</w:t>
      </w:r>
      <w:bookmarkEnd w:id="2086"/>
      <w:bookmarkEnd w:id="2087"/>
      <w:bookmarkEnd w:id="2088"/>
    </w:p>
    <w:p>
      <w:pPr>
        <w:pStyle w:val="Style31"/>
        <w:keepNext/>
        <w:keepLines/>
        <w:widowControl w:val="0"/>
        <w:shd w:val="clear" w:color="auto" w:fill="auto"/>
        <w:bidi w:val="0"/>
        <w:spacing w:before="0" w:after="320" w:line="240" w:lineRule="auto"/>
        <w:ind w:left="0" w:right="0" w:firstLine="0"/>
        <w:jc w:val="left"/>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89"/>
      <w:bookmarkEnd w:id="2090"/>
      <w:bookmarkEnd w:id="2091"/>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本企业的母公司情况的说明</w:t>
      </w:r>
    </w:p>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 xml:space="preserve">本公司的控股股东、实际控制人为公司第一大股东王虎先生和第二大股东蔺国强先生，王虎先生对本公司的持股比例为 </w:t>
      </w:r>
      <w:r>
        <w:rPr>
          <w:rFonts w:ascii="Times New Roman" w:eastAsia="Times New Roman" w:hAnsi="Times New Roman" w:cs="Times New Roman"/>
          <w:color w:val="000000"/>
          <w:spacing w:val="0"/>
          <w:w w:val="100"/>
          <w:position w:val="0"/>
          <w:sz w:val="18"/>
          <w:szCs w:val="18"/>
        </w:rPr>
        <w:t>10.71%</w:t>
      </w:r>
      <w:r>
        <w:rPr>
          <w:color w:val="000000"/>
          <w:spacing w:val="0"/>
          <w:w w:val="100"/>
          <w:position w:val="0"/>
        </w:rPr>
        <w:t>，所持本公司的表决权比例为</w:t>
      </w:r>
      <w:r>
        <w:rPr>
          <w:rFonts w:ascii="Times New Roman" w:eastAsia="Times New Roman" w:hAnsi="Times New Roman" w:cs="Times New Roman"/>
          <w:color w:val="000000"/>
          <w:spacing w:val="0"/>
          <w:w w:val="100"/>
          <w:position w:val="0"/>
          <w:sz w:val="18"/>
          <w:szCs w:val="18"/>
        </w:rPr>
        <w:t>10.71%</w:t>
      </w:r>
      <w:r>
        <w:rPr>
          <w:color w:val="000000"/>
          <w:spacing w:val="0"/>
          <w:w w:val="100"/>
          <w:position w:val="0"/>
        </w:rPr>
        <w:t>；蔺国强先生对本公司的持股比例为</w:t>
      </w:r>
      <w:r>
        <w:rPr>
          <w:rFonts w:ascii="Times New Roman" w:eastAsia="Times New Roman" w:hAnsi="Times New Roman" w:cs="Times New Roman"/>
          <w:color w:val="000000"/>
          <w:spacing w:val="0"/>
          <w:w w:val="100"/>
          <w:position w:val="0"/>
          <w:sz w:val="18"/>
          <w:szCs w:val="18"/>
        </w:rPr>
        <w:t>10.70%</w:t>
      </w:r>
      <w:r>
        <w:rPr>
          <w:color w:val="000000"/>
          <w:spacing w:val="0"/>
          <w:w w:val="100"/>
          <w:position w:val="0"/>
        </w:rPr>
        <w:t>，所持本公司的表决权比例为</w:t>
      </w:r>
      <w:r>
        <w:rPr>
          <w:rFonts w:ascii="Times New Roman" w:eastAsia="Times New Roman" w:hAnsi="Times New Roman" w:cs="Times New Roman"/>
          <w:color w:val="000000"/>
          <w:spacing w:val="0"/>
          <w:w w:val="100"/>
          <w:position w:val="0"/>
          <w:sz w:val="18"/>
          <w:szCs w:val="18"/>
        </w:rPr>
        <w:t>10.70%</w:t>
      </w:r>
      <w:r>
        <w:rPr>
          <w:color w:val="000000"/>
          <w:spacing w:val="0"/>
          <w:w w:val="100"/>
          <w:position w:val="0"/>
        </w:rPr>
        <w:t>。</w:t>
      </w:r>
    </w:p>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本企业最终控制方是王虎和蔺国强。</w:t>
      </w:r>
    </w:p>
    <w:p>
      <w:pPr>
        <w:pStyle w:val="Style2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2</w:t>
      </w:r>
      <w:bookmarkEnd w:id="2094"/>
      <w:r>
        <w:rPr>
          <w:color w:val="000000"/>
          <w:spacing w:val="0"/>
          <w:w w:val="100"/>
          <w:position w:val="0"/>
        </w:rPr>
        <w:t>、</w:t>
        <w:tab/>
        <w:t>本企业的子公司情况</w:t>
      </w:r>
      <w:bookmarkEnd w:id="2092"/>
      <w:bookmarkEnd w:id="2093"/>
      <w:bookmarkEnd w:id="2095"/>
    </w:p>
    <w:p>
      <w:pPr>
        <w:pStyle w:val="Style21"/>
        <w:keepNext w:val="0"/>
        <w:keepLines w:val="0"/>
        <w:widowControl w:val="0"/>
        <w:shd w:val="clear" w:color="auto" w:fill="auto"/>
        <w:bidi w:val="0"/>
        <w:spacing w:before="0" w:after="380" w:line="302"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1"/>
        <w:keepNext/>
        <w:keepLines/>
        <w:widowControl w:val="0"/>
        <w:shd w:val="clear" w:color="auto" w:fill="auto"/>
        <w:tabs>
          <w:tab w:pos="378" w:val="left"/>
        </w:tabs>
        <w:bidi w:val="0"/>
        <w:spacing w:before="0" w:after="260" w:line="240" w:lineRule="auto"/>
        <w:ind w:left="0" w:right="0" w:firstLine="0"/>
        <w:jc w:val="left"/>
      </w:pPr>
      <w:bookmarkStart w:id="2096" w:name="bookmark2096"/>
      <w:bookmarkStart w:id="2097" w:name="bookmark2097"/>
      <w:bookmarkStart w:id="2098" w:name="bookmark2098"/>
      <w:bookmarkStart w:id="2099" w:name="bookmark2099"/>
      <w:r>
        <w:rPr>
          <w:rFonts w:ascii="Times New Roman" w:eastAsia="Times New Roman" w:hAnsi="Times New Roman" w:cs="Times New Roman"/>
          <w:color w:val="000000"/>
          <w:spacing w:val="0"/>
          <w:w w:val="100"/>
          <w:position w:val="0"/>
        </w:rPr>
        <w:t>3</w:t>
      </w:r>
      <w:bookmarkEnd w:id="2098"/>
      <w:r>
        <w:rPr>
          <w:color w:val="000000"/>
          <w:spacing w:val="0"/>
          <w:w w:val="100"/>
          <w:position w:val="0"/>
        </w:rPr>
        <w:t>、</w:t>
        <w:tab/>
        <w:t>本企业合营和联营企业情况</w:t>
      </w:r>
      <w:bookmarkEnd w:id="2096"/>
      <w:bookmarkEnd w:id="2097"/>
      <w:bookmarkEnd w:id="2099"/>
    </w:p>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本企业重要的合营或联营企业详见附注附注九、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21"/>
        <w:keepNext w:val="0"/>
        <w:keepLines w:val="0"/>
        <w:widowControl w:val="0"/>
        <w:shd w:val="clear" w:color="auto" w:fill="auto"/>
        <w:bidi w:val="0"/>
        <w:spacing w:before="0" w:after="340" w:line="30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合肥耀安科技有限公司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公司持有</w:t>
            </w:r>
            <w:r>
              <w:rPr>
                <w:rFonts w:ascii="Times New Roman" w:eastAsia="Times New Roman" w:hAnsi="Times New Roman" w:cs="Times New Roman"/>
                <w:color w:val="000000"/>
                <w:spacing w:val="0"/>
                <w:w w:val="100"/>
                <w:position w:val="0"/>
                <w:sz w:val="18"/>
                <w:szCs w:val="18"/>
              </w:rPr>
              <w:t>36.93%</w:t>
            </w:r>
            <w:r>
              <w:rPr>
                <w:color w:val="000000"/>
                <w:spacing w:val="0"/>
                <w:w w:val="100"/>
                <w:position w:val="0"/>
              </w:rPr>
              <w:t>股权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湖北普联东文信息科技有限公司（简称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普联东文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公司持有</w:t>
            </w:r>
            <w:r>
              <w:rPr>
                <w:rFonts w:ascii="Times New Roman" w:eastAsia="Times New Roman" w:hAnsi="Times New Roman" w:cs="Times New Roman"/>
                <w:color w:val="000000"/>
                <w:spacing w:val="0"/>
                <w:w w:val="100"/>
                <w:position w:val="0"/>
                <w:sz w:val="18"/>
                <w:szCs w:val="18"/>
              </w:rPr>
              <w:t>19.885%</w:t>
            </w:r>
            <w:r>
              <w:rPr>
                <w:color w:val="000000"/>
                <w:spacing w:val="0"/>
                <w:w w:val="100"/>
                <w:position w:val="0"/>
              </w:rPr>
              <w:t>股权</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月公司将持有的湖北普联东文信息科技有限公司</w:t>
      </w:r>
      <w:r>
        <w:rPr>
          <w:rFonts w:ascii="Times New Roman" w:eastAsia="Times New Roman" w:hAnsi="Times New Roman" w:cs="Times New Roman"/>
          <w:color w:val="000000"/>
          <w:spacing w:val="0"/>
          <w:w w:val="100"/>
          <w:position w:val="0"/>
          <w:sz w:val="18"/>
          <w:szCs w:val="18"/>
        </w:rPr>
        <w:t>19.885%</w:t>
      </w:r>
      <w:r>
        <w:rPr>
          <w:color w:val="000000"/>
          <w:spacing w:val="0"/>
          <w:w w:val="100"/>
          <w:position w:val="0"/>
        </w:rPr>
        <w:t>股权以</w:t>
      </w:r>
      <w:r>
        <w:rPr>
          <w:rFonts w:ascii="Times New Roman" w:eastAsia="Times New Roman" w:hAnsi="Times New Roman" w:cs="Times New Roman"/>
          <w:color w:val="000000"/>
          <w:spacing w:val="0"/>
          <w:w w:val="100"/>
          <w:position w:val="0"/>
          <w:sz w:val="18"/>
          <w:szCs w:val="18"/>
        </w:rPr>
        <w:t>259.5392</w:t>
      </w:r>
      <w:r>
        <w:rPr>
          <w:color w:val="000000"/>
          <w:spacing w:val="0"/>
          <w:w w:val="100"/>
          <w:position w:val="0"/>
        </w:rPr>
        <w:t>万元转让给武汉祥诺科技有限公司。</w:t>
      </w:r>
    </w:p>
    <w:p>
      <w:pPr>
        <w:pStyle w:val="Style31"/>
        <w:keepNext/>
        <w:keepLines/>
        <w:widowControl w:val="0"/>
        <w:shd w:val="clear" w:color="auto" w:fill="auto"/>
        <w:bidi w:val="0"/>
        <w:spacing w:before="0" w:after="320" w:line="240" w:lineRule="auto"/>
        <w:ind w:left="0" w:right="0" w:firstLine="0"/>
        <w:jc w:val="left"/>
      </w:pPr>
      <w:bookmarkStart w:id="2100" w:name="bookmark2100"/>
      <w:bookmarkStart w:id="2101" w:name="bookmark2101"/>
      <w:bookmarkStart w:id="2102" w:name="bookmark2102"/>
      <w:bookmarkStart w:id="2103" w:name="bookmark2103"/>
      <w:r>
        <w:rPr>
          <w:rFonts w:ascii="Times New Roman" w:eastAsia="Times New Roman" w:hAnsi="Times New Roman" w:cs="Times New Roman"/>
          <w:color w:val="000000"/>
          <w:spacing w:val="0"/>
          <w:w w:val="100"/>
          <w:position w:val="0"/>
        </w:rPr>
        <w:t>4</w:t>
      </w:r>
      <w:bookmarkEnd w:id="2102"/>
      <w:r>
        <w:rPr>
          <w:color w:val="000000"/>
          <w:spacing w:val="0"/>
          <w:w w:val="100"/>
          <w:position w:val="0"/>
        </w:rPr>
        <w:t>、其他关联方情况</w:t>
      </w:r>
      <w:bookmarkEnd w:id="2100"/>
      <w:bookmarkEnd w:id="2101"/>
      <w:bookmarkEnd w:id="210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80" w:line="240" w:lineRule="auto"/>
        <w:ind w:left="0" w:right="0" w:firstLine="0"/>
        <w:jc w:val="left"/>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5</w:t>
      </w:r>
      <w:bookmarkEnd w:id="2106"/>
      <w:r>
        <w:rPr>
          <w:color w:val="000000"/>
          <w:spacing w:val="0"/>
          <w:w w:val="100"/>
          <w:position w:val="0"/>
        </w:rPr>
        <w:t>、关联交易情况</w:t>
      </w:r>
      <w:bookmarkEnd w:id="2104"/>
      <w:bookmarkEnd w:id="2105"/>
      <w:bookmarkEnd w:id="2107"/>
    </w:p>
    <w:p>
      <w:pPr>
        <w:pStyle w:val="Style40"/>
        <w:keepNext/>
        <w:keepLines/>
        <w:widowControl w:val="0"/>
        <w:shd w:val="clear" w:color="auto" w:fill="auto"/>
        <w:bidi w:val="0"/>
        <w:spacing w:before="0" w:line="240" w:lineRule="auto"/>
        <w:ind w:left="0" w:right="0" w:firstLine="0"/>
        <w:jc w:val="left"/>
      </w:pPr>
      <w:bookmarkStart w:id="2108" w:name="bookmark2108"/>
      <w:bookmarkStart w:id="2109" w:name="bookmark2109"/>
      <w:bookmarkStart w:id="2110" w:name="bookmark2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108"/>
      <w:bookmarkEnd w:id="2109"/>
      <w:bookmarkEnd w:id="211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合肥耀安科技有限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1,520,236.48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湖北普联东文信息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外协服务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249,339.62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合肥耀安科技有限公司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679,245.28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湖北普联东文信息科技有限公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40"/>
        <w:keepNext/>
        <w:keepLines/>
        <w:widowControl w:val="0"/>
        <w:shd w:val="clear" w:color="auto" w:fill="auto"/>
        <w:bidi w:val="0"/>
        <w:spacing w:before="0" w:line="240" w:lineRule="auto"/>
        <w:ind w:left="0" w:right="0" w:firstLine="0"/>
        <w:jc w:val="left"/>
      </w:pPr>
      <w:bookmarkStart w:id="2111" w:name="bookmark2111"/>
      <w:bookmarkStart w:id="2112" w:name="bookmark2112"/>
      <w:bookmarkStart w:id="2113" w:name="bookmark21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111"/>
      <w:bookmarkEnd w:id="2112"/>
      <w:bookmarkEnd w:id="2113"/>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40"/>
        <w:keepNext/>
        <w:keepLines/>
        <w:widowControl w:val="0"/>
        <w:shd w:val="clear" w:color="auto" w:fill="auto"/>
        <w:bidi w:val="0"/>
        <w:spacing w:before="0" w:line="240" w:lineRule="auto"/>
        <w:ind w:left="0" w:right="0" w:firstLine="0"/>
        <w:jc w:val="both"/>
      </w:pPr>
      <w:bookmarkStart w:id="2114" w:name="bookmark2114"/>
      <w:bookmarkStart w:id="2115" w:name="bookmark2115"/>
      <w:bookmarkStart w:id="2116" w:name="bookmark2116"/>
      <w:bookmarkStart w:id="2117" w:name="bookmark2117"/>
      <w:r>
        <w:rPr>
          <w:color w:val="000000"/>
          <w:spacing w:val="0"/>
          <w:w w:val="100"/>
          <w:position w:val="0"/>
        </w:rPr>
        <w:t>（</w:t>
      </w:r>
      <w:bookmarkEnd w:id="2116"/>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114"/>
      <w:bookmarkEnd w:id="2115"/>
      <w:bookmarkEnd w:id="2117"/>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40"/>
        <w:keepNext/>
        <w:keepLines/>
        <w:widowControl w:val="0"/>
        <w:shd w:val="clear" w:color="auto" w:fill="auto"/>
        <w:bidi w:val="0"/>
        <w:spacing w:before="0" w:line="240" w:lineRule="auto"/>
        <w:ind w:left="0" w:right="0" w:firstLine="0"/>
        <w:jc w:val="both"/>
      </w:pPr>
      <w:bookmarkStart w:id="2118" w:name="bookmark2118"/>
      <w:bookmarkStart w:id="2119" w:name="bookmark2119"/>
      <w:bookmarkStart w:id="2120" w:name="bookmark2120"/>
      <w:bookmarkStart w:id="2121" w:name="bookmark2121"/>
      <w:r>
        <w:rPr>
          <w:color w:val="000000"/>
          <w:spacing w:val="0"/>
          <w:w w:val="100"/>
          <w:position w:val="0"/>
        </w:rPr>
        <w:t>（</w:t>
      </w:r>
      <w:bookmarkEnd w:id="2120"/>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118"/>
      <w:bookmarkEnd w:id="2119"/>
      <w:bookmarkEnd w:id="2121"/>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本公司作为担保方</w:t>
      </w:r>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王虎、蔺国强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蔺国强、郭静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蔺国强、郭静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1"/>
        <w:keepNext w:val="0"/>
        <w:keepLines w:val="0"/>
        <w:widowControl w:val="0"/>
        <w:numPr>
          <w:ilvl w:val="0"/>
          <w:numId w:val="43"/>
        </w:numPr>
        <w:shd w:val="clear" w:color="auto" w:fill="auto"/>
        <w:tabs>
          <w:tab w:pos="349" w:val="left"/>
        </w:tabs>
        <w:bidi w:val="0"/>
        <w:spacing w:before="0" w:after="0" w:line="314" w:lineRule="exact"/>
        <w:ind w:left="0" w:right="0" w:firstLine="0"/>
        <w:jc w:val="both"/>
      </w:pPr>
      <w:bookmarkStart w:id="2122" w:name="bookmark2122"/>
      <w:bookmarkEnd w:id="2122"/>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月，公司向招商银行股份有限公司济南分行申请授信</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万元（编号：</w:t>
      </w:r>
      <w:r>
        <w:rPr>
          <w:rFonts w:ascii="Times New Roman" w:eastAsia="Times New Roman" w:hAnsi="Times New Roman" w:cs="Times New Roman"/>
          <w:color w:val="000000"/>
          <w:spacing w:val="0"/>
          <w:w w:val="100"/>
          <w:position w:val="0"/>
          <w:sz w:val="18"/>
          <w:szCs w:val="18"/>
        </w:rPr>
        <w:t>531XY202100184802</w:t>
      </w:r>
      <w:r>
        <w:rPr>
          <w:color w:val="000000"/>
          <w:spacing w:val="0"/>
          <w:w w:val="100"/>
          <w:position w:val="0"/>
        </w:rPr>
        <w:t>）</w:t>
      </w:r>
      <w:r>
        <w:rPr>
          <w:color w:val="000000"/>
          <w:spacing w:val="0"/>
          <w:w w:val="100"/>
          <w:position w:val="0"/>
        </w:rPr>
        <w:t>，授信额度为</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万元，授信期间为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日，授信协议项下债务由王虎及蔺国强提供保证担保。前述担保担保人未收 取费用。</w:t>
      </w:r>
    </w:p>
    <w:p>
      <w:pPr>
        <w:pStyle w:val="Style21"/>
        <w:keepNext w:val="0"/>
        <w:keepLines w:val="0"/>
        <w:widowControl w:val="0"/>
        <w:numPr>
          <w:ilvl w:val="0"/>
          <w:numId w:val="43"/>
        </w:numPr>
        <w:shd w:val="clear" w:color="auto" w:fill="auto"/>
        <w:tabs>
          <w:tab w:pos="349" w:val="left"/>
        </w:tabs>
        <w:bidi w:val="0"/>
        <w:spacing w:before="0" w:after="0" w:line="314" w:lineRule="exact"/>
        <w:ind w:left="0" w:right="0" w:firstLine="0"/>
        <w:jc w:val="both"/>
      </w:pPr>
      <w:bookmarkStart w:id="2123" w:name="bookmark2123"/>
      <w:bookmarkEnd w:id="2123"/>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月，王虎、蔺国强与浙商银行股份有限公司济南分行签署最高额保证合同（编号：</w:t>
      </w:r>
      <w:r>
        <w:rPr>
          <w:rFonts w:ascii="Times New Roman" w:eastAsia="Times New Roman" w:hAnsi="Times New Roman" w:cs="Times New Roman"/>
          <w:color w:val="000000"/>
          <w:spacing w:val="0"/>
          <w:w w:val="100"/>
          <w:position w:val="0"/>
          <w:sz w:val="18"/>
          <w:szCs w:val="18"/>
        </w:rPr>
        <w:t>451011</w:t>
      </w:r>
      <w:r>
        <w:rPr>
          <w:color w:val="000000"/>
          <w:spacing w:val="0"/>
          <w:w w:val="100"/>
          <w:position w:val="0"/>
        </w:rPr>
        <w:t>浙商银高保字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 xml:space="preserve">00001 </w:t>
      </w:r>
      <w:r>
        <w:rPr>
          <w:color w:val="000000"/>
          <w:spacing w:val="0"/>
          <w:w w:val="100"/>
          <w:position w:val="0"/>
        </w:rPr>
        <w:t>号），在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日期间人民币</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万元的最高余额内，为公司通过应收款链平台在浙商银行股份有 限公司处办理的应收账款保兑与应收账款转让业务提供保证担保。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日，公司与浙商银行签署</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万元（含利息） 的《应收账款转让协议》；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日，公司已归还上述借款。</w:t>
      </w:r>
    </w:p>
    <w:p>
      <w:pPr>
        <w:pStyle w:val="Style21"/>
        <w:keepNext w:val="0"/>
        <w:keepLines w:val="0"/>
        <w:widowControl w:val="0"/>
        <w:numPr>
          <w:ilvl w:val="0"/>
          <w:numId w:val="43"/>
        </w:numPr>
        <w:shd w:val="clear" w:color="auto" w:fill="auto"/>
        <w:tabs>
          <w:tab w:pos="349" w:val="left"/>
        </w:tabs>
        <w:bidi w:val="0"/>
        <w:spacing w:before="0" w:after="0" w:line="314" w:lineRule="exact"/>
        <w:ind w:left="0" w:right="0" w:firstLine="0"/>
        <w:jc w:val="both"/>
      </w:pPr>
      <w:bookmarkStart w:id="2124" w:name="bookmark2124"/>
      <w:bookmarkEnd w:id="2124"/>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月，公司向北京银行股份有限公司济南分行申请授信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万元（编号：</w:t>
      </w:r>
      <w:r>
        <w:rPr>
          <w:rFonts w:ascii="Times New Roman" w:eastAsia="Times New Roman" w:hAnsi="Times New Roman" w:cs="Times New Roman"/>
          <w:color w:val="000000"/>
          <w:spacing w:val="0"/>
          <w:w w:val="100"/>
          <w:position w:val="0"/>
          <w:sz w:val="18"/>
          <w:szCs w:val="18"/>
        </w:rPr>
        <w:t>0619621</w:t>
      </w:r>
      <w:r>
        <w:rPr>
          <w:color w:val="000000"/>
          <w:spacing w:val="0"/>
          <w:w w:val="100"/>
          <w:position w:val="0"/>
        </w:rPr>
        <w:t>），授信额度为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万元，授信 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日，授信协议项下债务由蔺国强及郭静提供保证担保。前述担保担保人未收取费用。公 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日在该额度项下借入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日，公司已归还上述借款。</w:t>
      </w:r>
    </w:p>
    <w:p>
      <w:pPr>
        <w:pStyle w:val="Style21"/>
        <w:keepNext w:val="0"/>
        <w:keepLines w:val="0"/>
        <w:widowControl w:val="0"/>
        <w:numPr>
          <w:ilvl w:val="0"/>
          <w:numId w:val="43"/>
        </w:numPr>
        <w:shd w:val="clear" w:color="auto" w:fill="auto"/>
        <w:tabs>
          <w:tab w:pos="349" w:val="left"/>
        </w:tabs>
        <w:bidi w:val="0"/>
        <w:spacing w:before="0" w:after="260" w:line="314" w:lineRule="exact"/>
        <w:ind w:left="0" w:right="0" w:firstLine="0"/>
        <w:jc w:val="both"/>
      </w:pPr>
      <w:bookmarkStart w:id="2125" w:name="bookmark2125"/>
      <w:bookmarkEnd w:id="2125"/>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月，公司向民生银行股份有限公司济南分行申请授信</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万元（编号：</w:t>
      </w:r>
      <w:r>
        <w:rPr>
          <w:rFonts w:ascii="Times New Roman" w:eastAsia="Times New Roman" w:hAnsi="Times New Roman" w:cs="Times New Roman"/>
          <w:color w:val="000000"/>
          <w:spacing w:val="0"/>
          <w:w w:val="100"/>
          <w:position w:val="0"/>
          <w:sz w:val="18"/>
          <w:szCs w:val="18"/>
        </w:rPr>
        <w:t>ZH200000012356</w:t>
      </w:r>
      <w:r>
        <w:rPr>
          <w:color w:val="000000"/>
          <w:spacing w:val="0"/>
          <w:w w:val="100"/>
          <w:position w:val="0"/>
        </w:rPr>
        <w:t>）</w:t>
      </w:r>
      <w:r>
        <w:rPr>
          <w:color w:val="000000"/>
          <w:spacing w:val="0"/>
          <w:w w:val="100"/>
          <w:position w:val="0"/>
        </w:rPr>
        <w:t>，授信额度为</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万元，授信期间为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日，授信协议项下债务由蔺国强及郭静提供保证担保。前述担保担保人未</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收取费用。</w:t>
      </w:r>
    </w:p>
    <w:p>
      <w:pPr>
        <w:pStyle w:val="Style40"/>
        <w:keepNext/>
        <w:keepLines/>
        <w:widowControl w:val="0"/>
        <w:shd w:val="clear" w:color="auto" w:fill="auto"/>
        <w:tabs>
          <w:tab w:pos="493" w:val="left"/>
        </w:tabs>
        <w:bidi w:val="0"/>
        <w:spacing w:before="0" w:line="240" w:lineRule="auto"/>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2126"/>
      <w:bookmarkEnd w:id="2127"/>
      <w:bookmarkEnd w:id="2129"/>
    </w:p>
    <w:p>
      <w:pPr>
        <w:pStyle w:val="Style21"/>
        <w:keepNext w:val="0"/>
        <w:keepLines w:val="0"/>
        <w:widowControl w:val="0"/>
        <w:shd w:val="clear" w:color="auto" w:fill="auto"/>
        <w:bidi w:val="0"/>
        <w:spacing w:before="0" w:after="85" w:line="240" w:lineRule="auto"/>
        <w:ind w:left="0" w:right="0" w:firstLine="0"/>
        <w:jc w:val="right"/>
      </w:pPr>
      <w:r>
        <w:rPr>
          <w:color w:val="000000"/>
          <w:spacing w:val="0"/>
          <w:w w:val="100"/>
          <w:position w:val="0"/>
        </w:rPr>
        <w:t>单位：元</w:t>
      </w:r>
    </w:p>
    <w:p>
      <w:pPr>
        <w:pStyle w:val="Style2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2505" w:val="left"/>
          <w:tab w:pos="4557" w:val="left"/>
          <w:tab w:pos="6446" w:val="left"/>
          <w:tab w:pos="8442" w:val="left"/>
        </w:tabs>
        <w:bidi w:val="0"/>
        <w:spacing w:before="0" w:after="200" w:line="240" w:lineRule="auto"/>
        <w:ind w:left="0" w:right="0" w:firstLine="700"/>
        <w:jc w:val="left"/>
      </w:pPr>
      <w:r>
        <w:rPr>
          <w:color w:val="000000"/>
          <w:spacing w:val="0"/>
          <w:w w:val="100"/>
          <w:position w:val="0"/>
        </w:rPr>
        <w:t>关联方</w:t>
        <w:tab/>
        <w:t>拆借金额</w:t>
        <w:tab/>
        <w:t>起始日</w:t>
        <w:tab/>
        <w:t>到期日</w:t>
        <w:tab/>
        <w:t>说明</w:t>
      </w:r>
    </w:p>
    <w:p>
      <w:pPr>
        <w:pStyle w:val="Style2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200" w:line="240" w:lineRule="auto"/>
        <w:ind w:left="0" w:right="0" w:firstLine="0"/>
        <w:jc w:val="left"/>
      </w:pPr>
      <w:r>
        <w:rPr>
          <w:color w:val="000000"/>
          <w:spacing w:val="0"/>
          <w:w w:val="100"/>
          <w:position w:val="0"/>
        </w:rPr>
        <w:t>拆入</w:t>
      </w:r>
    </w:p>
    <w:p>
      <w:pPr>
        <w:pStyle w:val="Style21"/>
        <w:keepNext w:val="0"/>
        <w:keepLines w:val="0"/>
        <w:widowControl w:val="0"/>
        <w:pBdr>
          <w:top w:val="single" w:sz="4" w:space="6" w:color="D3D3D3"/>
          <w:left w:val="single" w:sz="4" w:space="0" w:color="D3D3D3"/>
          <w:bottom w:val="single" w:sz="4" w:space="7" w:color="D3D3D3"/>
          <w:right w:val="single" w:sz="4" w:space="0" w:color="D3D3D3"/>
        </w:pBdr>
        <w:shd w:val="clear" w:color="auto" w:fill="D3D3D3"/>
        <w:bidi w:val="0"/>
        <w:spacing w:before="0" w:after="306" w:line="240" w:lineRule="auto"/>
        <w:ind w:left="0" w:right="0" w:firstLine="0"/>
        <w:jc w:val="left"/>
      </w:pPr>
      <w:r>
        <w:rPr>
          <w:color w:val="000000"/>
          <w:spacing w:val="0"/>
          <w:w w:val="100"/>
          <w:position w:val="0"/>
        </w:rPr>
        <w:t>拆出</w:t>
      </w:r>
    </w:p>
    <w:p>
      <w:pPr>
        <w:pStyle w:val="Style40"/>
        <w:keepNext/>
        <w:keepLines/>
        <w:widowControl w:val="0"/>
        <w:shd w:val="clear" w:color="auto" w:fill="auto"/>
        <w:tabs>
          <w:tab w:pos="493" w:val="left"/>
        </w:tabs>
        <w:bidi w:val="0"/>
        <w:spacing w:before="0" w:line="240" w:lineRule="auto"/>
        <w:ind w:left="0" w:right="0" w:firstLine="0"/>
        <w:jc w:val="left"/>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2130"/>
      <w:bookmarkEnd w:id="2131"/>
      <w:bookmarkEnd w:id="2133"/>
    </w:p>
    <w:p>
      <w:pPr>
        <w:pStyle w:val="Style21"/>
        <w:keepNext w:val="0"/>
        <w:keepLines w:val="0"/>
        <w:widowControl w:val="0"/>
        <w:shd w:val="clear" w:color="auto" w:fill="auto"/>
        <w:bidi w:val="0"/>
        <w:spacing w:before="0" w:after="85" w:line="240" w:lineRule="auto"/>
        <w:ind w:left="0" w:right="0" w:firstLine="0"/>
        <w:jc w:val="right"/>
      </w:pPr>
      <w:r>
        <w:rPr>
          <w:color w:val="000000"/>
          <w:spacing w:val="0"/>
          <w:w w:val="100"/>
          <w:position w:val="0"/>
        </w:rPr>
        <w:t>单位：元</w:t>
      </w:r>
    </w:p>
    <w:p>
      <w:pPr>
        <w:pStyle w:val="Style21"/>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2117" w:val="left"/>
          <w:tab w:pos="4557" w:val="left"/>
          <w:tab w:pos="6994" w:val="left"/>
        </w:tabs>
        <w:bidi w:val="0"/>
        <w:spacing w:before="0" w:after="310" w:line="240" w:lineRule="auto"/>
        <w:ind w:left="0" w:right="0" w:firstLine="0"/>
        <w:jc w:val="center"/>
      </w:pPr>
      <w:r>
        <w:rPr>
          <w:color w:val="000000"/>
          <w:spacing w:val="0"/>
          <w:w w:val="100"/>
          <w:position w:val="0"/>
        </w:rPr>
        <w:t>关联方</w:t>
        <w:tab/>
        <w:t>关联交易内容</w:t>
        <w:tab/>
        <w:t>本期发生额</w:t>
        <w:tab/>
        <w:t>上期发生额</w:t>
      </w:r>
    </w:p>
    <w:p>
      <w:pPr>
        <w:pStyle w:val="Style40"/>
        <w:keepNext/>
        <w:keepLines/>
        <w:widowControl w:val="0"/>
        <w:shd w:val="clear" w:color="auto" w:fill="auto"/>
        <w:tabs>
          <w:tab w:pos="493" w:val="left"/>
        </w:tabs>
        <w:bidi w:val="0"/>
        <w:spacing w:before="0" w:line="240" w:lineRule="auto"/>
        <w:ind w:left="0" w:right="0" w:firstLine="0"/>
        <w:jc w:val="left"/>
      </w:pPr>
      <w:bookmarkStart w:id="2134" w:name="bookmark2134"/>
      <w:bookmarkStart w:id="2135" w:name="bookmark2135"/>
      <w:bookmarkStart w:id="2136" w:name="bookmark2136"/>
      <w:bookmarkStart w:id="2137" w:name="bookmark2137"/>
      <w:r>
        <w:rPr>
          <w:color w:val="000000"/>
          <w:spacing w:val="0"/>
          <w:w w:val="100"/>
          <w:position w:val="0"/>
        </w:rPr>
        <w:t>（</w:t>
      </w:r>
      <w:bookmarkEnd w:id="2136"/>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2134"/>
      <w:bookmarkEnd w:id="2135"/>
      <w:bookmarkEnd w:id="213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关键管理人员薪酬（税前报酬总额，包 括基本工资、奖金、津贴、补贴和各项 保险费、公积金）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8,923,756.17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7,170,131.34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138" w:name="bookmark2138"/>
      <w:bookmarkStart w:id="2139" w:name="bookmark2139"/>
      <w:bookmarkStart w:id="2140" w:name="bookmark2140"/>
      <w:bookmarkStart w:id="2141" w:name="bookmark2141"/>
      <w:r>
        <w:rPr>
          <w:color w:val="000000"/>
          <w:spacing w:val="0"/>
          <w:w w:val="100"/>
          <w:position w:val="0"/>
        </w:rPr>
        <w:t>（</w:t>
      </w:r>
      <w:bookmarkEnd w:id="214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138"/>
      <w:bookmarkEnd w:id="2139"/>
      <w:bookmarkEnd w:id="2141"/>
    </w:p>
    <w:p>
      <w:pPr>
        <w:pStyle w:val="Style31"/>
        <w:keepNext/>
        <w:keepLines/>
        <w:widowControl w:val="0"/>
        <w:shd w:val="clear" w:color="auto" w:fill="auto"/>
        <w:bidi w:val="0"/>
        <w:spacing w:before="0" w:after="380" w:line="240" w:lineRule="auto"/>
        <w:ind w:left="0" w:right="0" w:firstLine="0"/>
        <w:jc w:val="left"/>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6</w:t>
      </w:r>
      <w:bookmarkEnd w:id="2144"/>
      <w:r>
        <w:rPr>
          <w:color w:val="000000"/>
          <w:spacing w:val="0"/>
          <w:w w:val="100"/>
          <w:position w:val="0"/>
        </w:rPr>
        <w:t>、关联方应收应付款项</w:t>
      </w:r>
      <w:bookmarkEnd w:id="2142"/>
      <w:bookmarkEnd w:id="2143"/>
      <w:bookmarkEnd w:id="2145"/>
    </w:p>
    <w:p>
      <w:pPr>
        <w:pStyle w:val="Style40"/>
        <w:keepNext/>
        <w:keepLines/>
        <w:widowControl w:val="0"/>
        <w:shd w:val="clear" w:color="auto" w:fill="auto"/>
        <w:bidi w:val="0"/>
        <w:spacing w:before="0" w:line="240" w:lineRule="auto"/>
        <w:ind w:left="0" w:right="0" w:firstLine="0"/>
        <w:jc w:val="left"/>
      </w:pPr>
      <w:bookmarkStart w:id="2146" w:name="bookmark2146"/>
      <w:bookmarkStart w:id="2147" w:name="bookmark2147"/>
      <w:bookmarkStart w:id="2148" w:name="bookmark21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146"/>
      <w:bookmarkEnd w:id="2147"/>
      <w:bookmarkEnd w:id="214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合肥耀安科技有限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37,885.84</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1" w:name="bookmark21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149"/>
      <w:bookmarkEnd w:id="2150"/>
      <w:bookmarkEnd w:id="2151"/>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合肥耀安科技有限公司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34,277.42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湖北普联东文信息科技有限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湖北普联东文信息科技有限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7,547.17</w:t>
            </w:r>
          </w:p>
        </w:tc>
      </w:tr>
    </w:tbl>
    <w:p>
      <w:pPr>
        <w:widowControl w:val="0"/>
        <w:spacing w:after="359" w:line="1" w:lineRule="exact"/>
      </w:pPr>
    </w:p>
    <w:p>
      <w:pPr>
        <w:pStyle w:val="Style31"/>
        <w:keepNext/>
        <w:keepLines/>
        <w:widowControl w:val="0"/>
        <w:shd w:val="clear" w:color="auto" w:fill="auto"/>
        <w:tabs>
          <w:tab w:pos="373" w:val="left"/>
        </w:tabs>
        <w:bidi w:val="0"/>
        <w:spacing w:before="0" w:line="240" w:lineRule="auto"/>
        <w:ind w:left="0" w:right="0" w:firstLine="0"/>
        <w:jc w:val="left"/>
      </w:pPr>
      <w:bookmarkStart w:id="2152" w:name="bookmark2152"/>
      <w:bookmarkStart w:id="2153" w:name="bookmark2153"/>
      <w:bookmarkStart w:id="2154" w:name="bookmark2154"/>
      <w:bookmarkStart w:id="2155" w:name="bookmark2155"/>
      <w:r>
        <w:rPr>
          <w:rFonts w:ascii="Times New Roman" w:eastAsia="Times New Roman" w:hAnsi="Times New Roman" w:cs="Times New Roman"/>
          <w:color w:val="000000"/>
          <w:spacing w:val="0"/>
          <w:w w:val="100"/>
          <w:position w:val="0"/>
        </w:rPr>
        <w:t>7</w:t>
      </w:r>
      <w:bookmarkEnd w:id="2154"/>
      <w:r>
        <w:rPr>
          <w:color w:val="000000"/>
          <w:spacing w:val="0"/>
          <w:w w:val="100"/>
          <w:position w:val="0"/>
        </w:rPr>
        <w:t>、</w:t>
        <w:tab/>
        <w:t>关联方承诺</w:t>
      </w:r>
      <w:bookmarkEnd w:id="2152"/>
      <w:bookmarkEnd w:id="2153"/>
      <w:bookmarkEnd w:id="2155"/>
    </w:p>
    <w:p>
      <w:pPr>
        <w:pStyle w:val="Style31"/>
        <w:keepNext/>
        <w:keepLines/>
        <w:widowControl w:val="0"/>
        <w:shd w:val="clear" w:color="auto" w:fill="auto"/>
        <w:tabs>
          <w:tab w:pos="378" w:val="left"/>
        </w:tabs>
        <w:bidi w:val="0"/>
        <w:spacing w:before="0" w:line="240" w:lineRule="auto"/>
        <w:ind w:left="0" w:right="0" w:firstLine="0"/>
        <w:jc w:val="left"/>
      </w:pPr>
      <w:bookmarkStart w:id="2156" w:name="bookmark2156"/>
      <w:bookmarkStart w:id="2157" w:name="bookmark2157"/>
      <w:bookmarkStart w:id="2158" w:name="bookmark2158"/>
      <w:bookmarkStart w:id="2159" w:name="bookmark2159"/>
      <w:r>
        <w:rPr>
          <w:rFonts w:ascii="Times New Roman" w:eastAsia="Times New Roman" w:hAnsi="Times New Roman" w:cs="Times New Roman"/>
          <w:color w:val="000000"/>
          <w:spacing w:val="0"/>
          <w:w w:val="100"/>
          <w:position w:val="0"/>
        </w:rPr>
        <w:t>8</w:t>
      </w:r>
      <w:bookmarkEnd w:id="2158"/>
      <w:r>
        <w:rPr>
          <w:color w:val="000000"/>
          <w:spacing w:val="0"/>
          <w:w w:val="100"/>
          <w:position w:val="0"/>
        </w:rPr>
        <w:t>、</w:t>
        <w:tab/>
        <w:t>其他</w:t>
      </w:r>
      <w:bookmarkEnd w:id="2156"/>
      <w:bookmarkEnd w:id="2157"/>
      <w:bookmarkEnd w:id="2159"/>
    </w:p>
    <w:p>
      <w:pPr>
        <w:pStyle w:val="Style25"/>
        <w:keepNext/>
        <w:keepLines/>
        <w:widowControl w:val="0"/>
        <w:shd w:val="clear" w:color="auto" w:fill="auto"/>
        <w:bidi w:val="0"/>
        <w:spacing w:before="0" w:line="240" w:lineRule="auto"/>
        <w:ind w:left="0" w:right="0" w:firstLine="0"/>
        <w:jc w:val="left"/>
      </w:pPr>
      <w:bookmarkStart w:id="2160" w:name="bookmark2160"/>
      <w:bookmarkStart w:id="2161" w:name="bookmark2161"/>
      <w:bookmarkStart w:id="2162" w:name="bookmark2162"/>
      <w:r>
        <w:rPr>
          <w:color w:val="000000"/>
          <w:spacing w:val="0"/>
          <w:w w:val="100"/>
          <w:position w:val="0"/>
        </w:rPr>
        <w:t>十三、股份支付</w:t>
      </w:r>
      <w:bookmarkEnd w:id="2160"/>
      <w:bookmarkEnd w:id="2161"/>
      <w:bookmarkEnd w:id="2162"/>
    </w:p>
    <w:p>
      <w:pPr>
        <w:pStyle w:val="Style31"/>
        <w:keepNext/>
        <w:keepLines/>
        <w:widowControl w:val="0"/>
        <w:shd w:val="clear" w:color="auto" w:fill="auto"/>
        <w:bidi w:val="0"/>
        <w:spacing w:before="0" w:line="240" w:lineRule="auto"/>
        <w:ind w:left="0" w:right="0" w:firstLine="0"/>
        <w:jc w:val="left"/>
      </w:pPr>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63"/>
      <w:bookmarkEnd w:id="2164"/>
      <w:bookmarkEnd w:id="2165"/>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59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公司第二类限制性股票激励计划本期授予</w:t>
            </w:r>
            <w:r>
              <w:rPr>
                <w:rFonts w:ascii="Times New Roman" w:eastAsia="Times New Roman" w:hAnsi="Times New Roman" w:cs="Times New Roman"/>
                <w:color w:val="000000"/>
                <w:spacing w:val="0"/>
                <w:w w:val="100"/>
                <w:position w:val="0"/>
                <w:sz w:val="18"/>
                <w:szCs w:val="18"/>
              </w:rPr>
              <w:t>292</w:t>
            </w:r>
            <w:r>
              <w:rPr>
                <w:color w:val="000000"/>
                <w:spacing w:val="0"/>
                <w:w w:val="100"/>
                <w:position w:val="0"/>
              </w:rPr>
              <w:t>名激 励对象的授予日为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日，授予数量 </w:t>
            </w:r>
            <w:r>
              <w:rPr>
                <w:rFonts w:ascii="Times New Roman" w:eastAsia="Times New Roman" w:hAnsi="Times New Roman" w:cs="Times New Roman"/>
                <w:color w:val="000000"/>
                <w:spacing w:val="0"/>
                <w:w w:val="100"/>
                <w:position w:val="0"/>
                <w:sz w:val="18"/>
                <w:szCs w:val="18"/>
              </w:rPr>
              <w:t>340.00</w:t>
            </w:r>
            <w:r>
              <w:rPr>
                <w:color w:val="000000"/>
                <w:spacing w:val="0"/>
                <w:w w:val="100"/>
                <w:position w:val="0"/>
              </w:rPr>
              <w:t>万股，授予价格为</w:t>
            </w:r>
            <w:r>
              <w:rPr>
                <w:rFonts w:ascii="Times New Roman" w:eastAsia="Times New Roman" w:hAnsi="Times New Roman" w:cs="Times New Roman"/>
                <w:color w:val="000000"/>
                <w:spacing w:val="0"/>
                <w:w w:val="100"/>
                <w:position w:val="0"/>
                <w:sz w:val="18"/>
                <w:szCs w:val="18"/>
              </w:rPr>
              <w:t>18.24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股，本次第二类限 制性股票计划的有效期为自限制性股票授予日起</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年，若达到满足相应归属条件后将按约定比例分次归 属，分别自首次授予日起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个月后各申请解锁授予限制性股票总量的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66"/>
      <w:bookmarkEnd w:id="2167"/>
      <w:bookmarkEnd w:id="2168"/>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根据最新取得的可行权职工人数变动情况进行统计，业绩 考核目标预计能达到可行权条件，预计可行权权益工具数 量的最佳估计。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48,591,269.41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6,929,726.51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260" w:line="240" w:lineRule="auto"/>
        <w:ind w:left="0" w:right="0" w:firstLine="0"/>
        <w:jc w:val="both"/>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3</w:t>
      </w:r>
      <w:bookmarkEnd w:id="2171"/>
      <w:r>
        <w:rPr>
          <w:color w:val="000000"/>
          <w:spacing w:val="0"/>
          <w:w w:val="100"/>
          <w:position w:val="0"/>
        </w:rPr>
        <w:t>、</w:t>
        <w:tab/>
        <w:t>以现金结算的股份支付情况</w:t>
      </w:r>
      <w:bookmarkEnd w:id="2169"/>
      <w:bookmarkEnd w:id="2170"/>
      <w:bookmarkEnd w:id="2172"/>
    </w:p>
    <w:p>
      <w:pPr>
        <w:pStyle w:val="Style21"/>
        <w:keepNext w:val="0"/>
        <w:keepLines w:val="0"/>
        <w:widowControl w:val="0"/>
        <w:shd w:val="clear" w:color="auto" w:fill="auto"/>
        <w:bidi w:val="0"/>
        <w:spacing w:before="0" w:after="36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60" w:line="240" w:lineRule="auto"/>
        <w:ind w:left="0" w:right="0" w:firstLine="0"/>
        <w:jc w:val="both"/>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4</w:t>
      </w:r>
      <w:bookmarkEnd w:id="2175"/>
      <w:r>
        <w:rPr>
          <w:color w:val="000000"/>
          <w:spacing w:val="0"/>
          <w:w w:val="100"/>
          <w:position w:val="0"/>
        </w:rPr>
        <w:t>、</w:t>
        <w:tab/>
        <w:t>股份支付的修改、终止情况</w:t>
      </w:r>
      <w:bookmarkEnd w:id="2173"/>
      <w:bookmarkEnd w:id="2174"/>
      <w:bookmarkEnd w:id="2176"/>
    </w:p>
    <w:p>
      <w:pPr>
        <w:pStyle w:val="Style2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无</w:t>
      </w:r>
    </w:p>
    <w:p>
      <w:pPr>
        <w:pStyle w:val="Style31"/>
        <w:keepNext/>
        <w:keepLines/>
        <w:widowControl w:val="0"/>
        <w:shd w:val="clear" w:color="auto" w:fill="auto"/>
        <w:tabs>
          <w:tab w:pos="378" w:val="left"/>
        </w:tabs>
        <w:bidi w:val="0"/>
        <w:spacing w:before="0" w:line="240" w:lineRule="auto"/>
        <w:ind w:left="0" w:right="0" w:firstLine="0"/>
        <w:jc w:val="both"/>
      </w:pPr>
      <w:bookmarkStart w:id="2177" w:name="bookmark2177"/>
      <w:bookmarkStart w:id="2178" w:name="bookmark2178"/>
      <w:bookmarkStart w:id="2179" w:name="bookmark2179"/>
      <w:bookmarkStart w:id="2180" w:name="bookmark2180"/>
      <w:r>
        <w:rPr>
          <w:rFonts w:ascii="Times New Roman" w:eastAsia="Times New Roman" w:hAnsi="Times New Roman" w:cs="Times New Roman"/>
          <w:color w:val="000000"/>
          <w:spacing w:val="0"/>
          <w:w w:val="100"/>
          <w:position w:val="0"/>
        </w:rPr>
        <w:t>5</w:t>
      </w:r>
      <w:bookmarkEnd w:id="2179"/>
      <w:r>
        <w:rPr>
          <w:color w:val="000000"/>
          <w:spacing w:val="0"/>
          <w:w w:val="100"/>
          <w:position w:val="0"/>
        </w:rPr>
        <w:t>、</w:t>
        <w:tab/>
        <w:t>其他</w:t>
      </w:r>
      <w:bookmarkEnd w:id="2177"/>
      <w:bookmarkEnd w:id="2178"/>
      <w:bookmarkEnd w:id="2180"/>
    </w:p>
    <w:p>
      <w:pPr>
        <w:pStyle w:val="Style25"/>
        <w:keepNext/>
        <w:keepLines/>
        <w:widowControl w:val="0"/>
        <w:shd w:val="clear" w:color="auto" w:fill="auto"/>
        <w:bidi w:val="0"/>
        <w:spacing w:before="0" w:line="240" w:lineRule="auto"/>
        <w:ind w:left="0" w:right="0" w:firstLine="0"/>
        <w:jc w:val="both"/>
      </w:pPr>
      <w:bookmarkStart w:id="2181" w:name="bookmark2181"/>
      <w:bookmarkStart w:id="2182" w:name="bookmark2182"/>
      <w:bookmarkStart w:id="2183" w:name="bookmark2183"/>
      <w:r>
        <w:rPr>
          <w:color w:val="000000"/>
          <w:spacing w:val="0"/>
          <w:w w:val="100"/>
          <w:position w:val="0"/>
        </w:rPr>
        <w:t>十四、承诺及或有事项</w:t>
      </w:r>
      <w:bookmarkEnd w:id="2181"/>
      <w:bookmarkEnd w:id="2182"/>
      <w:bookmarkEnd w:id="2183"/>
    </w:p>
    <w:p>
      <w:pPr>
        <w:pStyle w:val="Style31"/>
        <w:keepNext/>
        <w:keepLines/>
        <w:widowControl w:val="0"/>
        <w:shd w:val="clear" w:color="auto" w:fill="auto"/>
        <w:bidi w:val="0"/>
        <w:spacing w:before="0" w:after="260" w:line="240" w:lineRule="auto"/>
        <w:ind w:left="0" w:right="0" w:firstLine="0"/>
        <w:jc w:val="both"/>
      </w:pPr>
      <w:bookmarkStart w:id="2184" w:name="bookmark2184"/>
      <w:bookmarkStart w:id="2185" w:name="bookmark2185"/>
      <w:bookmarkStart w:id="2186" w:name="bookmark218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184"/>
      <w:bookmarkEnd w:id="2185"/>
      <w:bookmarkEnd w:id="2186"/>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360" w:line="317" w:lineRule="exact"/>
        <w:ind w:left="0" w:right="0" w:firstLine="3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年第二次临时股东大会的授权，公司于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日召开第三届董事会第十一次会议和第三届监事会第 十次会议，审议通过了《关于向激励对象首次授予限制性股票的议案》，确定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日为首次授予日，以</w:t>
      </w:r>
      <w:r>
        <w:rPr>
          <w:rFonts w:ascii="Times New Roman" w:eastAsia="Times New Roman" w:hAnsi="Times New Roman" w:cs="Times New Roman"/>
          <w:color w:val="000000"/>
          <w:spacing w:val="0"/>
          <w:w w:val="100"/>
          <w:position w:val="0"/>
          <w:sz w:val="18"/>
          <w:szCs w:val="18"/>
        </w:rPr>
        <w:t>18.24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 授予价格向符合授予条件的</w:t>
      </w:r>
      <w:r>
        <w:rPr>
          <w:rFonts w:ascii="Times New Roman" w:eastAsia="Times New Roman" w:hAnsi="Times New Roman" w:cs="Times New Roman"/>
          <w:color w:val="000000"/>
          <w:spacing w:val="0"/>
          <w:w w:val="100"/>
          <w:position w:val="0"/>
          <w:sz w:val="18"/>
          <w:szCs w:val="18"/>
        </w:rPr>
        <w:t>292</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万股第二类限制性股票。本激励计划授予的限制性股票在激励对象满足相 应归属条件后将按约定比例分次归属。本激励计划首次授予的限制性股票各批次归属比例安排如下表所示：</w:t>
      </w:r>
    </w:p>
    <w:tbl>
      <w:tblPr>
        <w:tblOverlap w:val="never"/>
        <w:jc w:val="center"/>
        <w:tblLayout w:type="fixed"/>
      </w:tblPr>
      <w:tblGrid>
        <w:gridCol w:w="1709"/>
        <w:gridCol w:w="5242"/>
        <w:gridCol w:w="2688"/>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00"/>
              <w:jc w:val="left"/>
            </w:pPr>
            <w:r>
              <w:rPr>
                <w:color w:val="000000"/>
                <w:spacing w:val="0"/>
                <w:w w:val="100"/>
                <w:position w:val="0"/>
              </w:rPr>
              <w:t>归属安排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归属时间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归属权益数量占授予限制性股票 总量的比例</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第一个归属期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第二个归属期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个月后的首个交易日起至授予之日起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 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第三个归属期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个月后的首个交易日起至授予之日起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 内的最后一个交易日当日止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bl>
    <w:p>
      <w:pPr>
        <w:widowControl w:val="0"/>
        <w:spacing w:after="359" w:line="1" w:lineRule="exact"/>
      </w:pPr>
    </w:p>
    <w:p>
      <w:pPr>
        <w:pStyle w:val="Style21"/>
        <w:keepNext w:val="0"/>
        <w:keepLines w:val="0"/>
        <w:widowControl w:val="0"/>
        <w:shd w:val="clear" w:color="auto" w:fill="auto"/>
        <w:bidi w:val="0"/>
        <w:spacing w:before="0" w:after="180" w:line="322" w:lineRule="exact"/>
        <w:ind w:left="0" w:right="0" w:firstLine="300"/>
        <w:jc w:val="both"/>
      </w:pPr>
      <w:r>
        <w:rPr>
          <w:color w:val="000000"/>
          <w:spacing w:val="0"/>
          <w:w w:val="100"/>
          <w:position w:val="0"/>
        </w:rPr>
        <w:t>本激励计划考核年度为</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年三个会计年度，每个会计年度考核一次。</w:t>
      </w:r>
    </w:p>
    <w:p>
      <w:pPr>
        <w:pStyle w:val="Style21"/>
        <w:keepNext w:val="0"/>
        <w:keepLines w:val="0"/>
        <w:widowControl w:val="0"/>
        <w:shd w:val="clear" w:color="auto" w:fill="auto"/>
        <w:bidi w:val="0"/>
        <w:spacing w:before="0" w:after="180" w:line="322" w:lineRule="exact"/>
        <w:ind w:left="0" w:right="0" w:firstLine="30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年营业收入为基数，对各考核年度的营业收入增长率进行考核，根据营业收入完成情况核算各年度公司层面 归属比例。</w:t>
      </w:r>
    </w:p>
    <w:p>
      <w:pPr>
        <w:pStyle w:val="Style21"/>
        <w:keepNext w:val="0"/>
        <w:keepLines w:val="0"/>
        <w:widowControl w:val="0"/>
        <w:shd w:val="clear" w:color="auto" w:fill="auto"/>
        <w:bidi w:val="0"/>
        <w:spacing w:before="0" w:after="360" w:line="322" w:lineRule="exact"/>
        <w:ind w:left="0" w:right="0" w:firstLine="300"/>
        <w:jc w:val="both"/>
      </w:pPr>
      <w:r>
        <w:rPr>
          <w:color w:val="000000"/>
          <w:spacing w:val="0"/>
          <w:w w:val="100"/>
          <w:position w:val="0"/>
        </w:rPr>
        <w:t>除上述事项外，截至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日，本公司不存在其他应披露的承诺事项。</w:t>
      </w:r>
    </w:p>
    <w:p>
      <w:pPr>
        <w:pStyle w:val="Style31"/>
        <w:keepNext/>
        <w:keepLines/>
        <w:widowControl w:val="0"/>
        <w:shd w:val="clear" w:color="auto" w:fill="auto"/>
        <w:bidi w:val="0"/>
        <w:spacing w:before="0" w:line="240" w:lineRule="auto"/>
        <w:ind w:left="0" w:right="0" w:firstLine="0"/>
        <w:jc w:val="both"/>
      </w:pPr>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187"/>
      <w:bookmarkEnd w:id="2188"/>
      <w:bookmarkEnd w:id="2189"/>
    </w:p>
    <w:p>
      <w:pPr>
        <w:pStyle w:val="Style40"/>
        <w:keepNext/>
        <w:keepLines/>
        <w:widowControl w:val="0"/>
        <w:shd w:val="clear" w:color="auto" w:fill="auto"/>
        <w:bidi w:val="0"/>
        <w:spacing w:before="0" w:after="260" w:line="240" w:lineRule="auto"/>
        <w:ind w:left="0" w:right="0" w:firstLine="0"/>
        <w:jc w:val="both"/>
      </w:pPr>
      <w:bookmarkStart w:id="2190" w:name="bookmark2190"/>
      <w:bookmarkStart w:id="2191" w:name="bookmark2191"/>
      <w:bookmarkStart w:id="2192" w:name="bookmark21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190"/>
      <w:bookmarkEnd w:id="2191"/>
      <w:bookmarkEnd w:id="2192"/>
    </w:p>
    <w:p>
      <w:pPr>
        <w:pStyle w:val="Style21"/>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日，本公司不存在应披露的未决诉讼、对外担保等或有事项。</w:t>
      </w:r>
    </w:p>
    <w:p>
      <w:pPr>
        <w:pStyle w:val="Style40"/>
        <w:keepNext/>
        <w:keepLines/>
        <w:widowControl w:val="0"/>
        <w:shd w:val="clear" w:color="auto" w:fill="auto"/>
        <w:bidi w:val="0"/>
        <w:spacing w:before="0" w:after="360" w:line="240" w:lineRule="auto"/>
        <w:ind w:left="0" w:right="0" w:firstLine="0"/>
        <w:jc w:val="left"/>
      </w:pPr>
      <w:bookmarkStart w:id="2193" w:name="bookmark2193"/>
      <w:bookmarkStart w:id="2194" w:name="bookmark2194"/>
      <w:bookmarkStart w:id="2195" w:name="bookmark21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193"/>
      <w:bookmarkEnd w:id="2194"/>
      <w:bookmarkEnd w:id="2195"/>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31"/>
        <w:keepNext/>
        <w:keepLines/>
        <w:widowControl w:val="0"/>
        <w:shd w:val="clear" w:color="auto" w:fill="auto"/>
        <w:bidi w:val="0"/>
        <w:spacing w:before="0" w:line="240" w:lineRule="auto"/>
        <w:ind w:left="0" w:right="0" w:firstLine="0"/>
        <w:jc w:val="left"/>
      </w:pPr>
      <w:bookmarkStart w:id="2196" w:name="bookmark2196"/>
      <w:bookmarkStart w:id="2197" w:name="bookmark2197"/>
      <w:bookmarkStart w:id="2198" w:name="bookmark2198"/>
      <w:bookmarkStart w:id="2199" w:name="bookmark2199"/>
      <w:r>
        <w:rPr>
          <w:rFonts w:ascii="Times New Roman" w:eastAsia="Times New Roman" w:hAnsi="Times New Roman" w:cs="Times New Roman"/>
          <w:color w:val="000000"/>
          <w:spacing w:val="0"/>
          <w:w w:val="100"/>
          <w:position w:val="0"/>
        </w:rPr>
        <w:t>3</w:t>
      </w:r>
      <w:bookmarkEnd w:id="2198"/>
      <w:r>
        <w:rPr>
          <w:color w:val="000000"/>
          <w:spacing w:val="0"/>
          <w:w w:val="100"/>
          <w:position w:val="0"/>
        </w:rPr>
        <w:t>、其他</w:t>
      </w:r>
      <w:bookmarkEnd w:id="2196"/>
      <w:bookmarkEnd w:id="2197"/>
      <w:bookmarkEnd w:id="2199"/>
    </w:p>
    <w:p>
      <w:pPr>
        <w:pStyle w:val="Style25"/>
        <w:keepNext/>
        <w:keepLines/>
        <w:widowControl w:val="0"/>
        <w:shd w:val="clear" w:color="auto" w:fill="auto"/>
        <w:bidi w:val="0"/>
        <w:spacing w:before="0" w:line="240" w:lineRule="auto"/>
        <w:ind w:left="0" w:right="0" w:firstLine="0"/>
        <w:jc w:val="left"/>
      </w:pPr>
      <w:bookmarkStart w:id="2200" w:name="bookmark2200"/>
      <w:bookmarkStart w:id="2201" w:name="bookmark2201"/>
      <w:bookmarkStart w:id="2202" w:name="bookmark2202"/>
      <w:r>
        <w:rPr>
          <w:color w:val="000000"/>
          <w:spacing w:val="0"/>
          <w:w w:val="100"/>
          <w:position w:val="0"/>
        </w:rPr>
        <w:t>十五、资产负债表日后事项</w:t>
      </w:r>
      <w:bookmarkEnd w:id="2200"/>
      <w:bookmarkEnd w:id="2201"/>
      <w:bookmarkEnd w:id="2202"/>
    </w:p>
    <w:p>
      <w:pPr>
        <w:pStyle w:val="Style31"/>
        <w:keepNext/>
        <w:keepLines/>
        <w:widowControl w:val="0"/>
        <w:shd w:val="clear" w:color="auto" w:fill="auto"/>
        <w:bidi w:val="0"/>
        <w:spacing w:before="0" w:line="240" w:lineRule="auto"/>
        <w:ind w:left="0" w:right="0" w:firstLine="0"/>
        <w:jc w:val="left"/>
      </w:pPr>
      <w:bookmarkStart w:id="2203" w:name="bookmark2203"/>
      <w:bookmarkStart w:id="2204" w:name="bookmark2204"/>
      <w:bookmarkStart w:id="2205" w:name="bookmark2205"/>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203"/>
      <w:bookmarkEnd w:id="2204"/>
      <w:bookmarkEnd w:id="220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206"/>
      <w:bookmarkEnd w:id="2207"/>
      <w:bookmarkEnd w:id="220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5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42,303,197.70</w:t>
            </w:r>
          </w:p>
        </w:tc>
      </w:tr>
      <w:tr>
        <w:trPr>
          <w:trHeight w:val="57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42,303,197.70</w:t>
            </w:r>
          </w:p>
        </w:tc>
      </w:tr>
    </w:tbl>
    <w:p>
      <w:pPr>
        <w:widowControl w:val="0"/>
        <w:spacing w:after="67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209" w:name="bookmark2209"/>
      <w:bookmarkStart w:id="2210" w:name="bookmark2210"/>
      <w:bookmarkStart w:id="2211" w:name="bookmark2211"/>
      <w:bookmarkStart w:id="2212" w:name="bookmark2212"/>
      <w:r>
        <w:rPr>
          <w:rFonts w:ascii="Times New Roman" w:eastAsia="Times New Roman" w:hAnsi="Times New Roman" w:cs="Times New Roman"/>
          <w:color w:val="000000"/>
          <w:spacing w:val="0"/>
          <w:w w:val="100"/>
          <w:position w:val="0"/>
        </w:rPr>
        <w:t>3</w:t>
      </w:r>
      <w:bookmarkEnd w:id="2211"/>
      <w:r>
        <w:rPr>
          <w:color w:val="000000"/>
          <w:spacing w:val="0"/>
          <w:w w:val="100"/>
          <w:position w:val="0"/>
        </w:rPr>
        <w:t>、</w:t>
        <w:tab/>
        <w:t>销售退回</w:t>
      </w:r>
      <w:bookmarkEnd w:id="2209"/>
      <w:bookmarkEnd w:id="2210"/>
      <w:bookmarkEnd w:id="2212"/>
    </w:p>
    <w:p>
      <w:pPr>
        <w:pStyle w:val="Style31"/>
        <w:keepNext/>
        <w:keepLines/>
        <w:widowControl w:val="0"/>
        <w:shd w:val="clear" w:color="auto" w:fill="auto"/>
        <w:tabs>
          <w:tab w:pos="378" w:val="left"/>
        </w:tabs>
        <w:bidi w:val="0"/>
        <w:spacing w:before="0" w:line="240" w:lineRule="auto"/>
        <w:ind w:left="0" w:right="0" w:firstLine="0"/>
        <w:jc w:val="left"/>
      </w:pPr>
      <w:bookmarkStart w:id="2213" w:name="bookmark2213"/>
      <w:bookmarkStart w:id="2214" w:name="bookmark2214"/>
      <w:bookmarkStart w:id="2215" w:name="bookmark2215"/>
      <w:bookmarkStart w:id="2216" w:name="bookmark2216"/>
      <w:r>
        <w:rPr>
          <w:rFonts w:ascii="Times New Roman" w:eastAsia="Times New Roman" w:hAnsi="Times New Roman" w:cs="Times New Roman"/>
          <w:color w:val="000000"/>
          <w:spacing w:val="0"/>
          <w:w w:val="100"/>
          <w:position w:val="0"/>
        </w:rPr>
        <w:t>4</w:t>
      </w:r>
      <w:bookmarkEnd w:id="2215"/>
      <w:r>
        <w:rPr>
          <w:color w:val="000000"/>
          <w:spacing w:val="0"/>
          <w:w w:val="100"/>
          <w:position w:val="0"/>
        </w:rPr>
        <w:t>、</w:t>
        <w:tab/>
        <w:t>其他资产负债表日后事项说明</w:t>
      </w:r>
      <w:bookmarkEnd w:id="2213"/>
      <w:bookmarkEnd w:id="2214"/>
      <w:bookmarkEnd w:id="2216"/>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除上述事项外，截至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日，本公司不存在其他应披露的资产负债表日后事项。</w:t>
      </w:r>
    </w:p>
    <w:p>
      <w:pPr>
        <w:pStyle w:val="Style25"/>
        <w:keepNext/>
        <w:keepLines/>
        <w:widowControl w:val="0"/>
        <w:shd w:val="clear" w:color="auto" w:fill="auto"/>
        <w:bidi w:val="0"/>
        <w:spacing w:before="0" w:line="240" w:lineRule="auto"/>
        <w:ind w:left="0" w:right="0" w:firstLine="0"/>
        <w:jc w:val="left"/>
      </w:pPr>
      <w:bookmarkStart w:id="2217" w:name="bookmark2217"/>
      <w:bookmarkStart w:id="2218" w:name="bookmark2218"/>
      <w:bookmarkStart w:id="2219" w:name="bookmark2219"/>
      <w:r>
        <w:rPr>
          <w:color w:val="000000"/>
          <w:spacing w:val="0"/>
          <w:w w:val="100"/>
          <w:position w:val="0"/>
        </w:rPr>
        <w:t>十六、其他重要事项</w:t>
      </w:r>
      <w:bookmarkEnd w:id="2217"/>
      <w:bookmarkEnd w:id="2218"/>
      <w:bookmarkEnd w:id="2219"/>
    </w:p>
    <w:p>
      <w:pPr>
        <w:pStyle w:val="Style31"/>
        <w:keepNext/>
        <w:keepLines/>
        <w:widowControl w:val="0"/>
        <w:shd w:val="clear" w:color="auto" w:fill="auto"/>
        <w:bidi w:val="0"/>
        <w:spacing w:before="0" w:line="240" w:lineRule="auto"/>
        <w:ind w:left="0" w:right="0" w:firstLine="0"/>
        <w:jc w:val="left"/>
      </w:pPr>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220"/>
      <w:bookmarkEnd w:id="2221"/>
      <w:bookmarkEnd w:id="2222"/>
    </w:p>
    <w:p>
      <w:pPr>
        <w:pStyle w:val="Style40"/>
        <w:keepNext/>
        <w:keepLines/>
        <w:widowControl w:val="0"/>
        <w:shd w:val="clear" w:color="auto" w:fill="auto"/>
        <w:bidi w:val="0"/>
        <w:spacing w:before="0" w:after="360" w:line="240" w:lineRule="auto"/>
        <w:ind w:left="0" w:right="0" w:firstLine="0"/>
        <w:jc w:val="left"/>
      </w:pPr>
      <w:bookmarkStart w:id="2223" w:name="bookmark2223"/>
      <w:bookmarkStart w:id="2224" w:name="bookmark2224"/>
      <w:bookmarkStart w:id="2225" w:name="bookmark22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223"/>
      <w:bookmarkEnd w:id="2224"/>
      <w:bookmarkEnd w:id="222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0"/>
        <w:jc w:val="left"/>
      </w:pPr>
      <w:bookmarkStart w:id="2226" w:name="bookmark2226"/>
      <w:bookmarkStart w:id="2227" w:name="bookmark2227"/>
      <w:bookmarkStart w:id="2228" w:name="bookmark22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226"/>
      <w:bookmarkEnd w:id="2227"/>
      <w:bookmarkEnd w:id="2228"/>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sectPr>
          <w:footnotePr>
            <w:pos w:val="pageBottom"/>
            <w:numFmt w:val="decimal"/>
            <w:numRestart w:val="continuous"/>
          </w:footnotePr>
          <w:pgSz w:w="11900" w:h="16840"/>
          <w:pgMar w:top="1376" w:right="930" w:bottom="1462" w:left="843" w:header="0" w:footer="3" w:gutter="0"/>
          <w:cols w:space="720"/>
          <w:noEndnote/>
          <w:rtlGutter w:val="0"/>
          <w:docGrid w:linePitch="360"/>
        </w:sectPr>
      </w:pPr>
    </w:p>
    <w:p>
      <w:pPr>
        <w:pStyle w:val="Style31"/>
        <w:keepNext/>
        <w:keepLines/>
        <w:widowControl w:val="0"/>
        <w:shd w:val="clear" w:color="auto" w:fill="auto"/>
        <w:tabs>
          <w:tab w:pos="1238" w:val="left"/>
        </w:tabs>
        <w:bidi w:val="0"/>
        <w:spacing w:before="0" w:line="240" w:lineRule="auto"/>
        <w:ind w:left="0" w:right="0" w:firstLine="860"/>
        <w:jc w:val="left"/>
      </w:pPr>
      <w:bookmarkStart w:id="2229" w:name="bookmark2229"/>
      <w:bookmarkStart w:id="2230" w:name="bookmark2230"/>
      <w:bookmarkStart w:id="2231" w:name="bookmark2231"/>
      <w:bookmarkStart w:id="2232" w:name="bookmark2232"/>
      <w:r>
        <w:rPr>
          <w:rFonts w:ascii="Times New Roman" w:eastAsia="Times New Roman" w:hAnsi="Times New Roman" w:cs="Times New Roman"/>
          <w:color w:val="000000"/>
          <w:spacing w:val="0"/>
          <w:w w:val="100"/>
          <w:position w:val="0"/>
        </w:rPr>
        <w:t>2</w:t>
      </w:r>
      <w:bookmarkEnd w:id="2231"/>
      <w:r>
        <w:rPr>
          <w:color w:val="000000"/>
          <w:spacing w:val="0"/>
          <w:w w:val="100"/>
          <w:position w:val="0"/>
        </w:rPr>
        <w:t>、</w:t>
        <w:tab/>
        <w:t>债务重组</w:t>
      </w:r>
      <w:bookmarkEnd w:id="2229"/>
      <w:bookmarkEnd w:id="2230"/>
      <w:bookmarkEnd w:id="2232"/>
    </w:p>
    <w:p>
      <w:pPr>
        <w:pStyle w:val="Style31"/>
        <w:keepNext/>
        <w:keepLines/>
        <w:widowControl w:val="0"/>
        <w:shd w:val="clear" w:color="auto" w:fill="auto"/>
        <w:tabs>
          <w:tab w:pos="1238" w:val="left"/>
        </w:tabs>
        <w:bidi w:val="0"/>
        <w:spacing w:before="0" w:line="240" w:lineRule="auto"/>
        <w:ind w:left="0" w:right="0" w:firstLine="86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3</w:t>
      </w:r>
      <w:bookmarkEnd w:id="2235"/>
      <w:r>
        <w:rPr>
          <w:color w:val="000000"/>
          <w:spacing w:val="0"/>
          <w:w w:val="100"/>
          <w:position w:val="0"/>
        </w:rPr>
        <w:t>、</w:t>
        <w:tab/>
        <w:t>资产置换</w:t>
      </w:r>
      <w:bookmarkEnd w:id="2233"/>
      <w:bookmarkEnd w:id="2234"/>
      <w:bookmarkEnd w:id="2236"/>
    </w:p>
    <w:p>
      <w:pPr>
        <w:pStyle w:val="Style40"/>
        <w:keepNext/>
        <w:keepLines/>
        <w:widowControl w:val="0"/>
        <w:shd w:val="clear" w:color="auto" w:fill="auto"/>
        <w:tabs>
          <w:tab w:pos="1353" w:val="left"/>
        </w:tabs>
        <w:bidi w:val="0"/>
        <w:spacing w:before="0" w:after="360" w:line="240" w:lineRule="auto"/>
        <w:ind w:left="0" w:right="0" w:firstLine="860"/>
        <w:jc w:val="left"/>
      </w:pPr>
      <w:bookmarkStart w:id="2237" w:name="bookmark2237"/>
      <w:bookmarkStart w:id="2238" w:name="bookmark2238"/>
      <w:bookmarkStart w:id="2239" w:name="bookmark2239"/>
      <w:bookmarkStart w:id="2240" w:name="bookmark2240"/>
      <w:r>
        <w:rPr>
          <w:color w:val="000000"/>
          <w:spacing w:val="0"/>
          <w:w w:val="100"/>
          <w:position w:val="0"/>
        </w:rPr>
        <w:t>（</w:t>
      </w:r>
      <w:bookmarkEnd w:id="2239"/>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237"/>
      <w:bookmarkEnd w:id="2238"/>
      <w:bookmarkEnd w:id="2240"/>
    </w:p>
    <w:p>
      <w:pPr>
        <w:pStyle w:val="Style40"/>
        <w:keepNext/>
        <w:keepLines/>
        <w:widowControl w:val="0"/>
        <w:shd w:val="clear" w:color="auto" w:fill="auto"/>
        <w:tabs>
          <w:tab w:pos="1353" w:val="left"/>
        </w:tabs>
        <w:bidi w:val="0"/>
        <w:spacing w:before="0" w:after="360" w:line="240" w:lineRule="auto"/>
        <w:ind w:left="0" w:right="0" w:firstLine="86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241"/>
      <w:bookmarkEnd w:id="2242"/>
      <w:bookmarkEnd w:id="2244"/>
    </w:p>
    <w:p>
      <w:pPr>
        <w:pStyle w:val="Style31"/>
        <w:keepNext/>
        <w:keepLines/>
        <w:widowControl w:val="0"/>
        <w:shd w:val="clear" w:color="auto" w:fill="auto"/>
        <w:tabs>
          <w:tab w:pos="1238" w:val="left"/>
        </w:tabs>
        <w:bidi w:val="0"/>
        <w:spacing w:before="0" w:line="240" w:lineRule="auto"/>
        <w:ind w:left="0" w:right="0" w:firstLine="860"/>
        <w:jc w:val="left"/>
      </w:pPr>
      <w:bookmarkStart w:id="2245" w:name="bookmark2245"/>
      <w:bookmarkStart w:id="2246" w:name="bookmark2246"/>
      <w:bookmarkStart w:id="2247" w:name="bookmark2247"/>
      <w:bookmarkStart w:id="2248" w:name="bookmark2248"/>
      <w:r>
        <w:rPr>
          <w:rFonts w:ascii="Times New Roman" w:eastAsia="Times New Roman" w:hAnsi="Times New Roman" w:cs="Times New Roman"/>
          <w:color w:val="000000"/>
          <w:spacing w:val="0"/>
          <w:w w:val="100"/>
          <w:position w:val="0"/>
        </w:rPr>
        <w:t>4</w:t>
      </w:r>
      <w:bookmarkEnd w:id="2247"/>
      <w:r>
        <w:rPr>
          <w:color w:val="000000"/>
          <w:spacing w:val="0"/>
          <w:w w:val="100"/>
          <w:position w:val="0"/>
        </w:rPr>
        <w:t>、</w:t>
        <w:tab/>
        <w:t>年金计划</w:t>
      </w:r>
      <w:bookmarkEnd w:id="2245"/>
      <w:bookmarkEnd w:id="2246"/>
      <w:bookmarkEnd w:id="2248"/>
    </w:p>
    <w:p>
      <w:pPr>
        <w:pStyle w:val="Style31"/>
        <w:keepNext/>
        <w:keepLines/>
        <w:widowControl w:val="0"/>
        <w:shd w:val="clear" w:color="auto" w:fill="auto"/>
        <w:tabs>
          <w:tab w:pos="1238" w:val="left"/>
        </w:tabs>
        <w:bidi w:val="0"/>
        <w:spacing w:before="0" w:line="240" w:lineRule="auto"/>
        <w:ind w:left="0" w:right="0" w:firstLine="860"/>
        <w:jc w:val="left"/>
      </w:pPr>
      <w:bookmarkStart w:id="2249" w:name="bookmark2249"/>
      <w:bookmarkStart w:id="2250" w:name="bookmark2250"/>
      <w:bookmarkStart w:id="2251" w:name="bookmark2251"/>
      <w:bookmarkStart w:id="2252" w:name="bookmark2252"/>
      <w:r>
        <w:rPr>
          <w:rFonts w:ascii="Times New Roman" w:eastAsia="Times New Roman" w:hAnsi="Times New Roman" w:cs="Times New Roman"/>
          <w:color w:val="000000"/>
          <w:spacing w:val="0"/>
          <w:w w:val="100"/>
          <w:position w:val="0"/>
        </w:rPr>
        <w:t>5</w:t>
      </w:r>
      <w:bookmarkEnd w:id="2251"/>
      <w:r>
        <w:rPr>
          <w:color w:val="000000"/>
          <w:spacing w:val="0"/>
          <w:w w:val="100"/>
          <w:position w:val="0"/>
        </w:rPr>
        <w:t>、</w:t>
        <w:tab/>
        <w:t>终止经营</w:t>
      </w:r>
      <w:bookmarkEnd w:id="2249"/>
      <w:bookmarkEnd w:id="2250"/>
      <w:bookmarkEnd w:id="22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widowControl w:val="0"/>
        <w:spacing w:after="99" w:line="1" w:lineRule="exact"/>
      </w:pPr>
    </w:p>
    <w:p>
      <w:pPr>
        <w:pStyle w:val="Style21"/>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860"/>
        <w:jc w:val="left"/>
      </w:pPr>
      <w:bookmarkStart w:id="2253" w:name="bookmark2253"/>
      <w:bookmarkStart w:id="2254" w:name="bookmark2254"/>
      <w:bookmarkStart w:id="2255" w:name="bookmark2255"/>
      <w:bookmarkStart w:id="2256" w:name="bookmark2256"/>
      <w:r>
        <w:rPr>
          <w:rFonts w:ascii="Times New Roman" w:eastAsia="Times New Roman" w:hAnsi="Times New Roman" w:cs="Times New Roman"/>
          <w:color w:val="000000"/>
          <w:spacing w:val="0"/>
          <w:w w:val="100"/>
          <w:position w:val="0"/>
        </w:rPr>
        <w:t>6</w:t>
      </w:r>
      <w:bookmarkEnd w:id="2255"/>
      <w:r>
        <w:rPr>
          <w:color w:val="000000"/>
          <w:spacing w:val="0"/>
          <w:w w:val="100"/>
          <w:position w:val="0"/>
        </w:rPr>
        <w:t>、分部信息</w:t>
      </w:r>
      <w:bookmarkEnd w:id="2253"/>
      <w:bookmarkEnd w:id="2254"/>
      <w:bookmarkEnd w:id="2256"/>
    </w:p>
    <w:p>
      <w:pPr>
        <w:pStyle w:val="Style40"/>
        <w:keepNext/>
        <w:keepLines/>
        <w:widowControl w:val="0"/>
        <w:shd w:val="clear" w:color="auto" w:fill="auto"/>
        <w:tabs>
          <w:tab w:pos="1353" w:val="left"/>
        </w:tabs>
        <w:bidi w:val="0"/>
        <w:spacing w:before="0" w:after="360" w:line="240" w:lineRule="auto"/>
        <w:ind w:left="0" w:right="0" w:firstLine="86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257"/>
      <w:bookmarkEnd w:id="2258"/>
      <w:bookmarkEnd w:id="2260"/>
    </w:p>
    <w:p>
      <w:pPr>
        <w:pStyle w:val="Style40"/>
        <w:keepNext/>
        <w:keepLines/>
        <w:widowControl w:val="0"/>
        <w:shd w:val="clear" w:color="auto" w:fill="auto"/>
        <w:tabs>
          <w:tab w:pos="1353" w:val="left"/>
        </w:tabs>
        <w:bidi w:val="0"/>
        <w:spacing w:before="0" w:after="360" w:line="240" w:lineRule="auto"/>
        <w:ind w:left="0" w:right="0" w:firstLine="860"/>
        <w:jc w:val="both"/>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261"/>
      <w:bookmarkEnd w:id="2262"/>
      <w:bookmarkEnd w:id="2264"/>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tabs>
          <w:tab w:pos="1353" w:val="left"/>
        </w:tabs>
        <w:bidi w:val="0"/>
        <w:spacing w:before="0" w:after="360" w:line="240" w:lineRule="auto"/>
        <w:ind w:left="0" w:right="0" w:firstLine="86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265"/>
      <w:bookmarkEnd w:id="2266"/>
      <w:bookmarkEnd w:id="2268"/>
    </w:p>
    <w:p>
      <w:pPr>
        <w:pStyle w:val="Style40"/>
        <w:keepNext/>
        <w:keepLines/>
        <w:widowControl w:val="0"/>
        <w:shd w:val="clear" w:color="auto" w:fill="auto"/>
        <w:tabs>
          <w:tab w:pos="1353" w:val="left"/>
        </w:tabs>
        <w:bidi w:val="0"/>
        <w:spacing w:before="0" w:after="260" w:line="240" w:lineRule="auto"/>
        <w:ind w:left="0" w:right="0" w:firstLine="860"/>
        <w:jc w:val="both"/>
      </w:pPr>
      <w:bookmarkStart w:id="2269" w:name="bookmark2269"/>
      <w:bookmarkStart w:id="2270" w:name="bookmark2270"/>
      <w:bookmarkStart w:id="2271" w:name="bookmark2271"/>
      <w:bookmarkStart w:id="2272" w:name="bookmark2272"/>
      <w:r>
        <w:rPr>
          <w:color w:val="000000"/>
          <w:spacing w:val="0"/>
          <w:w w:val="100"/>
          <w:position w:val="0"/>
        </w:rPr>
        <w:t>（</w:t>
      </w:r>
      <w:bookmarkEnd w:id="227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269"/>
      <w:bookmarkEnd w:id="2270"/>
      <w:bookmarkEnd w:id="2272"/>
    </w:p>
    <w:p>
      <w:pPr>
        <w:pStyle w:val="Style21"/>
        <w:keepNext w:val="0"/>
        <w:keepLines w:val="0"/>
        <w:widowControl w:val="0"/>
        <w:shd w:val="clear" w:color="auto" w:fill="auto"/>
        <w:bidi w:val="0"/>
        <w:spacing w:before="0" w:after="360" w:line="317" w:lineRule="exact"/>
        <w:ind w:left="860" w:right="0" w:firstLine="20"/>
        <w:jc w:val="left"/>
      </w:pPr>
      <w:r>
        <w:rPr>
          <w:color w:val="000000"/>
          <w:spacing w:val="0"/>
          <w:w w:val="100"/>
          <w:position w:val="0"/>
        </w:rPr>
        <w:t>除计算机软件产品及系统产品的开发、销售业务外，本公司未经营其他对经营成果有重大影响的业务。同时，由于本公司收 入主要来自中国境内，其主要资产亦位于中国境内，因此本公司无需披露分部数据。</w:t>
      </w:r>
    </w:p>
    <w:p>
      <w:pPr>
        <w:pStyle w:val="Style31"/>
        <w:keepNext/>
        <w:keepLines/>
        <w:widowControl w:val="0"/>
        <w:shd w:val="clear" w:color="auto" w:fill="auto"/>
        <w:tabs>
          <w:tab w:pos="1233" w:val="left"/>
        </w:tabs>
        <w:bidi w:val="0"/>
        <w:spacing w:before="0" w:line="240" w:lineRule="auto"/>
        <w:ind w:left="0" w:right="0" w:firstLine="86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7</w:t>
      </w:r>
      <w:bookmarkEnd w:id="2275"/>
      <w:r>
        <w:rPr>
          <w:color w:val="000000"/>
          <w:spacing w:val="0"/>
          <w:w w:val="100"/>
          <w:position w:val="0"/>
        </w:rPr>
        <w:t>、</w:t>
        <w:tab/>
        <w:t>其他对投资者决策有影响的重要交易和事项</w:t>
      </w:r>
      <w:bookmarkEnd w:id="2273"/>
      <w:bookmarkEnd w:id="2274"/>
      <w:bookmarkEnd w:id="2276"/>
    </w:p>
    <w:p>
      <w:pPr>
        <w:pStyle w:val="Style31"/>
        <w:keepNext/>
        <w:keepLines/>
        <w:widowControl w:val="0"/>
        <w:shd w:val="clear" w:color="auto" w:fill="auto"/>
        <w:tabs>
          <w:tab w:pos="1238" w:val="left"/>
        </w:tabs>
        <w:bidi w:val="0"/>
        <w:spacing w:before="0" w:line="240" w:lineRule="auto"/>
        <w:ind w:left="0" w:right="0" w:firstLine="86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8</w:t>
      </w:r>
      <w:bookmarkEnd w:id="2279"/>
      <w:r>
        <w:rPr>
          <w:color w:val="000000"/>
          <w:spacing w:val="0"/>
          <w:w w:val="100"/>
          <w:position w:val="0"/>
        </w:rPr>
        <w:t>、</w:t>
        <w:tab/>
        <w:t>其他</w:t>
      </w:r>
      <w:bookmarkEnd w:id="2277"/>
      <w:bookmarkEnd w:id="2278"/>
      <w:bookmarkEnd w:id="2280"/>
    </w:p>
    <w:p>
      <w:pPr>
        <w:pStyle w:val="Style25"/>
        <w:keepNext/>
        <w:keepLines/>
        <w:widowControl w:val="0"/>
        <w:shd w:val="clear" w:color="auto" w:fill="auto"/>
        <w:bidi w:val="0"/>
        <w:spacing w:before="0" w:line="240" w:lineRule="auto"/>
        <w:ind w:left="0" w:right="0" w:firstLine="860"/>
        <w:jc w:val="left"/>
      </w:pPr>
      <w:bookmarkStart w:id="2281" w:name="bookmark2281"/>
      <w:bookmarkStart w:id="2282" w:name="bookmark2282"/>
      <w:bookmarkStart w:id="2283" w:name="bookmark2283"/>
      <w:r>
        <w:rPr>
          <w:color w:val="000000"/>
          <w:spacing w:val="0"/>
          <w:w w:val="100"/>
          <w:position w:val="0"/>
        </w:rPr>
        <w:t>十七、母公司财务报表主要项目注释</w:t>
      </w:r>
      <w:bookmarkEnd w:id="2281"/>
      <w:bookmarkEnd w:id="2282"/>
      <w:bookmarkEnd w:id="2283"/>
    </w:p>
    <w:p>
      <w:pPr>
        <w:pStyle w:val="Style31"/>
        <w:keepNext/>
        <w:keepLines/>
        <w:widowControl w:val="0"/>
        <w:shd w:val="clear" w:color="auto" w:fill="auto"/>
        <w:bidi w:val="0"/>
        <w:spacing w:before="0" w:line="240" w:lineRule="auto"/>
        <w:ind w:left="0" w:right="0" w:firstLine="860"/>
        <w:jc w:val="left"/>
      </w:pPr>
      <w:bookmarkStart w:id="2284" w:name="bookmark2284"/>
      <w:bookmarkStart w:id="2285" w:name="bookmark2285"/>
      <w:bookmarkStart w:id="2286" w:name="bookmark228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84"/>
      <w:bookmarkEnd w:id="2285"/>
      <w:bookmarkEnd w:id="2286"/>
    </w:p>
    <w:p>
      <w:pPr>
        <w:pStyle w:val="Style40"/>
        <w:keepNext/>
        <w:keepLines/>
        <w:widowControl w:val="0"/>
        <w:shd w:val="clear" w:color="auto" w:fill="auto"/>
        <w:bidi w:val="0"/>
        <w:spacing w:before="0" w:after="360" w:line="240" w:lineRule="auto"/>
        <w:ind w:left="0" w:right="0" w:firstLine="860"/>
        <w:jc w:val="left"/>
      </w:pPr>
      <w:bookmarkStart w:id="2287" w:name="bookmark2287"/>
      <w:bookmarkStart w:id="2288" w:name="bookmark2288"/>
      <w:bookmarkStart w:id="2289" w:name="bookmark2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87"/>
      <w:bookmarkEnd w:id="2288"/>
      <w:bookmarkEnd w:id="2289"/>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1704"/>
        <w:gridCol w:w="1133"/>
        <w:gridCol w:w="710"/>
        <w:gridCol w:w="994"/>
        <w:gridCol w:w="850"/>
        <w:gridCol w:w="1133"/>
        <w:gridCol w:w="1133"/>
        <w:gridCol w:w="710"/>
        <w:gridCol w:w="994"/>
        <w:gridCol w:w="850"/>
        <w:gridCol w:w="11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246,171,814.26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16,529,861.55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229,641,952.71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209,921,116.66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98.30%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11,749,604.41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198,171,512.25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应收中央（含下属单 位）及金融企业客户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212,197,208.18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11,572,419.84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200,624,788.34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181,364,708.98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7,184,012.62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174,180,696.36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应收关联方企业客户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6,151,063.00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6,151,063.00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3,316,394.26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3,316,394.26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27,823,543.08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4,957,441.71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22,866,101.37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25,240,013.42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4,565,591.79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20,674,421.63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249,806,049.26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20,164,096.55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229,641,952.71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213,555,351.66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15,383,839.41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198,171,512.25</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860"/>
        <w:jc w:val="left"/>
      </w:pPr>
      <w:r>
        <w:rPr>
          <w:color w:val="000000"/>
          <w:spacing w:val="0"/>
          <w:w w:val="100"/>
          <w:position w:val="0"/>
        </w:rPr>
        <w:t>按单项计提坏账准备：单项计提</w:t>
      </w:r>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预期无法收回</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按单项计提坏账准备:</w:t>
      </w:r>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860"/>
        <w:jc w:val="both"/>
      </w:pPr>
      <w:r>
        <w:rPr>
          <w:color w:val="000000"/>
          <w:spacing w:val="0"/>
          <w:w w:val="100"/>
          <w:position w:val="0"/>
        </w:rPr>
        <w:t>按组合计提坏账准备：应收中央（含下属单位）及金融企业客户</w:t>
      </w:r>
    </w:p>
    <w:p>
      <w:pPr>
        <w:pStyle w:val="Style21"/>
        <w:keepNext w:val="0"/>
        <w:keepLines w:val="0"/>
        <w:widowControl w:val="0"/>
        <w:shd w:val="clear" w:color="auto" w:fill="auto"/>
        <w:bidi w:val="0"/>
        <w:spacing w:before="0" w:after="160" w:line="240" w:lineRule="auto"/>
        <w:ind w:left="9800" w:right="0" w:firstLine="0"/>
        <w:jc w:val="lef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192,939,976.41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3,676,701.95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15,896,473.77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4,564,770.86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969,050.00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939,239.03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1,324,500.00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1,018,458.00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212,197,208.18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11,572,419.84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按组合计提坏账准备：应收其他客户</w:t>
      </w:r>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21,965,312.58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1,192,555.55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2,173,650.50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425,755.07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970,580.00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625,131.09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1,075,330.00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1,075,330.00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378,950.00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1,259,720.00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27,823,543.08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4,957,441.71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确定该组合依据的说明：</w:t>
      </w: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如是按照预期信用损失一般模型计提应收账款坏账准备，请参照其他应收款的披露方式披露坏账准备的相关信息:</w:t>
      </w:r>
    </w:p>
    <w:p>
      <w:pPr>
        <w:pStyle w:val="Style21"/>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221,056,351.99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18,070,124.27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1,939,630.00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8,739,943.00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2,399,830.00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2,982,426.57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3,357,686.43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249,806,049.26</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860"/>
        <w:jc w:val="left"/>
      </w:pPr>
      <w:bookmarkStart w:id="2290" w:name="bookmark2290"/>
      <w:bookmarkStart w:id="2291" w:name="bookmark2291"/>
      <w:bookmarkStart w:id="2292" w:name="bookmark22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90"/>
      <w:bookmarkEnd w:id="2291"/>
      <w:bookmarkEnd w:id="2292"/>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3,634,235.00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3,634,235.00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11,749,604.41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4,780,257.14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16,529,861.55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15,383,839.41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4,780,257.14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20,164,096.55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860"/>
        <w:jc w:val="left"/>
      </w:pPr>
      <w:bookmarkStart w:id="2293" w:name="bookmark2293"/>
      <w:bookmarkStart w:id="2294" w:name="bookmark2294"/>
      <w:bookmarkStart w:id="2295" w:name="bookmark2295"/>
      <w:bookmarkStart w:id="2296" w:name="bookmark2296"/>
      <w:r>
        <w:rPr>
          <w:color w:val="000000"/>
          <w:spacing w:val="0"/>
          <w:w w:val="100"/>
          <w:position w:val="0"/>
        </w:rPr>
        <w:t>（</w:t>
      </w:r>
      <w:bookmarkEnd w:id="229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293"/>
      <w:bookmarkEnd w:id="2294"/>
      <w:bookmarkEnd w:id="2296"/>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其中重要的应收账款核销情况：</w:t>
      </w:r>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应收账款核销说明：</w:t>
      </w:r>
    </w:p>
    <w:p>
      <w:pPr>
        <w:pStyle w:val="Style40"/>
        <w:keepNext/>
        <w:keepLines/>
        <w:widowControl w:val="0"/>
        <w:shd w:val="clear" w:color="auto" w:fill="auto"/>
        <w:bidi w:val="0"/>
        <w:spacing w:before="0" w:line="240" w:lineRule="auto"/>
        <w:ind w:left="0" w:right="0" w:firstLine="860"/>
        <w:jc w:val="left"/>
      </w:pPr>
      <w:bookmarkStart w:id="2297" w:name="bookmark2297"/>
      <w:bookmarkStart w:id="2298" w:name="bookmark2298"/>
      <w:bookmarkStart w:id="2299" w:name="bookmark2299"/>
      <w:bookmarkStart w:id="2300" w:name="bookmark2300"/>
      <w:r>
        <w:rPr>
          <w:color w:val="000000"/>
          <w:spacing w:val="0"/>
          <w:w w:val="100"/>
          <w:position w:val="0"/>
        </w:rPr>
        <w:t>（</w:t>
      </w:r>
      <w:bookmarkEnd w:id="229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297"/>
      <w:bookmarkEnd w:id="2298"/>
      <w:bookmarkEnd w:id="2300"/>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42,571,850.00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2,419,562.56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38,367,040.00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731,129.82</w:t>
            </w:r>
          </w:p>
        </w:tc>
      </w:tr>
    </w:tbl>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17,489,819.52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1,114,923.04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16,434,700.00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313,182.86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13,693,431.00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260,944.70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128,556,840.52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860"/>
        <w:jc w:val="left"/>
      </w:pPr>
      <w:bookmarkStart w:id="2301" w:name="bookmark2301"/>
      <w:bookmarkStart w:id="2302" w:name="bookmark2302"/>
      <w:bookmarkStart w:id="2303" w:name="bookmark2303"/>
      <w:bookmarkStart w:id="2304" w:name="bookmark2304"/>
      <w:r>
        <w:rPr>
          <w:color w:val="000000"/>
          <w:spacing w:val="0"/>
          <w:w w:val="100"/>
          <w:position w:val="0"/>
        </w:rPr>
        <w:t>（</w:t>
      </w:r>
      <w:bookmarkEnd w:id="2303"/>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301"/>
      <w:bookmarkEnd w:id="2302"/>
      <w:bookmarkEnd w:id="2304"/>
    </w:p>
    <w:p>
      <w:pPr>
        <w:pStyle w:val="Style40"/>
        <w:keepNext/>
        <w:keepLines/>
        <w:widowControl w:val="0"/>
        <w:shd w:val="clear" w:color="auto" w:fill="auto"/>
        <w:bidi w:val="0"/>
        <w:spacing w:before="0" w:after="360" w:line="240" w:lineRule="auto"/>
        <w:ind w:left="0" w:right="0" w:firstLine="860"/>
        <w:jc w:val="left"/>
      </w:pPr>
      <w:bookmarkStart w:id="2305" w:name="bookmark2305"/>
      <w:bookmarkStart w:id="2306" w:name="bookmark2306"/>
      <w:bookmarkStart w:id="2307" w:name="bookmark2307"/>
      <w:bookmarkStart w:id="2308" w:name="bookmark2308"/>
      <w:r>
        <w:rPr>
          <w:color w:val="000000"/>
          <w:spacing w:val="0"/>
          <w:w w:val="100"/>
          <w:position w:val="0"/>
        </w:rPr>
        <w:t>（</w:t>
      </w:r>
      <w:bookmarkEnd w:id="2307"/>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305"/>
      <w:bookmarkEnd w:id="2306"/>
      <w:bookmarkEnd w:id="2308"/>
    </w:p>
    <w:p>
      <w:pPr>
        <w:pStyle w:val="Style21"/>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860"/>
        <w:jc w:val="left"/>
      </w:pPr>
      <w:bookmarkStart w:id="2309" w:name="bookmark2309"/>
      <w:bookmarkStart w:id="2310" w:name="bookmark2310"/>
      <w:bookmarkStart w:id="2311" w:name="bookmark231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309"/>
      <w:bookmarkEnd w:id="2310"/>
      <w:bookmarkEnd w:id="2311"/>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8,024,764.19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11,444,828.34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8,024,764.19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11,444,828.34</w:t>
            </w:r>
          </w:p>
        </w:tc>
      </w:tr>
    </w:tbl>
    <w:p>
      <w:pPr>
        <w:widowControl w:val="0"/>
        <w:spacing w:after="359" w:line="1" w:lineRule="exact"/>
      </w:pPr>
    </w:p>
    <w:p>
      <w:pPr>
        <w:pStyle w:val="Style40"/>
        <w:keepNext/>
        <w:keepLines/>
        <w:widowControl w:val="0"/>
        <w:shd w:val="clear" w:color="auto" w:fill="auto"/>
        <w:bidi w:val="0"/>
        <w:spacing w:before="0" w:after="360" w:line="240" w:lineRule="auto"/>
        <w:ind w:left="0" w:right="0" w:firstLine="860"/>
        <w:jc w:val="both"/>
      </w:pPr>
      <w:bookmarkStart w:id="2312" w:name="bookmark2312"/>
      <w:bookmarkStart w:id="2313" w:name="bookmark2313"/>
      <w:bookmarkStart w:id="2314" w:name="bookmark23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312"/>
      <w:bookmarkEnd w:id="2313"/>
      <w:bookmarkEnd w:id="2314"/>
    </w:p>
    <w:p>
      <w:pPr>
        <w:pStyle w:val="Style65"/>
        <w:keepNext/>
        <w:keepLines/>
        <w:widowControl w:val="0"/>
        <w:shd w:val="clear" w:color="auto" w:fill="auto"/>
        <w:bidi w:val="0"/>
        <w:spacing w:before="0" w:after="360" w:line="240" w:lineRule="auto"/>
        <w:ind w:left="0" w:right="0" w:firstLine="860"/>
        <w:jc w:val="both"/>
      </w:pPr>
      <w:bookmarkStart w:id="2315" w:name="bookmark2315"/>
      <w:bookmarkStart w:id="2316" w:name="bookmark2316"/>
      <w:bookmarkStart w:id="2317" w:name="bookmark2317"/>
      <w:bookmarkStart w:id="2318" w:name="bookmark2318"/>
      <w:r>
        <w:rPr>
          <w:rFonts w:ascii="Times New Roman" w:eastAsia="Times New Roman" w:hAnsi="Times New Roman" w:cs="Times New Roman"/>
          <w:color w:val="000000"/>
          <w:spacing w:val="0"/>
          <w:w w:val="100"/>
          <w:position w:val="0"/>
        </w:rPr>
        <w:t>1</w:t>
      </w:r>
      <w:bookmarkEnd w:id="2317"/>
      <w:r>
        <w:rPr>
          <w:color w:val="000000"/>
          <w:spacing w:val="0"/>
          <w:w w:val="100"/>
          <w:position w:val="0"/>
        </w:rPr>
        <w:t>）应收利息分类</w:t>
      </w:r>
      <w:bookmarkEnd w:id="2315"/>
      <w:bookmarkEnd w:id="2316"/>
      <w:bookmarkEnd w:id="2318"/>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65"/>
        <w:keepNext/>
        <w:keepLines/>
        <w:widowControl w:val="0"/>
        <w:shd w:val="clear" w:color="auto" w:fill="auto"/>
        <w:bidi w:val="0"/>
        <w:spacing w:before="0" w:after="360" w:line="240" w:lineRule="auto"/>
        <w:ind w:left="0" w:right="0" w:firstLine="860"/>
        <w:jc w:val="left"/>
      </w:pPr>
      <w:bookmarkStart w:id="2319" w:name="bookmark2319"/>
      <w:bookmarkStart w:id="2320" w:name="bookmark2320"/>
      <w:bookmarkStart w:id="2321" w:name="bookmark2321"/>
      <w:bookmarkStart w:id="2322" w:name="bookmark2322"/>
      <w:r>
        <w:rPr>
          <w:rFonts w:ascii="Times New Roman" w:eastAsia="Times New Roman" w:hAnsi="Times New Roman" w:cs="Times New Roman"/>
          <w:color w:val="000000"/>
          <w:spacing w:val="0"/>
          <w:w w:val="100"/>
          <w:position w:val="0"/>
        </w:rPr>
        <w:t>2</w:t>
      </w:r>
      <w:bookmarkEnd w:id="2321"/>
      <w:r>
        <w:rPr>
          <w:color w:val="000000"/>
          <w:spacing w:val="0"/>
          <w:w w:val="100"/>
          <w:position w:val="0"/>
        </w:rPr>
        <w:t>）重要逾期利息</w:t>
      </w:r>
      <w:bookmarkEnd w:id="2319"/>
      <w:bookmarkEnd w:id="2320"/>
      <w:bookmarkEnd w:id="2322"/>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860"/>
        <w:jc w:val="left"/>
      </w:pPr>
      <w:r>
        <w:rPr>
          <w:color w:val="000000"/>
          <w:spacing w:val="0"/>
          <w:w w:val="100"/>
          <w:position w:val="0"/>
        </w:rPr>
        <w:t>其他说明：</w:t>
      </w:r>
    </w:p>
    <w:p>
      <w:pPr>
        <w:pStyle w:val="Style65"/>
        <w:keepNext/>
        <w:keepLines/>
        <w:widowControl w:val="0"/>
        <w:shd w:val="clear" w:color="auto" w:fill="auto"/>
        <w:bidi w:val="0"/>
        <w:spacing w:before="0" w:after="360" w:line="240" w:lineRule="auto"/>
        <w:ind w:left="0" w:right="0" w:firstLine="860"/>
        <w:jc w:val="left"/>
      </w:pPr>
      <w:bookmarkStart w:id="2323" w:name="bookmark2323"/>
      <w:bookmarkStart w:id="2324" w:name="bookmark2324"/>
      <w:bookmarkStart w:id="2325" w:name="bookmark2325"/>
      <w:bookmarkStart w:id="2326" w:name="bookmark2326"/>
      <w:r>
        <w:rPr>
          <w:rFonts w:ascii="Times New Roman" w:eastAsia="Times New Roman" w:hAnsi="Times New Roman" w:cs="Times New Roman"/>
          <w:color w:val="000000"/>
          <w:spacing w:val="0"/>
          <w:w w:val="100"/>
          <w:position w:val="0"/>
        </w:rPr>
        <w:t>3</w:t>
      </w:r>
      <w:bookmarkEnd w:id="2325"/>
      <w:r>
        <w:rPr>
          <w:color w:val="000000"/>
          <w:spacing w:val="0"/>
          <w:w w:val="100"/>
          <w:position w:val="0"/>
        </w:rPr>
        <w:t>）坏账准备计提情况</w:t>
      </w:r>
      <w:bookmarkEnd w:id="2323"/>
      <w:bookmarkEnd w:id="2324"/>
      <w:bookmarkEnd w:id="2326"/>
    </w:p>
    <w:p>
      <w:pPr>
        <w:pStyle w:val="Style21"/>
        <w:keepNext w:val="0"/>
        <w:keepLines w:val="0"/>
        <w:widowControl w:val="0"/>
        <w:shd w:val="clear" w:color="auto" w:fill="auto"/>
        <w:bidi w:val="0"/>
        <w:spacing w:before="0" w:after="36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60" w:line="240" w:lineRule="auto"/>
        <w:ind w:left="0" w:right="0" w:firstLine="860"/>
        <w:jc w:val="left"/>
      </w:pPr>
      <w:bookmarkStart w:id="2327" w:name="bookmark2327"/>
      <w:bookmarkStart w:id="2328" w:name="bookmark2328"/>
      <w:bookmarkStart w:id="2329" w:name="bookmark23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327"/>
      <w:bookmarkEnd w:id="2328"/>
      <w:bookmarkEnd w:id="2329"/>
    </w:p>
    <w:p>
      <w:pPr>
        <w:pStyle w:val="Style65"/>
        <w:keepNext/>
        <w:keepLines/>
        <w:widowControl w:val="0"/>
        <w:shd w:val="clear" w:color="auto" w:fill="auto"/>
        <w:bidi w:val="0"/>
        <w:spacing w:before="0" w:after="360" w:line="240" w:lineRule="auto"/>
        <w:ind w:left="0" w:right="0" w:firstLine="860"/>
        <w:jc w:val="both"/>
      </w:pPr>
      <w:bookmarkStart w:id="2330" w:name="bookmark2330"/>
      <w:bookmarkStart w:id="2331" w:name="bookmark2331"/>
      <w:bookmarkStart w:id="2332" w:name="bookmark2332"/>
      <w:bookmarkStart w:id="2333" w:name="bookmark2333"/>
      <w:r>
        <w:rPr>
          <w:rFonts w:ascii="Times New Roman" w:eastAsia="Times New Roman" w:hAnsi="Times New Roman" w:cs="Times New Roman"/>
          <w:color w:val="000000"/>
          <w:spacing w:val="0"/>
          <w:w w:val="100"/>
          <w:position w:val="0"/>
        </w:rPr>
        <w:t>1</w:t>
      </w:r>
      <w:bookmarkEnd w:id="2332"/>
      <w:r>
        <w:rPr>
          <w:color w:val="000000"/>
          <w:spacing w:val="0"/>
          <w:w w:val="100"/>
          <w:position w:val="0"/>
        </w:rPr>
        <w:t>）应收股利分类</w:t>
      </w:r>
      <w:bookmarkEnd w:id="2330"/>
      <w:bookmarkEnd w:id="2331"/>
      <w:bookmarkEnd w:id="2333"/>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65"/>
        <w:keepNext/>
        <w:keepLines/>
        <w:widowControl w:val="0"/>
        <w:shd w:val="clear" w:color="auto" w:fill="auto"/>
        <w:bidi w:val="0"/>
        <w:spacing w:before="0" w:line="240" w:lineRule="auto"/>
        <w:ind w:left="0" w:right="0" w:firstLine="860"/>
        <w:jc w:val="left"/>
      </w:pPr>
      <w:bookmarkStart w:id="2334" w:name="bookmark2334"/>
      <w:bookmarkStart w:id="2335" w:name="bookmark2335"/>
      <w:bookmarkStart w:id="2336" w:name="bookmark2336"/>
      <w:bookmarkStart w:id="2337" w:name="bookmark2337"/>
      <w:r>
        <w:rPr>
          <w:rFonts w:ascii="Times New Roman" w:eastAsia="Times New Roman" w:hAnsi="Times New Roman" w:cs="Times New Roman"/>
          <w:color w:val="000000"/>
          <w:spacing w:val="0"/>
          <w:w w:val="100"/>
          <w:position w:val="0"/>
        </w:rPr>
        <w:t>2</w:t>
      </w:r>
      <w:bookmarkEnd w:id="233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334"/>
      <w:bookmarkEnd w:id="2335"/>
      <w:bookmarkEnd w:id="2337"/>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860"/>
        <w:jc w:val="left"/>
      </w:pPr>
      <w:bookmarkStart w:id="2338" w:name="bookmark2338"/>
      <w:bookmarkStart w:id="2339" w:name="bookmark2339"/>
      <w:bookmarkStart w:id="2340" w:name="bookmark2340"/>
      <w:bookmarkStart w:id="2341" w:name="bookmark2341"/>
      <w:r>
        <w:rPr>
          <w:rFonts w:ascii="Times New Roman" w:eastAsia="Times New Roman" w:hAnsi="Times New Roman" w:cs="Times New Roman"/>
          <w:color w:val="000000"/>
          <w:spacing w:val="0"/>
          <w:w w:val="100"/>
          <w:position w:val="0"/>
        </w:rPr>
        <w:t>3</w:t>
      </w:r>
      <w:bookmarkEnd w:id="2340"/>
      <w:r>
        <w:rPr>
          <w:color w:val="000000"/>
          <w:spacing w:val="0"/>
          <w:w w:val="100"/>
          <w:position w:val="0"/>
        </w:rPr>
        <w:t>）坏账准备计提情况</w:t>
      </w:r>
      <w:bookmarkEnd w:id="2338"/>
      <w:bookmarkEnd w:id="2339"/>
      <w:bookmarkEnd w:id="2341"/>
    </w:p>
    <w:p>
      <w:pPr>
        <w:pStyle w:val="Style21"/>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其他说明：</w:t>
      </w:r>
    </w:p>
    <w:p>
      <w:pPr>
        <w:pStyle w:val="Style40"/>
        <w:keepNext/>
        <w:keepLines/>
        <w:widowControl w:val="0"/>
        <w:shd w:val="clear" w:color="auto" w:fill="auto"/>
        <w:bidi w:val="0"/>
        <w:spacing w:before="0" w:line="240" w:lineRule="auto"/>
        <w:ind w:left="0" w:right="0" w:firstLine="860"/>
        <w:jc w:val="left"/>
      </w:pPr>
      <w:bookmarkStart w:id="2342" w:name="bookmark2342"/>
      <w:bookmarkStart w:id="2343" w:name="bookmark2343"/>
      <w:bookmarkStart w:id="2344" w:name="bookmark2344"/>
      <w:bookmarkStart w:id="2345" w:name="bookmark2345"/>
      <w:r>
        <w:rPr>
          <w:color w:val="000000"/>
          <w:spacing w:val="0"/>
          <w:w w:val="100"/>
          <w:position w:val="0"/>
        </w:rPr>
        <w:t>（</w:t>
      </w:r>
      <w:bookmarkEnd w:id="234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342"/>
      <w:bookmarkEnd w:id="2343"/>
      <w:bookmarkEnd w:id="2345"/>
    </w:p>
    <w:p>
      <w:pPr>
        <w:pStyle w:val="Style65"/>
        <w:keepNext/>
        <w:keepLines/>
        <w:widowControl w:val="0"/>
        <w:shd w:val="clear" w:color="auto" w:fill="auto"/>
        <w:bidi w:val="0"/>
        <w:spacing w:before="0" w:after="320" w:line="240" w:lineRule="auto"/>
        <w:ind w:left="0" w:right="0" w:firstLine="860"/>
        <w:jc w:val="left"/>
      </w:pPr>
      <w:bookmarkStart w:id="2346" w:name="bookmark2346"/>
      <w:bookmarkStart w:id="2347" w:name="bookmark2347"/>
      <w:bookmarkStart w:id="2348" w:name="bookmark234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346"/>
      <w:bookmarkEnd w:id="2347"/>
      <w:bookmarkEnd w:id="2348"/>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7,487,583.61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364,436.72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768,642.67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3,526,483.82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1,997,373.10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1,946,268.58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1,305,271.52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2,108,190.62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170,501.95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8,290,415.68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11,729,372.85</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860"/>
        <w:jc w:val="left"/>
      </w:pPr>
      <w:bookmarkStart w:id="2349" w:name="bookmark2349"/>
      <w:bookmarkStart w:id="2350" w:name="bookmark2350"/>
      <w:bookmarkStart w:id="2351" w:name="bookmark235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349"/>
      <w:bookmarkEnd w:id="2350"/>
      <w:bookmarkEnd w:id="2351"/>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284,544.51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24,269.26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43,162.28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43,162.28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265,651.49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265,651.49</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8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20" w:line="240" w:lineRule="auto"/>
        <w:ind w:left="0" w:right="0" w:firstLine="860"/>
        <w:jc w:val="left"/>
      </w:pPr>
      <w:r>
        <w:rPr>
          <w:color w:val="000000"/>
          <w:spacing w:val="0"/>
          <w:w w:val="100"/>
          <w:position w:val="0"/>
        </w:rPr>
        <w:t>按账龄披露</w:t>
      </w:r>
      <w:r>
        <w:br w:type="page"/>
      </w:r>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7,889,438.02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327,814.56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60,163.10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58,063.10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8,290,415.68</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860"/>
        <w:jc w:val="left"/>
      </w:pPr>
      <w:bookmarkStart w:id="2352" w:name="bookmark2352"/>
      <w:bookmarkStart w:id="2353" w:name="bookmark2353"/>
      <w:bookmarkStart w:id="2354" w:name="bookmark2354"/>
      <w:bookmarkStart w:id="2355" w:name="bookmark2355"/>
      <w:r>
        <w:rPr>
          <w:rFonts w:ascii="Times New Roman" w:eastAsia="Times New Roman" w:hAnsi="Times New Roman" w:cs="Times New Roman"/>
          <w:color w:val="000000"/>
          <w:spacing w:val="0"/>
          <w:w w:val="100"/>
          <w:position w:val="0"/>
        </w:rPr>
        <w:t>3</w:t>
      </w:r>
      <w:bookmarkEnd w:id="2354"/>
      <w:r>
        <w:rPr>
          <w:color w:val="000000"/>
          <w:spacing w:val="0"/>
          <w:w w:val="100"/>
          <w:position w:val="0"/>
        </w:rPr>
        <w:t>）本期计提、收回或转回的坏账准备情况</w:t>
      </w:r>
      <w:bookmarkEnd w:id="2352"/>
      <w:bookmarkEnd w:id="2353"/>
      <w:bookmarkEnd w:id="2355"/>
    </w:p>
    <w:p>
      <w:pPr>
        <w:pStyle w:val="Style21"/>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284,544.51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24,269.26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265,651.49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284,544.51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24,269.26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265,651.49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65"/>
        <w:keepNext/>
        <w:keepLines/>
        <w:widowControl w:val="0"/>
        <w:shd w:val="clear" w:color="auto" w:fill="auto"/>
        <w:bidi w:val="0"/>
        <w:spacing w:before="0" w:line="240" w:lineRule="auto"/>
        <w:ind w:left="0" w:right="0" w:firstLine="860"/>
        <w:jc w:val="left"/>
      </w:pPr>
      <w:bookmarkStart w:id="2356" w:name="bookmark2356"/>
      <w:bookmarkStart w:id="2357" w:name="bookmark2357"/>
      <w:bookmarkStart w:id="2358" w:name="bookmark2358"/>
      <w:bookmarkStart w:id="2359" w:name="bookmark2359"/>
      <w:r>
        <w:rPr>
          <w:rFonts w:ascii="Times New Roman" w:eastAsia="Times New Roman" w:hAnsi="Times New Roman" w:cs="Times New Roman"/>
          <w:color w:val="000000"/>
          <w:spacing w:val="0"/>
          <w:w w:val="100"/>
          <w:position w:val="0"/>
        </w:rPr>
        <w:t>4</w:t>
      </w:r>
      <w:bookmarkEnd w:id="2358"/>
      <w:r>
        <w:rPr>
          <w:color w:val="000000"/>
          <w:spacing w:val="0"/>
          <w:w w:val="100"/>
          <w:position w:val="0"/>
        </w:rPr>
        <w:t>）本期实际核销的其他应收款情况</w:t>
      </w:r>
      <w:bookmarkEnd w:id="2356"/>
      <w:bookmarkEnd w:id="2357"/>
      <w:bookmarkEnd w:id="2359"/>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年度公司核销无法收回的离职员工欠款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43,162.28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99" w:line="1" w:lineRule="exact"/>
      </w:pPr>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860"/>
        <w:jc w:val="left"/>
      </w:pPr>
      <w:r>
        <w:rPr>
          <w:color w:val="000000"/>
          <w:spacing w:val="0"/>
          <w:w w:val="100"/>
          <w:position w:val="0"/>
        </w:rPr>
        <w:t>其他应收款核销说明：</w:t>
      </w:r>
    </w:p>
    <w:p>
      <w:pPr>
        <w:pStyle w:val="Style65"/>
        <w:keepNext/>
        <w:keepLines/>
        <w:widowControl w:val="0"/>
        <w:shd w:val="clear" w:color="auto" w:fill="auto"/>
        <w:bidi w:val="0"/>
        <w:spacing w:before="0" w:line="240" w:lineRule="auto"/>
        <w:ind w:left="0" w:right="0" w:firstLine="860"/>
        <w:jc w:val="left"/>
      </w:pPr>
      <w:bookmarkStart w:id="2360" w:name="bookmark2360"/>
      <w:bookmarkStart w:id="2361" w:name="bookmark2361"/>
      <w:bookmarkStart w:id="2362" w:name="bookmark2362"/>
      <w:bookmarkStart w:id="2363" w:name="bookmark2363"/>
      <w:r>
        <w:rPr>
          <w:rFonts w:ascii="Times New Roman" w:eastAsia="Times New Roman" w:hAnsi="Times New Roman" w:cs="Times New Roman"/>
          <w:color w:val="000000"/>
          <w:spacing w:val="0"/>
          <w:w w:val="100"/>
          <w:position w:val="0"/>
        </w:rPr>
        <w:t>5</w:t>
      </w:r>
      <w:bookmarkEnd w:id="2362"/>
      <w:r>
        <w:rPr>
          <w:color w:val="000000"/>
          <w:spacing w:val="0"/>
          <w:w w:val="100"/>
          <w:position w:val="0"/>
        </w:rPr>
        <w:t>）按欠款方归集的期末余额前五名的其他应收款情况</w:t>
      </w:r>
      <w:bookmarkEnd w:id="2360"/>
      <w:bookmarkEnd w:id="2361"/>
      <w:bookmarkEnd w:id="2363"/>
    </w:p>
    <w:p>
      <w:pPr>
        <w:pStyle w:val="Style21"/>
        <w:keepNext w:val="0"/>
        <w:keepLines w:val="0"/>
        <w:widowControl w:val="0"/>
        <w:shd w:val="clear" w:color="auto" w:fill="auto"/>
        <w:bidi w:val="0"/>
        <w:spacing w:before="0" w:after="100" w:line="240" w:lineRule="auto"/>
        <w:ind w:left="980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占其他应收款期末</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余额合计数的比例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1,995,392.00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16,426.24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借款及代垫款项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339,481.00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595,406.40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12,225.36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243,920.00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3,974,199.40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117,669.86</w:t>
            </w:r>
          </w:p>
        </w:tc>
      </w:tr>
    </w:tbl>
    <w:p>
      <w:pPr>
        <w:widowControl w:val="0"/>
        <w:spacing w:after="339" w:line="1" w:lineRule="exact"/>
      </w:pPr>
    </w:p>
    <w:p>
      <w:pPr>
        <w:pStyle w:val="Style65"/>
        <w:keepNext/>
        <w:keepLines/>
        <w:widowControl w:val="0"/>
        <w:shd w:val="clear" w:color="auto" w:fill="auto"/>
        <w:bidi w:val="0"/>
        <w:spacing w:before="0" w:line="240" w:lineRule="auto"/>
        <w:ind w:left="0" w:right="0" w:firstLine="860"/>
        <w:jc w:val="both"/>
      </w:pPr>
      <w:bookmarkStart w:id="2364" w:name="bookmark2364"/>
      <w:bookmarkStart w:id="2365" w:name="bookmark2365"/>
      <w:bookmarkStart w:id="2366" w:name="bookmark2366"/>
      <w:bookmarkStart w:id="2367" w:name="bookmark2367"/>
      <w:r>
        <w:rPr>
          <w:rFonts w:ascii="Times New Roman" w:eastAsia="Times New Roman" w:hAnsi="Times New Roman" w:cs="Times New Roman"/>
          <w:color w:val="000000"/>
          <w:spacing w:val="0"/>
          <w:w w:val="100"/>
          <w:position w:val="0"/>
        </w:rPr>
        <w:t>6</w:t>
      </w:r>
      <w:bookmarkEnd w:id="2366"/>
      <w:r>
        <w:rPr>
          <w:color w:val="000000"/>
          <w:spacing w:val="0"/>
          <w:w w:val="100"/>
          <w:position w:val="0"/>
        </w:rPr>
        <w:t>）涉及政府补助的应收款项</w:t>
      </w:r>
      <w:bookmarkEnd w:id="2364"/>
      <w:bookmarkEnd w:id="2365"/>
      <w:bookmarkEnd w:id="2367"/>
    </w:p>
    <w:p>
      <w:pPr>
        <w:pStyle w:val="Style21"/>
        <w:keepNext w:val="0"/>
        <w:keepLines w:val="0"/>
        <w:widowControl w:val="0"/>
        <w:shd w:val="clear" w:color="auto" w:fill="auto"/>
        <w:bidi w:val="0"/>
        <w:spacing w:before="0" w:after="80" w:line="240" w:lineRule="auto"/>
        <w:ind w:left="980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65"/>
        <w:keepNext/>
        <w:keepLines/>
        <w:widowControl w:val="0"/>
        <w:shd w:val="clear" w:color="auto" w:fill="auto"/>
        <w:tabs>
          <w:tab w:pos="1247" w:val="left"/>
        </w:tabs>
        <w:bidi w:val="0"/>
        <w:spacing w:before="0" w:after="340" w:line="240" w:lineRule="auto"/>
        <w:ind w:left="0" w:right="0" w:firstLine="860"/>
        <w:jc w:val="both"/>
      </w:pPr>
      <w:bookmarkStart w:id="2368" w:name="bookmark2368"/>
      <w:bookmarkStart w:id="2369" w:name="bookmark2369"/>
      <w:bookmarkStart w:id="2370" w:name="bookmark2370"/>
      <w:bookmarkStart w:id="2371" w:name="bookmark2371"/>
      <w:r>
        <w:rPr>
          <w:rFonts w:ascii="Times New Roman" w:eastAsia="Times New Roman" w:hAnsi="Times New Roman" w:cs="Times New Roman"/>
          <w:color w:val="000000"/>
          <w:spacing w:val="0"/>
          <w:w w:val="100"/>
          <w:position w:val="0"/>
        </w:rPr>
        <w:t>7</w:t>
      </w:r>
      <w:bookmarkEnd w:id="2370"/>
      <w:r>
        <w:rPr>
          <w:color w:val="000000"/>
          <w:spacing w:val="0"/>
          <w:w w:val="100"/>
          <w:position w:val="0"/>
        </w:rPr>
        <w:t>）</w:t>
        <w:tab/>
        <w:t>因金融资产转移而终止确认的其他应收款</w:t>
      </w:r>
      <w:bookmarkEnd w:id="2368"/>
      <w:bookmarkEnd w:id="2369"/>
      <w:bookmarkEnd w:id="2371"/>
    </w:p>
    <w:p>
      <w:pPr>
        <w:pStyle w:val="Style65"/>
        <w:keepNext/>
        <w:keepLines/>
        <w:widowControl w:val="0"/>
        <w:shd w:val="clear" w:color="auto" w:fill="auto"/>
        <w:tabs>
          <w:tab w:pos="1252" w:val="left"/>
        </w:tabs>
        <w:bidi w:val="0"/>
        <w:spacing w:before="0" w:line="240" w:lineRule="auto"/>
        <w:ind w:left="0" w:right="0" w:firstLine="860"/>
        <w:jc w:val="both"/>
      </w:pPr>
      <w:bookmarkStart w:id="2372" w:name="bookmark2372"/>
      <w:bookmarkStart w:id="2373" w:name="bookmark2373"/>
      <w:bookmarkStart w:id="2374" w:name="bookmark2374"/>
      <w:bookmarkStart w:id="2375" w:name="bookmark2375"/>
      <w:r>
        <w:rPr>
          <w:rFonts w:ascii="Times New Roman" w:eastAsia="Times New Roman" w:hAnsi="Times New Roman" w:cs="Times New Roman"/>
          <w:color w:val="000000"/>
          <w:spacing w:val="0"/>
          <w:w w:val="100"/>
          <w:position w:val="0"/>
        </w:rPr>
        <w:t>8</w:t>
      </w:r>
      <w:bookmarkEnd w:id="2374"/>
      <w:r>
        <w:rPr>
          <w:color w:val="000000"/>
          <w:spacing w:val="0"/>
          <w:w w:val="100"/>
          <w:position w:val="0"/>
        </w:rPr>
        <w:t>）</w:t>
        <w:tab/>
        <w:t>转移其他应收款且继续涉入形成的资产、负债金额</w:t>
      </w:r>
      <w:bookmarkEnd w:id="2372"/>
      <w:bookmarkEnd w:id="2373"/>
      <w:bookmarkEnd w:id="2375"/>
    </w:p>
    <w:p>
      <w:pPr>
        <w:pStyle w:val="Style21"/>
        <w:keepNext w:val="0"/>
        <w:keepLines w:val="0"/>
        <w:widowControl w:val="0"/>
        <w:shd w:val="clear" w:color="auto" w:fill="auto"/>
        <w:bidi w:val="0"/>
        <w:spacing w:before="0" w:after="380" w:line="240" w:lineRule="auto"/>
        <w:ind w:left="0" w:right="0" w:firstLine="860"/>
        <w:jc w:val="both"/>
      </w:pPr>
      <w:r>
        <w:rPr>
          <w:color w:val="000000"/>
          <w:spacing w:val="0"/>
          <w:w w:val="100"/>
          <w:position w:val="0"/>
        </w:rPr>
        <w:t>其他说明：</w:t>
      </w:r>
    </w:p>
    <w:p>
      <w:pPr>
        <w:pStyle w:val="Style31"/>
        <w:keepNext/>
        <w:keepLines/>
        <w:widowControl w:val="0"/>
        <w:shd w:val="clear" w:color="auto" w:fill="auto"/>
        <w:bidi w:val="0"/>
        <w:spacing w:before="0" w:after="340" w:line="240" w:lineRule="auto"/>
        <w:ind w:left="0" w:right="0" w:firstLine="860"/>
        <w:jc w:val="both"/>
      </w:pPr>
      <w:bookmarkStart w:id="2376" w:name="bookmark2376"/>
      <w:bookmarkStart w:id="2377" w:name="bookmark2377"/>
      <w:bookmarkStart w:id="2378" w:name="bookmark2378"/>
      <w:bookmarkStart w:id="2379" w:name="bookmark2379"/>
      <w:r>
        <w:rPr>
          <w:rFonts w:ascii="Times New Roman" w:eastAsia="Times New Roman" w:hAnsi="Times New Roman" w:cs="Times New Roman"/>
          <w:color w:val="000000"/>
          <w:spacing w:val="0"/>
          <w:w w:val="100"/>
          <w:position w:val="0"/>
        </w:rPr>
        <w:t>3</w:t>
      </w:r>
      <w:bookmarkEnd w:id="2378"/>
      <w:r>
        <w:rPr>
          <w:color w:val="000000"/>
          <w:spacing w:val="0"/>
          <w:w w:val="100"/>
          <w:position w:val="0"/>
        </w:rPr>
        <w:t>、长期股权投资</w:t>
      </w:r>
      <w:bookmarkEnd w:id="2376"/>
      <w:bookmarkEnd w:id="2377"/>
      <w:bookmarkEnd w:id="2379"/>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97,708,390.94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17,175,900.00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80,532,490.94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56,687,750.00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17,175,900.00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39,511,850.00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2,095,669.70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2,095,669.70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1,927,709.44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1,927,709.44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99,804,060.64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17,175,900.00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82,628,160.64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58,615,459.44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17,175,900.00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41,439,559.44</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860"/>
        <w:jc w:val="both"/>
      </w:pPr>
      <w:bookmarkStart w:id="2380" w:name="bookmark2380"/>
      <w:bookmarkStart w:id="2381" w:name="bookmark2381"/>
      <w:bookmarkStart w:id="2382" w:name="bookmark23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380"/>
      <w:bookmarkEnd w:id="2381"/>
      <w:bookmarkEnd w:id="2382"/>
    </w:p>
    <w:p>
      <w:pPr>
        <w:pStyle w:val="Style27"/>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普联中瑞（北 京）软件有限公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18,488,600.00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342,183.33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18,830,783.33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10,575,900.00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普联数字科技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25,075,451.32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25,075,451.32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合肥普联朗霁 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7,153,674.98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13,353,674.98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普联软件（香 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14,823,250.00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133,185.27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14,956,435.27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普联智能数建 科技（北京）有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8,316,146.04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8,316,146.04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39,511,850.00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41,020,640.94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80,532,490.94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17,175,900.00</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860"/>
        <w:jc w:val="left"/>
      </w:pPr>
      <w:bookmarkStart w:id="2383" w:name="bookmark2383"/>
      <w:bookmarkStart w:id="2384" w:name="bookmark2384"/>
      <w:bookmarkStart w:id="2385" w:name="bookmark23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383"/>
      <w:bookmarkEnd w:id="2384"/>
      <w:bookmarkEnd w:id="23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9"/>
        <w:gridCol w:w="1061"/>
        <w:gridCol w:w="797"/>
        <w:gridCol w:w="797"/>
        <w:gridCol w:w="888"/>
        <w:gridCol w:w="706"/>
        <w:gridCol w:w="802"/>
        <w:gridCol w:w="797"/>
        <w:gridCol w:w="797"/>
        <w:gridCol w:w="586"/>
        <w:gridCol w:w="1013"/>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合肥耀安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1,927,709.44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2,095,669.70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1,927,709.44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2,095,669.70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1,927,709.44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170,558.48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-2,598.22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2,095,669.70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860"/>
        <w:jc w:val="left"/>
      </w:pPr>
      <w:bookmarkStart w:id="2386" w:name="bookmark2386"/>
      <w:bookmarkStart w:id="2387" w:name="bookmark2387"/>
      <w:bookmarkStart w:id="2388" w:name="bookmark2388"/>
      <w:bookmarkStart w:id="2389" w:name="bookmark2389"/>
      <w:r>
        <w:rPr>
          <w:color w:val="000000"/>
          <w:spacing w:val="0"/>
          <w:w w:val="100"/>
          <w:position w:val="0"/>
        </w:rPr>
        <w:t>（</w:t>
      </w:r>
      <w:bookmarkEnd w:id="2388"/>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86"/>
      <w:bookmarkEnd w:id="2387"/>
      <w:bookmarkEnd w:id="2389"/>
    </w:p>
    <w:p>
      <w:pPr>
        <w:pStyle w:val="Style31"/>
        <w:keepNext/>
        <w:keepLines/>
        <w:widowControl w:val="0"/>
        <w:shd w:val="clear" w:color="auto" w:fill="auto"/>
        <w:bidi w:val="0"/>
        <w:spacing w:before="0" w:after="340" w:line="240" w:lineRule="auto"/>
        <w:ind w:left="0" w:right="0" w:firstLine="860"/>
        <w:jc w:val="left"/>
      </w:pPr>
      <w:bookmarkStart w:id="2390" w:name="bookmark2390"/>
      <w:bookmarkStart w:id="2391" w:name="bookmark2391"/>
      <w:bookmarkStart w:id="2392" w:name="bookmark2392"/>
      <w:bookmarkStart w:id="2393" w:name="bookmark2393"/>
      <w:r>
        <w:rPr>
          <w:rFonts w:ascii="Times New Roman" w:eastAsia="Times New Roman" w:hAnsi="Times New Roman" w:cs="Times New Roman"/>
          <w:color w:val="000000"/>
          <w:spacing w:val="0"/>
          <w:w w:val="100"/>
          <w:position w:val="0"/>
        </w:rPr>
        <w:t>4</w:t>
      </w:r>
      <w:bookmarkEnd w:id="2392"/>
      <w:r>
        <w:rPr>
          <w:color w:val="000000"/>
          <w:spacing w:val="0"/>
          <w:w w:val="100"/>
          <w:position w:val="0"/>
        </w:rPr>
        <w:t>、营业收入和营业成本</w:t>
      </w:r>
      <w:bookmarkEnd w:id="2390"/>
      <w:bookmarkEnd w:id="2391"/>
      <w:bookmarkEnd w:id="23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853"/>
        <w:gridCol w:w="1910"/>
        <w:gridCol w:w="1915"/>
        <w:gridCol w:w="19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560,138,573.09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311,663,766.84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404,896,920.67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239,460,124.59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549,729.13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538,103.45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560,611,449.26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312,099,749.35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405,446,649.80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239,998,228.04</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560,611,449.26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560,611,449.26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集团管控产品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434,693,683.38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434,693,683.38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数字建造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11,534,433.97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11,534,433.97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XBRL</w:t>
            </w:r>
            <w:r>
              <w:rPr>
                <w:color w:val="000000"/>
                <w:spacing w:val="0"/>
                <w:w w:val="100"/>
                <w:position w:val="0"/>
              </w:rPr>
              <w:t>应用产品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24,827,167.39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24,827,167.39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68,942,995.84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68,942,995.84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15,897,877.85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15,897,877.85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4,242,414.66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4,242,414.66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560,611,449.26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560,611,449.26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47,884,923.33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47,884,923.33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18,368,252.53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18,368,252.53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10,214,986.64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10,214,986.64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399,305,409.57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399,305,409.57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48,880,239.72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48,880,239.72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5,122,032.21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5,122,032.21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13,181,167.98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13,181,167.98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17,654,437.28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17,654,437.28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560,611,449.26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560,611,449.26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石油石化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296,385,280.56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296,385,280.56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地产建筑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182,536,344.56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182,536,344.56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30,751,395.11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30,751,395.11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煤炭电力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10,183,974.46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10,183,974.46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16,115,398.57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16,115,398.57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3,363,086.59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3,363,086.59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21,275,969.41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21,275,969.41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560,611,449.26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560,611,449.26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376,503,892.06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376,503,892.06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109,366,289.97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109,366,289.97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产品化软件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54,128,098.55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54,128,098.55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4,242,414.66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4,242,414.66</w:t>
            </w:r>
          </w:p>
        </w:tc>
      </w:tr>
    </w:tbl>
    <w:p>
      <w:pPr>
        <w:sectPr>
          <w:footnotePr>
            <w:pos w:val="pageBottom"/>
            <w:numFmt w:val="decimal"/>
            <w:numRestart w:val="continuous"/>
          </w:footnotePr>
          <w:pgSz w:w="11900" w:h="16840"/>
          <w:pgMar w:top="1441" w:right="307" w:bottom="1465" w:left="241" w:header="0" w:footer="3" w:gutter="0"/>
          <w:cols w:space="720"/>
          <w:noEndnote/>
          <w:rtlGutter w:val="0"/>
          <w:docGrid w:linePitch="360"/>
        </w:sectPr>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15,897,877.85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15,897,877.85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472,876.17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202,810,035.02</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173,954,329.84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21,658,470.42</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7,197,234.76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2024-2026</w:t>
      </w:r>
      <w:r>
        <w:rPr>
          <w:color w:val="000000"/>
          <w:spacing w:val="0"/>
          <w:w w:val="100"/>
          <w:position w:val="0"/>
        </w:rPr>
        <w:t>年度确 认收入。</w:t>
      </w:r>
    </w:p>
    <w:p>
      <w:pPr>
        <w:pStyle w:val="Style21"/>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2394" w:name="bookmark2394"/>
      <w:bookmarkStart w:id="2395" w:name="bookmark2395"/>
      <w:bookmarkStart w:id="2396" w:name="bookmark2396"/>
      <w:bookmarkStart w:id="2397" w:name="bookmark2397"/>
      <w:r>
        <w:rPr>
          <w:rFonts w:ascii="Times New Roman" w:eastAsia="Times New Roman" w:hAnsi="Times New Roman" w:cs="Times New Roman"/>
          <w:color w:val="000000"/>
          <w:spacing w:val="0"/>
          <w:w w:val="100"/>
          <w:position w:val="0"/>
        </w:rPr>
        <w:t>5</w:t>
      </w:r>
      <w:bookmarkEnd w:id="2396"/>
      <w:r>
        <w:rPr>
          <w:color w:val="000000"/>
          <w:spacing w:val="0"/>
          <w:w w:val="100"/>
          <w:position w:val="0"/>
        </w:rPr>
        <w:t>、投资收益</w:t>
      </w:r>
      <w:bookmarkEnd w:id="2394"/>
      <w:bookmarkEnd w:id="2395"/>
      <w:bookmarkEnd w:id="239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170,558.48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2,595,392.00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6,978,756.63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1,400,521.10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9,744,707.11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1,368,137.29</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2398" w:name="bookmark2398"/>
      <w:bookmarkStart w:id="2399" w:name="bookmark2399"/>
      <w:bookmarkStart w:id="2400" w:name="bookmark2400"/>
      <w:bookmarkStart w:id="2401" w:name="bookmark2401"/>
      <w:r>
        <w:rPr>
          <w:rFonts w:ascii="Times New Roman" w:eastAsia="Times New Roman" w:hAnsi="Times New Roman" w:cs="Times New Roman"/>
          <w:color w:val="000000"/>
          <w:spacing w:val="0"/>
          <w:w w:val="100"/>
          <w:position w:val="0"/>
        </w:rPr>
        <w:t>6</w:t>
      </w:r>
      <w:bookmarkEnd w:id="2400"/>
      <w:r>
        <w:rPr>
          <w:color w:val="000000"/>
          <w:spacing w:val="0"/>
          <w:w w:val="100"/>
          <w:position w:val="0"/>
        </w:rPr>
        <w:t>、其他</w:t>
      </w:r>
      <w:bookmarkEnd w:id="2398"/>
      <w:bookmarkEnd w:id="2399"/>
      <w:bookmarkEnd w:id="2401"/>
    </w:p>
    <w:p>
      <w:pPr>
        <w:pStyle w:val="Style25"/>
        <w:keepNext/>
        <w:keepLines/>
        <w:widowControl w:val="0"/>
        <w:shd w:val="clear" w:color="auto" w:fill="auto"/>
        <w:bidi w:val="0"/>
        <w:spacing w:before="0" w:after="340" w:line="240" w:lineRule="auto"/>
        <w:ind w:left="0" w:right="0" w:firstLine="0"/>
        <w:jc w:val="both"/>
      </w:pPr>
      <w:bookmarkStart w:id="2402" w:name="bookmark2402"/>
      <w:bookmarkStart w:id="2403" w:name="bookmark2403"/>
      <w:bookmarkStart w:id="2404" w:name="bookmark2404"/>
      <w:r>
        <w:rPr>
          <w:color w:val="000000"/>
          <w:spacing w:val="0"/>
          <w:w w:val="100"/>
          <w:position w:val="0"/>
        </w:rPr>
        <w:t>十八、补充资料</w:t>
      </w:r>
      <w:bookmarkEnd w:id="2402"/>
      <w:bookmarkEnd w:id="2403"/>
      <w:bookmarkEnd w:id="2404"/>
    </w:p>
    <w:p>
      <w:pPr>
        <w:pStyle w:val="Style31"/>
        <w:keepNext/>
        <w:keepLines/>
        <w:widowControl w:val="0"/>
        <w:shd w:val="clear" w:color="auto" w:fill="auto"/>
        <w:bidi w:val="0"/>
        <w:spacing w:before="0" w:after="340" w:line="240" w:lineRule="auto"/>
        <w:ind w:left="0" w:right="0" w:firstLine="0"/>
        <w:jc w:val="both"/>
      </w:pPr>
      <w:bookmarkStart w:id="2405" w:name="bookmark2405"/>
      <w:bookmarkStart w:id="2406" w:name="bookmark2406"/>
      <w:bookmarkStart w:id="2407" w:name="bookmark24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405"/>
      <w:bookmarkEnd w:id="2406"/>
      <w:bookmarkEnd w:id="240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124,948.43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3,988,368.17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9,518,702.18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-60,334.64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1,364,155.11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12,207,561.06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30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left"/>
      </w:pPr>
      <w:bookmarkStart w:id="2408" w:name="bookmark2408"/>
      <w:bookmarkStart w:id="2409" w:name="bookmark2409"/>
      <w:bookmarkStart w:id="2410" w:name="bookmark241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408"/>
      <w:bookmarkEnd w:id="2409"/>
      <w:bookmarkEnd w:id="2410"/>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0.9997</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2411" w:name="bookmark2411"/>
      <w:bookmarkStart w:id="2412" w:name="bookmark2412"/>
      <w:bookmarkStart w:id="2413" w:name="bookmark2413"/>
      <w:bookmarkStart w:id="2414" w:name="bookmark2414"/>
      <w:r>
        <w:rPr>
          <w:rFonts w:ascii="Times New Roman" w:eastAsia="Times New Roman" w:hAnsi="Times New Roman" w:cs="Times New Roman"/>
          <w:color w:val="000000"/>
          <w:spacing w:val="0"/>
          <w:w w:val="100"/>
          <w:position w:val="0"/>
        </w:rPr>
        <w:t>3</w:t>
      </w:r>
      <w:bookmarkEnd w:id="2413"/>
      <w:r>
        <w:rPr>
          <w:color w:val="000000"/>
          <w:spacing w:val="0"/>
          <w:w w:val="100"/>
          <w:position w:val="0"/>
        </w:rPr>
        <w:t>、境内外会计准则下会计数据差异</w:t>
      </w:r>
      <w:bookmarkEnd w:id="2411"/>
      <w:bookmarkEnd w:id="2412"/>
      <w:bookmarkEnd w:id="2414"/>
    </w:p>
    <w:p>
      <w:pPr>
        <w:pStyle w:val="Style40"/>
        <w:keepNext/>
        <w:keepLines/>
        <w:widowControl w:val="0"/>
        <w:shd w:val="clear" w:color="auto" w:fill="auto"/>
        <w:tabs>
          <w:tab w:pos="493" w:val="left"/>
        </w:tabs>
        <w:bidi w:val="0"/>
        <w:spacing w:before="0" w:after="360" w:line="331" w:lineRule="exact"/>
        <w:ind w:left="0" w:right="0" w:firstLine="0"/>
        <w:jc w:val="left"/>
      </w:pPr>
      <w:bookmarkStart w:id="2415" w:name="bookmark2415"/>
      <w:bookmarkStart w:id="2416" w:name="bookmark2416"/>
      <w:bookmarkStart w:id="2417" w:name="bookmark2417"/>
      <w:bookmarkStart w:id="2418" w:name="bookmark2418"/>
      <w:r>
        <w:rPr>
          <w:color w:val="000000"/>
          <w:spacing w:val="0"/>
          <w:w w:val="100"/>
          <w:position w:val="0"/>
        </w:rPr>
        <w:t>（</w:t>
      </w:r>
      <w:bookmarkEnd w:id="241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415"/>
      <w:bookmarkEnd w:id="2416"/>
      <w:bookmarkEnd w:id="2418"/>
    </w:p>
    <w:p>
      <w:pPr>
        <w:pStyle w:val="Style2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360" w:line="331" w:lineRule="exact"/>
        <w:ind w:left="0" w:right="0" w:firstLine="0"/>
        <w:jc w:val="left"/>
      </w:pPr>
      <w:bookmarkStart w:id="2419" w:name="bookmark2419"/>
      <w:bookmarkStart w:id="2420" w:name="bookmark2420"/>
      <w:bookmarkStart w:id="2421" w:name="bookmark2421"/>
      <w:bookmarkStart w:id="2422" w:name="bookmark2422"/>
      <w:r>
        <w:rPr>
          <w:color w:val="000000"/>
          <w:spacing w:val="0"/>
          <w:w w:val="100"/>
          <w:position w:val="0"/>
        </w:rPr>
        <w:t>（</w:t>
      </w:r>
      <w:bookmarkEnd w:id="242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419"/>
      <w:bookmarkEnd w:id="2420"/>
      <w:bookmarkEnd w:id="2422"/>
    </w:p>
    <w:p>
      <w:pPr>
        <w:pStyle w:val="Style2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0"/>
        <w:keepNext/>
        <w:keepLines/>
        <w:widowControl w:val="0"/>
        <w:shd w:val="clear" w:color="auto" w:fill="auto"/>
        <w:tabs>
          <w:tab w:pos="589" w:val="left"/>
        </w:tabs>
        <w:bidi w:val="0"/>
        <w:spacing w:before="0" w:after="360" w:line="331" w:lineRule="exact"/>
        <w:ind w:left="0" w:right="0" w:firstLine="0"/>
        <w:jc w:val="left"/>
      </w:pPr>
      <w:bookmarkStart w:id="2423" w:name="bookmark2423"/>
      <w:bookmarkStart w:id="2424" w:name="bookmark2424"/>
      <w:bookmarkStart w:id="2425" w:name="bookmark2425"/>
      <w:bookmarkStart w:id="2426" w:name="bookmark2426"/>
      <w:r>
        <w:rPr>
          <w:color w:val="000000"/>
          <w:spacing w:val="0"/>
          <w:w w:val="100"/>
          <w:position w:val="0"/>
        </w:rPr>
        <w:t>（</w:t>
      </w:r>
      <w:bookmarkEnd w:id="2425"/>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423"/>
      <w:bookmarkEnd w:id="2424"/>
      <w:bookmarkEnd w:id="2426"/>
    </w:p>
    <w:p>
      <w:pPr>
        <w:pStyle w:val="Style31"/>
        <w:keepNext/>
        <w:keepLines/>
        <w:widowControl w:val="0"/>
        <w:shd w:val="clear" w:color="auto" w:fill="auto"/>
        <w:bidi w:val="0"/>
        <w:spacing w:before="0" w:after="300" w:line="240" w:lineRule="auto"/>
        <w:ind w:left="0" w:right="0" w:firstLine="0"/>
        <w:jc w:val="both"/>
      </w:pPr>
      <w:bookmarkStart w:id="2427" w:name="bookmark2427"/>
      <w:bookmarkStart w:id="2428" w:name="bookmark2428"/>
      <w:bookmarkStart w:id="2429" w:name="bookmark2429"/>
      <w:bookmarkStart w:id="2430" w:name="bookmark2430"/>
      <w:r>
        <w:rPr>
          <w:rFonts w:ascii="Times New Roman" w:eastAsia="Times New Roman" w:hAnsi="Times New Roman" w:cs="Times New Roman"/>
          <w:color w:val="000000"/>
          <w:spacing w:val="0"/>
          <w:w w:val="100"/>
          <w:position w:val="0"/>
        </w:rPr>
        <w:t>4</w:t>
      </w:r>
      <w:bookmarkEnd w:id="2429"/>
      <w:r>
        <w:rPr>
          <w:color w:val="000000"/>
          <w:spacing w:val="0"/>
          <w:w w:val="100"/>
          <w:position w:val="0"/>
        </w:rPr>
        <w:t>、其他</w:t>
      </w:r>
      <w:bookmarkEnd w:id="2427"/>
      <w:bookmarkEnd w:id="2428"/>
      <w:bookmarkEnd w:id="2430"/>
    </w:p>
    <w:sectPr>
      <w:footnotePr>
        <w:pos w:val="pageBottom"/>
        <w:numFmt w:val="decimal"/>
        <w:numRestart w:val="continuous"/>
      </w:footnotePr>
      <w:pgSz w:w="11900" w:h="16840"/>
      <w:pgMar w:top="1441" w:right="1109" w:bottom="1729" w:left="11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Body text (2)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Table of contents_"/>
    <w:basedOn w:val="DefaultParagraphFont"/>
    <w:link w:val="Style18"/>
    <w:rPr>
      <w:rFonts w:ascii="SimSun" w:eastAsia="SimSun" w:hAnsi="SimSun" w:cs="SimSun"/>
      <w:b/>
      <w:bCs/>
      <w:i w:val="0"/>
      <w:iCs w:val="0"/>
      <w:smallCaps w:val="0"/>
      <w:strike w:val="0"/>
      <w:sz w:val="28"/>
      <w:szCs w:val="28"/>
      <w:u w:val="none"/>
      <w:shd w:val="clear" w:color="auto" w:fill="auto"/>
    </w:rPr>
  </w:style>
  <w:style w:type="character" w:customStyle="1" w:styleId="CharStyle22">
    <w:name w:val="Body text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Heading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41">
    <w:name w:val="Heading #4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9">
    <w:name w:val="Body text (5)_"/>
    <w:basedOn w:val="DefaultParagraphFont"/>
    <w:link w:val="Style48"/>
    <w:rPr>
      <w:rFonts w:ascii="SimSun" w:eastAsia="SimSun" w:hAnsi="SimSun" w:cs="SimSun"/>
      <w:b w:val="0"/>
      <w:bCs w:val="0"/>
      <w:i w:val="0"/>
      <w:iCs w:val="0"/>
      <w:smallCaps w:val="0"/>
      <w:strike w:val="0"/>
      <w:sz w:val="20"/>
      <w:szCs w:val="20"/>
      <w:u w:val="none"/>
      <w:shd w:val="clear" w:color="auto" w:fill="auto"/>
    </w:rPr>
  </w:style>
  <w:style w:type="character" w:customStyle="1" w:styleId="CharStyle55">
    <w:name w:val="Body text (6)_"/>
    <w:basedOn w:val="DefaultParagraphFont"/>
    <w:link w:val="Style54"/>
    <w:rPr>
      <w:b w:val="0"/>
      <w:bCs w:val="0"/>
      <w:i w:val="0"/>
      <w:iCs w:val="0"/>
      <w:smallCaps w:val="0"/>
      <w:strike w:val="0"/>
      <w:sz w:val="18"/>
      <w:szCs w:val="18"/>
      <w:u w:val="none"/>
      <w:shd w:val="clear" w:color="auto" w:fill="auto"/>
    </w:rPr>
  </w:style>
  <w:style w:type="character" w:customStyle="1" w:styleId="CharStyle66">
    <w:name w:val="Heading #5_"/>
    <w:basedOn w:val="DefaultParagraphFont"/>
    <w:link w:val="Style6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3">
    <w:name w:val="Heading #1"/>
    <w:basedOn w:val="Normal"/>
    <w:link w:val="CharStyle14"/>
    <w:pPr>
      <w:widowControl w:val="0"/>
      <w:shd w:val="clear" w:color="auto" w:fill="auto"/>
      <w:spacing w:before="46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Body text (2)"/>
    <w:basedOn w:val="Normal"/>
    <w:link w:val="CharStyle16"/>
    <w:pPr>
      <w:widowControl w:val="0"/>
      <w:shd w:val="clear" w:color="auto" w:fill="auto"/>
      <w:spacing w:after="8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Table of contents"/>
    <w:basedOn w:val="Normal"/>
    <w:link w:val="CharStyle19"/>
    <w:pPr>
      <w:widowControl w:val="0"/>
      <w:shd w:val="clear" w:color="auto" w:fill="auto"/>
      <w:spacing w:after="340"/>
    </w:pPr>
    <w:rPr>
      <w:rFonts w:ascii="SimSun" w:eastAsia="SimSun" w:hAnsi="SimSun" w:cs="SimSun"/>
      <w:b/>
      <w:bCs/>
      <w:i w:val="0"/>
      <w:iCs w:val="0"/>
      <w:smallCaps w:val="0"/>
      <w:strike w:val="0"/>
      <w:sz w:val="28"/>
      <w:szCs w:val="28"/>
      <w:u w:val="none"/>
      <w:shd w:val="clear" w:color="auto" w:fill="auto"/>
    </w:rPr>
  </w:style>
  <w:style w:type="paragraph" w:styleId="Style21">
    <w:name w:val="Body text"/>
    <w:basedOn w:val="Normal"/>
    <w:link w:val="CharStyle22"/>
    <w:qFormat/>
    <w:pPr>
      <w:widowControl w:val="0"/>
      <w:shd w:val="clear" w:color="auto" w:fill="auto"/>
      <w:spacing w:after="120" w:line="384"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Table caption"/>
    <w:basedOn w:val="Normal"/>
    <w:link w:val="CharStyle2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Heading #3"/>
    <w:basedOn w:val="Normal"/>
    <w:link w:val="CharStyle3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0">
    <w:name w:val="Heading #4"/>
    <w:basedOn w:val="Normal"/>
    <w:link w:val="CharStyle41"/>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8">
    <w:name w:val="Body text (5)"/>
    <w:basedOn w:val="Normal"/>
    <w:link w:val="CharStyle49"/>
    <w:pPr>
      <w:widowControl w:val="0"/>
      <w:shd w:val="clear" w:color="auto" w:fill="auto"/>
      <w:spacing w:after="120" w:line="315" w:lineRule="exact"/>
      <w:ind w:firstLine="380"/>
    </w:pPr>
    <w:rPr>
      <w:rFonts w:ascii="SimSun" w:eastAsia="SimSun" w:hAnsi="SimSun" w:cs="SimSun"/>
      <w:b w:val="0"/>
      <w:bCs w:val="0"/>
      <w:i w:val="0"/>
      <w:iCs w:val="0"/>
      <w:smallCaps w:val="0"/>
      <w:strike w:val="0"/>
      <w:sz w:val="20"/>
      <w:szCs w:val="20"/>
      <w:u w:val="none"/>
      <w:shd w:val="clear" w:color="auto" w:fill="auto"/>
    </w:rPr>
  </w:style>
  <w:style w:type="paragraph" w:customStyle="1" w:styleId="Style54">
    <w:name w:val="Body text (6)"/>
    <w:basedOn w:val="Normal"/>
    <w:link w:val="CharStyle55"/>
    <w:pPr>
      <w:widowControl w:val="0"/>
      <w:shd w:val="clear" w:color="auto" w:fill="auto"/>
      <w:spacing w:after="720"/>
      <w:jc w:val="right"/>
    </w:pPr>
    <w:rPr>
      <w:b w:val="0"/>
      <w:bCs w:val="0"/>
      <w:i w:val="0"/>
      <w:iCs w:val="0"/>
      <w:smallCaps w:val="0"/>
      <w:strike w:val="0"/>
      <w:sz w:val="18"/>
      <w:szCs w:val="18"/>
      <w:u w:val="none"/>
      <w:shd w:val="clear" w:color="auto" w:fill="auto"/>
    </w:rPr>
  </w:style>
  <w:style w:type="paragraph" w:customStyle="1" w:styleId="Style65">
    <w:name w:val="Heading #5"/>
    <w:basedOn w:val="Normal"/>
    <w:link w:val="CharStyle66"/>
    <w:pPr>
      <w:widowControl w:val="0"/>
      <w:shd w:val="clear" w:color="auto" w:fill="auto"/>
      <w:spacing w:after="380"/>
      <w:ind w:firstLine="72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普联软件股份有限公司2021年年度报告全文</dc:title>
  <dc:subject/>
  <dc:creator>普联软件股份有限公司</dc:creator>
  <cp:keywords/>
</cp:coreProperties>
</file>